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numPr>
          <w:ilvl w:val="0"/>
          <w:numId w:val="0"/>
        </w:numPr>
        <w:jc w:val="center"/>
        <w:rPr>
          <w:color w:val="auto"/>
          <w:highlight w:val="none"/>
        </w:rPr>
      </w:pPr>
      <w:bookmarkStart w:id="7" w:name="_GoBack"/>
      <w:r>
        <w:rPr>
          <w:rFonts w:hint="eastAsia"/>
          <w:color w:val="auto"/>
          <w:highlight w:val="none"/>
        </w:rPr>
        <w:t>2026年南方电网数字电网科技（广东）有限公司小水电压板监测及智能锁具投标寻源项目寻源公告</w:t>
      </w:r>
    </w:p>
    <w:p>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各供应商：</w:t>
      </w:r>
    </w:p>
    <w:p>
      <w:pPr>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您好！南方电网数字电网科技（广东）有限公司（以下简称我公司）拟参与某招标项目投标，现公开邀请有意向的合作单位参与我公司投标寻源，相关内容如下：</w:t>
      </w:r>
    </w:p>
    <w:p>
      <w:pPr>
        <w:numPr>
          <w:ilvl w:val="0"/>
          <w:numId w:val="2"/>
        </w:numPr>
        <w:spacing w:line="360" w:lineRule="auto"/>
        <w:outlineLvl w:val="1"/>
        <w:rPr>
          <w:rFonts w:ascii="仿宋" w:hAnsi="仿宋" w:eastAsia="仿宋" w:cs="仿宋"/>
          <w:b/>
          <w:bCs/>
          <w:color w:val="auto"/>
          <w:sz w:val="24"/>
          <w:highlight w:val="none"/>
        </w:rPr>
      </w:pPr>
      <w:bookmarkStart w:id="0" w:name="_Toc24330"/>
      <w:r>
        <w:rPr>
          <w:rFonts w:hint="eastAsia" w:ascii="仿宋" w:hAnsi="仿宋" w:eastAsia="仿宋" w:cs="仿宋"/>
          <w:b/>
          <w:bCs/>
          <w:color w:val="auto"/>
          <w:sz w:val="24"/>
          <w:highlight w:val="none"/>
        </w:rPr>
        <w:t>项目概况</w:t>
      </w:r>
      <w:bookmarkEnd w:id="0"/>
      <w:r>
        <w:rPr>
          <w:rFonts w:hint="eastAsia" w:ascii="仿宋" w:hAnsi="仿宋" w:eastAsia="仿宋" w:cs="仿宋"/>
          <w:b/>
          <w:bCs/>
          <w:color w:val="auto"/>
          <w:sz w:val="24"/>
          <w:highlight w:val="none"/>
        </w:rPr>
        <w:t>：</w:t>
      </w:r>
    </w:p>
    <w:p>
      <w:pPr>
        <w:tabs>
          <w:tab w:val="left" w:pos="5880"/>
        </w:tabs>
        <w:snapToGrid w:val="0"/>
        <w:spacing w:line="360" w:lineRule="auto"/>
        <w:ind w:firstLine="480" w:firstLineChars="200"/>
        <w:rPr>
          <w:rFonts w:ascii="仿宋" w:hAnsi="仿宋" w:eastAsia="仿宋" w:cs="仿宋"/>
          <w:color w:val="auto"/>
          <w:sz w:val="24"/>
          <w:highlight w:val="none"/>
        </w:rPr>
      </w:pPr>
      <w:bookmarkStart w:id="1" w:name="_Toc2664"/>
      <w:r>
        <w:rPr>
          <w:rFonts w:hint="eastAsia" w:ascii="仿宋" w:hAnsi="仿宋" w:eastAsia="仿宋" w:cs="仿宋"/>
          <w:color w:val="auto"/>
          <w:sz w:val="24"/>
          <w:highlight w:val="none"/>
        </w:rPr>
        <w:t>根据项目需要，我公司拟对下表所列物资进行投标寻源:</w:t>
      </w: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4"/>
        <w:gridCol w:w="712"/>
        <w:gridCol w:w="1288"/>
        <w:gridCol w:w="605"/>
        <w:gridCol w:w="606"/>
        <w:gridCol w:w="2530"/>
        <w:gridCol w:w="1081"/>
        <w:gridCol w:w="1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Align w:val="center"/>
          </w:tcPr>
          <w:p>
            <w:pPr>
              <w:tabs>
                <w:tab w:val="left" w:pos="1131"/>
              </w:tabs>
              <w:spacing w:line="480" w:lineRule="auto"/>
              <w:jc w:val="center"/>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序号</w:t>
            </w:r>
          </w:p>
        </w:tc>
        <w:tc>
          <w:tcPr>
            <w:tcW w:w="417" w:type="pct"/>
            <w:vAlign w:val="center"/>
          </w:tcPr>
          <w:p>
            <w:pPr>
              <w:tabs>
                <w:tab w:val="left" w:pos="1131"/>
              </w:tabs>
              <w:spacing w:line="480" w:lineRule="auto"/>
              <w:jc w:val="center"/>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品类</w:t>
            </w:r>
          </w:p>
        </w:tc>
        <w:tc>
          <w:tcPr>
            <w:tcW w:w="755" w:type="pct"/>
            <w:vAlign w:val="center"/>
          </w:tcPr>
          <w:p>
            <w:pPr>
              <w:tabs>
                <w:tab w:val="left" w:pos="1131"/>
              </w:tabs>
              <w:spacing w:line="480" w:lineRule="auto"/>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物资名称</w:t>
            </w:r>
          </w:p>
        </w:tc>
        <w:tc>
          <w:tcPr>
            <w:tcW w:w="354" w:type="pct"/>
            <w:shd w:val="clear" w:color="auto" w:fill="auto"/>
            <w:vAlign w:val="center"/>
          </w:tcPr>
          <w:p>
            <w:pPr>
              <w:tabs>
                <w:tab w:val="left" w:pos="1131"/>
              </w:tabs>
              <w:spacing w:line="480" w:lineRule="auto"/>
              <w:jc w:val="center"/>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rPr>
              <w:t>单位</w:t>
            </w:r>
          </w:p>
        </w:tc>
        <w:tc>
          <w:tcPr>
            <w:tcW w:w="355" w:type="pct"/>
            <w:shd w:val="clear" w:color="auto" w:fill="auto"/>
            <w:vAlign w:val="center"/>
          </w:tcPr>
          <w:p>
            <w:pPr>
              <w:tabs>
                <w:tab w:val="left" w:pos="1131"/>
              </w:tabs>
              <w:spacing w:line="480" w:lineRule="auto"/>
              <w:jc w:val="center"/>
              <w:rPr>
                <w:rFonts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highlight w:val="none"/>
              </w:rPr>
              <w:t>数量</w:t>
            </w:r>
          </w:p>
        </w:tc>
        <w:tc>
          <w:tcPr>
            <w:tcW w:w="1484" w:type="pct"/>
            <w:shd w:val="clear" w:color="auto" w:fill="auto"/>
            <w:vAlign w:val="center"/>
          </w:tcPr>
          <w:p>
            <w:pPr>
              <w:tabs>
                <w:tab w:val="left" w:pos="1131"/>
              </w:tabs>
              <w:spacing w:line="360" w:lineRule="auto"/>
              <w:jc w:val="center"/>
              <w:rPr>
                <w:rFonts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highlight w:val="none"/>
              </w:rPr>
              <w:t>单价限价（万元）</w:t>
            </w:r>
          </w:p>
        </w:tc>
        <w:tc>
          <w:tcPr>
            <w:tcW w:w="634" w:type="pct"/>
            <w:shd w:val="clear" w:color="auto" w:fill="auto"/>
            <w:vAlign w:val="center"/>
          </w:tcPr>
          <w:p>
            <w:pPr>
              <w:tabs>
                <w:tab w:val="left" w:pos="1131"/>
              </w:tabs>
              <w:spacing w:line="480" w:lineRule="auto"/>
              <w:jc w:val="center"/>
              <w:rPr>
                <w:rFonts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highlight w:val="none"/>
              </w:rPr>
              <w:t>总价限价（万元）</w:t>
            </w:r>
          </w:p>
        </w:tc>
        <w:tc>
          <w:tcPr>
            <w:tcW w:w="625" w:type="pct"/>
            <w:shd w:val="clear" w:color="auto" w:fill="auto"/>
            <w:vAlign w:val="center"/>
          </w:tcPr>
          <w:p>
            <w:pPr>
              <w:tabs>
                <w:tab w:val="left" w:pos="1131"/>
              </w:tabs>
              <w:spacing w:line="480" w:lineRule="auto"/>
              <w:jc w:val="center"/>
              <w:rPr>
                <w:rFonts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restart"/>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1</w:t>
            </w:r>
          </w:p>
        </w:tc>
        <w:tc>
          <w:tcPr>
            <w:tcW w:w="417" w:type="pct"/>
            <w:vMerge w:val="restart"/>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color w:val="auto"/>
                <w:sz w:val="24"/>
                <w:szCs w:val="24"/>
                <w:highlight w:val="none"/>
                <w:vertAlign w:val="baseline"/>
              </w:rPr>
              <w:t>压板监测装置</w:t>
            </w: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智能压板管理模块</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台</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1</w:t>
            </w:r>
          </w:p>
        </w:tc>
        <w:tc>
          <w:tcPr>
            <w:tcW w:w="1484" w:type="pct"/>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restart"/>
            <w:shd w:val="clear" w:color="auto" w:fill="auto"/>
            <w:vAlign w:val="center"/>
          </w:tcPr>
          <w:p>
            <w:pPr>
              <w:tabs>
                <w:tab w:val="left" w:pos="5880"/>
              </w:tabs>
              <w:snapToGrid w:val="0"/>
              <w:spacing w:line="360" w:lineRule="auto"/>
              <w:jc w:val="center"/>
              <w:rPr>
                <w:rFonts w:hint="eastAsia" w:ascii="仿宋" w:hAnsi="仿宋" w:eastAsia="仿宋" w:cs="仿宋"/>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highlight w:val="none"/>
              </w:rPr>
              <w:t>本项目设置</w:t>
            </w:r>
            <w:r>
              <w:rPr>
                <w:rFonts w:hint="eastAsia" w:ascii="仿宋_GB2312" w:hAnsi="仿宋_GB2312" w:eastAsia="仿宋_GB2312" w:cs="仿宋_GB2312"/>
                <w:color w:val="auto"/>
                <w:sz w:val="24"/>
                <w:highlight w:val="none"/>
                <w:lang w:val="en-US" w:eastAsia="zh-CN"/>
              </w:rPr>
              <w:t>总价</w:t>
            </w:r>
            <w:r>
              <w:rPr>
                <w:rFonts w:hint="eastAsia" w:ascii="仿宋_GB2312" w:hAnsi="仿宋_GB2312" w:eastAsia="仿宋_GB2312" w:cs="仿宋_GB2312"/>
                <w:color w:val="auto"/>
                <w:sz w:val="24"/>
                <w:highlight w:val="none"/>
              </w:rPr>
              <w:t>限价</w:t>
            </w:r>
          </w:p>
        </w:tc>
        <w:tc>
          <w:tcPr>
            <w:tcW w:w="625" w:type="pct"/>
            <w:vMerge w:val="restart"/>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color w:val="auto"/>
                <w:sz w:val="24"/>
                <w:szCs w:val="24"/>
                <w:highlight w:val="none"/>
              </w:rPr>
              <w:t>本寻源项目</w:t>
            </w:r>
            <w:r>
              <w:rPr>
                <w:rFonts w:hint="eastAsia" w:ascii="仿宋_GB2312" w:hAnsi="仿宋_GB2312" w:eastAsia="仿宋_GB2312" w:cs="仿宋_GB2312"/>
                <w:color w:val="auto"/>
                <w:sz w:val="24"/>
                <w:szCs w:val="24"/>
                <w:highlight w:val="none"/>
                <w:lang w:val="en-US" w:eastAsia="zh-CN"/>
              </w:rPr>
              <w:t>品类1</w:t>
            </w:r>
            <w:r>
              <w:rPr>
                <w:rFonts w:hint="eastAsia" w:ascii="仿宋_GB2312" w:hAnsi="仿宋_GB2312" w:eastAsia="仿宋_GB2312" w:cs="仿宋_GB2312"/>
                <w:color w:val="auto"/>
                <w:sz w:val="24"/>
                <w:szCs w:val="24"/>
                <w:highlight w:val="none"/>
              </w:rPr>
              <w:t xml:space="preserve">包含 </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rPr>
              <w:t xml:space="preserve"> 项物资，需全部响应，部分响应则视为无效响应。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压板控制器</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套</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1</w:t>
            </w:r>
          </w:p>
        </w:tc>
        <w:tc>
          <w:tcPr>
            <w:tcW w:w="1484" w:type="pct"/>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hint="eastAsia" w:ascii="仿宋_GB2312" w:hAnsi="仿宋_GB2312" w:eastAsia="仿宋_GB2312" w:cs="仿宋_GB2312"/>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压板装置电源模块</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台</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3</w:t>
            </w:r>
          </w:p>
        </w:tc>
        <w:tc>
          <w:tcPr>
            <w:tcW w:w="1484" w:type="pct"/>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hint="eastAsia" w:ascii="仿宋_GB2312" w:hAnsi="仿宋_GB2312" w:eastAsia="仿宋_GB2312" w:cs="仿宋_GB2312"/>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压板状态采集器（wapi版 ）</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台</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8</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hint="eastAsia" w:ascii="仿宋_GB2312" w:hAnsi="仿宋_GB2312" w:eastAsia="仿宋_GB2312" w:cs="仿宋_GB2312"/>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导轨式压板状态传感器</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50</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hint="eastAsia" w:ascii="仿宋_GB2312" w:hAnsi="仿宋_GB2312" w:eastAsia="仿宋_GB2312" w:cs="仿宋_GB2312"/>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压板综合防误软件</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1</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hint="eastAsia" w:ascii="仿宋_GB2312" w:hAnsi="仿宋_GB2312" w:eastAsia="仿宋_GB2312" w:cs="仿宋_GB2312"/>
                <w:color w:val="auto"/>
                <w:sz w:val="24"/>
                <w:szCs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restart"/>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2</w:t>
            </w:r>
          </w:p>
        </w:tc>
        <w:tc>
          <w:tcPr>
            <w:tcW w:w="417" w:type="pct"/>
            <w:vMerge w:val="restart"/>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color w:val="auto"/>
                <w:sz w:val="24"/>
                <w:szCs w:val="24"/>
                <w:highlight w:val="none"/>
                <w:vertAlign w:val="baseline"/>
              </w:rPr>
              <w:t>智能锁具</w:t>
            </w: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智能钥匙（wapi版）</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2</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restart"/>
            <w:shd w:val="clear" w:color="auto" w:fill="auto"/>
            <w:vAlign w:val="center"/>
          </w:tcPr>
          <w:p>
            <w:pPr>
              <w:tabs>
                <w:tab w:val="left" w:pos="5880"/>
              </w:tabs>
              <w:snapToGrid w:val="0"/>
              <w:spacing w:line="360" w:lineRule="auto"/>
              <w:jc w:val="center"/>
              <w:rPr>
                <w:rFonts w:ascii="仿宋" w:hAnsi="仿宋" w:eastAsia="仿宋" w:cs="仿宋"/>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highlight w:val="none"/>
              </w:rPr>
              <w:t>本项目设置</w:t>
            </w:r>
            <w:r>
              <w:rPr>
                <w:rFonts w:hint="eastAsia" w:ascii="仿宋_GB2312" w:hAnsi="仿宋_GB2312" w:eastAsia="仿宋_GB2312" w:cs="仿宋_GB2312"/>
                <w:color w:val="auto"/>
                <w:sz w:val="24"/>
                <w:highlight w:val="none"/>
                <w:lang w:val="en-US" w:eastAsia="zh-CN"/>
              </w:rPr>
              <w:t>总价</w:t>
            </w:r>
            <w:r>
              <w:rPr>
                <w:rFonts w:hint="eastAsia" w:ascii="仿宋_GB2312" w:hAnsi="仿宋_GB2312" w:eastAsia="仿宋_GB2312" w:cs="仿宋_GB2312"/>
                <w:color w:val="auto"/>
                <w:sz w:val="24"/>
                <w:highlight w:val="none"/>
              </w:rPr>
              <w:t>限价</w:t>
            </w:r>
          </w:p>
        </w:tc>
        <w:tc>
          <w:tcPr>
            <w:tcW w:w="625" w:type="pct"/>
            <w:vMerge w:val="restart"/>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color w:val="auto"/>
                <w:sz w:val="24"/>
                <w:szCs w:val="24"/>
                <w:highlight w:val="none"/>
              </w:rPr>
              <w:t>本寻源项目</w:t>
            </w:r>
            <w:r>
              <w:rPr>
                <w:rFonts w:hint="eastAsia" w:ascii="仿宋_GB2312" w:hAnsi="仿宋_GB2312" w:eastAsia="仿宋_GB2312" w:cs="仿宋_GB2312"/>
                <w:color w:val="auto"/>
                <w:sz w:val="24"/>
                <w:szCs w:val="24"/>
                <w:highlight w:val="none"/>
                <w:lang w:val="en-US" w:eastAsia="zh-CN"/>
              </w:rPr>
              <w:t>品类2</w:t>
            </w:r>
            <w:r>
              <w:rPr>
                <w:rFonts w:hint="eastAsia" w:ascii="仿宋_GB2312" w:hAnsi="仿宋_GB2312" w:eastAsia="仿宋_GB2312" w:cs="仿宋_GB2312"/>
                <w:color w:val="auto"/>
                <w:sz w:val="24"/>
                <w:szCs w:val="24"/>
                <w:highlight w:val="none"/>
              </w:rPr>
              <w:t xml:space="preserve">包含 </w:t>
            </w:r>
            <w:r>
              <w:rPr>
                <w:rFonts w:hint="eastAsia" w:ascii="仿宋_GB2312" w:hAnsi="仿宋_GB2312" w:eastAsia="仿宋_GB2312" w:cs="仿宋_GB2312"/>
                <w:color w:val="auto"/>
                <w:sz w:val="24"/>
                <w:szCs w:val="24"/>
                <w:highlight w:val="none"/>
                <w:lang w:val="en-US" w:eastAsia="zh-CN"/>
              </w:rPr>
              <w:t>12</w:t>
            </w:r>
            <w:r>
              <w:rPr>
                <w:rFonts w:hint="eastAsia" w:ascii="仿宋_GB2312" w:hAnsi="仿宋_GB2312" w:eastAsia="仿宋_GB2312" w:cs="仿宋_GB2312"/>
                <w:color w:val="auto"/>
                <w:sz w:val="24"/>
                <w:szCs w:val="24"/>
                <w:highlight w:val="none"/>
              </w:rPr>
              <w:t>项物资，需全部响应，部分响应则视为无效响应。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锁具管理通信主机</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1</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智能锁具通用解锁钥匙</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把</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10</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智能锁具管理软件</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套</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1</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挂锁</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25</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把手锁</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4</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小插芯锁</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6</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连杆锁</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16</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盒锁</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2</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防火门锁</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3</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后柜门锁</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71</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417" w:type="pct"/>
            <w:vMerge w:val="continue"/>
            <w:vAlign w:val="center"/>
          </w:tcPr>
          <w:p>
            <w:pPr>
              <w:tabs>
                <w:tab w:val="left" w:pos="5880"/>
              </w:tabs>
              <w:snapToGrid w:val="0"/>
              <w:spacing w:line="360" w:lineRule="auto"/>
              <w:jc w:val="center"/>
              <w:rPr>
                <w:rFonts w:hint="eastAsia" w:ascii="仿宋_GB2312" w:hAnsi="仿宋_GB2312" w:eastAsia="仿宋_GB2312" w:cs="仿宋_GB2312"/>
                <w:color w:val="auto"/>
                <w:sz w:val="24"/>
                <w:szCs w:val="24"/>
                <w:highlight w:val="none"/>
                <w:vertAlign w:val="baseline"/>
              </w:rPr>
            </w:pPr>
          </w:p>
        </w:tc>
        <w:tc>
          <w:tcPr>
            <w:tcW w:w="7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圆柱锁</w:t>
            </w:r>
          </w:p>
        </w:tc>
        <w:tc>
          <w:tcPr>
            <w:tcW w:w="354"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个</w:t>
            </w:r>
          </w:p>
        </w:tc>
        <w:tc>
          <w:tcPr>
            <w:tcW w:w="355" w:type="pct"/>
            <w:vAlign w:val="center"/>
          </w:tcPr>
          <w:p>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iCs w:val="0"/>
                <w:color w:val="auto"/>
                <w:kern w:val="0"/>
                <w:sz w:val="24"/>
                <w:szCs w:val="24"/>
                <w:highlight w:val="none"/>
                <w:u w:val="none"/>
                <w:lang w:val="en-US" w:eastAsia="zh-CN" w:bidi="ar"/>
              </w:rPr>
              <w:t>2</w:t>
            </w:r>
          </w:p>
        </w:tc>
        <w:tc>
          <w:tcPr>
            <w:tcW w:w="1484" w:type="pct"/>
            <w:shd w:val="clear" w:color="auto" w:fill="auto"/>
            <w:vAlign w:val="center"/>
          </w:tcPr>
          <w:p>
            <w:pPr>
              <w:tabs>
                <w:tab w:val="left" w:pos="5880"/>
              </w:tabs>
              <w:snapToGrid w:val="0"/>
              <w:spacing w:line="360" w:lineRule="auto"/>
              <w:jc w:val="center"/>
              <w:rPr>
                <w:rFonts w:hint="eastAsia" w:ascii="仿宋_GB2312" w:hAnsi="仿宋_GB2312" w:eastAsia="仿宋_GB2312" w:cs="仿宋_GB2312"/>
                <w:color w:val="auto"/>
                <w:kern w:val="2"/>
                <w:sz w:val="24"/>
                <w:szCs w:val="24"/>
                <w:highlight w:val="none"/>
                <w:vertAlign w:val="baseline"/>
                <w:lang w:val="en-US" w:eastAsia="zh-CN" w:bidi="ar-SA"/>
              </w:rPr>
            </w:pPr>
            <w:r>
              <w:rPr>
                <w:rFonts w:hint="eastAsia" w:ascii="仿宋_GB2312" w:hAnsi="仿宋_GB2312" w:eastAsia="仿宋_GB2312" w:cs="仿宋_GB2312"/>
                <w:color w:val="auto"/>
                <w:sz w:val="24"/>
                <w:szCs w:val="24"/>
                <w:highlight w:val="none"/>
              </w:rPr>
              <w:t>本项目设置</w:t>
            </w:r>
            <w:r>
              <w:rPr>
                <w:rFonts w:hint="eastAsia" w:ascii="仿宋_GB2312" w:hAnsi="仿宋_GB2312" w:eastAsia="仿宋_GB2312" w:cs="仿宋_GB2312"/>
                <w:color w:val="auto"/>
                <w:sz w:val="24"/>
                <w:szCs w:val="24"/>
                <w:highlight w:val="none"/>
                <w:lang w:val="en-US" w:eastAsia="zh-CN"/>
              </w:rPr>
              <w:t>单价</w:t>
            </w:r>
            <w:r>
              <w:rPr>
                <w:rFonts w:hint="eastAsia" w:ascii="仿宋_GB2312" w:hAnsi="仿宋_GB2312" w:eastAsia="仿宋_GB2312" w:cs="仿宋_GB2312"/>
                <w:color w:val="auto"/>
                <w:sz w:val="24"/>
                <w:szCs w:val="24"/>
                <w:highlight w:val="none"/>
              </w:rPr>
              <w:t>限价</w:t>
            </w:r>
          </w:p>
        </w:tc>
        <w:tc>
          <w:tcPr>
            <w:tcW w:w="634"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c>
          <w:tcPr>
            <w:tcW w:w="625" w:type="pct"/>
            <w:vMerge w:val="continue"/>
          </w:tcPr>
          <w:p>
            <w:pPr>
              <w:tabs>
                <w:tab w:val="left" w:pos="5880"/>
              </w:tabs>
              <w:snapToGrid w:val="0"/>
              <w:spacing w:line="360" w:lineRule="auto"/>
              <w:rPr>
                <w:rFonts w:ascii="仿宋" w:hAnsi="仿宋" w:eastAsia="仿宋" w:cs="仿宋"/>
                <w:color w:val="auto"/>
                <w:sz w:val="24"/>
                <w:highlight w:val="none"/>
                <w:vertAlign w:val="baseline"/>
              </w:rPr>
            </w:pPr>
          </w:p>
        </w:tc>
      </w:tr>
    </w:tbl>
    <w:p>
      <w:pPr>
        <w:tabs>
          <w:tab w:val="left" w:pos="5880"/>
        </w:tabs>
        <w:snapToGrid w:val="0"/>
        <w:spacing w:line="360" w:lineRule="auto"/>
        <w:ind w:firstLine="480" w:firstLineChars="200"/>
        <w:rPr>
          <w:rFonts w:ascii="仿宋" w:hAnsi="仿宋" w:eastAsia="仿宋" w:cs="仿宋"/>
          <w:color w:val="auto"/>
          <w:sz w:val="24"/>
          <w:highlight w:val="none"/>
        </w:rPr>
      </w:pPr>
    </w:p>
    <w:p>
      <w:pPr>
        <w:widowControl/>
        <w:ind w:firstLine="480" w:firstLineChars="200"/>
        <w:jc w:val="left"/>
        <w:rPr>
          <w:rFonts w:ascii="仿宋" w:hAnsi="仿宋" w:eastAsia="仿宋" w:cs="仿宋"/>
          <w:color w:val="auto"/>
          <w:kern w:val="0"/>
          <w:sz w:val="24"/>
          <w:highlight w:val="none"/>
          <w:lang w:bidi="ar"/>
        </w:rPr>
      </w:pPr>
      <w:r>
        <w:rPr>
          <w:rFonts w:hint="eastAsia" w:ascii="仿宋" w:hAnsi="仿宋" w:eastAsia="仿宋" w:cs="仿宋"/>
          <w:color w:val="auto"/>
          <w:sz w:val="24"/>
          <w:highlight w:val="none"/>
        </w:rPr>
        <w:t>本次投标寻源为</w:t>
      </w:r>
      <w:r>
        <w:rPr>
          <w:rFonts w:hint="eastAsia" w:ascii="仿宋" w:hAnsi="仿宋" w:eastAsia="仿宋" w:cs="仿宋"/>
          <w:b/>
          <w:bCs/>
          <w:color w:val="auto"/>
          <w:sz w:val="24"/>
          <w:highlight w:val="none"/>
        </w:rPr>
        <w:t>意向寻源</w:t>
      </w:r>
      <w:r>
        <w:rPr>
          <w:rFonts w:hint="eastAsia" w:ascii="仿宋" w:hAnsi="仿宋" w:eastAsia="仿宋" w:cs="仿宋"/>
          <w:color w:val="auto"/>
          <w:sz w:val="24"/>
          <w:highlight w:val="none"/>
        </w:rPr>
        <w:t>，我公司不承诺必然发生实质性采购需求</w:t>
      </w:r>
      <w:bookmarkEnd w:id="1"/>
      <w:r>
        <w:rPr>
          <w:rFonts w:hint="eastAsia" w:ascii="仿宋" w:hAnsi="仿宋" w:eastAsia="仿宋" w:cs="仿宋"/>
          <w:color w:val="auto"/>
          <w:sz w:val="24"/>
          <w:highlight w:val="none"/>
        </w:rPr>
        <w:t>，</w:t>
      </w:r>
      <w:r>
        <w:rPr>
          <w:rFonts w:ascii="仿宋" w:hAnsi="仿宋" w:eastAsia="仿宋" w:cs="仿宋"/>
          <w:color w:val="auto"/>
          <w:kern w:val="0"/>
          <w:sz w:val="24"/>
          <w:highlight w:val="none"/>
          <w:lang w:bidi="ar"/>
        </w:rPr>
        <w:t>最终是</w:t>
      </w:r>
      <w:r>
        <w:rPr>
          <w:rFonts w:hint="eastAsia" w:ascii="仿宋" w:hAnsi="仿宋" w:eastAsia="仿宋" w:cs="仿宋"/>
          <w:color w:val="auto"/>
          <w:kern w:val="0"/>
          <w:sz w:val="24"/>
          <w:highlight w:val="none"/>
          <w:lang w:bidi="ar"/>
        </w:rPr>
        <w:t>否中标存在不确定性，如未能中标则双方不再履行相应合同义务且互不追究违约责任。本次投标寻源因涉及商业敏感信息，如有意向，请提供盖章版《保密承诺函》（见附件</w:t>
      </w:r>
      <w:r>
        <w:rPr>
          <w:rFonts w:hint="eastAsia" w:ascii="仿宋" w:hAnsi="仿宋" w:eastAsia="仿宋" w:cs="仿宋"/>
          <w:color w:val="auto"/>
          <w:kern w:val="0"/>
          <w:sz w:val="24"/>
          <w:highlight w:val="none"/>
          <w:lang w:val="en-US" w:eastAsia="zh-CN" w:bidi="ar"/>
        </w:rPr>
        <w:t>3</w:t>
      </w:r>
      <w:r>
        <w:rPr>
          <w:rFonts w:hint="eastAsia" w:ascii="仿宋" w:hAnsi="仿宋" w:eastAsia="仿宋" w:cs="仿宋"/>
          <w:color w:val="auto"/>
          <w:kern w:val="0"/>
          <w:sz w:val="24"/>
          <w:highlight w:val="none"/>
          <w:lang w:bidi="ar"/>
        </w:rPr>
        <w:t>）至本邮箱</w:t>
      </w:r>
      <w:r>
        <w:rPr>
          <w:rFonts w:hint="eastAsia" w:ascii="仿宋" w:hAnsi="仿宋" w:eastAsia="仿宋" w:cs="仿宋"/>
          <w:color w:val="auto"/>
          <w:kern w:val="0"/>
          <w:sz w:val="24"/>
          <w:highlight w:val="none"/>
          <w:lang w:val="en-US" w:eastAsia="zh-CN" w:bidi="ar"/>
        </w:rPr>
        <w:t>linxy@csg.cn</w:t>
      </w:r>
      <w:r>
        <w:rPr>
          <w:rFonts w:ascii="仿宋" w:hAnsi="仿宋" w:eastAsia="仿宋" w:cs="仿宋"/>
          <w:color w:val="auto"/>
          <w:kern w:val="0"/>
          <w:sz w:val="24"/>
          <w:highlight w:val="none"/>
          <w:lang w:bidi="ar"/>
        </w:rPr>
        <w:t xml:space="preserve"> </w:t>
      </w:r>
      <w:r>
        <w:rPr>
          <w:rFonts w:hint="eastAsia" w:ascii="仿宋" w:hAnsi="仿宋" w:eastAsia="仿宋" w:cs="仿宋"/>
          <w:color w:val="auto"/>
          <w:kern w:val="0"/>
          <w:sz w:val="24"/>
          <w:highlight w:val="none"/>
          <w:lang w:bidi="ar"/>
        </w:rPr>
        <w:t>获取拟投标项目名称及</w:t>
      </w:r>
      <w:r>
        <w:rPr>
          <w:rFonts w:hint="eastAsia" w:ascii="仿宋" w:hAnsi="仿宋" w:eastAsia="仿宋" w:cs="仿宋"/>
          <w:color w:val="auto"/>
          <w:kern w:val="0"/>
          <w:sz w:val="24"/>
          <w:highlight w:val="none"/>
          <w:lang w:val="en-US" w:eastAsia="zh-CN" w:bidi="ar"/>
        </w:rPr>
        <w:t>总价</w:t>
      </w:r>
      <w:r>
        <w:rPr>
          <w:rFonts w:hint="eastAsia" w:ascii="仿宋" w:hAnsi="仿宋" w:eastAsia="仿宋" w:cs="仿宋"/>
          <w:color w:val="auto"/>
          <w:kern w:val="0"/>
          <w:sz w:val="24"/>
          <w:highlight w:val="none"/>
          <w:lang w:bidi="ar"/>
        </w:rPr>
        <w:t>限价</w:t>
      </w:r>
      <w:r>
        <w:rPr>
          <w:rFonts w:hint="eastAsia" w:ascii="仿宋" w:hAnsi="仿宋" w:eastAsia="仿宋" w:cs="仿宋"/>
          <w:color w:val="auto"/>
          <w:kern w:val="0"/>
          <w:sz w:val="24"/>
          <w:highlight w:val="none"/>
          <w:lang w:eastAsia="zh-CN" w:bidi="ar"/>
        </w:rPr>
        <w:t>，</w:t>
      </w:r>
      <w:r>
        <w:rPr>
          <w:rFonts w:hint="eastAsia" w:ascii="仿宋" w:hAnsi="仿宋" w:eastAsia="仿宋" w:cs="仿宋"/>
          <w:color w:val="auto"/>
          <w:kern w:val="0"/>
          <w:sz w:val="24"/>
          <w:highlight w:val="none"/>
          <w:lang w:val="en-US" w:eastAsia="zh-CN" w:bidi="ar"/>
        </w:rPr>
        <w:t>报价低于总价限价的85%</w:t>
      </w:r>
      <w:r>
        <w:rPr>
          <w:rFonts w:hint="eastAsia" w:ascii="仿宋" w:hAnsi="仿宋" w:eastAsia="仿宋" w:cs="仿宋"/>
          <w:color w:val="auto"/>
          <w:sz w:val="24"/>
          <w:highlight w:val="none"/>
          <w:lang w:val="en-US" w:eastAsia="zh-CN"/>
        </w:rPr>
        <w:t>需</w:t>
      </w:r>
      <w:r>
        <w:rPr>
          <w:rFonts w:hint="eastAsia" w:ascii="仿宋" w:hAnsi="仿宋" w:eastAsia="仿宋" w:cs="仿宋"/>
          <w:color w:val="auto"/>
          <w:sz w:val="24"/>
          <w:highlight w:val="none"/>
        </w:rPr>
        <w:t>作出书面说明并提供相应的证明材料</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否则视为无效响应。</w:t>
      </w:r>
      <w:r>
        <w:rPr>
          <w:rFonts w:hint="eastAsia" w:ascii="仿宋" w:hAnsi="仿宋" w:eastAsia="仿宋" w:cs="仿宋"/>
          <w:color w:val="auto"/>
          <w:sz w:val="24"/>
          <w:highlight w:val="none"/>
        </w:rPr>
        <w:t>（响应方须为制造商原厂，并以制造商原厂进行咨询及响应）</w:t>
      </w:r>
    </w:p>
    <w:p>
      <w:pPr>
        <w:widowControl/>
        <w:ind w:firstLine="482" w:firstLineChars="200"/>
        <w:jc w:val="left"/>
        <w:rPr>
          <w:rFonts w:ascii="仿宋" w:hAnsi="仿宋" w:eastAsia="仿宋" w:cs="仿宋"/>
          <w:color w:val="auto"/>
          <w:sz w:val="24"/>
          <w:highlight w:val="none"/>
        </w:rPr>
      </w:pPr>
      <w:r>
        <w:rPr>
          <w:rFonts w:hint="eastAsia" w:ascii="仿宋" w:hAnsi="仿宋" w:eastAsia="仿宋" w:cs="仿宋"/>
          <w:b/>
          <w:bCs/>
          <w:color w:val="auto"/>
          <w:sz w:val="24"/>
          <w:highlight w:val="none"/>
        </w:rPr>
        <w:t>交货期：合同签订后1</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日内完成交货，到货1</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日内完成实施部署，</w:t>
      </w:r>
      <w:r>
        <w:rPr>
          <w:rFonts w:hint="eastAsia" w:ascii="仿宋" w:hAnsi="仿宋" w:eastAsia="仿宋" w:cs="仿宋"/>
          <w:color w:val="auto"/>
          <w:sz w:val="24"/>
          <w:highlight w:val="none"/>
        </w:rPr>
        <w:t>具体以双方签订的合同要求为准。</w:t>
      </w:r>
    </w:p>
    <w:p>
      <w:pPr>
        <w:tabs>
          <w:tab w:val="left" w:pos="5880"/>
        </w:tabs>
        <w:snapToGrid w:val="0"/>
        <w:spacing w:line="360" w:lineRule="auto"/>
        <w:ind w:firstLine="482" w:firstLineChars="200"/>
        <w:rPr>
          <w:rFonts w:ascii="仿宋" w:hAnsi="仿宋" w:eastAsia="仿宋" w:cs="仿宋"/>
          <w:color w:val="auto"/>
          <w:sz w:val="24"/>
          <w:highlight w:val="none"/>
        </w:rPr>
      </w:pPr>
      <w:r>
        <w:rPr>
          <w:rFonts w:hint="eastAsia" w:ascii="仿宋" w:hAnsi="仿宋" w:eastAsia="仿宋" w:cs="仿宋"/>
          <w:b/>
          <w:bCs/>
          <w:color w:val="auto"/>
          <w:sz w:val="24"/>
          <w:highlight w:val="none"/>
        </w:rPr>
        <w:t>质保期</w:t>
      </w:r>
      <w:r>
        <w:rPr>
          <w:rFonts w:hint="eastAsia" w:ascii="仿宋" w:hAnsi="仿宋" w:eastAsia="仿宋" w:cs="仿宋"/>
          <w:color w:val="auto"/>
          <w:sz w:val="24"/>
          <w:highlight w:val="none"/>
        </w:rPr>
        <w:t>：货物质保期</w:t>
      </w:r>
      <w:r>
        <w:rPr>
          <w:rFonts w:hint="eastAsia" w:ascii="仿宋" w:hAnsi="仿宋" w:eastAsia="仿宋" w:cs="仿宋"/>
          <w:b/>
          <w:bCs/>
          <w:color w:val="auto"/>
          <w:sz w:val="24"/>
          <w:highlight w:val="none"/>
          <w:u w:val="single"/>
        </w:rPr>
        <w:t xml:space="preserve"> 3 </w:t>
      </w:r>
      <w:r>
        <w:rPr>
          <w:rFonts w:hint="eastAsia" w:ascii="仿宋" w:hAnsi="仿宋" w:eastAsia="仿宋" w:cs="仿宋"/>
          <w:color w:val="auto"/>
          <w:sz w:val="24"/>
          <w:highlight w:val="none"/>
        </w:rPr>
        <w:t>年</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具体以双方签订的合同要求为准。</w:t>
      </w:r>
    </w:p>
    <w:p>
      <w:pPr>
        <w:numPr>
          <w:ilvl w:val="0"/>
          <w:numId w:val="2"/>
        </w:numPr>
        <w:spacing w:line="360" w:lineRule="auto"/>
        <w:outlineLvl w:val="1"/>
        <w:rPr>
          <w:rFonts w:ascii="仿宋" w:hAnsi="仿宋" w:eastAsia="仿宋" w:cs="仿宋"/>
          <w:b/>
          <w:bCs/>
          <w:color w:val="auto"/>
          <w:sz w:val="24"/>
          <w:highlight w:val="none"/>
        </w:rPr>
      </w:pPr>
      <w:bookmarkStart w:id="2" w:name="_Toc7071"/>
      <w:r>
        <w:rPr>
          <w:rFonts w:hint="eastAsia" w:ascii="仿宋" w:hAnsi="仿宋" w:eastAsia="仿宋" w:cs="仿宋"/>
          <w:b/>
          <w:bCs/>
          <w:color w:val="auto"/>
          <w:sz w:val="24"/>
          <w:highlight w:val="none"/>
        </w:rPr>
        <w:t>询价响应文件要求</w:t>
      </w:r>
      <w:bookmarkEnd w:id="2"/>
      <w:r>
        <w:rPr>
          <w:rFonts w:hint="eastAsia" w:ascii="仿宋" w:hAnsi="仿宋" w:eastAsia="仿宋" w:cs="仿宋"/>
          <w:b/>
          <w:bCs/>
          <w:color w:val="auto"/>
          <w:sz w:val="24"/>
          <w:highlight w:val="none"/>
        </w:rPr>
        <w:t>：</w:t>
      </w:r>
    </w:p>
    <w:p>
      <w:pPr>
        <w:numPr>
          <w:ilvl w:val="0"/>
          <w:numId w:val="3"/>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询价响应文件需包含</w:t>
      </w:r>
      <w:r>
        <w:rPr>
          <w:rFonts w:hint="eastAsia" w:ascii="仿宋" w:hAnsi="仿宋" w:eastAsia="仿宋" w:cs="仿宋"/>
          <w:b/>
          <w:bCs/>
          <w:color w:val="auto"/>
          <w:sz w:val="24"/>
          <w:highlight w:val="none"/>
          <w:u w:val="single"/>
        </w:rPr>
        <w:t>企业简介和基本情况、营业执照、近三年经审计的财务报告、企业资质（质量管理体系认证等）、产品技术资料（包括但不限于产品规格型号、产品相关资质证书）、同类型项目业绩、报价文件</w:t>
      </w:r>
      <w:r>
        <w:rPr>
          <w:rFonts w:hint="eastAsia" w:ascii="仿宋" w:hAnsi="仿宋" w:eastAsia="仿宋" w:cs="仿宋"/>
          <w:color w:val="auto"/>
          <w:sz w:val="24"/>
          <w:highlight w:val="none"/>
        </w:rPr>
        <w:t>等，详见附件（响应文件格式及其相关附件）。</w:t>
      </w:r>
    </w:p>
    <w:p>
      <w:pPr>
        <w:numPr>
          <w:ilvl w:val="0"/>
          <w:numId w:val="3"/>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报价文件有效期为提交报价之日起不低于</w:t>
      </w:r>
      <w:r>
        <w:rPr>
          <w:rFonts w:hint="eastAsia" w:ascii="仿宋" w:hAnsi="仿宋" w:eastAsia="仿宋" w:cs="仿宋"/>
          <w:b/>
          <w:bCs/>
          <w:color w:val="auto"/>
          <w:sz w:val="24"/>
          <w:highlight w:val="none"/>
          <w:u w:val="single"/>
        </w:rPr>
        <w:t>120</w:t>
      </w:r>
      <w:r>
        <w:rPr>
          <w:rFonts w:hint="eastAsia" w:ascii="仿宋" w:hAnsi="仿宋" w:eastAsia="仿宋" w:cs="仿宋"/>
          <w:color w:val="auto"/>
          <w:sz w:val="24"/>
          <w:highlight w:val="none"/>
        </w:rPr>
        <w:t>个日历天。</w:t>
      </w:r>
    </w:p>
    <w:p>
      <w:pPr>
        <w:numPr>
          <w:ilvl w:val="0"/>
          <w:numId w:val="3"/>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报价文件要求对货品询价单中的所有分项进行</w:t>
      </w:r>
      <w:r>
        <w:rPr>
          <w:rFonts w:hint="eastAsia" w:ascii="仿宋" w:hAnsi="仿宋" w:eastAsia="仿宋" w:cs="仿宋"/>
          <w:b/>
          <w:bCs/>
          <w:color w:val="auto"/>
          <w:sz w:val="24"/>
          <w:highlight w:val="none"/>
          <w:u w:val="single"/>
        </w:rPr>
        <w:t>总</w:t>
      </w:r>
      <w:r>
        <w:rPr>
          <w:rFonts w:hint="eastAsia" w:ascii="仿宋" w:hAnsi="仿宋" w:eastAsia="仿宋" w:cs="仿宋"/>
          <w:b/>
          <w:bCs/>
          <w:color w:val="auto"/>
          <w:sz w:val="24"/>
          <w:highlight w:val="none"/>
          <w:u w:val="single"/>
          <w:lang w:val="en-US" w:eastAsia="zh-CN"/>
        </w:rPr>
        <w:t>单</w:t>
      </w:r>
      <w:r>
        <w:rPr>
          <w:rFonts w:hint="eastAsia" w:ascii="仿宋" w:hAnsi="仿宋" w:eastAsia="仿宋" w:cs="仿宋"/>
          <w:b/>
          <w:bCs/>
          <w:color w:val="auto"/>
          <w:sz w:val="24"/>
          <w:highlight w:val="none"/>
          <w:u w:val="single"/>
        </w:rPr>
        <w:t>价报价</w:t>
      </w:r>
      <w:r>
        <w:rPr>
          <w:rFonts w:hint="eastAsia" w:ascii="仿宋" w:hAnsi="仿宋" w:eastAsia="仿宋" w:cs="仿宋"/>
          <w:color w:val="auto"/>
          <w:sz w:val="24"/>
          <w:highlight w:val="none"/>
        </w:rPr>
        <w:t>。</w:t>
      </w:r>
    </w:p>
    <w:p>
      <w:pPr>
        <w:numPr>
          <w:ilvl w:val="0"/>
          <w:numId w:val="3"/>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报价文件按照总价全包进行报价，应包括货到工地指定地点的一切税费（提供专用增值税发票）、设备包装、运输（包含二次运输）、卸货、保险、仓储、安装督导、调试、试运行、验收、培训、售后服务等所需费用。</w:t>
      </w:r>
    </w:p>
    <w:p>
      <w:pPr>
        <w:numPr>
          <w:ilvl w:val="0"/>
          <w:numId w:val="3"/>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报价应为准确、可参考的有效报价，如经评审确认为投标合作供应商，此报价作为后续合同签订依据。</w:t>
      </w:r>
    </w:p>
    <w:p>
      <w:pPr>
        <w:numPr>
          <w:ilvl w:val="0"/>
          <w:numId w:val="3"/>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b/>
          <w:bCs/>
          <w:color w:val="auto"/>
          <w:sz w:val="24"/>
          <w:highlight w:val="none"/>
        </w:rPr>
        <w:t>付款约定条款：</w:t>
      </w:r>
      <w:r>
        <w:rPr>
          <w:rFonts w:hint="eastAsia" w:ascii="仿宋" w:hAnsi="仿宋" w:eastAsia="仿宋" w:cs="仿宋"/>
          <w:color w:val="auto"/>
          <w:sz w:val="24"/>
          <w:highlight w:val="none"/>
        </w:rPr>
        <w:t>具体付款条款以双方签订的合同要求为准。</w:t>
      </w:r>
    </w:p>
    <w:p>
      <w:pPr>
        <w:numPr>
          <w:ilvl w:val="0"/>
          <w:numId w:val="3"/>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报价产品必须完全满足技术参数偏离表技术参数要求或优于技术参数偏离表技术参数要求,技术参数偏离表详见附件《技术参数偏离表》，</w:t>
      </w:r>
      <w:r>
        <w:rPr>
          <w:rFonts w:hint="eastAsia" w:ascii="仿宋" w:hAnsi="仿宋" w:eastAsia="仿宋" w:cs="仿宋"/>
          <w:b/>
          <w:bCs/>
          <w:color w:val="auto"/>
          <w:sz w:val="24"/>
          <w:highlight w:val="none"/>
          <w:u w:val="single"/>
        </w:rPr>
        <w:t>并在报价文件中列明每项偏差情况。</w:t>
      </w:r>
    </w:p>
    <w:p>
      <w:pPr>
        <w:numPr>
          <w:ilvl w:val="0"/>
          <w:numId w:val="3"/>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贵司提交询价响应文件视同</w:t>
      </w:r>
      <w:r>
        <w:rPr>
          <w:rFonts w:hint="eastAsia" w:ascii="仿宋" w:hAnsi="仿宋" w:eastAsia="仿宋" w:cs="仿宋"/>
          <w:b/>
          <w:bCs/>
          <w:color w:val="auto"/>
          <w:sz w:val="24"/>
          <w:highlight w:val="none"/>
          <w:u w:val="single"/>
        </w:rPr>
        <w:t>接受本项目交货期、质保期以及技术参数偏离表中的所有技术要求和本项目的付款约定条款。</w:t>
      </w:r>
    </w:p>
    <w:p>
      <w:pPr>
        <w:numPr>
          <w:ilvl w:val="0"/>
          <w:numId w:val="3"/>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贵司应对收到的询价函及相关一切询价资料进行保密，不得向任何第三方透露与本询价有关的任何信息。</w:t>
      </w:r>
    </w:p>
    <w:p>
      <w:pPr>
        <w:numPr>
          <w:ilvl w:val="0"/>
          <w:numId w:val="3"/>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必须承诺保证其交付物无任何质量缺陷或瑕疵，无任何著作权、商标权、专利权或其他知识产权方面的权利限制或瑕疵，不会侵犯任何自然人、法人等主体的专利、商标、企业或贸易名称、版权、肖像权、技术秘密、商业秘密或其他任何权益。若我公司因供应商的交付物侵害第三方的合法权益，我公司有权解除合同，追究供应商违约、赔偿等责任；若我公司侵害第三方的合法权被要求向第三方承担赔偿责任的，供应商对此承担全部责任。</w:t>
      </w:r>
    </w:p>
    <w:p>
      <w:pPr>
        <w:numPr>
          <w:ilvl w:val="0"/>
          <w:numId w:val="2"/>
        </w:numPr>
        <w:spacing w:line="360" w:lineRule="auto"/>
        <w:outlineLvl w:val="1"/>
        <w:rPr>
          <w:rFonts w:ascii="仿宋" w:hAnsi="仿宋" w:eastAsia="仿宋" w:cs="仿宋"/>
          <w:b/>
          <w:bCs/>
          <w:color w:val="auto"/>
          <w:sz w:val="24"/>
          <w:highlight w:val="none"/>
        </w:rPr>
      </w:pPr>
      <w:bookmarkStart w:id="3" w:name="_Toc20153"/>
      <w:r>
        <w:rPr>
          <w:rFonts w:hint="eastAsia" w:ascii="仿宋" w:hAnsi="仿宋" w:eastAsia="仿宋" w:cs="仿宋"/>
          <w:b/>
          <w:bCs/>
          <w:color w:val="auto"/>
          <w:sz w:val="24"/>
          <w:highlight w:val="none"/>
        </w:rPr>
        <w:t>特别说明</w:t>
      </w:r>
      <w:bookmarkEnd w:id="3"/>
      <w:r>
        <w:rPr>
          <w:rFonts w:hint="eastAsia" w:ascii="仿宋" w:hAnsi="仿宋" w:eastAsia="仿宋" w:cs="仿宋"/>
          <w:b/>
          <w:bCs/>
          <w:color w:val="auto"/>
          <w:sz w:val="24"/>
          <w:highlight w:val="none"/>
        </w:rPr>
        <w:t>：</w:t>
      </w:r>
    </w:p>
    <w:p>
      <w:pPr>
        <w:numPr>
          <w:ilvl w:val="0"/>
          <w:numId w:val="4"/>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本次投标寻源</w:t>
      </w:r>
      <w:r>
        <w:rPr>
          <w:rFonts w:hint="eastAsia" w:ascii="仿宋" w:hAnsi="仿宋" w:eastAsia="仿宋" w:cs="仿宋"/>
          <w:color w:val="auto"/>
          <w:sz w:val="24"/>
          <w:highlight w:val="none"/>
          <w:lang w:val="en-US" w:eastAsia="zh-CN"/>
        </w:rPr>
        <w:t>在</w:t>
      </w:r>
      <w:r>
        <w:rPr>
          <w:rFonts w:hint="eastAsia" w:ascii="仿宋" w:hAnsi="仿宋" w:eastAsia="仿宋" w:cs="仿宋"/>
          <w:b/>
          <w:bCs/>
          <w:color w:val="auto"/>
          <w:sz w:val="24"/>
          <w:highlight w:val="none"/>
          <w:u w:val="single"/>
        </w:rPr>
        <w:t>2026年</w:t>
      </w:r>
      <w:r>
        <w:rPr>
          <w:rFonts w:hint="eastAsia" w:ascii="仿宋" w:hAnsi="仿宋" w:eastAsia="仿宋" w:cs="仿宋"/>
          <w:b/>
          <w:bCs/>
          <w:color w:val="auto"/>
          <w:sz w:val="24"/>
          <w:highlight w:val="none"/>
          <w:u w:val="single"/>
          <w:lang w:val="en-US" w:eastAsia="zh-CN"/>
        </w:rPr>
        <w:t>9</w:t>
      </w:r>
      <w:r>
        <w:rPr>
          <w:rFonts w:hint="eastAsia" w:ascii="仿宋" w:hAnsi="仿宋" w:eastAsia="仿宋" w:cs="仿宋"/>
          <w:b/>
          <w:bCs/>
          <w:color w:val="auto"/>
          <w:sz w:val="24"/>
          <w:highlight w:val="none"/>
          <w:u w:val="single"/>
        </w:rPr>
        <w:t>月</w:t>
      </w:r>
      <w:r>
        <w:rPr>
          <w:rFonts w:hint="eastAsia" w:ascii="仿宋" w:hAnsi="仿宋" w:eastAsia="仿宋" w:cs="仿宋"/>
          <w:b/>
          <w:bCs/>
          <w:color w:val="auto"/>
          <w:sz w:val="24"/>
          <w:highlight w:val="none"/>
          <w:u w:val="single"/>
          <w:lang w:val="en-US" w:eastAsia="zh-CN"/>
        </w:rPr>
        <w:t>7</w:t>
      </w:r>
      <w:r>
        <w:rPr>
          <w:rFonts w:hint="eastAsia" w:ascii="仿宋" w:hAnsi="仿宋" w:eastAsia="仿宋" w:cs="仿宋"/>
          <w:b/>
          <w:bCs/>
          <w:color w:val="auto"/>
          <w:sz w:val="24"/>
          <w:highlight w:val="none"/>
          <w:u w:val="single"/>
        </w:rPr>
        <w:t>日</w:t>
      </w:r>
      <w:r>
        <w:rPr>
          <w:rFonts w:hint="eastAsia" w:ascii="仿宋" w:hAnsi="仿宋" w:eastAsia="仿宋" w:cs="仿宋"/>
          <w:color w:val="auto"/>
          <w:sz w:val="24"/>
          <w:highlight w:val="none"/>
        </w:rPr>
        <w:t>前，我司将通知贵司是否为合作意向公司。若贵司为我司合作意向公司，贵司需全力配合我司开展投标准备工作。我公司不承诺必然发生实质性采购需求。</w:t>
      </w:r>
    </w:p>
    <w:p>
      <w:pPr>
        <w:numPr>
          <w:ilvl w:val="0"/>
          <w:numId w:val="4"/>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当我公司发生实质性需求时，如中选方需在本项目后续的签约和履行阶段需委托其经销商实施的，必须在寻源响应阶段提供相关经销商授权文件</w:t>
      </w:r>
      <w:r>
        <w:rPr>
          <w:rFonts w:hint="eastAsia" w:ascii="仿宋" w:hAnsi="仿宋" w:eastAsia="仿宋" w:cs="仿宋"/>
          <w:b/>
          <w:bCs/>
          <w:color w:val="auto"/>
          <w:sz w:val="24"/>
          <w:highlight w:val="none"/>
        </w:rPr>
        <w:t>（原厂指定代理商（经销商）需与原厂为长期代理合作关系（提供本次寻源前已签订且处于有效期的一年及以上代理/授权协议、或为原厂指定对外公示期处于有效合作期的指定代理商合作伙伴），并提供额外证明材料）</w:t>
      </w:r>
      <w:r>
        <w:rPr>
          <w:rFonts w:hint="eastAsia" w:ascii="仿宋" w:hAnsi="仿宋" w:eastAsia="仿宋" w:cs="仿宋"/>
          <w:color w:val="auto"/>
          <w:sz w:val="24"/>
          <w:highlight w:val="none"/>
        </w:rPr>
        <w:t>，说明授权事项。</w:t>
      </w:r>
    </w:p>
    <w:p>
      <w:pPr>
        <w:numPr>
          <w:ilvl w:val="0"/>
          <w:numId w:val="4"/>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当我公司发生实质性需求时，如出现中选方未能履行寻源响应的相关承诺，影响我公司项目开展的，我司有权对该中选单位进行违约追责。</w:t>
      </w:r>
    </w:p>
    <w:p>
      <w:pPr>
        <w:numPr>
          <w:ilvl w:val="0"/>
          <w:numId w:val="4"/>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我司将按照格要求及评审办法，组织专家组对各供应商提交的响应文件进行评审，评审过程中专家组可讨论确定需谈判的品类，并与该品类进入价格评审的寻源对象进行线上谈判。谈判时贵司可进行二次报价(放弃二次报价的，以第一次报价为准)。第二次响应报价不得高于第一次响应报价。</w:t>
      </w:r>
    </w:p>
    <w:p>
      <w:pPr>
        <w:numPr>
          <w:ilvl w:val="0"/>
          <w:numId w:val="4"/>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第二次响应报价，除</w:t>
      </w:r>
      <w:r>
        <w:rPr>
          <w:rFonts w:hint="eastAsia" w:ascii="仿宋" w:hAnsi="仿宋" w:eastAsia="仿宋" w:cs="仿宋"/>
          <w:b/>
          <w:bCs/>
          <w:color w:val="auto"/>
          <w:sz w:val="24"/>
          <w:highlight w:val="none"/>
          <w:u w:val="single"/>
        </w:rPr>
        <w:t>拟投标项目招标方</w:t>
      </w:r>
      <w:r>
        <w:rPr>
          <w:rFonts w:hint="eastAsia" w:ascii="仿宋" w:hAnsi="仿宋" w:eastAsia="仿宋" w:cs="仿宋"/>
          <w:color w:val="auto"/>
          <w:sz w:val="24"/>
          <w:highlight w:val="none"/>
        </w:rPr>
        <w:t>对招标内容进行正式变更澄清外，不允许修改技术文件，仅需确认二次报价。</w:t>
      </w:r>
    </w:p>
    <w:p>
      <w:pPr>
        <w:numPr>
          <w:ilvl w:val="0"/>
          <w:numId w:val="4"/>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我司有权根据投标策略调整投标价格。因此双方确定合作意向后，在投标前，我司有权与贵司再次开展价格谈判，确定贵司的最终成交价格。最终成交价应以双方确定合作意向时的价格为基础，予以下浮，并由贵司书面确认该下浮率(即:最终成交价格=双方确定合作意向时的价格*(1-下浮率))。若我司未投标或未中标，本次询价的采购工作自然终止，不再单独声明。当我公司发生实质性需求时，如出现中选方未能履行寻源响应的相关承诺，影响我公司项目开展的，我司有权对该中选单位进行违约追责。</w:t>
      </w:r>
    </w:p>
    <w:p>
      <w:pPr>
        <w:numPr>
          <w:ilvl w:val="0"/>
          <w:numId w:val="2"/>
        </w:numPr>
        <w:spacing w:line="360" w:lineRule="auto"/>
        <w:outlineLvl w:val="1"/>
        <w:rPr>
          <w:rFonts w:ascii="仿宋" w:hAnsi="仿宋" w:eastAsia="仿宋" w:cs="仿宋"/>
          <w:b/>
          <w:bCs/>
          <w:color w:val="auto"/>
          <w:sz w:val="24"/>
          <w:highlight w:val="none"/>
        </w:rPr>
      </w:pPr>
      <w:bookmarkStart w:id="4" w:name="_Toc24350"/>
      <w:r>
        <w:rPr>
          <w:rFonts w:hint="eastAsia" w:ascii="仿宋" w:hAnsi="仿宋" w:eastAsia="仿宋" w:cs="仿宋"/>
          <w:b/>
          <w:bCs/>
          <w:color w:val="auto"/>
          <w:sz w:val="24"/>
          <w:highlight w:val="none"/>
        </w:rPr>
        <w:t>询价响应文件提交</w:t>
      </w:r>
      <w:bookmarkEnd w:id="4"/>
      <w:r>
        <w:rPr>
          <w:rFonts w:hint="eastAsia" w:ascii="仿宋" w:hAnsi="仿宋" w:eastAsia="仿宋" w:cs="仿宋"/>
          <w:b/>
          <w:bCs/>
          <w:color w:val="auto"/>
          <w:sz w:val="24"/>
          <w:highlight w:val="none"/>
        </w:rPr>
        <w:t>：</w:t>
      </w:r>
    </w:p>
    <w:p>
      <w:pPr>
        <w:widowControl/>
        <w:jc w:val="left"/>
        <w:rPr>
          <w:rFonts w:hint="default" w:eastAsia="仿宋"/>
          <w:b/>
          <w:bCs/>
          <w:lang w:val="en-US" w:eastAsia="zh-CN"/>
        </w:rPr>
      </w:pPr>
      <w:r>
        <w:rPr>
          <w:rFonts w:hint="eastAsia" w:ascii="仿宋" w:hAnsi="仿宋" w:eastAsia="仿宋" w:cs="仿宋"/>
          <w:color w:val="auto"/>
          <w:kern w:val="0"/>
          <w:sz w:val="22"/>
          <w:szCs w:val="22"/>
          <w:highlight w:val="none"/>
          <w:lang w:val="en-US" w:eastAsia="zh-CN" w:bidi="ar"/>
        </w:rPr>
        <w:t>1、</w:t>
      </w:r>
      <w:r>
        <w:rPr>
          <w:rFonts w:hint="eastAsia" w:ascii="仿宋" w:hAnsi="仿宋" w:eastAsia="仿宋" w:cs="仿宋"/>
          <w:color w:val="auto"/>
          <w:kern w:val="0"/>
          <w:sz w:val="22"/>
          <w:szCs w:val="22"/>
          <w:highlight w:val="none"/>
          <w:lang w:bidi="ar"/>
        </w:rPr>
        <w:t xml:space="preserve">请于 2026 年 </w:t>
      </w:r>
      <w:r>
        <w:rPr>
          <w:rFonts w:hint="eastAsia" w:ascii="仿宋" w:hAnsi="仿宋" w:eastAsia="仿宋" w:cs="仿宋"/>
          <w:color w:val="auto"/>
          <w:kern w:val="0"/>
          <w:sz w:val="22"/>
          <w:szCs w:val="22"/>
          <w:highlight w:val="none"/>
          <w:lang w:val="en-US" w:eastAsia="zh-CN" w:bidi="ar"/>
        </w:rPr>
        <w:t>8</w:t>
      </w:r>
      <w:r>
        <w:rPr>
          <w:rFonts w:hint="eastAsia" w:ascii="仿宋" w:hAnsi="仿宋" w:eastAsia="仿宋" w:cs="仿宋"/>
          <w:color w:val="auto"/>
          <w:kern w:val="0"/>
          <w:sz w:val="22"/>
          <w:szCs w:val="22"/>
          <w:highlight w:val="none"/>
          <w:lang w:bidi="ar"/>
        </w:rPr>
        <w:t xml:space="preserve"> 月2</w:t>
      </w:r>
      <w:r>
        <w:rPr>
          <w:rFonts w:hint="eastAsia" w:ascii="仿宋" w:hAnsi="仿宋" w:eastAsia="仿宋" w:cs="仿宋"/>
          <w:color w:val="auto"/>
          <w:kern w:val="0"/>
          <w:sz w:val="22"/>
          <w:szCs w:val="22"/>
          <w:highlight w:val="none"/>
          <w:lang w:val="en-US" w:eastAsia="zh-CN" w:bidi="ar"/>
        </w:rPr>
        <w:t>7</w:t>
      </w:r>
      <w:r>
        <w:rPr>
          <w:rFonts w:hint="eastAsia" w:ascii="仿宋" w:hAnsi="仿宋" w:eastAsia="仿宋" w:cs="仿宋"/>
          <w:color w:val="auto"/>
          <w:kern w:val="0"/>
          <w:sz w:val="22"/>
          <w:szCs w:val="22"/>
          <w:highlight w:val="none"/>
          <w:lang w:bidi="ar"/>
        </w:rPr>
        <w:t xml:space="preserve">日 </w:t>
      </w:r>
      <w:r>
        <w:rPr>
          <w:rFonts w:hint="eastAsia" w:ascii="仿宋" w:hAnsi="仿宋" w:eastAsia="仿宋" w:cs="仿宋"/>
          <w:color w:val="auto"/>
          <w:kern w:val="0"/>
          <w:sz w:val="22"/>
          <w:szCs w:val="22"/>
          <w:highlight w:val="none"/>
          <w:lang w:val="en-US" w:eastAsia="zh-CN" w:bidi="ar"/>
        </w:rPr>
        <w:t>18</w:t>
      </w:r>
      <w:r>
        <w:rPr>
          <w:rFonts w:hint="eastAsia" w:ascii="仿宋" w:hAnsi="仿宋" w:eastAsia="仿宋" w:cs="仿宋"/>
          <w:color w:val="auto"/>
          <w:kern w:val="0"/>
          <w:sz w:val="22"/>
          <w:szCs w:val="22"/>
          <w:highlight w:val="none"/>
          <w:lang w:bidi="ar"/>
        </w:rPr>
        <w:t>:</w:t>
      </w:r>
      <w:r>
        <w:rPr>
          <w:rFonts w:hint="eastAsia" w:ascii="仿宋" w:hAnsi="仿宋" w:eastAsia="仿宋" w:cs="仿宋"/>
          <w:color w:val="auto"/>
          <w:kern w:val="0"/>
          <w:sz w:val="22"/>
          <w:szCs w:val="22"/>
          <w:highlight w:val="none"/>
          <w:lang w:val="en-US" w:eastAsia="zh-CN" w:bidi="ar"/>
        </w:rPr>
        <w:t>0</w:t>
      </w:r>
      <w:r>
        <w:rPr>
          <w:rFonts w:hint="eastAsia" w:ascii="仿宋" w:hAnsi="仿宋" w:eastAsia="仿宋" w:cs="仿宋"/>
          <w:color w:val="auto"/>
          <w:kern w:val="0"/>
          <w:sz w:val="22"/>
          <w:szCs w:val="22"/>
          <w:highlight w:val="none"/>
          <w:lang w:bidi="ar"/>
        </w:rPr>
        <w:t>0 前</w:t>
      </w:r>
      <w:r>
        <w:rPr>
          <w:rFonts w:hint="eastAsia" w:ascii="仿宋" w:hAnsi="仿宋" w:eastAsia="仿宋" w:cs="仿宋"/>
          <w:color w:val="auto"/>
          <w:kern w:val="0"/>
          <w:sz w:val="22"/>
          <w:szCs w:val="22"/>
          <w:highlight w:val="none"/>
          <w:lang w:eastAsia="zh-CN" w:bidi="ar"/>
        </w:rPr>
        <w:t>，</w:t>
      </w:r>
      <w:r>
        <w:rPr>
          <w:rFonts w:hint="eastAsia" w:ascii="仿宋" w:hAnsi="仿宋" w:eastAsia="仿宋" w:cs="仿宋"/>
          <w:color w:val="auto"/>
          <w:kern w:val="0"/>
          <w:sz w:val="22"/>
          <w:szCs w:val="22"/>
          <w:highlight w:val="none"/>
          <w:lang w:val="en-US" w:eastAsia="zh-CN" w:bidi="ar"/>
        </w:rPr>
        <w:t>使用企业邮箱</w:t>
      </w:r>
      <w:r>
        <w:rPr>
          <w:rFonts w:hint="eastAsia" w:ascii="仿宋" w:hAnsi="仿宋" w:eastAsia="仿宋" w:cs="仿宋"/>
          <w:color w:val="auto"/>
          <w:kern w:val="0"/>
          <w:sz w:val="22"/>
          <w:szCs w:val="22"/>
          <w:highlight w:val="none"/>
          <w:lang w:bidi="ar"/>
        </w:rPr>
        <w:t>将电子版询价响应文件（附件 1、附件 2） 发送至指定邮箱：</w:t>
      </w:r>
      <w:r>
        <w:rPr>
          <w:rFonts w:hint="eastAsia" w:ascii="仿宋" w:hAnsi="仿宋" w:eastAsia="仿宋" w:cs="仿宋"/>
          <w:color w:val="auto"/>
          <w:kern w:val="0"/>
          <w:sz w:val="22"/>
          <w:szCs w:val="22"/>
          <w:highlight w:val="none"/>
          <w:lang w:eastAsia="zh-CN" w:bidi="ar"/>
        </w:rPr>
        <w:t>l</w:t>
      </w:r>
      <w:r>
        <w:rPr>
          <w:rFonts w:hint="eastAsia" w:ascii="仿宋" w:hAnsi="仿宋" w:eastAsia="仿宋" w:cs="仿宋"/>
          <w:color w:val="auto"/>
          <w:kern w:val="0"/>
          <w:sz w:val="22"/>
          <w:szCs w:val="22"/>
          <w:highlight w:val="none"/>
          <w:lang w:val="en-US" w:eastAsia="zh-CN" w:bidi="ar"/>
        </w:rPr>
        <w:t>inxy@</w:t>
      </w:r>
      <w:r>
        <w:rPr>
          <w:rFonts w:hint="eastAsia" w:ascii="仿宋" w:hAnsi="仿宋" w:eastAsia="仿宋" w:cs="仿宋"/>
          <w:color w:val="auto"/>
          <w:kern w:val="0"/>
          <w:sz w:val="22"/>
          <w:szCs w:val="22"/>
          <w:highlight w:val="none"/>
          <w:lang w:bidi="ar"/>
        </w:rPr>
        <w:t>csg.cn。</w:t>
      </w:r>
      <w:r>
        <w:rPr>
          <w:rFonts w:hint="eastAsia" w:ascii="仿宋" w:hAnsi="仿宋" w:eastAsia="仿宋" w:cs="仿宋"/>
          <w:b/>
          <w:bCs/>
          <w:color w:val="auto"/>
          <w:kern w:val="0"/>
          <w:sz w:val="22"/>
          <w:szCs w:val="22"/>
          <w:highlight w:val="none"/>
          <w:lang w:val="en-US" w:eastAsia="zh-CN" w:bidi="ar"/>
        </w:rPr>
        <w:t>回函邮件需注明所响应品类。</w:t>
      </w:r>
    </w:p>
    <w:p>
      <w:pPr>
        <w:widowControl/>
        <w:jc w:val="left"/>
        <w:rPr>
          <w:color w:val="auto"/>
          <w:highlight w:val="none"/>
          <w:u w:val="single"/>
        </w:rPr>
      </w:pPr>
      <w:r>
        <w:rPr>
          <w:rFonts w:hint="eastAsia" w:ascii="仿宋" w:hAnsi="仿宋" w:eastAsia="仿宋" w:cs="仿宋"/>
          <w:color w:val="auto"/>
          <w:kern w:val="0"/>
          <w:sz w:val="22"/>
          <w:szCs w:val="22"/>
          <w:highlight w:val="none"/>
          <w:lang w:bidi="ar"/>
        </w:rPr>
        <w:t>2、</w:t>
      </w:r>
      <w:r>
        <w:rPr>
          <w:rFonts w:hint="eastAsia" w:ascii="仿宋" w:hAnsi="仿宋" w:eastAsia="仿宋" w:cs="仿宋"/>
          <w:b/>
          <w:bCs/>
          <w:color w:val="auto"/>
          <w:kern w:val="0"/>
          <w:sz w:val="24"/>
          <w:highlight w:val="none"/>
          <w:u w:val="single"/>
          <w:lang w:bidi="ar"/>
        </w:rPr>
        <w:t>电子版询价响应文件（附件 1、附件 2）需每页加盖公司公章（或电子章）的 PDF 版本文件，同时另附 Excel 版本报价表，以盖章文件为准（Excel 版文件 无需加盖公章），附件3</w:t>
      </w:r>
      <w:r>
        <w:rPr>
          <w:rFonts w:hint="eastAsia" w:ascii="仿宋" w:hAnsi="仿宋" w:eastAsia="仿宋" w:cs="仿宋"/>
          <w:b/>
          <w:bCs/>
          <w:color w:val="auto"/>
          <w:kern w:val="0"/>
          <w:sz w:val="24"/>
          <w:highlight w:val="none"/>
          <w:u w:val="single"/>
          <w:lang w:val="en-US" w:eastAsia="zh-CN" w:bidi="ar"/>
        </w:rPr>
        <w:t>询问限价时</w:t>
      </w:r>
      <w:r>
        <w:rPr>
          <w:rFonts w:hint="eastAsia" w:ascii="仿宋" w:hAnsi="仿宋" w:eastAsia="仿宋" w:cs="仿宋"/>
          <w:b/>
          <w:bCs/>
          <w:color w:val="auto"/>
          <w:kern w:val="0"/>
          <w:sz w:val="24"/>
          <w:highlight w:val="none"/>
          <w:u w:val="single"/>
          <w:lang w:bidi="ar"/>
        </w:rPr>
        <w:t>提供。</w:t>
      </w:r>
    </w:p>
    <w:p>
      <w:pPr>
        <w:numPr>
          <w:ilvl w:val="0"/>
          <w:numId w:val="2"/>
        </w:numPr>
        <w:spacing w:line="360" w:lineRule="auto"/>
        <w:outlineLvl w:val="1"/>
        <w:rPr>
          <w:rFonts w:ascii="仿宋" w:hAnsi="仿宋" w:eastAsia="仿宋" w:cs="仿宋"/>
          <w:b/>
          <w:bCs/>
          <w:color w:val="auto"/>
          <w:sz w:val="24"/>
          <w:highlight w:val="none"/>
        </w:rPr>
      </w:pPr>
      <w:r>
        <w:rPr>
          <w:rFonts w:hint="eastAsia" w:ascii="仿宋" w:hAnsi="仿宋" w:eastAsia="仿宋" w:cs="仿宋"/>
          <w:b/>
          <w:bCs/>
          <w:color w:val="auto"/>
          <w:sz w:val="24"/>
          <w:highlight w:val="none"/>
        </w:rPr>
        <w:t>联系方式：</w:t>
      </w:r>
    </w:p>
    <w:p>
      <w:pPr>
        <w:tabs>
          <w:tab w:val="left" w:pos="840"/>
        </w:tabs>
        <w:spacing w:line="360" w:lineRule="auto"/>
        <w:ind w:firstLine="480" w:firstLineChars="200"/>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联</w:t>
      </w:r>
      <w:r>
        <w:rPr>
          <w:rFonts w:ascii="仿宋" w:hAnsi="仿宋" w:eastAsia="仿宋" w:cs="仿宋"/>
          <w:color w:val="auto"/>
          <w:sz w:val="24"/>
          <w:highlight w:val="none"/>
        </w:rPr>
        <w:t xml:space="preserve"> 系 人：</w:t>
      </w:r>
      <w:r>
        <w:rPr>
          <w:rFonts w:hint="eastAsia" w:ascii="仿宋" w:hAnsi="仿宋" w:eastAsia="仿宋" w:cs="仿宋"/>
          <w:color w:val="auto"/>
          <w:sz w:val="24"/>
          <w:highlight w:val="none"/>
        </w:rPr>
        <w:t>南方电网数字电网科技（广东）有限公司</w:t>
      </w:r>
      <w:r>
        <w:rPr>
          <w:rFonts w:hint="eastAsia" w:ascii="仿宋" w:hAnsi="仿宋" w:eastAsia="仿宋" w:cs="仿宋"/>
          <w:color w:val="auto"/>
          <w:sz w:val="24"/>
          <w:highlight w:val="none"/>
          <w:lang w:val="en-US" w:eastAsia="zh-CN"/>
        </w:rPr>
        <w:t>供应链管理中心</w:t>
      </w:r>
    </w:p>
    <w:p>
      <w:pPr>
        <w:tabs>
          <w:tab w:val="left" w:pos="840"/>
        </w:tabs>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电子邮箱：</w:t>
      </w:r>
      <w:r>
        <w:rPr>
          <w:rFonts w:hint="eastAsia" w:ascii="仿宋" w:hAnsi="仿宋" w:eastAsia="仿宋" w:cs="仿宋"/>
          <w:color w:val="auto"/>
          <w:sz w:val="24"/>
          <w:highlight w:val="none"/>
          <w:lang w:val="en-US" w:eastAsia="zh-CN"/>
        </w:rPr>
        <w:t>linxy@</w:t>
      </w:r>
      <w:r>
        <w:rPr>
          <w:rFonts w:ascii="仿宋" w:hAnsi="仿宋" w:eastAsia="仿宋" w:cs="仿宋"/>
          <w:color w:val="auto"/>
          <w:sz w:val="24"/>
          <w:highlight w:val="none"/>
        </w:rPr>
        <w:t xml:space="preserve">csg.cn </w:t>
      </w:r>
    </w:p>
    <w:p>
      <w:pPr>
        <w:tabs>
          <w:tab w:val="left" w:pos="840"/>
        </w:tabs>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联系电话：</w:t>
      </w:r>
      <w:r>
        <w:rPr>
          <w:rFonts w:ascii="仿宋" w:hAnsi="仿宋" w:eastAsia="仿宋" w:cs="仿宋"/>
          <w:color w:val="auto"/>
          <w:sz w:val="24"/>
          <w:highlight w:val="none"/>
        </w:rPr>
        <w:t>0</w:t>
      </w:r>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lang w:val="en-US" w:eastAsia="zh-CN"/>
        </w:rPr>
        <w:t>0</w:t>
      </w:r>
      <w:r>
        <w:rPr>
          <w:rFonts w:ascii="仿宋" w:hAnsi="仿宋" w:eastAsia="仿宋" w:cs="仿宋"/>
          <w:color w:val="auto"/>
          <w:sz w:val="24"/>
          <w:highlight w:val="none"/>
        </w:rPr>
        <w:t>-</w:t>
      </w:r>
      <w:r>
        <w:rPr>
          <w:rFonts w:hint="eastAsia" w:ascii="仿宋" w:hAnsi="仿宋" w:eastAsia="仿宋" w:cs="仿宋"/>
          <w:color w:val="auto"/>
          <w:sz w:val="24"/>
          <w:highlight w:val="none"/>
          <w:lang w:eastAsia="zh-CN"/>
        </w:rPr>
        <w:t>3</w:t>
      </w:r>
      <w:r>
        <w:rPr>
          <w:rFonts w:hint="eastAsia" w:ascii="仿宋" w:hAnsi="仿宋" w:eastAsia="仿宋" w:cs="仿宋"/>
          <w:color w:val="auto"/>
          <w:sz w:val="24"/>
          <w:highlight w:val="none"/>
          <w:lang w:val="en-US" w:eastAsia="zh-CN"/>
        </w:rPr>
        <w:t>8152297</w:t>
      </w:r>
    </w:p>
    <w:p>
      <w:pPr>
        <w:tabs>
          <w:tab w:val="left" w:pos="840"/>
        </w:tabs>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监督电话：</w:t>
      </w:r>
      <w:r>
        <w:rPr>
          <w:rFonts w:ascii="仿宋" w:hAnsi="仿宋" w:eastAsia="仿宋" w:cs="仿宋"/>
          <w:color w:val="auto"/>
          <w:sz w:val="24"/>
          <w:highlight w:val="none"/>
        </w:rPr>
        <w:t>0</w:t>
      </w:r>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lang w:val="en-US" w:eastAsia="zh-CN"/>
        </w:rPr>
        <w:t>0</w:t>
      </w:r>
      <w:r>
        <w:rPr>
          <w:rFonts w:ascii="仿宋" w:hAnsi="仿宋" w:eastAsia="仿宋" w:cs="仿宋"/>
          <w:color w:val="auto"/>
          <w:sz w:val="24"/>
          <w:highlight w:val="none"/>
        </w:rPr>
        <w:t>-</w:t>
      </w:r>
      <w:r>
        <w:rPr>
          <w:rFonts w:hint="eastAsia" w:ascii="仿宋" w:hAnsi="仿宋" w:eastAsia="仿宋" w:cs="仿宋"/>
          <w:color w:val="auto"/>
          <w:sz w:val="24"/>
          <w:highlight w:val="none"/>
          <w:lang w:val="en-US" w:eastAsia="zh-CN"/>
        </w:rPr>
        <w:t>38152114</w:t>
      </w:r>
      <w:r>
        <w:rPr>
          <w:rFonts w:ascii="仿宋" w:hAnsi="仿宋" w:eastAsia="仿宋" w:cs="仿宋"/>
          <w:color w:val="auto"/>
          <w:sz w:val="24"/>
          <w:highlight w:val="none"/>
        </w:rPr>
        <w:t xml:space="preserve">      </w:t>
      </w:r>
    </w:p>
    <w:p>
      <w:pPr>
        <w:tabs>
          <w:tab w:val="left" w:pos="840"/>
        </w:tabs>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监督邮箱：supplychain_dgtc@csg.cn</w:t>
      </w:r>
    </w:p>
    <w:p>
      <w:pPr>
        <w:pStyle w:val="17"/>
        <w:spacing w:line="360" w:lineRule="auto"/>
        <w:rPr>
          <w:rFonts w:ascii="仿宋" w:hAnsi="仿宋" w:eastAsia="仿宋" w:cs="仿宋"/>
          <w:color w:val="auto"/>
          <w:sz w:val="24"/>
          <w:szCs w:val="24"/>
          <w:highlight w:val="none"/>
        </w:rPr>
      </w:pPr>
    </w:p>
    <w:p>
      <w:pPr>
        <w:pStyle w:val="17"/>
        <w:spacing w:line="360" w:lineRule="auto"/>
        <w:rPr>
          <w:rFonts w:hint="eastAsia" w:ascii="仿宋" w:hAnsi="仿宋" w:eastAsia="仿宋" w:cs="仿宋"/>
          <w:color w:val="auto"/>
          <w:sz w:val="24"/>
          <w:szCs w:val="24"/>
          <w:highlight w:val="none"/>
        </w:rPr>
      </w:pPr>
    </w:p>
    <w:p>
      <w:pPr>
        <w:tabs>
          <w:tab w:val="left" w:pos="840"/>
        </w:tabs>
        <w:spacing w:line="360" w:lineRule="auto"/>
        <w:ind w:firstLine="480" w:firstLineChars="200"/>
        <w:jc w:val="left"/>
        <w:rPr>
          <w:rFonts w:ascii="仿宋" w:hAnsi="仿宋" w:eastAsia="仿宋" w:cs="仿宋"/>
          <w:color w:val="auto"/>
          <w:sz w:val="24"/>
          <w:highlight w:val="none"/>
        </w:rPr>
      </w:pPr>
      <w:bookmarkStart w:id="5" w:name="_Toc22276"/>
      <w:r>
        <w:rPr>
          <w:rFonts w:hint="eastAsia" w:ascii="仿宋" w:hAnsi="仿宋" w:eastAsia="仿宋" w:cs="仿宋"/>
          <w:color w:val="auto"/>
          <w:sz w:val="24"/>
          <w:highlight w:val="none"/>
        </w:rPr>
        <w:t>顺颂商祺！</w:t>
      </w:r>
      <w:bookmarkEnd w:id="5"/>
      <w:r>
        <w:rPr>
          <w:rFonts w:hint="eastAsia" w:ascii="仿宋" w:hAnsi="仿宋" w:eastAsia="仿宋" w:cs="仿宋"/>
          <w:color w:val="auto"/>
          <w:sz w:val="24"/>
          <w:highlight w:val="none"/>
        </w:rPr>
        <w:t xml:space="preserve">       </w:t>
      </w:r>
    </w:p>
    <w:p>
      <w:pPr>
        <w:tabs>
          <w:tab w:val="left" w:pos="840"/>
        </w:tabs>
        <w:spacing w:line="360" w:lineRule="auto"/>
        <w:ind w:firstLine="480" w:firstLineChars="200"/>
        <w:jc w:val="left"/>
        <w:rPr>
          <w:rFonts w:ascii="仿宋" w:hAnsi="仿宋" w:eastAsia="仿宋" w:cs="仿宋"/>
          <w:color w:val="auto"/>
          <w:sz w:val="24"/>
          <w:highlight w:val="none"/>
        </w:rPr>
      </w:pP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南方电网数字电网科技（广东）有限公司</w:t>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b/>
          <w:bCs/>
          <w:color w:val="auto"/>
          <w:sz w:val="24"/>
          <w:highlight w:val="none"/>
          <w:u w:val="single"/>
        </w:rPr>
        <w:t xml:space="preserve"> 2026年</w:t>
      </w:r>
      <w:r>
        <w:rPr>
          <w:rFonts w:hint="eastAsia" w:ascii="仿宋" w:hAnsi="仿宋" w:eastAsia="仿宋" w:cs="仿宋"/>
          <w:b/>
          <w:bCs/>
          <w:color w:val="auto"/>
          <w:sz w:val="24"/>
          <w:highlight w:val="none"/>
          <w:u w:val="single"/>
          <w:lang w:val="en-US" w:eastAsia="zh-CN"/>
        </w:rPr>
        <w:t>8</w:t>
      </w:r>
      <w:r>
        <w:rPr>
          <w:rFonts w:hint="eastAsia" w:ascii="仿宋" w:hAnsi="仿宋" w:eastAsia="仿宋" w:cs="仿宋"/>
          <w:b/>
          <w:bCs/>
          <w:color w:val="auto"/>
          <w:sz w:val="24"/>
          <w:highlight w:val="none"/>
          <w:u w:val="single"/>
        </w:rPr>
        <w:t>月</w:t>
      </w:r>
      <w:r>
        <w:rPr>
          <w:rFonts w:hint="eastAsia" w:ascii="仿宋" w:hAnsi="仿宋" w:eastAsia="仿宋" w:cs="仿宋"/>
          <w:b/>
          <w:bCs/>
          <w:color w:val="auto"/>
          <w:sz w:val="24"/>
          <w:highlight w:val="none"/>
          <w:u w:val="single"/>
          <w:lang w:val="en-US" w:eastAsia="zh-CN"/>
        </w:rPr>
        <w:t>25</w:t>
      </w:r>
      <w:r>
        <w:rPr>
          <w:rFonts w:hint="eastAsia" w:ascii="仿宋" w:hAnsi="仿宋" w:eastAsia="仿宋" w:cs="仿宋"/>
          <w:b/>
          <w:bCs/>
          <w:color w:val="auto"/>
          <w:sz w:val="24"/>
          <w:highlight w:val="none"/>
          <w:u w:val="single"/>
        </w:rPr>
        <w:t>日</w:t>
      </w:r>
    </w:p>
    <w:p>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br w:type="page"/>
      </w:r>
    </w:p>
    <w:p>
      <w:pPr>
        <w:pStyle w:val="4"/>
        <w:numPr>
          <w:ilvl w:val="0"/>
          <w:numId w:val="0"/>
        </w:numPr>
        <w:jc w:val="center"/>
        <w:rPr>
          <w:color w:val="auto"/>
          <w:highlight w:val="none"/>
        </w:rPr>
      </w:pPr>
      <w:r>
        <w:rPr>
          <w:rFonts w:hint="eastAsia"/>
          <w:color w:val="auto"/>
          <w:highlight w:val="none"/>
        </w:rPr>
        <w:t>资格要求及评审办法</w:t>
      </w:r>
    </w:p>
    <w:p>
      <w:pPr>
        <w:spacing w:line="360" w:lineRule="auto"/>
        <w:outlineLvl w:val="1"/>
        <w:rPr>
          <w:rFonts w:ascii="仿宋" w:hAnsi="仿宋" w:eastAsia="仿宋" w:cs="仿宋"/>
          <w:b/>
          <w:bCs/>
          <w:color w:val="auto"/>
          <w:sz w:val="24"/>
          <w:highlight w:val="none"/>
        </w:rPr>
      </w:pPr>
      <w:r>
        <w:rPr>
          <w:rFonts w:hint="eastAsia" w:ascii="仿宋" w:hAnsi="仿宋" w:eastAsia="仿宋" w:cs="仿宋"/>
          <w:b/>
          <w:bCs/>
          <w:color w:val="auto"/>
          <w:sz w:val="24"/>
          <w:highlight w:val="none"/>
        </w:rPr>
        <w:t>一、资格要求</w:t>
      </w:r>
    </w:p>
    <w:tbl>
      <w:tblPr>
        <w:tblStyle w:val="24"/>
        <w:tblW w:w="9254" w:type="dxa"/>
        <w:jc w:val="center"/>
        <w:tblLayout w:type="fixed"/>
        <w:tblCellMar>
          <w:top w:w="0" w:type="dxa"/>
          <w:left w:w="0" w:type="dxa"/>
          <w:bottom w:w="0" w:type="dxa"/>
          <w:right w:w="0" w:type="dxa"/>
        </w:tblCellMar>
      </w:tblPr>
      <w:tblGrid>
        <w:gridCol w:w="838"/>
        <w:gridCol w:w="8416"/>
      </w:tblGrid>
      <w:tr>
        <w:tblPrEx>
          <w:tblCellMar>
            <w:top w:w="0" w:type="dxa"/>
            <w:left w:w="0" w:type="dxa"/>
            <w:bottom w:w="0" w:type="dxa"/>
            <w:right w:w="0" w:type="dxa"/>
          </w:tblCellMar>
        </w:tblPrEx>
        <w:trPr>
          <w:trHeight w:val="277" w:hRule="atLeast"/>
          <w:jc w:val="center"/>
        </w:trPr>
        <w:tc>
          <w:tcPr>
            <w:tcW w:w="9254" w:type="dxa"/>
            <w:gridSpan w:val="2"/>
            <w:tcBorders>
              <w:top w:val="nil"/>
              <w:left w:val="nil"/>
              <w:bottom w:val="single" w:color="000000" w:sz="6" w:space="0"/>
              <w:right w:val="nil"/>
            </w:tcBorders>
            <w:shd w:val="clear" w:color="auto" w:fill="FFFFFF"/>
            <w:vAlign w:val="center"/>
          </w:tcPr>
          <w:p>
            <w:pPr>
              <w:spacing w:line="360" w:lineRule="auto"/>
              <w:ind w:left="113"/>
              <w:rPr>
                <w:rFonts w:ascii="仿宋" w:hAnsi="仿宋" w:eastAsia="仿宋" w:cs="仿宋"/>
                <w:color w:val="auto"/>
                <w:sz w:val="24"/>
                <w:highlight w:val="none"/>
              </w:rPr>
            </w:pPr>
            <w:r>
              <w:rPr>
                <w:rFonts w:hint="eastAsia" w:ascii="仿宋" w:hAnsi="仿宋" w:eastAsia="仿宋" w:cs="仿宋"/>
                <w:b/>
                <w:color w:val="auto"/>
                <w:sz w:val="24"/>
                <w:highlight w:val="none"/>
              </w:rPr>
              <w:t>通用资格：</w:t>
            </w:r>
          </w:p>
        </w:tc>
      </w:tr>
      <w:tr>
        <w:tblPrEx>
          <w:tblCellMar>
            <w:top w:w="0" w:type="dxa"/>
            <w:left w:w="0" w:type="dxa"/>
            <w:bottom w:w="0" w:type="dxa"/>
            <w:right w:w="0" w:type="dxa"/>
          </w:tblCellMar>
        </w:tblPrEx>
        <w:trPr>
          <w:trHeight w:val="213" w:hRule="atLeast"/>
          <w:jc w:val="center"/>
        </w:trPr>
        <w:tc>
          <w:tcPr>
            <w:tcW w:w="9254"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b/>
                <w:color w:val="auto"/>
                <w:sz w:val="24"/>
                <w:highlight w:val="none"/>
              </w:rPr>
              <w:t>通用资格要求</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b/>
                <w:color w:val="auto"/>
                <w:sz w:val="24"/>
                <w:highlight w:val="none"/>
              </w:rPr>
              <w:t>序号</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b/>
                <w:color w:val="auto"/>
                <w:sz w:val="24"/>
                <w:highlight w:val="none"/>
              </w:rPr>
              <w:t>内容</w:t>
            </w:r>
          </w:p>
        </w:tc>
      </w:tr>
      <w:tr>
        <w:tblPrEx>
          <w:tblCellMar>
            <w:top w:w="0" w:type="dxa"/>
            <w:left w:w="0" w:type="dxa"/>
            <w:bottom w:w="0" w:type="dxa"/>
            <w:right w:w="0" w:type="dxa"/>
          </w:tblCellMar>
        </w:tblPrEx>
        <w:trPr>
          <w:trHeight w:val="1343"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rPr>
                <w:rFonts w:ascii="仿宋" w:hAnsi="仿宋" w:eastAsia="仿宋" w:cs="仿宋"/>
                <w:color w:val="auto"/>
                <w:sz w:val="24"/>
                <w:highlight w:val="none"/>
              </w:rPr>
            </w:pPr>
            <w:r>
              <w:rPr>
                <w:rFonts w:hint="eastAsia" w:ascii="仿宋" w:hAnsi="仿宋" w:eastAsia="仿宋" w:cs="仿宋"/>
                <w:color w:val="auto"/>
                <w:sz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tc>
      </w:tr>
      <w:tr>
        <w:tblPrEx>
          <w:tblCellMar>
            <w:top w:w="0" w:type="dxa"/>
            <w:left w:w="0" w:type="dxa"/>
            <w:bottom w:w="0" w:type="dxa"/>
            <w:right w:w="0" w:type="dxa"/>
          </w:tblCellMar>
        </w:tblPrEx>
        <w:trPr>
          <w:trHeight w:val="96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276" w:lineRule="auto"/>
              <w:ind w:left="113"/>
              <w:rPr>
                <w:rFonts w:ascii="仿宋" w:hAnsi="仿宋" w:eastAsia="仿宋" w:cs="仿宋"/>
                <w:color w:val="auto"/>
                <w:sz w:val="24"/>
                <w:highlight w:val="none"/>
              </w:rPr>
            </w:pPr>
            <w:r>
              <w:rPr>
                <w:rFonts w:hint="eastAsia" w:ascii="仿宋" w:hAnsi="仿宋" w:eastAsia="仿宋" w:cs="仿宋"/>
                <w:color w:val="auto"/>
                <w:sz w:val="24"/>
                <w:highlight w:val="none"/>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spacing w:line="276" w:lineRule="auto"/>
              <w:rPr>
                <w:rFonts w:ascii="仿宋" w:hAnsi="仿宋" w:eastAsia="仿宋" w:cs="仿宋"/>
                <w:color w:val="auto"/>
                <w:sz w:val="24"/>
                <w:highlight w:val="none"/>
              </w:rPr>
            </w:pPr>
            <w:r>
              <w:rPr>
                <w:rFonts w:hint="eastAsia" w:ascii="仿宋" w:hAnsi="仿宋" w:eastAsia="仿宋" w:cs="仿宋"/>
                <w:color w:val="auto"/>
                <w:sz w:val="24"/>
                <w:highlight w:val="none"/>
              </w:rPr>
              <w:t>注：</w:t>
            </w:r>
          </w:p>
          <w:p>
            <w:pPr>
              <w:spacing w:line="276" w:lineRule="auto"/>
              <w:rPr>
                <w:rFonts w:ascii="仿宋" w:hAnsi="仿宋" w:eastAsia="仿宋" w:cs="仿宋"/>
                <w:color w:val="auto"/>
                <w:sz w:val="24"/>
                <w:highlight w:val="none"/>
              </w:rPr>
            </w:pPr>
            <w:r>
              <w:rPr>
                <w:rFonts w:ascii="仿宋" w:hAnsi="仿宋" w:eastAsia="仿宋" w:cs="仿宋"/>
                <w:color w:val="auto"/>
                <w:sz w:val="24"/>
                <w:highlight w:val="none"/>
              </w:rPr>
              <w:t xml:space="preserve">1.企业财务报告至少应当包括：资产负债表、利润表、所有者权益/股东权益变动表（执行小企业会计准则的除外）、现金流量表、附注。 </w:t>
            </w:r>
          </w:p>
          <w:p>
            <w:pPr>
              <w:spacing w:line="276" w:lineRule="auto"/>
              <w:rPr>
                <w:rFonts w:ascii="仿宋" w:hAnsi="仿宋" w:eastAsia="仿宋" w:cs="仿宋"/>
                <w:color w:val="auto"/>
                <w:sz w:val="24"/>
                <w:highlight w:val="none"/>
              </w:rPr>
            </w:pPr>
            <w:r>
              <w:rPr>
                <w:rFonts w:ascii="仿宋" w:hAnsi="仿宋" w:eastAsia="仿宋" w:cs="仿宋"/>
                <w:color w:val="auto"/>
                <w:sz w:val="24"/>
                <w:highlight w:val="none"/>
              </w:rPr>
              <w:t xml:space="preserve">2.执行企业会计准则的事业单位财务报表至少应当包括：资产负债表、收入支出 </w:t>
            </w:r>
          </w:p>
          <w:p>
            <w:pPr>
              <w:spacing w:line="276" w:lineRule="auto"/>
              <w:rPr>
                <w:rFonts w:ascii="仿宋" w:hAnsi="仿宋" w:eastAsia="仿宋" w:cs="仿宋"/>
                <w:color w:val="auto"/>
                <w:sz w:val="24"/>
                <w:highlight w:val="none"/>
              </w:rPr>
            </w:pPr>
            <w:r>
              <w:rPr>
                <w:rFonts w:hint="eastAsia" w:ascii="仿宋" w:hAnsi="仿宋" w:eastAsia="仿宋" w:cs="仿宋"/>
                <w:color w:val="auto"/>
                <w:sz w:val="24"/>
                <w:highlight w:val="none"/>
              </w:rPr>
              <w:t>表、现金流量表和报表附注。</w:t>
            </w:r>
            <w:r>
              <w:rPr>
                <w:rFonts w:ascii="仿宋" w:hAnsi="仿宋" w:eastAsia="仿宋" w:cs="仿宋"/>
                <w:color w:val="auto"/>
                <w:sz w:val="24"/>
                <w:highlight w:val="none"/>
              </w:rPr>
              <w:t xml:space="preserve"> </w:t>
            </w:r>
          </w:p>
          <w:p>
            <w:pPr>
              <w:spacing w:line="276" w:lineRule="auto"/>
              <w:rPr>
                <w:rFonts w:ascii="仿宋" w:hAnsi="仿宋" w:eastAsia="仿宋" w:cs="仿宋"/>
                <w:color w:val="auto"/>
                <w:sz w:val="24"/>
                <w:highlight w:val="none"/>
              </w:rPr>
            </w:pPr>
            <w:r>
              <w:rPr>
                <w:rFonts w:ascii="仿宋" w:hAnsi="仿宋" w:eastAsia="仿宋" w:cs="仿宋"/>
                <w:color w:val="auto"/>
                <w:sz w:val="24"/>
                <w:highlight w:val="none"/>
              </w:rPr>
              <w:t xml:space="preserve">3.执行政府会计准则的事业单位财务报表至少应当包括：资产负债表、收入费用 </w:t>
            </w:r>
          </w:p>
          <w:p>
            <w:pPr>
              <w:spacing w:line="276" w:lineRule="auto"/>
              <w:ind w:left="0"/>
              <w:rPr>
                <w:rFonts w:ascii="仿宋" w:hAnsi="仿宋" w:eastAsia="仿宋" w:cs="仿宋"/>
                <w:color w:val="auto"/>
                <w:sz w:val="24"/>
                <w:highlight w:val="none"/>
              </w:rPr>
            </w:pPr>
            <w:r>
              <w:rPr>
                <w:rFonts w:hint="eastAsia" w:ascii="仿宋" w:hAnsi="仿宋" w:eastAsia="仿宋" w:cs="仿宋"/>
                <w:color w:val="auto"/>
                <w:sz w:val="24"/>
                <w:highlight w:val="none"/>
              </w:rPr>
              <w:t>表和报表附注。</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rPr>
                <w:rFonts w:ascii="仿宋" w:hAnsi="仿宋" w:eastAsia="仿宋" w:cs="仿宋"/>
                <w:color w:val="auto"/>
                <w:sz w:val="24"/>
                <w:highlight w:val="none"/>
              </w:rPr>
            </w:pPr>
            <w:r>
              <w:rPr>
                <w:rFonts w:hint="eastAsia" w:ascii="仿宋" w:hAnsi="仿宋" w:eastAsia="仿宋" w:cs="仿宋"/>
                <w:color w:val="auto"/>
                <w:sz w:val="24"/>
                <w:highlight w:val="none"/>
              </w:rPr>
              <w:t>具备近三年（2023年至今）对应本项目寻源物资同类型产品的业绩，同类型指</w:t>
            </w:r>
            <w:r>
              <w:rPr>
                <w:rFonts w:hint="eastAsia" w:ascii="仿宋" w:hAnsi="仿宋" w:eastAsia="仿宋" w:cs="仿宋"/>
                <w:b/>
                <w:bCs/>
                <w:color w:val="auto"/>
                <w:sz w:val="24"/>
                <w:highlight w:val="none"/>
                <w:u w:val="single"/>
                <w:lang w:val="en-US" w:eastAsia="zh-CN"/>
              </w:rPr>
              <w:t>品类1：压板监测装置、品类2：智能锁具</w:t>
            </w:r>
            <w:r>
              <w:rPr>
                <w:rFonts w:hint="eastAsia" w:ascii="仿宋" w:hAnsi="仿宋" w:eastAsia="仿宋" w:cs="仿宋"/>
                <w:color w:val="auto"/>
                <w:sz w:val="24"/>
                <w:highlight w:val="none"/>
              </w:rPr>
              <w:t>类，不少于</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个，金额不低于</w:t>
            </w:r>
            <w:r>
              <w:rPr>
                <w:rFonts w:hint="eastAsia" w:ascii="仿宋" w:hAnsi="仿宋" w:eastAsia="仿宋" w:cs="仿宋"/>
                <w:color w:val="auto"/>
                <w:sz w:val="24"/>
                <w:highlight w:val="none"/>
                <w:u w:val="single"/>
                <w:lang w:val="en-US" w:eastAsia="zh-CN"/>
              </w:rPr>
              <w:t>5</w:t>
            </w:r>
            <w:r>
              <w:rPr>
                <w:rFonts w:ascii="仿宋" w:hAnsi="仿宋" w:eastAsia="仿宋" w:cs="仿宋"/>
                <w:color w:val="auto"/>
                <w:sz w:val="24"/>
                <w:highlight w:val="none"/>
                <w:u w:val="single"/>
              </w:rPr>
              <w:t>万元</w:t>
            </w:r>
            <w:r>
              <w:rPr>
                <w:rFonts w:hint="eastAsia" w:ascii="仿宋" w:hAnsi="仿宋" w:eastAsia="仿宋" w:cs="仿宋"/>
                <w:color w:val="auto"/>
                <w:sz w:val="24"/>
                <w:highlight w:val="none"/>
              </w:rPr>
              <w:t>，且合同客户为不同法人主体。并提供业绩佐证（如采购协议/合同等证明材料）；</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4</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rPr>
                <w:rFonts w:ascii="仿宋" w:hAnsi="仿宋" w:eastAsia="仿宋" w:cs="仿宋"/>
                <w:color w:val="auto"/>
                <w:sz w:val="24"/>
                <w:highlight w:val="none"/>
              </w:rPr>
            </w:pPr>
            <w:r>
              <w:rPr>
                <w:rFonts w:hint="eastAsia" w:ascii="仿宋" w:hAnsi="仿宋" w:eastAsia="仿宋" w:cs="仿宋"/>
                <w:color w:val="auto"/>
                <w:sz w:val="24"/>
                <w:highlight w:val="none"/>
              </w:rPr>
              <w:t>具备本项目响应产品的知识产权（专利或软著等）</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5</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rPr>
                <w:rFonts w:ascii="仿宋" w:hAnsi="仿宋" w:eastAsia="仿宋" w:cs="仿宋"/>
                <w:color w:val="auto"/>
                <w:sz w:val="24"/>
                <w:highlight w:val="none"/>
              </w:rPr>
            </w:pPr>
            <w:r>
              <w:rPr>
                <w:rFonts w:hint="eastAsia" w:ascii="仿宋" w:hAnsi="仿宋" w:eastAsia="仿宋" w:cs="仿宋"/>
                <w:color w:val="auto"/>
                <w:sz w:val="24"/>
                <w:highlight w:val="none"/>
              </w:rPr>
              <w:t>寻源响应方须为产品制造商原厂，并以企业邮箱参与响应。如原厂需指定代理商(经销商)负责后续合同签订、供货等事宜，应在响应文件中出具正式授权文件。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tc>
      </w:tr>
    </w:tbl>
    <w:p>
      <w:pPr>
        <w:spacing w:line="360" w:lineRule="auto"/>
        <w:rPr>
          <w:rFonts w:ascii="仿宋" w:hAnsi="仿宋" w:eastAsia="仿宋" w:cs="仿宋"/>
          <w:b/>
          <w:bCs/>
          <w:color w:val="auto"/>
          <w:sz w:val="24"/>
          <w:highlight w:val="none"/>
        </w:rPr>
      </w:pPr>
    </w:p>
    <w:p>
      <w:pPr>
        <w:spacing w:line="360" w:lineRule="auto"/>
        <w:outlineLvl w:val="1"/>
        <w:rPr>
          <w:rFonts w:ascii="仿宋" w:hAnsi="仿宋" w:eastAsia="仿宋" w:cs="仿宋"/>
          <w:b/>
          <w:bCs/>
          <w:color w:val="auto"/>
          <w:sz w:val="24"/>
          <w:highlight w:val="none"/>
        </w:rPr>
      </w:pPr>
      <w:r>
        <w:rPr>
          <w:rFonts w:hint="eastAsia" w:ascii="仿宋" w:hAnsi="仿宋" w:eastAsia="仿宋" w:cs="仿宋"/>
          <w:b/>
          <w:bCs/>
          <w:color w:val="auto"/>
          <w:sz w:val="24"/>
          <w:highlight w:val="none"/>
        </w:rPr>
        <w:t>二、评审办法</w:t>
      </w:r>
    </w:p>
    <w:p>
      <w:pPr>
        <w:pStyle w:val="22"/>
        <w:adjustRightInd w:val="0"/>
        <w:snapToGrid w:val="0"/>
        <w:ind w:firstLine="420" w:firstLineChars="0"/>
        <w:rPr>
          <w:rFonts w:ascii="仿宋" w:hAnsi="仿宋" w:eastAsia="仿宋" w:cs="仿宋"/>
          <w:color w:val="auto"/>
          <w:highlight w:val="none"/>
        </w:rPr>
      </w:pPr>
      <w:r>
        <w:rPr>
          <w:rFonts w:hint="eastAsia" w:ascii="仿宋" w:hAnsi="仿宋" w:eastAsia="仿宋" w:cs="仿宋"/>
          <w:color w:val="auto"/>
          <w:highlight w:val="none"/>
        </w:rPr>
        <w:t>寻源评审组按照以下规定的方法、评审因素、标准和程序对响应文件进行评审。</w:t>
      </w:r>
    </w:p>
    <w:p>
      <w:pPr>
        <w:numPr>
          <w:ilvl w:val="0"/>
          <w:numId w:val="5"/>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寻源评审组对参与供应商提交的响应文件的有效性、完整性等进行确认。</w:t>
      </w:r>
    </w:p>
    <w:p>
      <w:pPr>
        <w:numPr>
          <w:ilvl w:val="0"/>
          <w:numId w:val="5"/>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寻源评审组对供应商的商务条件、技术条件和报价进行确认。</w:t>
      </w:r>
    </w:p>
    <w:p>
      <w:pPr>
        <w:numPr>
          <w:ilvl w:val="0"/>
          <w:numId w:val="5"/>
        </w:numPr>
        <w:tabs>
          <w:tab w:val="left" w:pos="840"/>
        </w:tabs>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寻源评审组应对报价进行详细复核，包括检查是否有计算上的错误或报价范围上的错误。如发现有错误的，将进行修正。</w:t>
      </w:r>
    </w:p>
    <w:p>
      <w:pPr>
        <w:pStyle w:val="22"/>
        <w:adjustRightInd w:val="0"/>
        <w:snapToGrid w:val="0"/>
        <w:ind w:firstLine="480"/>
        <w:rPr>
          <w:rFonts w:ascii="仿宋" w:hAnsi="仿宋" w:eastAsia="仿宋" w:cs="仿宋"/>
          <w:color w:val="auto"/>
          <w:highlight w:val="none"/>
        </w:rPr>
      </w:pPr>
      <w:r>
        <w:rPr>
          <w:rFonts w:hint="eastAsia" w:ascii="仿宋" w:hAnsi="仿宋" w:eastAsia="仿宋" w:cs="仿宋"/>
          <w:color w:val="auto"/>
          <w:highlight w:val="none"/>
        </w:rPr>
        <w:t>报价错误修正的原则如下：</w:t>
      </w:r>
    </w:p>
    <w:p>
      <w:pPr>
        <w:numPr>
          <w:ilvl w:val="0"/>
          <w:numId w:val="6"/>
        </w:numPr>
        <w:tabs>
          <w:tab w:val="left" w:pos="840"/>
          <w:tab w:val="clear" w:pos="1260"/>
        </w:tabs>
        <w:spacing w:line="360" w:lineRule="auto"/>
        <w:ind w:left="420" w:firstLine="425"/>
        <w:jc w:val="left"/>
        <w:rPr>
          <w:rFonts w:ascii="仿宋" w:hAnsi="仿宋" w:eastAsia="仿宋" w:cs="仿宋"/>
          <w:color w:val="auto"/>
          <w:sz w:val="24"/>
          <w:highlight w:val="none"/>
        </w:rPr>
      </w:pPr>
      <w:r>
        <w:rPr>
          <w:rFonts w:hint="eastAsia" w:ascii="仿宋" w:hAnsi="仿宋" w:eastAsia="仿宋" w:cs="仿宋"/>
          <w:color w:val="auto"/>
          <w:sz w:val="24"/>
          <w:highlight w:val="none"/>
        </w:rPr>
        <w:t>总价金额与依据单价计算出的结果不一致的，以单价金额为准修正总价，但单价金额小数点有明显错误的除外。</w:t>
      </w:r>
    </w:p>
    <w:p>
      <w:pPr>
        <w:numPr>
          <w:ilvl w:val="0"/>
          <w:numId w:val="6"/>
        </w:numPr>
        <w:tabs>
          <w:tab w:val="left" w:pos="840"/>
          <w:tab w:val="clear" w:pos="1260"/>
        </w:tabs>
        <w:spacing w:line="360" w:lineRule="auto"/>
        <w:ind w:left="420" w:firstLine="425"/>
        <w:jc w:val="left"/>
        <w:rPr>
          <w:rFonts w:ascii="仿宋" w:hAnsi="仿宋" w:eastAsia="仿宋" w:cs="仿宋"/>
          <w:color w:val="auto"/>
          <w:sz w:val="24"/>
          <w:highlight w:val="none"/>
        </w:rPr>
      </w:pPr>
      <w:r>
        <w:rPr>
          <w:rFonts w:hint="eastAsia" w:ascii="仿宋" w:hAnsi="仿宋" w:eastAsia="仿宋" w:cs="仿宋"/>
          <w:color w:val="auto"/>
          <w:sz w:val="24"/>
          <w:highlight w:val="none"/>
        </w:rPr>
        <w:t>如果用数字表示的金额与用文字表示的金额不一致，应以文字表示的金额为准。</w:t>
      </w:r>
    </w:p>
    <w:p>
      <w:pPr>
        <w:adjustRightInd w:val="0"/>
        <w:snapToGrid w:val="0"/>
        <w:spacing w:line="360" w:lineRule="auto"/>
        <w:ind w:firstLine="42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在评审过程中，寻源评审组可以书面形式要求参与供应商对所提交响应文件中不明确的内容进行书面澄清或说明，或者对细微偏差进行补正。寻源评审组要求参与供应商提供的澄清文件作为响应文件的组成部分。</w:t>
      </w:r>
    </w:p>
    <w:p>
      <w:pPr>
        <w:adjustRightInd w:val="0"/>
        <w:snapToGrid w:val="0"/>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初审项列表如下：</w:t>
      </w:r>
      <w:bookmarkStart w:id="6" w:name="XmInfoEntity_cbscTable_1_1"/>
    </w:p>
    <w:tbl>
      <w:tblPr>
        <w:tblStyle w:val="24"/>
        <w:tblW w:w="9175" w:type="dxa"/>
        <w:jc w:val="center"/>
        <w:tblLayout w:type="fixed"/>
        <w:tblCellMar>
          <w:top w:w="0" w:type="dxa"/>
          <w:left w:w="0" w:type="dxa"/>
          <w:bottom w:w="0" w:type="dxa"/>
          <w:right w:w="0" w:type="dxa"/>
        </w:tblCellMar>
      </w:tblPr>
      <w:tblGrid>
        <w:gridCol w:w="687"/>
        <w:gridCol w:w="1445"/>
        <w:gridCol w:w="7043"/>
      </w:tblGrid>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序号</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初评要素</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详细内容</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color w:val="auto"/>
                <w:sz w:val="24"/>
                <w:highlight w:val="none"/>
              </w:rPr>
            </w:pPr>
            <w:r>
              <w:rPr>
                <w:rFonts w:hint="eastAsia" w:ascii="仿宋" w:hAnsi="仿宋" w:eastAsia="仿宋" w:cs="仿宋"/>
                <w:color w:val="auto"/>
                <w:sz w:val="24"/>
                <w:highlight w:val="none"/>
              </w:rPr>
              <w:t>初评要素1</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240" w:lineRule="auto"/>
              <w:ind w:left="0"/>
              <w:jc w:val="left"/>
              <w:rPr>
                <w:rFonts w:ascii="仿宋" w:hAnsi="仿宋" w:eastAsia="仿宋" w:cs="仿宋"/>
                <w:color w:val="auto"/>
                <w:sz w:val="24"/>
                <w:highlight w:val="none"/>
              </w:rPr>
            </w:pPr>
            <w:r>
              <w:rPr>
                <w:rFonts w:hint="eastAsia" w:ascii="仿宋_GB2312" w:hAnsi="仿宋_GB2312" w:eastAsia="仿宋_GB2312"/>
                <w:color w:val="auto"/>
                <w:highlight w:val="none"/>
              </w:rPr>
              <w:t>报价文件格式是否满足寻源文件要求（主要审查：报价文件的签署以及法人代表授权书等）。</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color w:val="auto"/>
                <w:sz w:val="24"/>
                <w:highlight w:val="none"/>
              </w:rPr>
            </w:pPr>
            <w:r>
              <w:rPr>
                <w:rFonts w:hint="eastAsia" w:ascii="仿宋" w:hAnsi="仿宋" w:eastAsia="仿宋" w:cs="仿宋"/>
                <w:color w:val="auto"/>
                <w:sz w:val="24"/>
                <w:highlight w:val="none"/>
              </w:rPr>
              <w:t>初评要素2</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240" w:lineRule="auto"/>
              <w:ind w:left="0"/>
              <w:jc w:val="left"/>
              <w:rPr>
                <w:rFonts w:ascii="仿宋" w:hAnsi="仿宋" w:eastAsia="仿宋" w:cs="仿宋"/>
                <w:color w:val="auto"/>
                <w:sz w:val="24"/>
                <w:highlight w:val="none"/>
              </w:rPr>
            </w:pPr>
            <w:r>
              <w:rPr>
                <w:rFonts w:hint="eastAsia" w:ascii="仿宋_GB2312" w:hAnsi="仿宋_GB2312" w:eastAsia="仿宋_GB2312"/>
                <w:color w:val="auto"/>
                <w:highlight w:val="none"/>
              </w:rPr>
              <w:t>质量、服务和工期是否满足要求。</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color w:val="auto"/>
                <w:sz w:val="24"/>
                <w:highlight w:val="none"/>
              </w:rPr>
            </w:pPr>
            <w:r>
              <w:rPr>
                <w:rFonts w:hint="eastAsia" w:ascii="仿宋" w:hAnsi="仿宋" w:eastAsia="仿宋" w:cs="仿宋"/>
                <w:color w:val="auto"/>
                <w:sz w:val="24"/>
                <w:highlight w:val="none"/>
              </w:rPr>
              <w:t>初评要素3</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240" w:lineRule="auto"/>
              <w:ind w:left="0"/>
              <w:jc w:val="left"/>
              <w:rPr>
                <w:rFonts w:ascii="仿宋" w:hAnsi="仿宋" w:eastAsia="仿宋" w:cs="仿宋"/>
                <w:color w:val="auto"/>
                <w:sz w:val="24"/>
                <w:highlight w:val="none"/>
              </w:rPr>
            </w:pPr>
            <w:r>
              <w:rPr>
                <w:rFonts w:hint="eastAsia" w:ascii="仿宋_GB2312" w:hAnsi="仿宋_GB2312" w:eastAsia="仿宋_GB2312"/>
                <w:color w:val="auto"/>
                <w:highlight w:val="none"/>
              </w:rPr>
              <w:t>是否存在“无效报价”的情形。</w:t>
            </w:r>
          </w:p>
        </w:tc>
      </w:tr>
      <w:tr>
        <w:tblPrEx>
          <w:tblCellMar>
            <w:top w:w="0" w:type="dxa"/>
            <w:left w:w="0" w:type="dxa"/>
            <w:bottom w:w="0" w:type="dxa"/>
            <w:right w:w="0" w:type="dxa"/>
          </w:tblCellMar>
        </w:tblPrEx>
        <w:trPr>
          <w:trHeight w:val="64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4</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color w:val="auto"/>
                <w:sz w:val="24"/>
                <w:highlight w:val="none"/>
              </w:rPr>
            </w:pPr>
            <w:r>
              <w:rPr>
                <w:rFonts w:hint="eastAsia" w:ascii="仿宋" w:hAnsi="仿宋" w:eastAsia="仿宋" w:cs="仿宋"/>
                <w:color w:val="auto"/>
                <w:sz w:val="24"/>
                <w:highlight w:val="none"/>
              </w:rPr>
              <w:t>初评要素4</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240" w:lineRule="auto"/>
              <w:ind w:left="0"/>
              <w:jc w:val="left"/>
              <w:rPr>
                <w:rFonts w:ascii="仿宋" w:hAnsi="仿宋" w:eastAsia="仿宋" w:cs="仿宋"/>
                <w:color w:val="auto"/>
                <w:sz w:val="24"/>
                <w:highlight w:val="none"/>
              </w:rPr>
            </w:pPr>
            <w:r>
              <w:rPr>
                <w:rFonts w:hint="eastAsia" w:ascii="仿宋_GB2312" w:hAnsi="仿宋_GB2312" w:eastAsia="仿宋_GB2312"/>
                <w:color w:val="auto"/>
                <w:highlight w:val="none"/>
              </w:rPr>
              <w:t>报价是否合理且在最高限价范围内。</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5</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color w:val="auto"/>
                <w:sz w:val="24"/>
                <w:highlight w:val="none"/>
              </w:rPr>
            </w:pPr>
            <w:r>
              <w:rPr>
                <w:rFonts w:hint="eastAsia" w:ascii="仿宋" w:hAnsi="仿宋" w:eastAsia="仿宋" w:cs="仿宋"/>
                <w:color w:val="auto"/>
                <w:sz w:val="24"/>
                <w:highlight w:val="none"/>
              </w:rPr>
              <w:t>初评要素5</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240" w:lineRule="auto"/>
              <w:ind w:left="0"/>
              <w:jc w:val="left"/>
              <w:rPr>
                <w:rFonts w:ascii="仿宋" w:hAnsi="仿宋" w:eastAsia="仿宋" w:cs="仿宋"/>
                <w:color w:val="auto"/>
                <w:sz w:val="24"/>
                <w:highlight w:val="none"/>
              </w:rPr>
            </w:pPr>
            <w:r>
              <w:rPr>
                <w:rFonts w:hint="eastAsia" w:ascii="仿宋_GB2312" w:hAnsi="仿宋_GB2312" w:eastAsia="仿宋_GB2312"/>
                <w:color w:val="auto"/>
                <w:highlight w:val="none"/>
              </w:rPr>
              <w:t>具有独立承担民事责任的能力。</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6</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color w:val="auto"/>
                <w:sz w:val="24"/>
                <w:highlight w:val="none"/>
              </w:rPr>
            </w:pPr>
            <w:r>
              <w:rPr>
                <w:rFonts w:hint="eastAsia" w:ascii="仿宋" w:hAnsi="仿宋" w:eastAsia="仿宋" w:cs="仿宋"/>
                <w:color w:val="auto"/>
                <w:sz w:val="24"/>
                <w:highlight w:val="none"/>
              </w:rPr>
              <w:t>初评要素6</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240" w:lineRule="auto"/>
              <w:ind w:left="0"/>
              <w:jc w:val="left"/>
              <w:rPr>
                <w:rFonts w:asciiTheme="minorHAnsi" w:hAnsiTheme="minorHAnsi" w:eastAsiaTheme="minorEastAsia" w:cstheme="minorBidi"/>
                <w:color w:val="auto"/>
                <w:sz w:val="21"/>
                <w:highlight w:val="none"/>
              </w:rPr>
            </w:pPr>
            <w:r>
              <w:rPr>
                <w:rFonts w:hint="eastAsia" w:ascii="仿宋_GB2312" w:hAnsi="仿宋_GB2312" w:eastAsia="仿宋_GB2312"/>
                <w:color w:val="auto"/>
                <w:highlight w:val="none"/>
              </w:rPr>
              <w:t>按报价文件要求提供有效的营业执照（组织机构代码证、税务登记证）等相关证书的复印件。</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7</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color w:val="auto"/>
                <w:sz w:val="24"/>
                <w:highlight w:val="none"/>
              </w:rPr>
            </w:pPr>
            <w:r>
              <w:rPr>
                <w:rFonts w:hint="eastAsia" w:ascii="仿宋" w:hAnsi="仿宋" w:eastAsia="仿宋" w:cs="仿宋"/>
                <w:color w:val="auto"/>
                <w:sz w:val="24"/>
                <w:highlight w:val="none"/>
              </w:rPr>
              <w:t>初评要素7</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240" w:lineRule="auto"/>
              <w:ind w:left="0"/>
              <w:jc w:val="left"/>
              <w:rPr>
                <w:rFonts w:ascii="仿宋" w:hAnsi="仿宋" w:eastAsia="仿宋" w:cs="仿宋"/>
                <w:color w:val="auto"/>
                <w:sz w:val="24"/>
                <w:highlight w:val="none"/>
              </w:rPr>
            </w:pPr>
            <w:r>
              <w:rPr>
                <w:rFonts w:hint="eastAsia" w:ascii="仿宋_GB2312" w:hAnsi="仿宋_GB2312" w:eastAsia="仿宋_GB2312"/>
                <w:color w:val="auto"/>
                <w:highlight w:val="none"/>
              </w:rPr>
              <w:t>如原厂指定代理商（经销商）负责后续合同签订、供货等事宜，应在响应文件中出具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8</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color w:val="auto"/>
                <w:sz w:val="24"/>
                <w:highlight w:val="none"/>
              </w:rPr>
            </w:pPr>
            <w:r>
              <w:rPr>
                <w:rFonts w:hint="eastAsia" w:ascii="仿宋" w:hAnsi="仿宋" w:eastAsia="仿宋" w:cs="仿宋"/>
                <w:color w:val="auto"/>
                <w:sz w:val="24"/>
                <w:highlight w:val="none"/>
              </w:rPr>
              <w:t>初评要素8</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240" w:lineRule="auto"/>
              <w:ind w:left="0"/>
              <w:jc w:val="left"/>
              <w:rPr>
                <w:rFonts w:ascii="仿宋" w:hAnsi="仿宋" w:eastAsia="仿宋" w:cs="仿宋"/>
                <w:color w:val="auto"/>
                <w:sz w:val="24"/>
                <w:highlight w:val="none"/>
              </w:rPr>
            </w:pPr>
            <w:r>
              <w:rPr>
                <w:rFonts w:hint="eastAsia" w:ascii="仿宋_GB2312" w:hAnsi="仿宋_GB2312" w:eastAsia="仿宋_GB2312"/>
                <w:color w:val="auto"/>
                <w:highlight w:val="none"/>
              </w:rPr>
              <w:t>不得被中国南方电网有限责任公司列入供应商处罚黑名单或供应商处罚预警名单。</w:t>
            </w:r>
          </w:p>
        </w:tc>
      </w:tr>
      <w:bookmarkEnd w:id="6"/>
    </w:tbl>
    <w:p>
      <w:pPr>
        <w:pStyle w:val="22"/>
        <w:adjustRightInd w:val="0"/>
        <w:snapToGrid w:val="0"/>
        <w:spacing w:before="156"/>
        <w:ind w:firstLine="480"/>
        <w:rPr>
          <w:rFonts w:ascii="仿宋" w:hAnsi="仿宋" w:eastAsia="仿宋" w:cs="仿宋"/>
          <w:color w:val="auto"/>
          <w:highlight w:val="none"/>
        </w:rPr>
      </w:pPr>
      <w:r>
        <w:rPr>
          <w:rFonts w:hint="eastAsia" w:ascii="仿宋" w:hAnsi="仿宋" w:eastAsia="仿宋" w:cs="仿宋"/>
          <w:color w:val="auto"/>
          <w:highlight w:val="none"/>
        </w:rPr>
        <w:t>详细评审：</w:t>
      </w:r>
    </w:p>
    <w:p>
      <w:pPr>
        <w:numPr>
          <w:ilvl w:val="0"/>
          <w:numId w:val="7"/>
        </w:numPr>
        <w:tabs>
          <w:tab w:val="left" w:pos="840"/>
        </w:tabs>
        <w:spacing w:line="360" w:lineRule="auto"/>
        <w:ind w:left="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寻源评审组按照寻源文件的详细评审要素，对应邀供应商提交的响应文件进行技术、商务详细评审，详见技术商务评审要素。</w:t>
      </w:r>
    </w:p>
    <w:p>
      <w:pPr>
        <w:numPr>
          <w:ilvl w:val="0"/>
          <w:numId w:val="7"/>
        </w:numPr>
        <w:tabs>
          <w:tab w:val="left" w:pos="840"/>
        </w:tabs>
        <w:spacing w:line="360" w:lineRule="auto"/>
        <w:ind w:left="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价格评分前应对各应邀供应商的最终报价进行详细复核，检查是否有计算上的错误或报价范围上的错误。如未发现错误，则该报价作为最后的评审价格，如发现错误，将进行修正，修正后的价格作为最后的评审价格。应邀供应商不接受修正价格的，采购工作组会应当否决其报价。</w:t>
      </w:r>
    </w:p>
    <w:p>
      <w:pPr>
        <w:pStyle w:val="22"/>
        <w:ind w:firstLine="480"/>
        <w:rPr>
          <w:rFonts w:ascii="仿宋" w:hAnsi="仿宋" w:eastAsia="仿宋" w:cs="仿宋"/>
          <w:color w:val="auto"/>
          <w:highlight w:val="none"/>
        </w:rPr>
      </w:pPr>
      <w:r>
        <w:rPr>
          <w:rFonts w:hint="eastAsia" w:ascii="仿宋" w:hAnsi="仿宋" w:eastAsia="仿宋" w:cs="仿宋"/>
          <w:color w:val="auto"/>
          <w:highlight w:val="none"/>
        </w:rPr>
        <w:t>报价错误修正的原则如下：</w:t>
      </w:r>
    </w:p>
    <w:p>
      <w:pPr>
        <w:numPr>
          <w:ilvl w:val="0"/>
          <w:numId w:val="8"/>
        </w:numPr>
        <w:tabs>
          <w:tab w:val="left" w:pos="840"/>
          <w:tab w:val="clear" w:pos="1260"/>
        </w:tabs>
        <w:spacing w:line="360" w:lineRule="auto"/>
        <w:ind w:left="420" w:firstLine="425"/>
        <w:jc w:val="left"/>
        <w:rPr>
          <w:rFonts w:ascii="仿宋" w:hAnsi="仿宋" w:eastAsia="仿宋" w:cs="仿宋"/>
          <w:color w:val="auto"/>
          <w:sz w:val="24"/>
          <w:highlight w:val="none"/>
        </w:rPr>
      </w:pPr>
      <w:r>
        <w:rPr>
          <w:rFonts w:hint="eastAsia" w:ascii="仿宋" w:hAnsi="仿宋" w:eastAsia="仿宋" w:cs="仿宋"/>
          <w:color w:val="auto"/>
          <w:sz w:val="24"/>
          <w:highlight w:val="none"/>
        </w:rPr>
        <w:t>总价金额与依据单价计算出的结果不一致的，以单价金额为准修正总价，但单价金额小数点有明显错误的除外。</w:t>
      </w:r>
    </w:p>
    <w:p>
      <w:pPr>
        <w:numPr>
          <w:ilvl w:val="0"/>
          <w:numId w:val="8"/>
        </w:numPr>
        <w:tabs>
          <w:tab w:val="left" w:pos="840"/>
          <w:tab w:val="clear" w:pos="1260"/>
        </w:tabs>
        <w:spacing w:line="360" w:lineRule="auto"/>
        <w:ind w:left="420" w:firstLine="425"/>
        <w:jc w:val="left"/>
        <w:rPr>
          <w:rFonts w:ascii="仿宋" w:hAnsi="仿宋" w:eastAsia="仿宋" w:cs="仿宋"/>
          <w:color w:val="auto"/>
          <w:sz w:val="24"/>
          <w:highlight w:val="none"/>
        </w:rPr>
      </w:pPr>
      <w:r>
        <w:rPr>
          <w:rFonts w:hint="eastAsia" w:ascii="仿宋" w:hAnsi="仿宋" w:eastAsia="仿宋" w:cs="仿宋"/>
          <w:color w:val="auto"/>
          <w:sz w:val="24"/>
          <w:highlight w:val="none"/>
        </w:rPr>
        <w:t>如果用数字表示的金额与用文字表示的金额不一致，应以文字表示的金额为准。</w:t>
      </w:r>
    </w:p>
    <w:p>
      <w:pPr>
        <w:numPr>
          <w:ilvl w:val="0"/>
          <w:numId w:val="7"/>
        </w:numPr>
        <w:tabs>
          <w:tab w:val="left" w:pos="840"/>
        </w:tabs>
        <w:spacing w:line="360" w:lineRule="auto"/>
        <w:ind w:left="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技术、商务、价格评审要素</w:t>
      </w:r>
    </w:p>
    <w:tbl>
      <w:tblPr>
        <w:tblStyle w:val="24"/>
        <w:tblW w:w="9143" w:type="dxa"/>
        <w:jc w:val="center"/>
        <w:tblLayout w:type="fixed"/>
        <w:tblCellMar>
          <w:top w:w="0" w:type="dxa"/>
          <w:left w:w="0" w:type="dxa"/>
          <w:bottom w:w="0" w:type="dxa"/>
          <w:right w:w="0" w:type="dxa"/>
        </w:tblCellMar>
      </w:tblPr>
      <w:tblGrid>
        <w:gridCol w:w="684"/>
        <w:gridCol w:w="1996"/>
        <w:gridCol w:w="2104"/>
        <w:gridCol w:w="4359"/>
      </w:tblGrid>
      <w:tr>
        <w:tblPrEx>
          <w:tblCellMar>
            <w:top w:w="0" w:type="dxa"/>
            <w:left w:w="0" w:type="dxa"/>
            <w:bottom w:w="0" w:type="dxa"/>
            <w:right w:w="0" w:type="dxa"/>
          </w:tblCellMar>
        </w:tblPrEx>
        <w:trPr>
          <w:trHeight w:val="216" w:hRule="atLeast"/>
          <w:jc w:val="center"/>
        </w:trPr>
        <w:tc>
          <w:tcPr>
            <w:tcW w:w="9143" w:type="dxa"/>
            <w:gridSpan w:val="4"/>
            <w:tcBorders>
              <w:top w:val="single" w:color="auto" w:sz="4" w:space="0"/>
              <w:left w:val="single" w:color="auto" w:sz="4" w:space="0"/>
              <w:bottom w:val="single" w:color="auto" w:sz="4" w:space="0"/>
              <w:right w:val="single" w:color="000000" w:sz="6" w:space="0"/>
            </w:tcBorders>
            <w:shd w:val="clear" w:color="auto" w:fill="FFFFFF"/>
            <w:vAlign w:val="center"/>
          </w:tcPr>
          <w:p>
            <w:pPr>
              <w:spacing w:line="360" w:lineRule="auto"/>
              <w:jc w:val="left"/>
              <w:rPr>
                <w:rFonts w:ascii="仿宋" w:hAnsi="仿宋" w:eastAsia="仿宋" w:cs="仿宋"/>
                <w:b/>
                <w:color w:val="auto"/>
                <w:sz w:val="24"/>
                <w:highlight w:val="none"/>
              </w:rPr>
            </w:pPr>
            <w:r>
              <w:rPr>
                <w:rFonts w:hint="eastAsia" w:ascii="仿宋" w:hAnsi="仿宋" w:eastAsia="仿宋" w:cs="仿宋"/>
                <w:b/>
                <w:bCs/>
                <w:color w:val="auto"/>
                <w:sz w:val="24"/>
                <w:highlight w:val="none"/>
              </w:rPr>
              <w:t>（一）、技术评审</w:t>
            </w:r>
          </w:p>
        </w:tc>
      </w:tr>
      <w:tr>
        <w:tblPrEx>
          <w:tblCellMar>
            <w:top w:w="0" w:type="dxa"/>
            <w:left w:w="0" w:type="dxa"/>
            <w:bottom w:w="0" w:type="dxa"/>
            <w:right w:w="0" w:type="dxa"/>
          </w:tblCellMar>
        </w:tblPrEx>
        <w:trPr>
          <w:trHeight w:val="216"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b/>
                <w:color w:val="auto"/>
                <w:sz w:val="24"/>
                <w:highlight w:val="none"/>
              </w:rPr>
              <w:t>序号</w:t>
            </w:r>
          </w:p>
        </w:tc>
        <w:tc>
          <w:tcPr>
            <w:tcW w:w="199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b/>
                <w:color w:val="auto"/>
                <w:sz w:val="24"/>
                <w:highlight w:val="none"/>
              </w:rPr>
              <w:t>评审要素</w:t>
            </w:r>
          </w:p>
        </w:tc>
        <w:tc>
          <w:tcPr>
            <w:tcW w:w="2104" w:type="dxa"/>
            <w:tcBorders>
              <w:top w:val="single" w:color="000000" w:sz="6" w:space="0"/>
              <w:left w:val="single" w:color="auto" w:sz="4"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b/>
                <w:color w:val="auto"/>
                <w:sz w:val="24"/>
                <w:highlight w:val="none"/>
              </w:rPr>
              <w:t>详细评审项</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b/>
                <w:color w:val="auto"/>
                <w:sz w:val="24"/>
                <w:highlight w:val="none"/>
              </w:rPr>
              <w:t>技术详细评审分项要素</w:t>
            </w:r>
          </w:p>
        </w:tc>
      </w:tr>
      <w:tr>
        <w:tblPrEx>
          <w:tblCellMar>
            <w:top w:w="0" w:type="dxa"/>
            <w:left w:w="0" w:type="dxa"/>
            <w:bottom w:w="0" w:type="dxa"/>
            <w:right w:w="0" w:type="dxa"/>
          </w:tblCellMar>
        </w:tblPrEx>
        <w:trPr>
          <w:trHeight w:val="480"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199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技术参数响应情况</w:t>
            </w:r>
          </w:p>
        </w:tc>
        <w:tc>
          <w:tcPr>
            <w:tcW w:w="2104" w:type="dxa"/>
            <w:tcBorders>
              <w:top w:val="single" w:color="000000" w:sz="6" w:space="0"/>
              <w:left w:val="single" w:color="auto" w:sz="4" w:space="0"/>
              <w:bottom w:val="single" w:color="000000" w:sz="6" w:space="0"/>
              <w:right w:val="single" w:color="000000" w:sz="6" w:space="0"/>
            </w:tcBorders>
            <w:shd w:val="clear" w:color="auto" w:fill="FFFFFF"/>
            <w:vAlign w:val="center"/>
          </w:tcPr>
          <w:p>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技术参数响应情况</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供应商应满足本项目技术参数要求。</w:t>
            </w:r>
          </w:p>
        </w:tc>
      </w:tr>
      <w:tr>
        <w:tblPrEx>
          <w:tblCellMar>
            <w:top w:w="0" w:type="dxa"/>
            <w:left w:w="0" w:type="dxa"/>
            <w:bottom w:w="0" w:type="dxa"/>
            <w:right w:w="0" w:type="dxa"/>
          </w:tblCellMar>
        </w:tblPrEx>
        <w:trPr>
          <w:trHeight w:val="90" w:hRule="atLeast"/>
          <w:jc w:val="center"/>
        </w:trPr>
        <w:tc>
          <w:tcPr>
            <w:tcW w:w="9143" w:type="dxa"/>
            <w:gridSpan w:val="4"/>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（二）、商务评审</w:t>
            </w:r>
          </w:p>
        </w:tc>
      </w:tr>
      <w:tr>
        <w:tblPrEx>
          <w:tblCellMar>
            <w:top w:w="0" w:type="dxa"/>
            <w:left w:w="0" w:type="dxa"/>
            <w:bottom w:w="0" w:type="dxa"/>
            <w:right w:w="0" w:type="dxa"/>
          </w:tblCellMar>
        </w:tblPrEx>
        <w:trPr>
          <w:trHeight w:val="90" w:hRule="atLeast"/>
          <w:jc w:val="center"/>
        </w:trPr>
        <w:tc>
          <w:tcPr>
            <w:tcW w:w="684"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b/>
                <w:color w:val="auto"/>
                <w:sz w:val="24"/>
                <w:highlight w:val="none"/>
              </w:rPr>
              <w:t>序号</w:t>
            </w:r>
          </w:p>
        </w:tc>
        <w:tc>
          <w:tcPr>
            <w:tcW w:w="1996"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b/>
                <w:color w:val="auto"/>
                <w:sz w:val="24"/>
                <w:highlight w:val="none"/>
              </w:rPr>
              <w:t>评分要素</w:t>
            </w:r>
          </w:p>
        </w:tc>
        <w:tc>
          <w:tcPr>
            <w:tcW w:w="2104"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b/>
                <w:color w:val="auto"/>
                <w:sz w:val="24"/>
                <w:highlight w:val="none"/>
              </w:rPr>
              <w:t>详细评审项</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b/>
                <w:color w:val="auto"/>
                <w:sz w:val="24"/>
                <w:highlight w:val="none"/>
              </w:rPr>
              <w:t>商务详细评审分项要素</w:t>
            </w:r>
          </w:p>
        </w:tc>
      </w:tr>
      <w:tr>
        <w:tblPrEx>
          <w:tblCellMar>
            <w:top w:w="0" w:type="dxa"/>
            <w:left w:w="0" w:type="dxa"/>
            <w:bottom w:w="0" w:type="dxa"/>
            <w:right w:w="0" w:type="dxa"/>
          </w:tblCellMar>
        </w:tblPrEx>
        <w:trPr>
          <w:trHeight w:val="208" w:hRule="atLeast"/>
          <w:jc w:val="center"/>
        </w:trPr>
        <w:tc>
          <w:tcPr>
            <w:tcW w:w="684" w:type="dxa"/>
            <w:vMerge w:val="restart"/>
            <w:tcBorders>
              <w:top w:val="single" w:color="000000" w:sz="6" w:space="0"/>
              <w:left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1996" w:type="dxa"/>
            <w:vMerge w:val="restart"/>
            <w:tcBorders>
              <w:top w:val="single" w:color="000000" w:sz="6" w:space="0"/>
              <w:left w:val="single" w:color="000000" w:sz="6" w:space="0"/>
              <w:right w:val="single" w:color="000000" w:sz="6" w:space="0"/>
            </w:tcBorders>
            <w:shd w:val="clear" w:color="auto" w:fill="FFFFFF"/>
            <w:vAlign w:val="center"/>
          </w:tcPr>
          <w:p>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商务部分</w:t>
            </w:r>
          </w:p>
        </w:tc>
        <w:tc>
          <w:tcPr>
            <w:tcW w:w="2104"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质量管理体系认证</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供应商具备质量管理体系认证有效证明文件。（如中选方需在本项目后续的签约和履行阶段需委托其经销商实施的，需同时提供原厂商及授权经销商质量管理体系认证有效证明文件。）</w:t>
            </w:r>
          </w:p>
        </w:tc>
      </w:tr>
      <w:tr>
        <w:tblPrEx>
          <w:tblCellMar>
            <w:top w:w="0" w:type="dxa"/>
            <w:left w:w="0" w:type="dxa"/>
            <w:bottom w:w="0" w:type="dxa"/>
            <w:right w:w="0" w:type="dxa"/>
          </w:tblCellMar>
        </w:tblPrEx>
        <w:trPr>
          <w:trHeight w:val="1113" w:hRule="atLeast"/>
          <w:jc w:val="center"/>
        </w:trPr>
        <w:tc>
          <w:tcPr>
            <w:tcW w:w="684" w:type="dxa"/>
            <w:vMerge w:val="continue"/>
            <w:tcBorders>
              <w:left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p>
        </w:tc>
        <w:tc>
          <w:tcPr>
            <w:tcW w:w="1996" w:type="dxa"/>
            <w:vMerge w:val="continue"/>
            <w:tcBorders>
              <w:left w:val="single" w:color="000000" w:sz="6" w:space="0"/>
              <w:right w:val="single" w:color="000000" w:sz="6" w:space="0"/>
            </w:tcBorders>
            <w:shd w:val="clear" w:color="auto" w:fill="FFFFFF"/>
            <w:vAlign w:val="center"/>
          </w:tcPr>
          <w:p>
            <w:pPr>
              <w:widowControl/>
              <w:spacing w:line="360" w:lineRule="auto"/>
              <w:jc w:val="center"/>
              <w:rPr>
                <w:rFonts w:ascii="仿宋" w:hAnsi="仿宋" w:eastAsia="仿宋" w:cs="仿宋"/>
                <w:color w:val="auto"/>
                <w:sz w:val="24"/>
                <w:highlight w:val="none"/>
              </w:rPr>
            </w:pPr>
          </w:p>
        </w:tc>
        <w:tc>
          <w:tcPr>
            <w:tcW w:w="2104"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360" w:lineRule="auto"/>
              <w:jc w:val="center"/>
              <w:rPr>
                <w:rFonts w:hint="eastAsia"/>
                <w:color w:val="auto"/>
                <w:highlight w:val="none"/>
              </w:rPr>
            </w:pPr>
            <w:r>
              <w:rPr>
                <w:rFonts w:hint="eastAsia" w:ascii="仿宋" w:hAnsi="仿宋" w:eastAsia="仿宋" w:cs="仿宋"/>
                <w:color w:val="auto"/>
                <w:sz w:val="24"/>
                <w:highlight w:val="none"/>
              </w:rPr>
              <w:t>制造商授权和质保期内原厂售后服务承诺函</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360" w:lineRule="auto"/>
              <w:jc w:val="left"/>
              <w:rPr>
                <w:rFonts w:ascii="仿宋" w:hAnsi="仿宋" w:eastAsia="仿宋" w:cs="仿宋"/>
                <w:color w:val="auto"/>
                <w:kern w:val="2"/>
                <w:sz w:val="24"/>
                <w:highlight w:val="none"/>
              </w:rPr>
            </w:pPr>
            <w:r>
              <w:rPr>
                <w:rFonts w:hint="eastAsia" w:ascii="仿宋" w:hAnsi="仿宋" w:eastAsia="仿宋" w:cs="仿宋"/>
                <w:color w:val="auto"/>
                <w:sz w:val="24"/>
                <w:highlight w:val="none"/>
              </w:rPr>
              <w:t>制造商承诺本寻源项目中选后提供针对</w:t>
            </w:r>
            <w:r>
              <w:rPr>
                <w:rFonts w:hint="eastAsia" w:ascii="仿宋" w:hAnsi="仿宋" w:eastAsia="仿宋" w:cs="仿宋"/>
                <w:b w:val="0"/>
                <w:bCs w:val="0"/>
                <w:color w:val="auto"/>
                <w:sz w:val="24"/>
                <w:highlight w:val="none"/>
              </w:rPr>
              <w:t>拟</w:t>
            </w:r>
            <w:r>
              <w:rPr>
                <w:rFonts w:ascii="仿宋" w:hAnsi="仿宋" w:eastAsia="仿宋" w:cs="仿宋"/>
                <w:b w:val="0"/>
                <w:bCs w:val="0"/>
                <w:color w:val="auto"/>
                <w:sz w:val="24"/>
                <w:highlight w:val="none"/>
              </w:rPr>
              <w:t xml:space="preserve"> </w:t>
            </w:r>
          </w:p>
          <w:p>
            <w:pPr>
              <w:widowControl/>
              <w:spacing w:line="360" w:lineRule="auto"/>
              <w:jc w:val="left"/>
              <w:rPr>
                <w:rFonts w:ascii="仿宋" w:hAnsi="仿宋" w:eastAsia="仿宋" w:cs="仿宋"/>
                <w:color w:val="auto"/>
                <w:sz w:val="24"/>
                <w:highlight w:val="none"/>
              </w:rPr>
            </w:pPr>
            <w:r>
              <w:rPr>
                <w:rFonts w:hint="eastAsia" w:ascii="仿宋" w:hAnsi="仿宋" w:eastAsia="仿宋" w:cs="仿宋"/>
                <w:b w:val="0"/>
                <w:bCs w:val="0"/>
                <w:color w:val="auto"/>
                <w:sz w:val="24"/>
                <w:highlight w:val="none"/>
              </w:rPr>
              <w:t>投标项目的</w:t>
            </w:r>
            <w:r>
              <w:rPr>
                <w:rFonts w:hint="eastAsia" w:ascii="仿宋" w:hAnsi="仿宋" w:eastAsia="仿宋" w:cs="仿宋"/>
                <w:color w:val="auto"/>
                <w:sz w:val="24"/>
                <w:highlight w:val="none"/>
              </w:rPr>
              <w:t>设备制造商唯一有效授权和原</w:t>
            </w:r>
            <w:r>
              <w:rPr>
                <w:rFonts w:ascii="仿宋" w:hAnsi="仿宋" w:eastAsia="仿宋" w:cs="仿宋"/>
                <w:color w:val="auto"/>
                <w:sz w:val="24"/>
                <w:highlight w:val="none"/>
              </w:rPr>
              <w:t xml:space="preserve"> </w:t>
            </w:r>
          </w:p>
          <w:p>
            <w:pPr>
              <w:widowControl/>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厂售后服务承诺函，提供证明材料并盖制</w:t>
            </w:r>
            <w:r>
              <w:rPr>
                <w:rFonts w:ascii="仿宋" w:hAnsi="仿宋" w:eastAsia="仿宋" w:cs="仿宋"/>
                <w:color w:val="auto"/>
                <w:sz w:val="24"/>
                <w:highlight w:val="none"/>
              </w:rPr>
              <w:t xml:space="preserve"> </w:t>
            </w:r>
          </w:p>
          <w:p>
            <w:pPr>
              <w:widowControl/>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造商公章。</w:t>
            </w:r>
          </w:p>
        </w:tc>
      </w:tr>
      <w:tr>
        <w:tblPrEx>
          <w:tblCellMar>
            <w:top w:w="0" w:type="dxa"/>
            <w:left w:w="0" w:type="dxa"/>
            <w:bottom w:w="0" w:type="dxa"/>
            <w:right w:w="0" w:type="dxa"/>
          </w:tblCellMar>
        </w:tblPrEx>
        <w:trPr>
          <w:trHeight w:val="709" w:hRule="atLeast"/>
          <w:jc w:val="center"/>
        </w:trPr>
        <w:tc>
          <w:tcPr>
            <w:tcW w:w="684" w:type="dxa"/>
            <w:vMerge w:val="restart"/>
            <w:tcBorders>
              <w:left w:val="single" w:color="000000" w:sz="6" w:space="0"/>
              <w:right w:val="single" w:color="000000" w:sz="6" w:space="0"/>
            </w:tcBorders>
            <w:shd w:val="clear" w:color="auto" w:fill="FFFFFF"/>
            <w:vAlign w:val="center"/>
          </w:tcPr>
          <w:p>
            <w:pPr>
              <w:spacing w:line="360" w:lineRule="auto"/>
              <w:jc w:val="center"/>
              <w:rPr>
                <w:rFonts w:ascii="仿宋" w:hAnsi="仿宋" w:eastAsia="仿宋" w:cs="仿宋"/>
                <w:color w:val="auto"/>
                <w:sz w:val="24"/>
                <w:highlight w:val="none"/>
              </w:rPr>
            </w:pPr>
          </w:p>
        </w:tc>
        <w:tc>
          <w:tcPr>
            <w:tcW w:w="1996" w:type="dxa"/>
            <w:vMerge w:val="restart"/>
            <w:tcBorders>
              <w:left w:val="single" w:color="000000" w:sz="6" w:space="0"/>
              <w:right w:val="single" w:color="000000" w:sz="6" w:space="0"/>
            </w:tcBorders>
            <w:shd w:val="clear" w:color="auto" w:fill="FFFFFF"/>
            <w:vAlign w:val="center"/>
          </w:tcPr>
          <w:p>
            <w:pPr>
              <w:widowControl/>
              <w:spacing w:line="360" w:lineRule="auto"/>
              <w:jc w:val="center"/>
              <w:rPr>
                <w:rFonts w:ascii="仿宋" w:hAnsi="仿宋" w:eastAsia="仿宋" w:cs="仿宋"/>
                <w:color w:val="auto"/>
                <w:sz w:val="24"/>
                <w:highlight w:val="none"/>
              </w:rPr>
            </w:pPr>
          </w:p>
        </w:tc>
        <w:tc>
          <w:tcPr>
            <w:tcW w:w="2104"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未使用美光公司产品（包括含有美光芯片的产品）的承诺函</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制造商提供未使用美光公司产品（包括含有美光芯片的产品）的承诺函。</w:t>
            </w:r>
          </w:p>
        </w:tc>
      </w:tr>
      <w:tr>
        <w:tblPrEx>
          <w:tblCellMar>
            <w:top w:w="0" w:type="dxa"/>
            <w:left w:w="0" w:type="dxa"/>
            <w:bottom w:w="0" w:type="dxa"/>
            <w:right w:w="0" w:type="dxa"/>
          </w:tblCellMar>
        </w:tblPrEx>
        <w:trPr>
          <w:trHeight w:val="709" w:hRule="atLeast"/>
          <w:jc w:val="center"/>
        </w:trPr>
        <w:tc>
          <w:tcPr>
            <w:tcW w:w="684" w:type="dxa"/>
            <w:vMerge w:val="continue"/>
            <w:tcBorders>
              <w:left w:val="single" w:color="000000" w:sz="6" w:space="0"/>
              <w:right w:val="single" w:color="000000" w:sz="6" w:space="0"/>
            </w:tcBorders>
            <w:shd w:val="clear" w:color="auto" w:fill="FFFFFF"/>
            <w:vAlign w:val="center"/>
          </w:tcPr>
          <w:p>
            <w:pPr>
              <w:widowControl/>
              <w:spacing w:line="360" w:lineRule="auto"/>
              <w:jc w:val="left"/>
              <w:rPr>
                <w:color w:val="auto"/>
                <w:highlight w:val="none"/>
              </w:rPr>
            </w:pPr>
          </w:p>
        </w:tc>
        <w:tc>
          <w:tcPr>
            <w:tcW w:w="1996" w:type="dxa"/>
            <w:vMerge w:val="continue"/>
            <w:tcBorders>
              <w:left w:val="single" w:color="000000" w:sz="6" w:space="0"/>
              <w:right w:val="single" w:color="000000" w:sz="6" w:space="0"/>
            </w:tcBorders>
            <w:shd w:val="clear" w:color="auto" w:fill="FFFFFF"/>
            <w:vAlign w:val="center"/>
          </w:tcPr>
          <w:p>
            <w:pPr>
              <w:widowControl/>
              <w:spacing w:line="360" w:lineRule="auto"/>
              <w:jc w:val="left"/>
              <w:rPr>
                <w:color w:val="auto"/>
                <w:highlight w:val="none"/>
              </w:rPr>
            </w:pPr>
          </w:p>
        </w:tc>
        <w:tc>
          <w:tcPr>
            <w:tcW w:w="2104"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所提供产品满足自主可控要求</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spacing w:line="360" w:lineRule="auto"/>
              <w:jc w:val="left"/>
              <w:rPr>
                <w:rFonts w:ascii="仿宋" w:hAnsi="仿宋" w:eastAsia="仿宋" w:cs="仿宋"/>
                <w:color w:val="auto"/>
                <w:kern w:val="2"/>
                <w:sz w:val="24"/>
                <w:highlight w:val="none"/>
              </w:rPr>
            </w:pPr>
            <w:r>
              <w:rPr>
                <w:rFonts w:hint="eastAsia" w:ascii="仿宋" w:hAnsi="仿宋" w:eastAsia="仿宋" w:cs="仿宋"/>
                <w:color w:val="auto"/>
                <w:sz w:val="24"/>
                <w:highlight w:val="none"/>
              </w:rPr>
              <w:t>制造商提供产品自主可控承诺函，提供拥</w:t>
            </w:r>
            <w:r>
              <w:rPr>
                <w:rFonts w:ascii="仿宋" w:hAnsi="仿宋" w:eastAsia="仿宋" w:cs="仿宋"/>
                <w:color w:val="auto"/>
                <w:sz w:val="24"/>
                <w:highlight w:val="none"/>
              </w:rPr>
              <w:t xml:space="preserve"> </w:t>
            </w:r>
          </w:p>
          <w:p>
            <w:pPr>
              <w:widowControl/>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有所投产品商标所有权的证明文件并盖制</w:t>
            </w:r>
            <w:r>
              <w:rPr>
                <w:rFonts w:ascii="仿宋" w:hAnsi="仿宋" w:eastAsia="仿宋" w:cs="仿宋"/>
                <w:color w:val="auto"/>
                <w:sz w:val="24"/>
                <w:highlight w:val="none"/>
              </w:rPr>
              <w:t xml:space="preserve"> </w:t>
            </w:r>
          </w:p>
          <w:p>
            <w:pPr>
              <w:widowControl/>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造商公章。</w:t>
            </w:r>
          </w:p>
        </w:tc>
      </w:tr>
      <w:tr>
        <w:tblPrEx>
          <w:tblCellMar>
            <w:top w:w="0" w:type="dxa"/>
            <w:left w:w="0" w:type="dxa"/>
            <w:bottom w:w="0" w:type="dxa"/>
            <w:right w:w="0" w:type="dxa"/>
          </w:tblCellMar>
        </w:tblPrEx>
        <w:trPr>
          <w:trHeight w:val="1180" w:hRule="atLeast"/>
          <w:jc w:val="center"/>
        </w:trPr>
        <w:tc>
          <w:tcPr>
            <w:tcW w:w="2680"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技术、商务评审</w:t>
            </w:r>
          </w:p>
          <w:p>
            <w:pPr>
              <w:spacing w:line="360" w:lineRule="auto"/>
              <w:ind w:left="113"/>
              <w:jc w:val="center"/>
              <w:rPr>
                <w:rFonts w:ascii="仿宋" w:hAnsi="仿宋" w:eastAsia="仿宋" w:cs="仿宋"/>
                <w:color w:val="auto"/>
                <w:sz w:val="24"/>
                <w:highlight w:val="none"/>
              </w:rPr>
            </w:pPr>
            <w:r>
              <w:rPr>
                <w:rFonts w:hint="eastAsia" w:ascii="仿宋" w:hAnsi="仿宋" w:eastAsia="仿宋" w:cs="仿宋"/>
                <w:b/>
                <w:color w:val="auto"/>
                <w:sz w:val="24"/>
                <w:highlight w:val="none"/>
              </w:rPr>
              <w:t>方法</w:t>
            </w:r>
          </w:p>
        </w:tc>
        <w:tc>
          <w:tcPr>
            <w:tcW w:w="6463"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rPr>
                <w:rFonts w:ascii="仿宋" w:hAnsi="仿宋" w:eastAsia="仿宋" w:cs="仿宋"/>
                <w:color w:val="auto"/>
                <w:sz w:val="24"/>
                <w:highlight w:val="none"/>
              </w:rPr>
            </w:pPr>
            <w:r>
              <w:rPr>
                <w:rFonts w:hint="eastAsia" w:ascii="仿宋" w:hAnsi="仿宋" w:eastAsia="仿宋" w:cs="仿宋"/>
                <w:color w:val="auto"/>
                <w:sz w:val="24"/>
                <w:highlight w:val="none"/>
              </w:rPr>
              <w:t>寻源评审专家对各供应商技术、商务应答进行逐项评审，不满足投标寻源商务和技术条款（参数），其寻源响应将被拒绝，不进入下一步评审。</w:t>
            </w:r>
          </w:p>
        </w:tc>
      </w:tr>
      <w:tr>
        <w:tblPrEx>
          <w:tblCellMar>
            <w:top w:w="0" w:type="dxa"/>
            <w:left w:w="0" w:type="dxa"/>
            <w:bottom w:w="0" w:type="dxa"/>
            <w:right w:w="0" w:type="dxa"/>
          </w:tblCellMar>
        </w:tblPrEx>
        <w:trPr>
          <w:trHeight w:val="90" w:hRule="atLeast"/>
          <w:jc w:val="center"/>
        </w:trPr>
        <w:tc>
          <w:tcPr>
            <w:tcW w:w="9143" w:type="dxa"/>
            <w:gridSpan w:val="4"/>
            <w:tcBorders>
              <w:top w:val="single" w:color="000000" w:sz="6" w:space="0"/>
              <w:left w:val="single" w:color="000000" w:sz="6" w:space="0"/>
              <w:bottom w:val="single" w:color="000000" w:sz="6" w:space="0"/>
              <w:right w:val="single" w:color="000000" w:sz="6" w:space="0"/>
            </w:tcBorders>
            <w:shd w:val="clear" w:color="auto" w:fill="FFFFFF"/>
          </w:tcPr>
          <w:p>
            <w:pPr>
              <w:spacing w:line="360" w:lineRule="auto"/>
              <w:ind w:left="113"/>
              <w:rPr>
                <w:rFonts w:ascii="仿宋" w:hAnsi="仿宋" w:eastAsia="仿宋" w:cs="仿宋"/>
                <w:color w:val="auto"/>
                <w:sz w:val="24"/>
                <w:highlight w:val="none"/>
              </w:rPr>
            </w:pPr>
            <w:r>
              <w:rPr>
                <w:rFonts w:hint="eastAsia" w:ascii="仿宋" w:hAnsi="仿宋" w:eastAsia="仿宋" w:cs="仿宋"/>
                <w:b/>
                <w:color w:val="auto"/>
                <w:sz w:val="24"/>
                <w:highlight w:val="none"/>
              </w:rPr>
              <w:t>（三）、价格评审</w:t>
            </w:r>
          </w:p>
        </w:tc>
      </w:tr>
      <w:tr>
        <w:tblPrEx>
          <w:tblCellMar>
            <w:top w:w="0" w:type="dxa"/>
            <w:left w:w="0" w:type="dxa"/>
            <w:bottom w:w="0" w:type="dxa"/>
            <w:right w:w="0" w:type="dxa"/>
          </w:tblCellMar>
        </w:tblPrEx>
        <w:trPr>
          <w:trHeight w:val="740" w:hRule="atLeast"/>
          <w:jc w:val="center"/>
        </w:trPr>
        <w:tc>
          <w:tcPr>
            <w:tcW w:w="2680"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rPr>
                <w:rFonts w:ascii="仿宋" w:hAnsi="仿宋" w:eastAsia="仿宋" w:cs="仿宋"/>
                <w:color w:val="auto"/>
                <w:sz w:val="24"/>
                <w:highlight w:val="none"/>
              </w:rPr>
            </w:pPr>
            <w:r>
              <w:rPr>
                <w:rFonts w:hint="eastAsia" w:ascii="仿宋" w:hAnsi="仿宋" w:eastAsia="仿宋" w:cs="仿宋"/>
                <w:b/>
                <w:color w:val="auto"/>
                <w:sz w:val="24"/>
                <w:highlight w:val="none"/>
              </w:rPr>
              <w:t>价格评审名称</w:t>
            </w:r>
          </w:p>
        </w:tc>
        <w:tc>
          <w:tcPr>
            <w:tcW w:w="6463"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rPr>
                <w:rFonts w:ascii="仿宋" w:hAnsi="仿宋" w:eastAsia="仿宋" w:cs="仿宋"/>
                <w:color w:val="auto"/>
                <w:sz w:val="24"/>
                <w:highlight w:val="none"/>
              </w:rPr>
            </w:pPr>
            <w:r>
              <w:rPr>
                <w:rFonts w:hint="eastAsia" w:ascii="仿宋" w:hAnsi="仿宋" w:eastAsia="仿宋" w:cs="仿宋"/>
                <w:color w:val="auto"/>
                <w:sz w:val="24"/>
                <w:highlight w:val="none"/>
                <w:u w:val="single"/>
              </w:rPr>
              <w:t>最低价评估法。</w:t>
            </w:r>
            <w:r>
              <w:rPr>
                <w:rFonts w:hint="eastAsia" w:ascii="仿宋" w:hAnsi="仿宋" w:eastAsia="仿宋" w:cs="仿宋"/>
                <w:color w:val="auto"/>
                <w:sz w:val="24"/>
                <w:highlight w:val="none"/>
              </w:rPr>
              <w:t>在商务、技术条款均满足寻源文件要求时，寻源响应</w:t>
            </w:r>
            <w:r>
              <w:rPr>
                <w:rFonts w:hint="eastAsia" w:ascii="仿宋" w:hAnsi="仿宋" w:eastAsia="仿宋" w:cs="仿宋"/>
                <w:color w:val="auto"/>
                <w:sz w:val="24"/>
                <w:highlight w:val="none"/>
                <w:lang w:val="en-US" w:eastAsia="zh-CN"/>
              </w:rPr>
              <w:t>总价</w:t>
            </w:r>
            <w:r>
              <w:rPr>
                <w:rFonts w:hint="eastAsia" w:ascii="仿宋" w:hAnsi="仿宋" w:eastAsia="仿宋" w:cs="仿宋"/>
                <w:color w:val="auto"/>
                <w:sz w:val="24"/>
                <w:highlight w:val="none"/>
              </w:rPr>
              <w:t>最低者为推荐</w:t>
            </w:r>
            <w:r>
              <w:rPr>
                <w:color w:val="auto"/>
                <w:highlight w:val="none"/>
              </w:rPr>
              <w:fldChar w:fldCharType="begin"/>
            </w:r>
            <w:r>
              <w:rPr>
                <w:color w:val="auto"/>
                <w:highlight w:val="none"/>
              </w:rPr>
              <w:instrText xml:space="preserve"> HYPERLINK "https://baike.baidu.com/item/%E4%B8%AD%E6%A0%87%E4%BA%BA?fromModule=lemma_inlink" \t "https://baike.baidu.com/item/%E6%9C%80%E4%BD%8E%E8%AF%84%E6%A0%87%E4%BB%B7%E6%B3%95/_blank" </w:instrText>
            </w:r>
            <w:r>
              <w:rPr>
                <w:color w:val="auto"/>
                <w:highlight w:val="none"/>
              </w:rPr>
              <w:fldChar w:fldCharType="separate"/>
            </w:r>
            <w:r>
              <w:rPr>
                <w:rFonts w:hint="eastAsia" w:ascii="仿宋" w:hAnsi="仿宋" w:eastAsia="仿宋" w:cs="仿宋"/>
                <w:color w:val="auto"/>
                <w:sz w:val="24"/>
                <w:highlight w:val="none"/>
              </w:rPr>
              <w:t>中选人</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w:t>
            </w:r>
          </w:p>
        </w:tc>
      </w:tr>
    </w:tbl>
    <w:p>
      <w:pPr>
        <w:pStyle w:val="22"/>
        <w:ind w:firstLine="0" w:firstLineChars="0"/>
        <w:rPr>
          <w:rFonts w:ascii="仿宋" w:hAnsi="仿宋" w:eastAsia="仿宋" w:cs="仿宋"/>
          <w:b/>
          <w:bCs/>
          <w:color w:val="auto"/>
          <w:highlight w:val="none"/>
          <w:u w:val="single"/>
        </w:rPr>
      </w:pPr>
      <w:r>
        <w:rPr>
          <w:rFonts w:hint="eastAsia" w:ascii="仿宋" w:hAnsi="仿宋" w:eastAsia="仿宋" w:cs="仿宋"/>
          <w:b/>
          <w:bCs/>
          <w:color w:val="auto"/>
          <w:highlight w:val="none"/>
          <w:u w:val="single"/>
        </w:rPr>
        <w:t>评分办法名称：最低价评估法</w:t>
      </w:r>
    </w:p>
    <w:p>
      <w:pPr>
        <w:numPr>
          <w:ilvl w:val="0"/>
          <w:numId w:val="9"/>
        </w:numPr>
        <w:spacing w:line="360" w:lineRule="auto"/>
        <w:outlineLvl w:val="1"/>
        <w:rPr>
          <w:rFonts w:ascii="仿宋" w:hAnsi="仿宋" w:eastAsia="仿宋" w:cs="仿宋"/>
          <w:b/>
          <w:bCs/>
          <w:color w:val="auto"/>
          <w:sz w:val="24"/>
          <w:highlight w:val="none"/>
        </w:rPr>
      </w:pPr>
      <w:r>
        <w:rPr>
          <w:rFonts w:hint="eastAsia" w:ascii="仿宋" w:hAnsi="仿宋" w:eastAsia="仿宋" w:cs="仿宋"/>
          <w:b/>
          <w:bCs/>
          <w:color w:val="auto"/>
          <w:sz w:val="24"/>
          <w:highlight w:val="none"/>
        </w:rPr>
        <w:t>技术参数偏离表（见附件）</w:t>
      </w:r>
    </w:p>
    <w:bookmarkEnd w:id="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14D7C233-5077-4020-A349-2A0ACF273650}"/>
  </w:font>
  <w:font w:name="仿宋">
    <w:panose1 w:val="02010609060101010101"/>
    <w:charset w:val="86"/>
    <w:family w:val="modern"/>
    <w:pitch w:val="default"/>
    <w:sig w:usb0="800002BF" w:usb1="38CF7CFA" w:usb2="00000016" w:usb3="00000000" w:csb0="00040001" w:csb1="00000000"/>
    <w:embedRegular r:id="rId2" w:fontKey="{D1AA092B-65F7-406D-9B99-306D64D98E89}"/>
  </w:font>
  <w:font w:name="仿宋_GB2312">
    <w:altName w:val="仿宋"/>
    <w:panose1 w:val="02010609030101010101"/>
    <w:charset w:val="86"/>
    <w:family w:val="modern"/>
    <w:pitch w:val="default"/>
    <w:sig w:usb0="00000000" w:usb1="00000000" w:usb2="00000000" w:usb3="00000000" w:csb0="00040000" w:csb1="00000000"/>
    <w:embedRegular r:id="rId3" w:fontKey="{33E09D54-2CD7-44D3-B0F6-889107C240AB}"/>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B30766"/>
    <w:multiLevelType w:val="singleLevel"/>
    <w:tmpl w:val="94B30766"/>
    <w:lvl w:ilvl="0" w:tentative="0">
      <w:start w:val="1"/>
      <w:numFmt w:val="decimal"/>
      <w:suff w:val="nothing"/>
      <w:lvlText w:val="%1、"/>
      <w:lvlJc w:val="left"/>
      <w:pPr>
        <w:ind w:left="0" w:firstLine="482"/>
      </w:pPr>
      <w:rPr>
        <w:rFonts w:hint="default" w:ascii="宋体" w:hAnsi="宋体" w:eastAsia="宋体" w:cs="宋体"/>
        <w:sz w:val="22"/>
        <w:szCs w:val="22"/>
      </w:rPr>
    </w:lvl>
  </w:abstractNum>
  <w:abstractNum w:abstractNumId="1">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2">
    <w:nsid w:val="A4FF484D"/>
    <w:multiLevelType w:val="singleLevel"/>
    <w:tmpl w:val="A4FF484D"/>
    <w:lvl w:ilvl="0" w:tentative="0">
      <w:start w:val="1"/>
      <w:numFmt w:val="decimal"/>
      <w:suff w:val="nothing"/>
      <w:lvlText w:val="%1、"/>
      <w:lvlJc w:val="left"/>
      <w:pPr>
        <w:ind w:left="0" w:firstLine="482"/>
      </w:pPr>
      <w:rPr>
        <w:rFonts w:hint="default" w:ascii="宋体" w:hAnsi="宋体" w:eastAsia="宋体" w:cs="宋体"/>
        <w:sz w:val="22"/>
        <w:szCs w:val="22"/>
      </w:rPr>
    </w:lvl>
  </w:abstractNum>
  <w:abstractNum w:abstractNumId="3">
    <w:nsid w:val="CD4F3C64"/>
    <w:multiLevelType w:val="singleLevel"/>
    <w:tmpl w:val="CD4F3C64"/>
    <w:lvl w:ilvl="0" w:tentative="0">
      <w:start w:val="1"/>
      <w:numFmt w:val="decimal"/>
      <w:lvlText w:val="(%1)"/>
      <w:lvlJc w:val="left"/>
      <w:pPr>
        <w:tabs>
          <w:tab w:val="left" w:pos="1260"/>
        </w:tabs>
        <w:ind w:left="1685" w:hanging="425"/>
      </w:pPr>
      <w:rPr>
        <w:rFonts w:hint="default"/>
      </w:rPr>
    </w:lvl>
  </w:abstractNum>
  <w:abstractNum w:abstractNumId="4">
    <w:nsid w:val="DCD655E9"/>
    <w:multiLevelType w:val="singleLevel"/>
    <w:tmpl w:val="DCD655E9"/>
    <w:lvl w:ilvl="0" w:tentative="0">
      <w:start w:val="1"/>
      <w:numFmt w:val="decimal"/>
      <w:suff w:val="nothing"/>
      <w:lvlText w:val="%1、"/>
      <w:lvlJc w:val="left"/>
      <w:pPr>
        <w:ind w:left="1350" w:hanging="450"/>
      </w:pPr>
      <w:rPr>
        <w:rFonts w:hint="default"/>
        <w:sz w:val="22"/>
        <w:szCs w:val="22"/>
      </w:rPr>
    </w:lvl>
  </w:abstractNum>
  <w:abstractNum w:abstractNumId="5">
    <w:nsid w:val="F448C7D1"/>
    <w:multiLevelType w:val="singleLevel"/>
    <w:tmpl w:val="F448C7D1"/>
    <w:lvl w:ilvl="0" w:tentative="0">
      <w:start w:val="3"/>
      <w:numFmt w:val="chineseCounting"/>
      <w:suff w:val="nothing"/>
      <w:lvlText w:val="%1、"/>
      <w:lvlJc w:val="left"/>
      <w:rPr>
        <w:rFonts w:hint="eastAsia"/>
      </w:rPr>
    </w:lvl>
  </w:abstractNum>
  <w:abstractNum w:abstractNumId="6">
    <w:nsid w:val="FADF068A"/>
    <w:multiLevelType w:val="singleLevel"/>
    <w:tmpl w:val="FADF068A"/>
    <w:lvl w:ilvl="0" w:tentative="0">
      <w:start w:val="1"/>
      <w:numFmt w:val="decimal"/>
      <w:lvlText w:val="(%1)"/>
      <w:lvlJc w:val="left"/>
      <w:pPr>
        <w:tabs>
          <w:tab w:val="left" w:pos="1260"/>
        </w:tabs>
        <w:ind w:left="1685" w:hanging="425"/>
      </w:pPr>
      <w:rPr>
        <w:rFonts w:hint="default"/>
      </w:rPr>
    </w:lvl>
  </w:abstractNum>
  <w:abstractNum w:abstractNumId="7">
    <w:nsid w:val="2BACDB66"/>
    <w:multiLevelType w:val="singleLevel"/>
    <w:tmpl w:val="2BACDB66"/>
    <w:lvl w:ilvl="0" w:tentative="0">
      <w:start w:val="1"/>
      <w:numFmt w:val="chineseCounting"/>
      <w:suff w:val="space"/>
      <w:lvlText w:val="%1、"/>
      <w:lvlJc w:val="left"/>
      <w:pPr>
        <w:ind w:left="0" w:firstLine="0"/>
      </w:pPr>
      <w:rPr>
        <w:rFonts w:hint="eastAsia"/>
      </w:rPr>
    </w:lvl>
  </w:abstractNum>
  <w:abstractNum w:abstractNumId="8">
    <w:nsid w:val="74C5B661"/>
    <w:multiLevelType w:val="singleLevel"/>
    <w:tmpl w:val="74C5B661"/>
    <w:lvl w:ilvl="0" w:tentative="0">
      <w:start w:val="1"/>
      <w:numFmt w:val="decimal"/>
      <w:suff w:val="nothing"/>
      <w:lvlText w:val="%1、"/>
      <w:lvlJc w:val="left"/>
      <w:pPr>
        <w:ind w:left="0" w:firstLine="482"/>
      </w:pPr>
      <w:rPr>
        <w:rFonts w:hint="default" w:ascii="宋体" w:hAnsi="宋体" w:eastAsia="宋体" w:cs="宋体"/>
        <w:sz w:val="22"/>
        <w:szCs w:val="22"/>
      </w:rPr>
    </w:lvl>
  </w:abstractNum>
  <w:num w:numId="1">
    <w:abstractNumId w:val="1"/>
  </w:num>
  <w:num w:numId="2">
    <w:abstractNumId w:val="7"/>
  </w:num>
  <w:num w:numId="3">
    <w:abstractNumId w:val="0"/>
  </w:num>
  <w:num w:numId="4">
    <w:abstractNumId w:val="8"/>
  </w:num>
  <w:num w:numId="5">
    <w:abstractNumId w:val="2"/>
  </w:num>
  <w:num w:numId="6">
    <w:abstractNumId w:val="3"/>
  </w:num>
  <w:num w:numId="7">
    <w:abstractNumId w:val="4"/>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042B20"/>
    <w:rsid w:val="00075220"/>
    <w:rsid w:val="00092F5B"/>
    <w:rsid w:val="000A769F"/>
    <w:rsid w:val="000D06AD"/>
    <w:rsid w:val="00220AA4"/>
    <w:rsid w:val="00311DD8"/>
    <w:rsid w:val="00351A32"/>
    <w:rsid w:val="00357F35"/>
    <w:rsid w:val="00383CB4"/>
    <w:rsid w:val="003F5B58"/>
    <w:rsid w:val="004B5FED"/>
    <w:rsid w:val="004E40C9"/>
    <w:rsid w:val="004F38D3"/>
    <w:rsid w:val="00542D34"/>
    <w:rsid w:val="005651AF"/>
    <w:rsid w:val="00582BAE"/>
    <w:rsid w:val="00590ADF"/>
    <w:rsid w:val="005C743B"/>
    <w:rsid w:val="006342AB"/>
    <w:rsid w:val="007017E1"/>
    <w:rsid w:val="00702E06"/>
    <w:rsid w:val="0072653F"/>
    <w:rsid w:val="00793C78"/>
    <w:rsid w:val="00824400"/>
    <w:rsid w:val="008707CE"/>
    <w:rsid w:val="008B11C4"/>
    <w:rsid w:val="008D4CCA"/>
    <w:rsid w:val="009269A2"/>
    <w:rsid w:val="009B4083"/>
    <w:rsid w:val="00A167CB"/>
    <w:rsid w:val="00A175DB"/>
    <w:rsid w:val="00A3492D"/>
    <w:rsid w:val="00B251A9"/>
    <w:rsid w:val="00BB4A42"/>
    <w:rsid w:val="00BF0084"/>
    <w:rsid w:val="00BF7D9B"/>
    <w:rsid w:val="00BF7E82"/>
    <w:rsid w:val="00C40996"/>
    <w:rsid w:val="00C60F31"/>
    <w:rsid w:val="00C66306"/>
    <w:rsid w:val="00CE458E"/>
    <w:rsid w:val="00D0612F"/>
    <w:rsid w:val="00D30767"/>
    <w:rsid w:val="00D84035"/>
    <w:rsid w:val="00D91CFF"/>
    <w:rsid w:val="00DC03C9"/>
    <w:rsid w:val="00F04AA7"/>
    <w:rsid w:val="00F667E2"/>
    <w:rsid w:val="00F77607"/>
    <w:rsid w:val="00FC6BCE"/>
    <w:rsid w:val="011465C2"/>
    <w:rsid w:val="011D1716"/>
    <w:rsid w:val="01A27F47"/>
    <w:rsid w:val="01D27561"/>
    <w:rsid w:val="023B31B5"/>
    <w:rsid w:val="024910FD"/>
    <w:rsid w:val="025F1F42"/>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550DF"/>
    <w:rsid w:val="066B6A19"/>
    <w:rsid w:val="06B855CD"/>
    <w:rsid w:val="07EA0E72"/>
    <w:rsid w:val="087234E3"/>
    <w:rsid w:val="08760957"/>
    <w:rsid w:val="08B60D54"/>
    <w:rsid w:val="08D12FC0"/>
    <w:rsid w:val="0954227F"/>
    <w:rsid w:val="098E125F"/>
    <w:rsid w:val="09BF22CB"/>
    <w:rsid w:val="09F27EC2"/>
    <w:rsid w:val="0A155B81"/>
    <w:rsid w:val="0A8D3055"/>
    <w:rsid w:val="0A8E1F88"/>
    <w:rsid w:val="0A917A7B"/>
    <w:rsid w:val="0AA55977"/>
    <w:rsid w:val="0AC550EB"/>
    <w:rsid w:val="0B0667F2"/>
    <w:rsid w:val="0B0C348B"/>
    <w:rsid w:val="0B5C2086"/>
    <w:rsid w:val="0B8F6344"/>
    <w:rsid w:val="0BF20216"/>
    <w:rsid w:val="0CA2430D"/>
    <w:rsid w:val="0D1F336B"/>
    <w:rsid w:val="0D904269"/>
    <w:rsid w:val="0DBA12E6"/>
    <w:rsid w:val="0E135E91"/>
    <w:rsid w:val="0E6F20D1"/>
    <w:rsid w:val="0E896B03"/>
    <w:rsid w:val="0EB5673C"/>
    <w:rsid w:val="0F657030"/>
    <w:rsid w:val="0FA364D6"/>
    <w:rsid w:val="0FC70711"/>
    <w:rsid w:val="0FEA5585"/>
    <w:rsid w:val="115F642C"/>
    <w:rsid w:val="11872D38"/>
    <w:rsid w:val="11E179DF"/>
    <w:rsid w:val="120A209E"/>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3F2D66"/>
    <w:rsid w:val="17BE19D3"/>
    <w:rsid w:val="17CD1C16"/>
    <w:rsid w:val="181276B9"/>
    <w:rsid w:val="18743FAF"/>
    <w:rsid w:val="18860743"/>
    <w:rsid w:val="18C82B09"/>
    <w:rsid w:val="18E37943"/>
    <w:rsid w:val="18FF4051"/>
    <w:rsid w:val="193A152D"/>
    <w:rsid w:val="199B72B8"/>
    <w:rsid w:val="1A375D90"/>
    <w:rsid w:val="1A46462D"/>
    <w:rsid w:val="1A504ADA"/>
    <w:rsid w:val="1AAA1F45"/>
    <w:rsid w:val="1AAB7EC8"/>
    <w:rsid w:val="1ABC61D4"/>
    <w:rsid w:val="1AC27A2C"/>
    <w:rsid w:val="1AE856E5"/>
    <w:rsid w:val="1B276664"/>
    <w:rsid w:val="1B2D0F23"/>
    <w:rsid w:val="1C406E5A"/>
    <w:rsid w:val="1C632B49"/>
    <w:rsid w:val="1C6F14EE"/>
    <w:rsid w:val="1CEF0DD8"/>
    <w:rsid w:val="1D110939"/>
    <w:rsid w:val="1D13456F"/>
    <w:rsid w:val="1D24052A"/>
    <w:rsid w:val="1D29242A"/>
    <w:rsid w:val="1D440485"/>
    <w:rsid w:val="1D8A4831"/>
    <w:rsid w:val="1DA476B9"/>
    <w:rsid w:val="1DD404D0"/>
    <w:rsid w:val="1E967206"/>
    <w:rsid w:val="1ED32208"/>
    <w:rsid w:val="1F4A5FC5"/>
    <w:rsid w:val="1F574BE7"/>
    <w:rsid w:val="1F901EA7"/>
    <w:rsid w:val="1FD85EB4"/>
    <w:rsid w:val="202D09E2"/>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3A07B3C"/>
    <w:rsid w:val="23AF3653"/>
    <w:rsid w:val="23BB54C2"/>
    <w:rsid w:val="23C20FAF"/>
    <w:rsid w:val="23C245F9"/>
    <w:rsid w:val="23C465C3"/>
    <w:rsid w:val="23C91E2B"/>
    <w:rsid w:val="240A0463"/>
    <w:rsid w:val="2446522A"/>
    <w:rsid w:val="244A6AC8"/>
    <w:rsid w:val="24E46F1D"/>
    <w:rsid w:val="24E94533"/>
    <w:rsid w:val="25A42208"/>
    <w:rsid w:val="25D56865"/>
    <w:rsid w:val="25DC4098"/>
    <w:rsid w:val="268312DA"/>
    <w:rsid w:val="26856FC3"/>
    <w:rsid w:val="26AB4CBF"/>
    <w:rsid w:val="26EC6D72"/>
    <w:rsid w:val="274176DD"/>
    <w:rsid w:val="274D3E81"/>
    <w:rsid w:val="27FA6F96"/>
    <w:rsid w:val="28097D66"/>
    <w:rsid w:val="282E58E6"/>
    <w:rsid w:val="292F0661"/>
    <w:rsid w:val="293C5506"/>
    <w:rsid w:val="294A08D7"/>
    <w:rsid w:val="29750495"/>
    <w:rsid w:val="2A314286"/>
    <w:rsid w:val="2B3A34A2"/>
    <w:rsid w:val="2B4D3342"/>
    <w:rsid w:val="2B65794F"/>
    <w:rsid w:val="2C320FD7"/>
    <w:rsid w:val="2C773801"/>
    <w:rsid w:val="2CBF201D"/>
    <w:rsid w:val="2CF134CA"/>
    <w:rsid w:val="2D2C76B3"/>
    <w:rsid w:val="2D480265"/>
    <w:rsid w:val="2DA44F15"/>
    <w:rsid w:val="2DB256DE"/>
    <w:rsid w:val="2DE53FC1"/>
    <w:rsid w:val="2DF61A6F"/>
    <w:rsid w:val="2E3E6240"/>
    <w:rsid w:val="2E4A3E2D"/>
    <w:rsid w:val="2EE2477F"/>
    <w:rsid w:val="2EF03540"/>
    <w:rsid w:val="2F1D06C4"/>
    <w:rsid w:val="2F7C41F6"/>
    <w:rsid w:val="2FD7B0D7"/>
    <w:rsid w:val="30896BCA"/>
    <w:rsid w:val="30C97C19"/>
    <w:rsid w:val="312B1A2F"/>
    <w:rsid w:val="32456B21"/>
    <w:rsid w:val="324A05DB"/>
    <w:rsid w:val="328E3BC4"/>
    <w:rsid w:val="32917FB8"/>
    <w:rsid w:val="32DB75FB"/>
    <w:rsid w:val="335039CF"/>
    <w:rsid w:val="33CF7CBE"/>
    <w:rsid w:val="33FE78CF"/>
    <w:rsid w:val="34B561E0"/>
    <w:rsid w:val="34FD1C7B"/>
    <w:rsid w:val="354B3A06"/>
    <w:rsid w:val="35A61FCC"/>
    <w:rsid w:val="35D70AF0"/>
    <w:rsid w:val="36405F7D"/>
    <w:rsid w:val="3660664C"/>
    <w:rsid w:val="36643468"/>
    <w:rsid w:val="367C130C"/>
    <w:rsid w:val="3699661F"/>
    <w:rsid w:val="36D52B69"/>
    <w:rsid w:val="36DB793C"/>
    <w:rsid w:val="37476E97"/>
    <w:rsid w:val="379540A7"/>
    <w:rsid w:val="37CFCFE6"/>
    <w:rsid w:val="37D87A19"/>
    <w:rsid w:val="37FF7BF9"/>
    <w:rsid w:val="38EC5F48"/>
    <w:rsid w:val="3922196A"/>
    <w:rsid w:val="3925145A"/>
    <w:rsid w:val="39382F3B"/>
    <w:rsid w:val="39785A2E"/>
    <w:rsid w:val="39C240B8"/>
    <w:rsid w:val="39CC0C76"/>
    <w:rsid w:val="3A45454A"/>
    <w:rsid w:val="3A4E5ED7"/>
    <w:rsid w:val="3AC86541"/>
    <w:rsid w:val="3AD268EA"/>
    <w:rsid w:val="3AF36399"/>
    <w:rsid w:val="3B4E6A46"/>
    <w:rsid w:val="3B8C57C0"/>
    <w:rsid w:val="3B985F13"/>
    <w:rsid w:val="3BE13381"/>
    <w:rsid w:val="3C055CF8"/>
    <w:rsid w:val="3C0C519E"/>
    <w:rsid w:val="3C750F2E"/>
    <w:rsid w:val="3C9D5708"/>
    <w:rsid w:val="3D3D6D72"/>
    <w:rsid w:val="3D820C29"/>
    <w:rsid w:val="3E0419F9"/>
    <w:rsid w:val="3E2B152F"/>
    <w:rsid w:val="3E7FC369"/>
    <w:rsid w:val="3E9C21BE"/>
    <w:rsid w:val="3EAA48DB"/>
    <w:rsid w:val="3F020E1D"/>
    <w:rsid w:val="3F6A324D"/>
    <w:rsid w:val="3F784273"/>
    <w:rsid w:val="3F7D40ED"/>
    <w:rsid w:val="3FAE412E"/>
    <w:rsid w:val="40095632"/>
    <w:rsid w:val="40BB2DD0"/>
    <w:rsid w:val="40DF6356"/>
    <w:rsid w:val="40F87666"/>
    <w:rsid w:val="41BF069E"/>
    <w:rsid w:val="41C04416"/>
    <w:rsid w:val="41D12A7F"/>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75950F1"/>
    <w:rsid w:val="47841A42"/>
    <w:rsid w:val="47AB7859"/>
    <w:rsid w:val="47FD4280"/>
    <w:rsid w:val="481F60CE"/>
    <w:rsid w:val="48223734"/>
    <w:rsid w:val="48624C7F"/>
    <w:rsid w:val="487A531F"/>
    <w:rsid w:val="48E362E2"/>
    <w:rsid w:val="48EA2F86"/>
    <w:rsid w:val="48F475D7"/>
    <w:rsid w:val="49BD30FA"/>
    <w:rsid w:val="49F53858"/>
    <w:rsid w:val="4A071323"/>
    <w:rsid w:val="4A140F17"/>
    <w:rsid w:val="4A236ED5"/>
    <w:rsid w:val="4AB4556F"/>
    <w:rsid w:val="4AD45CF1"/>
    <w:rsid w:val="4C4D68A6"/>
    <w:rsid w:val="4C8C526A"/>
    <w:rsid w:val="4C9C6DE9"/>
    <w:rsid w:val="4D09474F"/>
    <w:rsid w:val="4D2B07D6"/>
    <w:rsid w:val="4D552378"/>
    <w:rsid w:val="4D5C3245"/>
    <w:rsid w:val="4D6D5452"/>
    <w:rsid w:val="4D7FD265"/>
    <w:rsid w:val="4E47547C"/>
    <w:rsid w:val="4E4F4B57"/>
    <w:rsid w:val="4EB956A7"/>
    <w:rsid w:val="4EE130C3"/>
    <w:rsid w:val="4EE15203"/>
    <w:rsid w:val="4EF92D15"/>
    <w:rsid w:val="4F2064F4"/>
    <w:rsid w:val="4F46432B"/>
    <w:rsid w:val="4F6748F3"/>
    <w:rsid w:val="4F6B434D"/>
    <w:rsid w:val="4F8E7901"/>
    <w:rsid w:val="50197233"/>
    <w:rsid w:val="50A458F7"/>
    <w:rsid w:val="51385D77"/>
    <w:rsid w:val="51511CBE"/>
    <w:rsid w:val="517B5C63"/>
    <w:rsid w:val="51AB479B"/>
    <w:rsid w:val="51E333FD"/>
    <w:rsid w:val="527D69BB"/>
    <w:rsid w:val="52BF281F"/>
    <w:rsid w:val="537B1F4B"/>
    <w:rsid w:val="539D6365"/>
    <w:rsid w:val="53A00470"/>
    <w:rsid w:val="53A21BCD"/>
    <w:rsid w:val="53AF7E46"/>
    <w:rsid w:val="53BEED35"/>
    <w:rsid w:val="54353EFA"/>
    <w:rsid w:val="548A17D5"/>
    <w:rsid w:val="54A651D7"/>
    <w:rsid w:val="552705DC"/>
    <w:rsid w:val="55A63A05"/>
    <w:rsid w:val="55CA76DF"/>
    <w:rsid w:val="55F2496C"/>
    <w:rsid w:val="55FF1F64"/>
    <w:rsid w:val="566F1681"/>
    <w:rsid w:val="56B57E6A"/>
    <w:rsid w:val="56EF6DF2"/>
    <w:rsid w:val="572B7505"/>
    <w:rsid w:val="575E6C7E"/>
    <w:rsid w:val="580531F2"/>
    <w:rsid w:val="584D3E3E"/>
    <w:rsid w:val="58CB44FD"/>
    <w:rsid w:val="59060509"/>
    <w:rsid w:val="59092CF6"/>
    <w:rsid w:val="5911563C"/>
    <w:rsid w:val="59837DAB"/>
    <w:rsid w:val="59A23C51"/>
    <w:rsid w:val="59A57D21"/>
    <w:rsid w:val="59AE4278"/>
    <w:rsid w:val="59BF2643"/>
    <w:rsid w:val="59E00D5A"/>
    <w:rsid w:val="5A0667C2"/>
    <w:rsid w:val="5A1A070F"/>
    <w:rsid w:val="5A6574B1"/>
    <w:rsid w:val="5A971D60"/>
    <w:rsid w:val="5B377F26"/>
    <w:rsid w:val="5B4E6197"/>
    <w:rsid w:val="5B527A35"/>
    <w:rsid w:val="5BA3470D"/>
    <w:rsid w:val="5BFF3CE2"/>
    <w:rsid w:val="5C3942F1"/>
    <w:rsid w:val="5C81334F"/>
    <w:rsid w:val="5C826E66"/>
    <w:rsid w:val="5C8A31FF"/>
    <w:rsid w:val="5C8C51C9"/>
    <w:rsid w:val="5D0905C7"/>
    <w:rsid w:val="5D5932D1"/>
    <w:rsid w:val="5D845EA0"/>
    <w:rsid w:val="5DA07D5A"/>
    <w:rsid w:val="5DAD4F2E"/>
    <w:rsid w:val="5DB1394D"/>
    <w:rsid w:val="5E826883"/>
    <w:rsid w:val="5EAF73F9"/>
    <w:rsid w:val="5EB809CA"/>
    <w:rsid w:val="5EC450EE"/>
    <w:rsid w:val="5F6072F4"/>
    <w:rsid w:val="5F9C1BC7"/>
    <w:rsid w:val="5FB21C17"/>
    <w:rsid w:val="603911C4"/>
    <w:rsid w:val="608F405C"/>
    <w:rsid w:val="60C97425"/>
    <w:rsid w:val="6108329D"/>
    <w:rsid w:val="611556AE"/>
    <w:rsid w:val="61331F98"/>
    <w:rsid w:val="614624FC"/>
    <w:rsid w:val="61985A8C"/>
    <w:rsid w:val="619967BD"/>
    <w:rsid w:val="61D75138"/>
    <w:rsid w:val="61E15FB7"/>
    <w:rsid w:val="62E278F0"/>
    <w:rsid w:val="63777811"/>
    <w:rsid w:val="63867E92"/>
    <w:rsid w:val="63B27C28"/>
    <w:rsid w:val="653E102A"/>
    <w:rsid w:val="655B398A"/>
    <w:rsid w:val="656947A4"/>
    <w:rsid w:val="657F3D1A"/>
    <w:rsid w:val="65921346"/>
    <w:rsid w:val="65931376"/>
    <w:rsid w:val="65FF2434"/>
    <w:rsid w:val="66173356"/>
    <w:rsid w:val="6673430D"/>
    <w:rsid w:val="667A5E00"/>
    <w:rsid w:val="66AA700F"/>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0D6064"/>
    <w:rsid w:val="6B18238A"/>
    <w:rsid w:val="6B182A49"/>
    <w:rsid w:val="6BC33FDB"/>
    <w:rsid w:val="6BD34BC2"/>
    <w:rsid w:val="6CAE2F39"/>
    <w:rsid w:val="6CDF3F86"/>
    <w:rsid w:val="6CF8654C"/>
    <w:rsid w:val="6D351F98"/>
    <w:rsid w:val="6D9E3567"/>
    <w:rsid w:val="6DFD7C82"/>
    <w:rsid w:val="6E26547D"/>
    <w:rsid w:val="6E535B46"/>
    <w:rsid w:val="6EAA25F1"/>
    <w:rsid w:val="6EAC5256"/>
    <w:rsid w:val="6EE83DD3"/>
    <w:rsid w:val="6EF908E0"/>
    <w:rsid w:val="6F1B2E85"/>
    <w:rsid w:val="6F2F600D"/>
    <w:rsid w:val="6F360CBA"/>
    <w:rsid w:val="6F59081C"/>
    <w:rsid w:val="6F7F472E"/>
    <w:rsid w:val="6FB35F6F"/>
    <w:rsid w:val="6FCC03A0"/>
    <w:rsid w:val="6FCE8BEC"/>
    <w:rsid w:val="6FD827A7"/>
    <w:rsid w:val="6FDC1B6B"/>
    <w:rsid w:val="6FEE4ABE"/>
    <w:rsid w:val="703D45C4"/>
    <w:rsid w:val="707A3A78"/>
    <w:rsid w:val="70A97AE6"/>
    <w:rsid w:val="70CF08F5"/>
    <w:rsid w:val="713F6856"/>
    <w:rsid w:val="71476A4D"/>
    <w:rsid w:val="71EB0B34"/>
    <w:rsid w:val="72882FCA"/>
    <w:rsid w:val="72FF3793"/>
    <w:rsid w:val="73036137"/>
    <w:rsid w:val="735BFB72"/>
    <w:rsid w:val="73623B25"/>
    <w:rsid w:val="736519BD"/>
    <w:rsid w:val="736D1458"/>
    <w:rsid w:val="73905147"/>
    <w:rsid w:val="73A45BAA"/>
    <w:rsid w:val="73CB49E0"/>
    <w:rsid w:val="73CF5B6F"/>
    <w:rsid w:val="743D52CE"/>
    <w:rsid w:val="746745E8"/>
    <w:rsid w:val="74822CE1"/>
    <w:rsid w:val="74AE7F7A"/>
    <w:rsid w:val="74BD640F"/>
    <w:rsid w:val="74FF4332"/>
    <w:rsid w:val="757108D4"/>
    <w:rsid w:val="757BDD12"/>
    <w:rsid w:val="75816130"/>
    <w:rsid w:val="75F60207"/>
    <w:rsid w:val="767DCC2F"/>
    <w:rsid w:val="76AD7DBE"/>
    <w:rsid w:val="76EC2FDC"/>
    <w:rsid w:val="77EE8E8F"/>
    <w:rsid w:val="77F7B52C"/>
    <w:rsid w:val="77FB4879"/>
    <w:rsid w:val="78A376CA"/>
    <w:rsid w:val="78BD69DE"/>
    <w:rsid w:val="78BFB0A2"/>
    <w:rsid w:val="78C31B1A"/>
    <w:rsid w:val="78CC777C"/>
    <w:rsid w:val="78D94CCE"/>
    <w:rsid w:val="78EE34E5"/>
    <w:rsid w:val="79556C16"/>
    <w:rsid w:val="797572B9"/>
    <w:rsid w:val="79817E76"/>
    <w:rsid w:val="79847A03"/>
    <w:rsid w:val="79CB512B"/>
    <w:rsid w:val="7A1A4C92"/>
    <w:rsid w:val="7A2F391C"/>
    <w:rsid w:val="7AFD7566"/>
    <w:rsid w:val="7B37AC90"/>
    <w:rsid w:val="7B3B62E0"/>
    <w:rsid w:val="7B544624"/>
    <w:rsid w:val="7B63439E"/>
    <w:rsid w:val="7B9D2AF7"/>
    <w:rsid w:val="7BE91898"/>
    <w:rsid w:val="7C1868E6"/>
    <w:rsid w:val="7CB50EE6"/>
    <w:rsid w:val="7CFC55FB"/>
    <w:rsid w:val="7D2B1642"/>
    <w:rsid w:val="7DB84B82"/>
    <w:rsid w:val="7DFE2C7B"/>
    <w:rsid w:val="7E9B797F"/>
    <w:rsid w:val="7EB9D55E"/>
    <w:rsid w:val="7F030EC3"/>
    <w:rsid w:val="7F4A64A2"/>
    <w:rsid w:val="7F4C0ABC"/>
    <w:rsid w:val="7F74591C"/>
    <w:rsid w:val="7F7C3915"/>
    <w:rsid w:val="7F9B327E"/>
    <w:rsid w:val="7FDD9570"/>
    <w:rsid w:val="7FEE042A"/>
    <w:rsid w:val="87EBF327"/>
    <w:rsid w:val="8FFA1496"/>
    <w:rsid w:val="ABE4DEF5"/>
    <w:rsid w:val="AFFF0282"/>
    <w:rsid w:val="B7BFF928"/>
    <w:rsid w:val="BEBFF245"/>
    <w:rsid w:val="C7C74453"/>
    <w:rsid w:val="CBC95CF8"/>
    <w:rsid w:val="D3BD3B42"/>
    <w:rsid w:val="D3F49237"/>
    <w:rsid w:val="D5BD1B20"/>
    <w:rsid w:val="D7F96DCC"/>
    <w:rsid w:val="D97C1212"/>
    <w:rsid w:val="E45FBFDA"/>
    <w:rsid w:val="E97F1FE7"/>
    <w:rsid w:val="EF2F77BB"/>
    <w:rsid w:val="EFF2DA64"/>
    <w:rsid w:val="F12FCAD1"/>
    <w:rsid w:val="F5BD3117"/>
    <w:rsid w:val="F7FF09B2"/>
    <w:rsid w:val="F9FF7CEC"/>
    <w:rsid w:val="FBBA27BD"/>
    <w:rsid w:val="FBFB06A6"/>
    <w:rsid w:val="FCE8F536"/>
    <w:rsid w:val="FD7F17D1"/>
    <w:rsid w:val="FDB6434A"/>
    <w:rsid w:val="FDFF02F0"/>
    <w:rsid w:val="FEBBFB2A"/>
    <w:rsid w:val="FEFA9567"/>
    <w:rsid w:val="FF5EB58A"/>
    <w:rsid w:val="FF634F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5"/>
    <w:qFormat/>
    <w:uiPriority w:val="0"/>
    <w:pPr>
      <w:keepNext/>
      <w:keepLines/>
      <w:numPr>
        <w:ilvl w:val="0"/>
        <w:numId w:val="1"/>
      </w:numPr>
      <w:spacing w:before="340" w:after="330" w:line="576" w:lineRule="auto"/>
      <w:outlineLvl w:val="0"/>
    </w:pPr>
    <w:rPr>
      <w:b/>
      <w:kern w:val="44"/>
      <w:sz w:val="44"/>
    </w:rPr>
  </w:style>
  <w:style w:type="paragraph" w:styleId="5">
    <w:name w:val="heading 2"/>
    <w:basedOn w:val="1"/>
    <w:next w:val="1"/>
    <w:unhideWhenUsed/>
    <w:qFormat/>
    <w:uiPriority w:val="0"/>
    <w:pPr>
      <w:keepNext/>
      <w:keepLines/>
      <w:numPr>
        <w:ilvl w:val="1"/>
        <w:numId w:val="1"/>
      </w:numPr>
      <w:spacing w:before="260" w:after="260" w:line="413" w:lineRule="auto"/>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after="260" w:line="413" w:lineRule="auto"/>
      <w:outlineLvl w:val="2"/>
    </w:pPr>
    <w:rPr>
      <w:b/>
      <w:sz w:val="32"/>
    </w:rPr>
  </w:style>
  <w:style w:type="paragraph" w:styleId="7">
    <w:name w:val="heading 4"/>
    <w:basedOn w:val="1"/>
    <w:next w:val="1"/>
    <w:link w:val="32"/>
    <w:qFormat/>
    <w:uiPriority w:val="0"/>
    <w:pPr>
      <w:keepNext/>
      <w:keepLines/>
      <w:numPr>
        <w:ilvl w:val="3"/>
        <w:numId w:val="1"/>
      </w:numPr>
      <w:spacing w:line="372" w:lineRule="auto"/>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after="290" w:line="372" w:lineRule="auto"/>
      <w:outlineLvl w:val="4"/>
    </w:pPr>
    <w:rPr>
      <w:b/>
      <w:sz w:val="28"/>
    </w:rPr>
  </w:style>
  <w:style w:type="paragraph" w:styleId="9">
    <w:name w:val="heading 6"/>
    <w:basedOn w:val="1"/>
    <w:next w:val="1"/>
    <w:semiHidden/>
    <w:unhideWhenUsed/>
    <w:qFormat/>
    <w:uiPriority w:val="0"/>
    <w:pPr>
      <w:keepNext/>
      <w:keepLines/>
      <w:numPr>
        <w:ilvl w:val="5"/>
        <w:numId w:val="1"/>
      </w:numPr>
      <w:spacing w:before="240" w:after="64" w:line="317" w:lineRule="auto"/>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after="64" w:line="317" w:lineRule="auto"/>
      <w:outlineLvl w:val="6"/>
    </w:pPr>
    <w:rPr>
      <w:b/>
      <w:sz w:val="24"/>
    </w:rPr>
  </w:style>
  <w:style w:type="paragraph" w:styleId="11">
    <w:name w:val="heading 8"/>
    <w:basedOn w:val="1"/>
    <w:next w:val="1"/>
    <w:semiHidden/>
    <w:unhideWhenUsed/>
    <w:qFormat/>
    <w:uiPriority w:val="0"/>
    <w:pPr>
      <w:keepNext/>
      <w:keepLines/>
      <w:numPr>
        <w:ilvl w:val="7"/>
        <w:numId w:val="1"/>
      </w:numPr>
      <w:spacing w:before="240" w:after="64" w:line="317" w:lineRule="auto"/>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after="64" w:line="317" w:lineRule="auto"/>
      <w:outlineLvl w:val="8"/>
    </w:pPr>
    <w:rPr>
      <w:rFonts w:ascii="Arial" w:hAnsi="Arial" w:eastAsia="黑体"/>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13">
    <w:name w:val="Normal Indent"/>
    <w:basedOn w:val="1"/>
    <w:unhideWhenUsed/>
    <w:qFormat/>
    <w:uiPriority w:val="99"/>
    <w:pPr>
      <w:ind w:firstLine="420" w:firstLineChars="200"/>
    </w:pPr>
    <w:rPr>
      <w:rFonts w:ascii="Times New Roman" w:hAnsi="Times New Roman"/>
      <w:szCs w:val="21"/>
    </w:rPr>
  </w:style>
  <w:style w:type="paragraph" w:styleId="14">
    <w:name w:val="annotation text"/>
    <w:basedOn w:val="1"/>
    <w:link w:val="39"/>
    <w:qFormat/>
    <w:uiPriority w:val="0"/>
    <w:pPr>
      <w:jc w:val="left"/>
    </w:pPr>
  </w:style>
  <w:style w:type="paragraph" w:styleId="15">
    <w:name w:val="Body Text Indent"/>
    <w:basedOn w:val="1"/>
    <w:next w:val="16"/>
    <w:qFormat/>
    <w:uiPriority w:val="0"/>
    <w:pPr>
      <w:spacing w:before="50" w:after="50" w:line="300" w:lineRule="auto"/>
      <w:ind w:firstLine="420" w:firstLineChars="200"/>
    </w:pPr>
    <w:rPr>
      <w:rFonts w:ascii="宋体" w:hAnsi="宋体" w:eastAsia="宋体" w:cs="Times New Roman"/>
      <w:kern w:val="0"/>
      <w:sz w:val="24"/>
    </w:rPr>
  </w:style>
  <w:style w:type="paragraph" w:styleId="16">
    <w:name w:val="envelope return"/>
    <w:basedOn w:val="1"/>
    <w:unhideWhenUsed/>
    <w:qFormat/>
    <w:uiPriority w:val="99"/>
    <w:rPr>
      <w:rFonts w:ascii="Arial" w:hAnsi="Arial"/>
    </w:rPr>
  </w:style>
  <w:style w:type="paragraph" w:styleId="17">
    <w:name w:val="Plain Text"/>
    <w:basedOn w:val="1"/>
    <w:qFormat/>
    <w:uiPriority w:val="0"/>
    <w:rPr>
      <w:rFonts w:ascii="宋体" w:hAnsi="Courier New"/>
      <w:kern w:val="0"/>
      <w:sz w:val="20"/>
      <w:szCs w:val="20"/>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toc 1"/>
    <w:basedOn w:val="1"/>
    <w:next w:val="1"/>
    <w:unhideWhenUsed/>
    <w:qFormat/>
    <w:uiPriority w:val="39"/>
    <w:pPr>
      <w:tabs>
        <w:tab w:val="right" w:leader="dot" w:pos="8834"/>
        <w:tab w:val="right" w:leader="dot" w:pos="9540"/>
      </w:tabs>
      <w:jc w:val="center"/>
    </w:pPr>
    <w:rPr>
      <w:rFonts w:ascii="宋体" w:hAnsi="黑体"/>
      <w:bCs/>
      <w:caps/>
    </w:rPr>
  </w:style>
  <w:style w:type="paragraph" w:styleId="20">
    <w:name w:val="Normal (Web)"/>
    <w:basedOn w:val="1"/>
    <w:qFormat/>
    <w:uiPriority w:val="0"/>
    <w:pPr>
      <w:spacing w:beforeAutospacing="1" w:afterAutospacing="1"/>
      <w:jc w:val="left"/>
    </w:pPr>
    <w:rPr>
      <w:kern w:val="0"/>
      <w:sz w:val="24"/>
    </w:rPr>
  </w:style>
  <w:style w:type="paragraph" w:styleId="21">
    <w:name w:val="annotation subject"/>
    <w:basedOn w:val="14"/>
    <w:next w:val="14"/>
    <w:link w:val="40"/>
    <w:qFormat/>
    <w:uiPriority w:val="0"/>
    <w:rPr>
      <w:b/>
      <w:bCs/>
    </w:rPr>
  </w:style>
  <w:style w:type="paragraph" w:styleId="22">
    <w:name w:val="Body Text First Indent"/>
    <w:basedOn w:val="1"/>
    <w:qFormat/>
    <w:uiPriority w:val="0"/>
    <w:pPr>
      <w:spacing w:line="360" w:lineRule="auto"/>
      <w:ind w:firstLine="200" w:firstLineChars="200"/>
    </w:pPr>
    <w:rPr>
      <w:rFonts w:ascii="Times New Roman" w:hAnsi="Times New Roman"/>
      <w:sz w:val="24"/>
    </w:rPr>
  </w:style>
  <w:style w:type="paragraph" w:styleId="23">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qFormat/>
    <w:uiPriority w:val="0"/>
    <w:rPr>
      <w:rFonts w:ascii="Times New Roman" w:hAnsi="Times New Roman" w:eastAsia="宋体"/>
      <w:sz w:val="18"/>
    </w:rPr>
  </w:style>
  <w:style w:type="character" w:styleId="28">
    <w:name w:val="annotation reference"/>
    <w:basedOn w:val="26"/>
    <w:qFormat/>
    <w:uiPriority w:val="0"/>
    <w:rPr>
      <w:sz w:val="21"/>
      <w:szCs w:val="21"/>
    </w:rPr>
  </w:style>
  <w:style w:type="paragraph" w:customStyle="1" w:styleId="29">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30">
    <w:name w:val="南网格式"/>
    <w:basedOn w:val="1"/>
    <w:qFormat/>
    <w:uiPriority w:val="0"/>
    <w:pPr>
      <w:widowControl/>
      <w:spacing w:before="120" w:line="360" w:lineRule="auto"/>
      <w:jc w:val="left"/>
    </w:pPr>
    <w:rPr>
      <w:rFonts w:ascii="宋体" w:hAnsi="宋体"/>
      <w:kern w:val="0"/>
      <w:sz w:val="24"/>
      <w:szCs w:val="28"/>
    </w:rPr>
  </w:style>
  <w:style w:type="paragraph" w:customStyle="1" w:styleId="31">
    <w:name w:val="p0"/>
    <w:basedOn w:val="1"/>
    <w:qFormat/>
    <w:uiPriority w:val="0"/>
    <w:pPr>
      <w:widowControl/>
    </w:pPr>
    <w:rPr>
      <w:rFonts w:ascii="Times New Roman" w:hAnsi="Times New Roman"/>
      <w:kern w:val="0"/>
      <w:szCs w:val="21"/>
    </w:rPr>
  </w:style>
  <w:style w:type="character" w:customStyle="1" w:styleId="32">
    <w:name w:val="标题 4 字符"/>
    <w:link w:val="7"/>
    <w:qFormat/>
    <w:uiPriority w:val="0"/>
    <w:rPr>
      <w:rFonts w:ascii="Arial" w:hAnsi="Arial" w:eastAsia="黑体"/>
      <w:sz w:val="28"/>
    </w:rPr>
  </w:style>
  <w:style w:type="paragraph" w:customStyle="1" w:styleId="33">
    <w:name w:val="样式1"/>
    <w:basedOn w:val="1"/>
    <w:qFormat/>
    <w:uiPriority w:val="0"/>
    <w:rPr>
      <w:rFonts w:ascii="Times New Roman" w:hAnsi="Times New Roman"/>
      <w:sz w:val="28"/>
    </w:rPr>
  </w:style>
  <w:style w:type="paragraph" w:customStyle="1" w:styleId="34">
    <w:name w:val="Body text|1"/>
    <w:basedOn w:val="1"/>
    <w:qFormat/>
    <w:uiPriority w:val="0"/>
    <w:pPr>
      <w:spacing w:line="434" w:lineRule="auto"/>
    </w:pPr>
    <w:rPr>
      <w:rFonts w:ascii="宋体" w:hAnsi="宋体" w:eastAsia="宋体" w:cs="宋体"/>
      <w:sz w:val="30"/>
      <w:szCs w:val="30"/>
      <w:lang w:val="zh-TW" w:eastAsia="zh-TW" w:bidi="zh-TW"/>
    </w:rPr>
  </w:style>
  <w:style w:type="character" w:customStyle="1" w:styleId="35">
    <w:name w:val="标题 1 字符"/>
    <w:link w:val="4"/>
    <w:qFormat/>
    <w:uiPriority w:val="0"/>
    <w:rPr>
      <w:b/>
      <w:kern w:val="44"/>
      <w:sz w:val="44"/>
    </w:rPr>
  </w:style>
  <w:style w:type="character" w:customStyle="1" w:styleId="36">
    <w:name w:val="font21"/>
    <w:basedOn w:val="26"/>
    <w:qFormat/>
    <w:uiPriority w:val="0"/>
    <w:rPr>
      <w:rFonts w:hint="eastAsia" w:ascii="宋体" w:hAnsi="宋体" w:eastAsia="宋体" w:cs="宋体"/>
      <w:color w:val="000000"/>
      <w:sz w:val="21"/>
      <w:szCs w:val="21"/>
      <w:u w:val="none"/>
    </w:rPr>
  </w:style>
  <w:style w:type="character" w:customStyle="1" w:styleId="37">
    <w:name w:val="font31"/>
    <w:basedOn w:val="26"/>
    <w:qFormat/>
    <w:uiPriority w:val="0"/>
    <w:rPr>
      <w:rFonts w:ascii="Calibri" w:hAnsi="Calibri" w:cs="Calibri"/>
      <w:color w:val="000000"/>
      <w:sz w:val="21"/>
      <w:szCs w:val="21"/>
      <w:u w:val="none"/>
    </w:rPr>
  </w:style>
  <w:style w:type="paragraph" w:customStyle="1" w:styleId="38">
    <w:name w:val="Revision"/>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39">
    <w:name w:val="批注文字 字符"/>
    <w:basedOn w:val="26"/>
    <w:link w:val="14"/>
    <w:qFormat/>
    <w:uiPriority w:val="0"/>
    <w:rPr>
      <w:rFonts w:asciiTheme="minorHAnsi" w:hAnsiTheme="minorHAnsi" w:eastAsiaTheme="minorEastAsia" w:cstheme="minorBidi"/>
      <w:kern w:val="2"/>
      <w:sz w:val="21"/>
      <w:szCs w:val="24"/>
    </w:rPr>
  </w:style>
  <w:style w:type="character" w:customStyle="1" w:styleId="40">
    <w:name w:val="批注主题 字符"/>
    <w:basedOn w:val="39"/>
    <w:link w:val="21"/>
    <w:qFormat/>
    <w:uiPriority w:val="0"/>
    <w:rPr>
      <w:rFonts w:asciiTheme="minorHAnsi" w:hAnsiTheme="minorHAnsi" w:eastAsiaTheme="minorEastAsia" w:cstheme="minorBidi"/>
      <w:b/>
      <w:bCs/>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2131</Words>
  <Characters>2188</Characters>
  <Lines>44</Lines>
  <Paragraphs>12</Paragraphs>
  <TotalTime>30</TotalTime>
  <ScaleCrop>false</ScaleCrop>
  <LinksUpToDate>false</LinksUpToDate>
  <CharactersWithSpaces>2211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2023-10-22T01:32:00Z</dcterms:created>
  <dc:creator>风影</dc:creator>
  <cp:lastModifiedBy>林晓渊</cp:lastModifiedBy>
  <dcterms:modified xsi:type="dcterms:W3CDTF">2026-08-25T01:35:57Z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77E0C433024446CBAEF3744FE4788EB9_13</vt:lpwstr>
  </property>
  <property fmtid="{D5CDD505-2E9C-101B-9397-08002B2CF9AE}" pid="4" name="KSOTemplateDocerSaveRecord">
    <vt:lpwstr>eyJoZGlkIjoiODMzNDI5YTJmYWU2MjVlYTQ3OTIzNTY1ZGYxNmZlZmQiLCJ1c2VySWQiOiI0MjYxODIyNTYifQ==</vt:lpwstr>
  </property>
</Properties>
</file>