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562" w:firstLineChars="200"/>
        <w:outlineLvl w:val="1"/>
        <w:rPr>
          <w:b/>
          <w:color w:val="auto"/>
          <w:sz w:val="28"/>
          <w:szCs w:val="28"/>
          <w:highlight w:val="none"/>
        </w:rPr>
      </w:pPr>
      <w:r>
        <w:rPr>
          <w:b/>
          <w:color w:val="auto"/>
          <w:sz w:val="28"/>
          <w:szCs w:val="28"/>
          <w:highlight w:val="none"/>
        </w:rPr>
        <w:t>（</w:t>
      </w:r>
      <w:r>
        <w:rPr>
          <w:rFonts w:hint="eastAsia"/>
          <w:b/>
          <w:color w:val="auto"/>
          <w:sz w:val="28"/>
          <w:szCs w:val="28"/>
          <w:highlight w:val="none"/>
          <w:lang w:val="en-US" w:eastAsia="zh-CN"/>
        </w:rPr>
        <w:t>一</w:t>
      </w:r>
      <w:r>
        <w:rPr>
          <w:b/>
          <w:color w:val="auto"/>
          <w:sz w:val="28"/>
          <w:szCs w:val="28"/>
          <w:highlight w:val="none"/>
        </w:rPr>
        <w:t>）</w:t>
      </w:r>
      <w:r>
        <w:rPr>
          <w:rFonts w:hint="eastAsia"/>
          <w:b/>
          <w:color w:val="auto"/>
          <w:sz w:val="28"/>
          <w:szCs w:val="28"/>
          <w:highlight w:val="none"/>
        </w:rPr>
        <w:t>评审办法</w:t>
      </w:r>
    </w:p>
    <w:p>
      <w:pPr>
        <w:pStyle w:val="4"/>
        <w:adjustRightInd w:val="0"/>
        <w:snapToGrid w:val="0"/>
        <w:spacing w:before="156"/>
        <w:ind w:firstLine="560"/>
        <w:rPr>
          <w:color w:val="auto"/>
          <w:sz w:val="28"/>
          <w:szCs w:val="28"/>
          <w:highlight w:val="none"/>
        </w:rPr>
      </w:pPr>
      <w:r>
        <w:rPr>
          <w:rFonts w:hint="eastAsia"/>
          <w:color w:val="auto"/>
          <w:sz w:val="28"/>
          <w:szCs w:val="28"/>
          <w:highlight w:val="none"/>
        </w:rPr>
        <w:t>在评审过程中，需要供应商澄清时，</w:t>
      </w:r>
      <w:r>
        <w:rPr>
          <w:rFonts w:hint="eastAsia" w:ascii="宋体" w:hAnsi="宋体" w:cs="宋体"/>
          <w:color w:val="auto"/>
          <w:sz w:val="28"/>
          <w:szCs w:val="28"/>
          <w:highlight w:val="none"/>
          <w:lang w:val="en-US" w:eastAsia="zh-CN"/>
        </w:rPr>
        <w:t>方案比选</w:t>
      </w:r>
      <w:r>
        <w:rPr>
          <w:rFonts w:hint="eastAsia"/>
          <w:color w:val="auto"/>
          <w:sz w:val="28"/>
          <w:szCs w:val="28"/>
          <w:highlight w:val="none"/>
          <w:lang w:eastAsia="zh-CN"/>
        </w:rPr>
        <w:t>评审工作组</w:t>
      </w:r>
      <w:r>
        <w:rPr>
          <w:rFonts w:hint="eastAsia"/>
          <w:color w:val="auto"/>
          <w:sz w:val="28"/>
          <w:szCs w:val="28"/>
          <w:highlight w:val="none"/>
        </w:rPr>
        <w:t>可以当面对供应商进行咨询，并由供应商的法定代表人或者其委托的代理人书面确认，但对响应文件不得做实质性变更。</w:t>
      </w:r>
    </w:p>
    <w:p>
      <w:pPr>
        <w:pStyle w:val="4"/>
        <w:numPr>
          <w:ilvl w:val="0"/>
          <w:numId w:val="0"/>
        </w:numPr>
        <w:adjustRightInd w:val="0"/>
        <w:snapToGrid w:val="0"/>
        <w:spacing w:before="156"/>
        <w:ind w:firstLine="560" w:firstLineChars="200"/>
        <w:rPr>
          <w:rFonts w:hint="default" w:eastAsia="宋体"/>
          <w:color w:val="auto"/>
          <w:sz w:val="28"/>
          <w:szCs w:val="28"/>
          <w:highlight w:val="none"/>
          <w:lang w:val="en-US" w:eastAsia="zh-CN"/>
        </w:rPr>
      </w:pPr>
      <w:r>
        <w:rPr>
          <w:rFonts w:hint="eastAsia"/>
          <w:color w:val="auto"/>
          <w:sz w:val="28"/>
          <w:szCs w:val="28"/>
          <w:highlight w:val="none"/>
          <w:lang w:val="en-US" w:eastAsia="zh-CN"/>
        </w:rPr>
        <w:t>1.</w:t>
      </w:r>
      <w:r>
        <w:rPr>
          <w:rFonts w:hint="eastAsia"/>
          <w:color w:val="auto"/>
          <w:sz w:val="28"/>
          <w:szCs w:val="28"/>
          <w:highlight w:val="none"/>
        </w:rPr>
        <w:t>详细评审</w:t>
      </w:r>
      <w:r>
        <w:rPr>
          <w:rFonts w:hint="eastAsia"/>
          <w:color w:val="auto"/>
          <w:sz w:val="28"/>
          <w:szCs w:val="28"/>
          <w:highlight w:val="none"/>
          <w:lang w:eastAsia="zh-CN"/>
        </w:rPr>
        <w:t>（</w:t>
      </w:r>
      <w:r>
        <w:rPr>
          <w:rFonts w:hint="eastAsia"/>
          <w:color w:val="auto"/>
          <w:sz w:val="28"/>
          <w:szCs w:val="28"/>
          <w:highlight w:val="none"/>
          <w:lang w:val="en-US" w:eastAsia="zh-CN"/>
        </w:rPr>
        <w:t>适用于货物）</w:t>
      </w:r>
    </w:p>
    <w:tbl>
      <w:tblPr>
        <w:tblStyle w:val="5"/>
        <w:tblW w:w="91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134"/>
        <w:gridCol w:w="1489"/>
        <w:gridCol w:w="4748"/>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85" w:type="dxa"/>
            <w:gridSpan w:val="5"/>
            <w:noWrap w:val="0"/>
            <w:vAlign w:val="top"/>
          </w:tcPr>
          <w:p>
            <w:pPr>
              <w:spacing w:line="400" w:lineRule="exact"/>
              <w:rPr>
                <w:rFonts w:hint="eastAsia" w:eastAsia="宋体"/>
                <w:color w:val="auto"/>
                <w:highlight w:val="none"/>
                <w:lang w:val="en-US" w:eastAsia="zh-CN"/>
              </w:rPr>
            </w:pPr>
            <w:bookmarkStart w:id="0" w:name="PO_638CE53E34A141D49CDF3F9AE23E9E16"/>
            <w:bookmarkStart w:id="1" w:name="XmInfoEntity_xxpsTable_1_1"/>
            <w:r>
              <w:rPr>
                <w:rFonts w:hint="eastAsia"/>
                <w:b/>
                <w:color w:val="auto"/>
                <w:highlight w:val="none"/>
                <w:lang w:val="en-US" w:eastAsia="zh-CN"/>
              </w:rPr>
              <w:t>商务</w:t>
            </w:r>
            <w:r>
              <w:rPr>
                <w:b/>
                <w:color w:val="auto"/>
                <w:highlight w:val="none"/>
              </w:rPr>
              <w:t>评审（</w:t>
            </w:r>
            <w:r>
              <w:rPr>
                <w:rFonts w:hint="eastAsia"/>
                <w:b/>
                <w:color w:val="auto"/>
                <w:highlight w:val="none"/>
                <w:lang w:val="en-US" w:eastAsia="zh-CN"/>
              </w:rPr>
              <w:t>15</w:t>
            </w:r>
            <w:r>
              <w:rPr>
                <w:b/>
                <w:color w:val="auto"/>
                <w:highlight w:val="none"/>
              </w:rPr>
              <w:t>）分</w:t>
            </w:r>
            <w:bookmarkStart w:id="2" w:name="_GoBack"/>
            <w:bookmarkEnd w:id="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spacing w:line="400" w:lineRule="exact"/>
              <w:jc w:val="center"/>
              <w:rPr>
                <w:rFonts w:ascii="Calibri" w:hAnsi="Calibri" w:eastAsia="宋体" w:cs="Times New Roman"/>
                <w:color w:val="auto"/>
                <w:kern w:val="2"/>
                <w:sz w:val="21"/>
                <w:szCs w:val="22"/>
                <w:highlight w:val="none"/>
                <w:lang w:val="en-US" w:eastAsia="zh-CN" w:bidi="ar-SA"/>
              </w:rPr>
            </w:pPr>
            <w:r>
              <w:rPr>
                <w:b/>
                <w:color w:val="auto"/>
                <w:highlight w:val="none"/>
              </w:rPr>
              <w:t>序号</w:t>
            </w:r>
          </w:p>
        </w:tc>
        <w:tc>
          <w:tcPr>
            <w:tcW w:w="1134" w:type="dxa"/>
            <w:noWrap w:val="0"/>
            <w:vAlign w:val="center"/>
          </w:tcPr>
          <w:p>
            <w:pPr>
              <w:spacing w:line="400" w:lineRule="exact"/>
              <w:jc w:val="center"/>
              <w:rPr>
                <w:rFonts w:ascii="Calibri" w:hAnsi="Calibri" w:eastAsia="宋体" w:cs="Times New Roman"/>
                <w:color w:val="auto"/>
                <w:kern w:val="2"/>
                <w:sz w:val="21"/>
                <w:szCs w:val="22"/>
                <w:highlight w:val="none"/>
                <w:lang w:val="en-US" w:eastAsia="zh-CN" w:bidi="ar-SA"/>
              </w:rPr>
            </w:pPr>
            <w:r>
              <w:rPr>
                <w:b/>
                <w:color w:val="auto"/>
                <w:highlight w:val="none"/>
              </w:rPr>
              <w:t>评分因素</w:t>
            </w:r>
          </w:p>
        </w:tc>
        <w:tc>
          <w:tcPr>
            <w:tcW w:w="1489" w:type="dxa"/>
            <w:noWrap w:val="0"/>
            <w:vAlign w:val="center"/>
          </w:tcPr>
          <w:p>
            <w:pPr>
              <w:spacing w:line="400" w:lineRule="exact"/>
              <w:jc w:val="center"/>
              <w:rPr>
                <w:rFonts w:ascii="Calibri" w:hAnsi="Calibri" w:eastAsia="宋体" w:cs="Times New Roman"/>
                <w:color w:val="auto"/>
                <w:kern w:val="2"/>
                <w:sz w:val="21"/>
                <w:szCs w:val="22"/>
                <w:highlight w:val="none"/>
                <w:lang w:val="en-US" w:eastAsia="zh-CN" w:bidi="ar-SA"/>
              </w:rPr>
            </w:pPr>
            <w:r>
              <w:rPr>
                <w:b/>
                <w:color w:val="auto"/>
                <w:highlight w:val="none"/>
              </w:rPr>
              <w:t>详细评审项</w:t>
            </w:r>
          </w:p>
        </w:tc>
        <w:tc>
          <w:tcPr>
            <w:tcW w:w="4748" w:type="dxa"/>
            <w:noWrap w:val="0"/>
            <w:vAlign w:val="center"/>
          </w:tcPr>
          <w:p>
            <w:pPr>
              <w:spacing w:line="400" w:lineRule="exact"/>
              <w:jc w:val="center"/>
              <w:rPr>
                <w:rFonts w:ascii="Calibri" w:hAnsi="Calibri" w:eastAsia="宋体" w:cs="Times New Roman"/>
                <w:color w:val="auto"/>
                <w:kern w:val="2"/>
                <w:sz w:val="21"/>
                <w:szCs w:val="22"/>
                <w:highlight w:val="none"/>
                <w:lang w:val="en-US" w:eastAsia="zh-CN" w:bidi="ar-SA"/>
              </w:rPr>
            </w:pPr>
            <w:r>
              <w:rPr>
                <w:b/>
                <w:color w:val="auto"/>
                <w:highlight w:val="none"/>
              </w:rPr>
              <w:t>详细评审分项要素</w:t>
            </w:r>
          </w:p>
        </w:tc>
        <w:tc>
          <w:tcPr>
            <w:tcW w:w="1134" w:type="dxa"/>
            <w:noWrap w:val="0"/>
            <w:vAlign w:val="center"/>
          </w:tcPr>
          <w:p>
            <w:pPr>
              <w:spacing w:line="400" w:lineRule="exact"/>
              <w:jc w:val="center"/>
              <w:rPr>
                <w:rFonts w:ascii="Calibri" w:hAnsi="Calibri" w:eastAsia="宋体" w:cs="Times New Roman"/>
                <w:color w:val="auto"/>
                <w:kern w:val="2"/>
                <w:sz w:val="21"/>
                <w:szCs w:val="22"/>
                <w:highlight w:val="none"/>
                <w:lang w:val="en-US" w:eastAsia="zh-CN" w:bidi="ar-SA"/>
              </w:rPr>
            </w:pPr>
            <w:r>
              <w:rPr>
                <w:b/>
                <w:color w:val="auto"/>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spacing w:line="400" w:lineRule="exact"/>
              <w:jc w:val="center"/>
              <w:rPr>
                <w:rFonts w:hint="default"/>
                <w:b/>
                <w:color w:val="auto"/>
                <w:highlight w:val="none"/>
                <w:lang w:val="en-US" w:eastAsia="zh-CN"/>
              </w:rPr>
            </w:pPr>
            <w:r>
              <w:rPr>
                <w:rFonts w:hint="eastAsia"/>
                <w:b/>
                <w:color w:val="auto"/>
                <w:highlight w:val="none"/>
                <w:lang w:val="en-US" w:eastAsia="zh-CN"/>
              </w:rPr>
              <w:t>1</w:t>
            </w:r>
          </w:p>
        </w:tc>
        <w:tc>
          <w:tcPr>
            <w:tcW w:w="1134"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default" w:ascii="Calibri" w:hAnsi="Calibri" w:eastAsia="宋体" w:cs="Times New Roman"/>
                <w:color w:val="auto"/>
                <w:kern w:val="2"/>
                <w:sz w:val="21"/>
                <w:szCs w:val="22"/>
                <w:highlight w:val="none"/>
                <w:lang w:val="en-US" w:eastAsia="zh-CN" w:bidi="ar-SA"/>
              </w:rPr>
              <w:t>供应能力</w:t>
            </w:r>
          </w:p>
        </w:tc>
        <w:tc>
          <w:tcPr>
            <w:tcW w:w="1489"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default" w:ascii="Calibri" w:hAnsi="Calibri" w:eastAsia="宋体" w:cs="Times New Roman"/>
                <w:color w:val="auto"/>
                <w:kern w:val="2"/>
                <w:sz w:val="21"/>
                <w:szCs w:val="22"/>
                <w:highlight w:val="none"/>
                <w:lang w:val="en-US" w:eastAsia="zh-CN" w:bidi="ar-SA"/>
              </w:rPr>
              <w:t>供应能力-供</w:t>
            </w:r>
          </w:p>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default" w:ascii="Calibri" w:hAnsi="Calibri" w:eastAsia="宋体" w:cs="Times New Roman"/>
                <w:color w:val="auto"/>
                <w:kern w:val="2"/>
                <w:sz w:val="21"/>
                <w:szCs w:val="22"/>
                <w:highlight w:val="none"/>
                <w:lang w:val="en-US" w:eastAsia="zh-CN" w:bidi="ar-SA"/>
              </w:rPr>
              <w:t>应能力</w:t>
            </w:r>
          </w:p>
        </w:tc>
        <w:tc>
          <w:tcPr>
            <w:tcW w:w="4748" w:type="dxa"/>
            <w:noWrap w:val="0"/>
            <w:vAlign w:val="center"/>
          </w:tcPr>
          <w:p>
            <w:pPr>
              <w:rPr>
                <w:rFonts w:hint="default" w:ascii="Calibri" w:hAnsi="Calibri" w:eastAsia="宋体" w:cs="Times New Roman"/>
                <w:kern w:val="2"/>
                <w:sz w:val="21"/>
                <w:szCs w:val="22"/>
                <w:lang w:val="en-US" w:eastAsia="zh-CN" w:bidi="ar-SA"/>
              </w:rPr>
            </w:pPr>
            <w:r>
              <w:rPr>
                <w:rFonts w:hint="default" w:ascii="Calibri" w:hAnsi="Calibri" w:eastAsia="宋体" w:cs="Times New Roman"/>
                <w:kern w:val="2"/>
                <w:sz w:val="21"/>
                <w:szCs w:val="22"/>
                <w:lang w:val="en-US" w:eastAsia="zh-CN" w:bidi="ar-SA"/>
              </w:rPr>
              <w:t>按照单位设备承诺最短交付时间由小到大横向排名，第一名得满分，每下降一名扣相应比例分数</w:t>
            </w:r>
          </w:p>
          <w:p>
            <w:pPr>
              <w:rPr>
                <w:rFonts w:hint="default" w:ascii="Calibri" w:hAnsi="Calibri" w:eastAsia="宋体" w:cs="Times New Roman"/>
                <w:kern w:val="2"/>
                <w:sz w:val="21"/>
                <w:szCs w:val="22"/>
                <w:lang w:val="en-US" w:eastAsia="zh-CN" w:bidi="ar-SA"/>
              </w:rPr>
            </w:pPr>
            <w:r>
              <w:rPr>
                <w:rFonts w:hint="default" w:ascii="Calibri" w:hAnsi="Calibri" w:eastAsia="宋体" w:cs="Times New Roman"/>
                <w:kern w:val="2"/>
                <w:sz w:val="21"/>
                <w:szCs w:val="22"/>
                <w:lang w:val="en-US" w:eastAsia="zh-CN" w:bidi="ar-SA"/>
              </w:rPr>
              <w:t>（总分/通过初评的投标人数量）。相同数值排名一致，之后排名依次增加（如排名第一者有 2 家，则之后一家按排名第二处理），最后得分四舍五入保留2位小数。未提供相关佐证材料，或无供应量计算过程和产能分析材料，或佐证材料无法证明其生产承诺供应能力，该项响应值将认定为 0，且该项得分为 0。注：请按要求提供具体的供应量计算过程，并提供详细产能分析材料（须能证明自身拥有生产线、生产设备，能生产承诺的供应量）以及合同交付期内排产计划等证明材料。</w:t>
            </w:r>
          </w:p>
        </w:tc>
        <w:tc>
          <w:tcPr>
            <w:tcW w:w="1134"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eastAsia" w:cs="Times New Roman"/>
                <w:color w:val="auto"/>
                <w:kern w:val="2"/>
                <w:sz w:val="21"/>
                <w:szCs w:val="22"/>
                <w:highlight w:val="none"/>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spacing w:line="400" w:lineRule="exact"/>
              <w:jc w:val="center"/>
              <w:rPr>
                <w:rFonts w:hint="eastAsia" w:eastAsia="宋体"/>
                <w:b/>
                <w:color w:val="auto"/>
                <w:highlight w:val="none"/>
                <w:lang w:val="en-US" w:eastAsia="zh-CN"/>
              </w:rPr>
            </w:pPr>
            <w:r>
              <w:rPr>
                <w:rFonts w:hint="eastAsia"/>
                <w:b/>
                <w:color w:val="auto"/>
                <w:highlight w:val="none"/>
                <w:lang w:val="en-US" w:eastAsia="zh-CN"/>
              </w:rPr>
              <w:t>2</w:t>
            </w:r>
          </w:p>
        </w:tc>
        <w:tc>
          <w:tcPr>
            <w:tcW w:w="1134"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default" w:ascii="Calibri" w:hAnsi="Calibri" w:eastAsia="宋体" w:cs="Times New Roman"/>
                <w:color w:val="auto"/>
                <w:kern w:val="2"/>
                <w:sz w:val="21"/>
                <w:szCs w:val="22"/>
                <w:highlight w:val="none"/>
                <w:lang w:val="en-US" w:eastAsia="zh-CN" w:bidi="ar-SA"/>
              </w:rPr>
              <w:t>商务响应性</w:t>
            </w:r>
          </w:p>
        </w:tc>
        <w:tc>
          <w:tcPr>
            <w:tcW w:w="1489"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default" w:ascii="Calibri" w:hAnsi="Calibri" w:eastAsia="宋体" w:cs="Times New Roman"/>
                <w:color w:val="auto"/>
                <w:kern w:val="2"/>
                <w:sz w:val="21"/>
                <w:szCs w:val="22"/>
                <w:highlight w:val="none"/>
                <w:lang w:val="en-US" w:eastAsia="zh-CN" w:bidi="ar-SA"/>
              </w:rPr>
              <w:t>商务响应性-供应稳定</w:t>
            </w:r>
          </w:p>
        </w:tc>
        <w:tc>
          <w:tcPr>
            <w:tcW w:w="4748" w:type="dxa"/>
            <w:noWrap w:val="0"/>
            <w:vAlign w:val="center"/>
          </w:tcPr>
          <w:p>
            <w:pPr>
              <w:rPr>
                <w:rFonts w:hint="default" w:ascii="Calibri" w:hAnsi="Calibri" w:eastAsia="宋体" w:cs="Times New Roman"/>
                <w:kern w:val="2"/>
                <w:sz w:val="21"/>
                <w:szCs w:val="22"/>
                <w:lang w:val="en-US" w:eastAsia="zh-CN" w:bidi="ar-SA"/>
              </w:rPr>
            </w:pPr>
            <w:r>
              <w:rPr>
                <w:rFonts w:hint="default" w:ascii="Calibri" w:hAnsi="Calibri" w:eastAsia="宋体" w:cs="Times New Roman"/>
                <w:kern w:val="2"/>
                <w:sz w:val="21"/>
                <w:szCs w:val="22"/>
                <w:lang w:val="en-US" w:eastAsia="zh-CN" w:bidi="ar-SA"/>
              </w:rPr>
              <w:t>1.承诺设备全生命周期备品备件、零部件稳定供应。是得 5分，否得 0 分。</w:t>
            </w:r>
          </w:p>
          <w:p>
            <w:pPr>
              <w:rPr>
                <w:rFonts w:hint="default" w:ascii="Calibri" w:hAnsi="Calibri" w:eastAsia="宋体" w:cs="Times New Roman"/>
                <w:kern w:val="2"/>
                <w:sz w:val="21"/>
                <w:szCs w:val="22"/>
                <w:lang w:val="en-US" w:eastAsia="zh-CN" w:bidi="ar-SA"/>
              </w:rPr>
            </w:pPr>
            <w:r>
              <w:rPr>
                <w:rFonts w:hint="default" w:ascii="Calibri" w:hAnsi="Calibri" w:eastAsia="宋体" w:cs="Times New Roman"/>
                <w:kern w:val="2"/>
                <w:sz w:val="21"/>
                <w:szCs w:val="22"/>
                <w:lang w:val="en-US" w:eastAsia="zh-CN" w:bidi="ar-SA"/>
              </w:rPr>
              <w:t>2.因改扩建等后期建设要求保证功能配套而需要继续从原供应商处直接采购的，承诺以不高于同期中标价格（同期无中标记录的取最近一次中标价格）提供同型号（或替代型号）设备整机、备品备件或零部件。是得 5 分，否得 0 分。</w:t>
            </w:r>
          </w:p>
        </w:tc>
        <w:tc>
          <w:tcPr>
            <w:tcW w:w="1134"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eastAsia" w:cs="Times New Roman"/>
                <w:color w:val="auto"/>
                <w:kern w:val="2"/>
                <w:sz w:val="21"/>
                <w:szCs w:val="22"/>
                <w:highlight w:val="none"/>
                <w:lang w:val="en-US" w:eastAsia="zh-CN" w:bidi="ar-S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spacing w:line="400" w:lineRule="exact"/>
              <w:jc w:val="center"/>
              <w:rPr>
                <w:rFonts w:hint="default"/>
                <w:b/>
                <w:color w:val="auto"/>
                <w:highlight w:val="none"/>
                <w:lang w:val="en-US" w:eastAsia="zh-CN"/>
              </w:rPr>
            </w:pPr>
            <w:r>
              <w:rPr>
                <w:rFonts w:hint="eastAsia"/>
                <w:b/>
                <w:color w:val="auto"/>
                <w:highlight w:val="none"/>
                <w:lang w:val="en-US" w:eastAsia="zh-CN"/>
              </w:rPr>
              <w:t>3</w:t>
            </w:r>
          </w:p>
        </w:tc>
        <w:tc>
          <w:tcPr>
            <w:tcW w:w="1134" w:type="dxa"/>
            <w:noWrap w:val="0"/>
            <w:vAlign w:val="center"/>
          </w:tcPr>
          <w:p>
            <w:pPr>
              <w:spacing w:line="400" w:lineRule="exact"/>
              <w:jc w:val="center"/>
              <w:rPr>
                <w:rFonts w:hint="eastAsia" w:ascii="Calibri" w:hAnsi="Calibri" w:eastAsia="宋体" w:cs="Times New Roman"/>
                <w:color w:val="auto"/>
                <w:kern w:val="2"/>
                <w:sz w:val="21"/>
                <w:szCs w:val="22"/>
                <w:highlight w:val="none"/>
                <w:lang w:val="en-US" w:eastAsia="zh-CN" w:bidi="ar-SA"/>
              </w:rPr>
            </w:pPr>
            <w:r>
              <w:rPr>
                <w:rFonts w:hint="eastAsia"/>
                <w:color w:val="auto"/>
                <w:highlight w:val="none"/>
                <w:lang w:val="en-US" w:eastAsia="zh-CN"/>
              </w:rPr>
              <w:t>质保期要求</w:t>
            </w:r>
          </w:p>
        </w:tc>
        <w:tc>
          <w:tcPr>
            <w:tcW w:w="1489" w:type="dxa"/>
            <w:noWrap w:val="0"/>
            <w:vAlign w:val="center"/>
          </w:tcPr>
          <w:p>
            <w:pPr>
              <w:spacing w:line="400" w:lineRule="exact"/>
              <w:jc w:val="center"/>
              <w:rPr>
                <w:rFonts w:hint="eastAsia" w:ascii="Calibri" w:hAnsi="Calibri" w:eastAsia="宋体" w:cs="Times New Roman"/>
                <w:color w:val="auto"/>
                <w:kern w:val="2"/>
                <w:sz w:val="21"/>
                <w:szCs w:val="22"/>
                <w:highlight w:val="none"/>
                <w:lang w:val="en-US" w:eastAsia="zh-CN" w:bidi="ar-SA"/>
              </w:rPr>
            </w:pPr>
            <w:r>
              <w:rPr>
                <w:rFonts w:hint="eastAsia"/>
                <w:color w:val="auto"/>
                <w:highlight w:val="none"/>
                <w:lang w:val="en-US" w:eastAsia="zh-CN"/>
              </w:rPr>
              <w:t>质保期要求</w:t>
            </w:r>
          </w:p>
        </w:tc>
        <w:tc>
          <w:tcPr>
            <w:tcW w:w="4748" w:type="dxa"/>
            <w:noWrap w:val="0"/>
            <w:vAlign w:val="center"/>
          </w:tcPr>
          <w:p>
            <w:pPr>
              <w:rPr>
                <w:rFonts w:hint="eastAsia" w:ascii="Calibri" w:hAnsi="Calibri" w:eastAsia="宋体" w:cs="Times New Roman"/>
                <w:kern w:val="2"/>
                <w:sz w:val="21"/>
                <w:szCs w:val="22"/>
                <w:lang w:val="en-US" w:eastAsia="zh-CN" w:bidi="ar-SA"/>
              </w:rPr>
            </w:pPr>
            <w:r>
              <w:rPr>
                <w:rFonts w:hint="eastAsia"/>
                <w:lang w:val="en-US" w:eastAsia="zh-CN"/>
              </w:rPr>
              <w:t>在满足技术规范书要求的5年硬件设备质保期、3年软件质保期的基础上，每增加6个月加0.5分，满分5分。</w:t>
            </w:r>
          </w:p>
        </w:tc>
        <w:tc>
          <w:tcPr>
            <w:tcW w:w="1134" w:type="dxa"/>
            <w:noWrap w:val="0"/>
            <w:vAlign w:val="center"/>
          </w:tcPr>
          <w:p>
            <w:pPr>
              <w:spacing w:line="400" w:lineRule="exact"/>
              <w:jc w:val="center"/>
              <w:rPr>
                <w:rFonts w:hint="eastAsia" w:ascii="Calibri" w:hAnsi="Calibri" w:eastAsia="宋体" w:cs="Times New Roman"/>
                <w:color w:val="auto"/>
                <w:kern w:val="2"/>
                <w:sz w:val="21"/>
                <w:szCs w:val="22"/>
                <w:highlight w:val="none"/>
                <w:lang w:val="en-US" w:eastAsia="zh-CN" w:bidi="ar-SA"/>
              </w:rPr>
            </w:pPr>
            <w:r>
              <w:rPr>
                <w:rFonts w:hint="eastAsia"/>
                <w:color w:val="auto"/>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85" w:type="dxa"/>
            <w:gridSpan w:val="5"/>
            <w:noWrap w:val="0"/>
            <w:vAlign w:val="center"/>
          </w:tcPr>
          <w:p>
            <w:pPr>
              <w:spacing w:line="400" w:lineRule="exact"/>
              <w:jc w:val="left"/>
              <w:rPr>
                <w:b/>
                <w:color w:val="auto"/>
                <w:highlight w:val="none"/>
              </w:rPr>
            </w:pPr>
            <w:r>
              <w:rPr>
                <w:rFonts w:hint="eastAsia"/>
                <w:b/>
                <w:color w:val="auto"/>
                <w:highlight w:val="none"/>
                <w:lang w:val="en-US" w:eastAsia="zh-CN"/>
              </w:rPr>
              <w:t>技术</w:t>
            </w:r>
            <w:r>
              <w:rPr>
                <w:b/>
                <w:color w:val="auto"/>
                <w:highlight w:val="none"/>
              </w:rPr>
              <w:t>评审（</w:t>
            </w:r>
            <w:r>
              <w:rPr>
                <w:rFonts w:hint="eastAsia"/>
                <w:b/>
                <w:color w:val="auto"/>
                <w:highlight w:val="none"/>
                <w:lang w:val="en-US" w:eastAsia="zh-CN"/>
              </w:rPr>
              <w:t>50</w:t>
            </w:r>
            <w:r>
              <w:rPr>
                <w:b/>
                <w:color w:val="auto"/>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0" w:type="dxa"/>
            <w:noWrap w:val="0"/>
            <w:vAlign w:val="center"/>
          </w:tcPr>
          <w:p>
            <w:pPr>
              <w:spacing w:line="400" w:lineRule="exact"/>
              <w:jc w:val="center"/>
              <w:rPr>
                <w:color w:val="auto"/>
                <w:highlight w:val="none"/>
              </w:rPr>
            </w:pPr>
            <w:r>
              <w:rPr>
                <w:b/>
                <w:color w:val="auto"/>
                <w:highlight w:val="none"/>
              </w:rPr>
              <w:t>序号</w:t>
            </w:r>
          </w:p>
        </w:tc>
        <w:tc>
          <w:tcPr>
            <w:tcW w:w="1134" w:type="dxa"/>
            <w:noWrap w:val="0"/>
            <w:vAlign w:val="center"/>
          </w:tcPr>
          <w:p>
            <w:pPr>
              <w:spacing w:line="400" w:lineRule="exact"/>
              <w:jc w:val="center"/>
              <w:rPr>
                <w:color w:val="auto"/>
                <w:highlight w:val="none"/>
              </w:rPr>
            </w:pPr>
            <w:r>
              <w:rPr>
                <w:b/>
                <w:color w:val="auto"/>
                <w:highlight w:val="none"/>
              </w:rPr>
              <w:t>评分因素</w:t>
            </w:r>
          </w:p>
        </w:tc>
        <w:tc>
          <w:tcPr>
            <w:tcW w:w="1489" w:type="dxa"/>
            <w:noWrap w:val="0"/>
            <w:vAlign w:val="center"/>
          </w:tcPr>
          <w:p>
            <w:pPr>
              <w:spacing w:line="400" w:lineRule="exact"/>
              <w:jc w:val="center"/>
              <w:rPr>
                <w:color w:val="auto"/>
                <w:highlight w:val="none"/>
              </w:rPr>
            </w:pPr>
            <w:r>
              <w:rPr>
                <w:b/>
                <w:color w:val="auto"/>
                <w:highlight w:val="none"/>
              </w:rPr>
              <w:t>详细评审项</w:t>
            </w:r>
          </w:p>
        </w:tc>
        <w:tc>
          <w:tcPr>
            <w:tcW w:w="4748" w:type="dxa"/>
            <w:noWrap w:val="0"/>
            <w:vAlign w:val="center"/>
          </w:tcPr>
          <w:p>
            <w:pPr>
              <w:spacing w:line="400" w:lineRule="exact"/>
              <w:jc w:val="center"/>
              <w:rPr>
                <w:color w:val="auto"/>
                <w:highlight w:val="none"/>
              </w:rPr>
            </w:pPr>
            <w:r>
              <w:rPr>
                <w:b/>
                <w:color w:val="auto"/>
                <w:highlight w:val="none"/>
              </w:rPr>
              <w:t>详细评审分项要素</w:t>
            </w:r>
          </w:p>
        </w:tc>
        <w:tc>
          <w:tcPr>
            <w:tcW w:w="1134" w:type="dxa"/>
            <w:noWrap w:val="0"/>
            <w:vAlign w:val="center"/>
          </w:tcPr>
          <w:p>
            <w:pPr>
              <w:spacing w:line="400" w:lineRule="exact"/>
              <w:jc w:val="center"/>
              <w:rPr>
                <w:color w:val="auto"/>
                <w:highlight w:val="none"/>
              </w:rPr>
            </w:pPr>
            <w:r>
              <w:rPr>
                <w:b/>
                <w:color w:val="auto"/>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3" w:hRule="atLeast"/>
        </w:trPr>
        <w:tc>
          <w:tcPr>
            <w:tcW w:w="680" w:type="dxa"/>
            <w:noWrap w:val="0"/>
            <w:vAlign w:val="center"/>
          </w:tcPr>
          <w:p>
            <w:pPr>
              <w:spacing w:line="400" w:lineRule="exact"/>
              <w:jc w:val="center"/>
              <w:rPr>
                <w:rFonts w:hint="eastAsia" w:eastAsia="宋体"/>
                <w:color w:val="auto"/>
                <w:highlight w:val="none"/>
                <w:lang w:val="en-US" w:eastAsia="zh-CN"/>
              </w:rPr>
            </w:pPr>
            <w:r>
              <w:rPr>
                <w:rFonts w:hint="eastAsia"/>
                <w:color w:val="auto"/>
                <w:highlight w:val="none"/>
                <w:lang w:val="en-US" w:eastAsia="zh-CN"/>
              </w:rPr>
              <w:t>1</w:t>
            </w:r>
          </w:p>
        </w:tc>
        <w:tc>
          <w:tcPr>
            <w:tcW w:w="1134" w:type="dxa"/>
            <w:noWrap w:val="0"/>
            <w:vAlign w:val="center"/>
          </w:tcPr>
          <w:p>
            <w:pPr>
              <w:spacing w:line="400" w:lineRule="exact"/>
              <w:jc w:val="center"/>
              <w:rPr>
                <w:rFonts w:hint="default" w:eastAsia="宋体"/>
                <w:color w:val="auto"/>
                <w:highlight w:val="none"/>
                <w:lang w:val="en-US" w:eastAsia="zh-CN"/>
              </w:rPr>
            </w:pPr>
            <w:r>
              <w:rPr>
                <w:rFonts w:hint="eastAsia"/>
                <w:color w:val="auto"/>
                <w:highlight w:val="none"/>
                <w:lang w:val="en-US" w:eastAsia="zh-CN"/>
              </w:rPr>
              <w:t>技术参数优异性</w:t>
            </w:r>
          </w:p>
        </w:tc>
        <w:tc>
          <w:tcPr>
            <w:tcW w:w="1489" w:type="dxa"/>
            <w:noWrap w:val="0"/>
            <w:vAlign w:val="center"/>
          </w:tcPr>
          <w:p>
            <w:pPr>
              <w:spacing w:line="400" w:lineRule="exact"/>
              <w:jc w:val="center"/>
              <w:rPr>
                <w:rFonts w:hint="default" w:eastAsia="宋体"/>
                <w:color w:val="auto"/>
                <w:highlight w:val="none"/>
                <w:lang w:val="en-US" w:eastAsia="zh-CN"/>
              </w:rPr>
            </w:pPr>
            <w:r>
              <w:rPr>
                <w:rFonts w:hint="eastAsia"/>
                <w:color w:val="auto"/>
                <w:highlight w:val="none"/>
                <w:lang w:val="en-US" w:eastAsia="zh-CN"/>
              </w:rPr>
              <w:t>技术参数优异性</w:t>
            </w:r>
          </w:p>
        </w:tc>
        <w:tc>
          <w:tcPr>
            <w:tcW w:w="4748" w:type="dxa"/>
            <w:noWrap w:val="0"/>
            <w:vAlign w:val="center"/>
          </w:tcPr>
          <w:p>
            <w:pPr>
              <w:numPr>
                <w:ilvl w:val="0"/>
                <w:numId w:val="0"/>
              </w:numPr>
              <w:spacing w:line="400" w:lineRule="exact"/>
              <w:jc w:val="left"/>
              <w:rPr>
                <w:rFonts w:hint="default" w:ascii="宋体" w:hAnsi="宋体" w:eastAsia="宋体"/>
                <w:sz w:val="21"/>
                <w:szCs w:val="24"/>
                <w:lang w:val="en-US" w:eastAsia="zh-CN"/>
              </w:rPr>
            </w:pPr>
            <w:r>
              <w:rPr>
                <w:rFonts w:hint="default" w:ascii="宋体" w:hAnsi="宋体" w:eastAsia="宋体"/>
                <w:sz w:val="21"/>
                <w:szCs w:val="24"/>
                <w:lang w:val="en-US" w:eastAsia="zh-CN"/>
              </w:rPr>
              <w:t>技术参数全部满足技术规范书要求的基础上，按优于技术规范书要求的参数个数进行打分。个数最多的满分，其余单位按照（优于个数/最多优于个数×满分）公式进行打分。</w:t>
            </w:r>
          </w:p>
          <w:p>
            <w:pPr>
              <w:numPr>
                <w:ilvl w:val="0"/>
                <w:numId w:val="0"/>
              </w:numPr>
              <w:spacing w:line="400" w:lineRule="exact"/>
              <w:jc w:val="left"/>
              <w:rPr>
                <w:rFonts w:hint="default" w:ascii="宋体" w:hAnsi="宋体" w:eastAsia="宋体"/>
                <w:color w:val="000000"/>
                <w:sz w:val="21"/>
                <w:szCs w:val="24"/>
                <w:lang w:val="en-US" w:eastAsia="zh-CN"/>
              </w:rPr>
            </w:pPr>
            <w:r>
              <w:rPr>
                <w:rFonts w:hint="eastAsia" w:ascii="宋体" w:hAnsi="宋体" w:eastAsia="宋体"/>
                <w:sz w:val="21"/>
                <w:szCs w:val="24"/>
                <w:lang w:val="en-US" w:eastAsia="zh-CN"/>
              </w:rPr>
              <w:t>注：</w:t>
            </w:r>
            <w:r>
              <w:rPr>
                <w:rFonts w:hint="default" w:ascii="宋体" w:hAnsi="宋体" w:eastAsia="宋体"/>
                <w:sz w:val="21"/>
                <w:szCs w:val="24"/>
                <w:lang w:val="en-US" w:eastAsia="zh-CN"/>
              </w:rPr>
              <w:t>各参数必须提供完备的佐证材料。</w:t>
            </w:r>
          </w:p>
        </w:tc>
        <w:tc>
          <w:tcPr>
            <w:tcW w:w="1134" w:type="dxa"/>
            <w:noWrap w:val="0"/>
            <w:vAlign w:val="center"/>
          </w:tcPr>
          <w:p>
            <w:pPr>
              <w:spacing w:line="400" w:lineRule="exact"/>
              <w:jc w:val="center"/>
              <w:rPr>
                <w:rFonts w:hint="default"/>
                <w:color w:val="auto"/>
                <w:highlight w:val="none"/>
                <w:lang w:val="en-US" w:eastAsia="zh-CN"/>
              </w:rPr>
            </w:pPr>
            <w:r>
              <w:rPr>
                <w:rFonts w:hint="eastAsia"/>
                <w:color w:val="auto"/>
                <w:highlight w:val="no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eastAsia"/>
                <w:color w:val="auto"/>
                <w:highlight w:val="none"/>
                <w:lang w:val="en-US" w:eastAsia="zh-CN"/>
              </w:rPr>
              <w:t>2</w:t>
            </w:r>
          </w:p>
        </w:tc>
        <w:tc>
          <w:tcPr>
            <w:tcW w:w="1134"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eastAsia"/>
                <w:color w:val="auto"/>
                <w:highlight w:val="none"/>
              </w:rPr>
              <w:t>产品的先进性</w:t>
            </w:r>
          </w:p>
        </w:tc>
        <w:tc>
          <w:tcPr>
            <w:tcW w:w="1489"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eastAsia"/>
                <w:color w:val="auto"/>
                <w:highlight w:val="none"/>
              </w:rPr>
              <w:t>产品的先进性</w:t>
            </w:r>
          </w:p>
        </w:tc>
        <w:tc>
          <w:tcPr>
            <w:tcW w:w="4748" w:type="dxa"/>
            <w:noWrap w:val="0"/>
            <w:vAlign w:val="center"/>
          </w:tcPr>
          <w:p>
            <w:pPr>
              <w:rPr>
                <w:rFonts w:hint="eastAsia"/>
              </w:rPr>
            </w:pPr>
            <w:r>
              <w:rPr>
                <w:rFonts w:hint="eastAsia"/>
              </w:rPr>
              <w:t>1.产品包装内容（</w:t>
            </w:r>
            <w:r>
              <w:rPr>
                <w:rFonts w:hint="eastAsia"/>
                <w:lang w:val="en-US" w:eastAsia="zh-CN"/>
              </w:rPr>
              <w:t>3</w:t>
            </w:r>
            <w:r>
              <w:rPr>
                <w:rFonts w:hint="eastAsia"/>
              </w:rPr>
              <w:t>分）</w:t>
            </w:r>
          </w:p>
          <w:p>
            <w:pPr>
              <w:rPr>
                <w:rFonts w:hint="eastAsia"/>
              </w:rPr>
            </w:pPr>
            <w:r>
              <w:rPr>
                <w:rFonts w:hint="eastAsia"/>
              </w:rPr>
              <w:t>产品包装结构说明符合运输、存储过程防震、防潮要求，包装外观包含运输标识、产品信息。</w:t>
            </w:r>
          </w:p>
          <w:p>
            <w:pPr>
              <w:rPr>
                <w:rFonts w:hint="eastAsia"/>
              </w:rPr>
            </w:pPr>
            <w:r>
              <w:rPr>
                <w:rFonts w:hint="eastAsia"/>
              </w:rPr>
              <w:t>优秀：</w:t>
            </w:r>
            <w:r>
              <w:rPr>
                <w:rFonts w:hint="eastAsia"/>
                <w:lang w:val="en-US" w:eastAsia="zh-CN"/>
              </w:rPr>
              <w:t>3</w:t>
            </w:r>
            <w:r>
              <w:rPr>
                <w:rFonts w:hint="eastAsia"/>
              </w:rPr>
              <w:t xml:space="preserve"> 分；</w:t>
            </w:r>
          </w:p>
          <w:p>
            <w:pPr>
              <w:rPr>
                <w:rFonts w:hint="eastAsia"/>
              </w:rPr>
            </w:pPr>
            <w:r>
              <w:rPr>
                <w:rFonts w:hint="eastAsia"/>
              </w:rPr>
              <w:t>一般：</w:t>
            </w:r>
            <w:r>
              <w:rPr>
                <w:rFonts w:hint="eastAsia"/>
                <w:lang w:val="en-US" w:eastAsia="zh-CN"/>
              </w:rPr>
              <w:t>2</w:t>
            </w:r>
            <w:r>
              <w:rPr>
                <w:rFonts w:hint="eastAsia"/>
              </w:rPr>
              <w:t xml:space="preserve"> 分；</w:t>
            </w:r>
          </w:p>
          <w:p>
            <w:pPr>
              <w:rPr>
                <w:rFonts w:hint="eastAsia"/>
              </w:rPr>
            </w:pPr>
            <w:r>
              <w:rPr>
                <w:rFonts w:hint="eastAsia"/>
              </w:rPr>
              <w:t>较差：</w:t>
            </w:r>
            <w:r>
              <w:rPr>
                <w:rFonts w:hint="eastAsia"/>
                <w:lang w:val="en-US" w:eastAsia="zh-CN"/>
              </w:rPr>
              <w:t>1</w:t>
            </w:r>
            <w:r>
              <w:rPr>
                <w:rFonts w:hint="eastAsia"/>
              </w:rPr>
              <w:t xml:space="preserve"> 分。</w:t>
            </w:r>
          </w:p>
          <w:p>
            <w:pPr>
              <w:rPr>
                <w:rFonts w:hint="eastAsia"/>
              </w:rPr>
            </w:pPr>
            <w:r>
              <w:rPr>
                <w:rFonts w:hint="eastAsia"/>
              </w:rPr>
              <w:t>2.产品质量承诺（</w:t>
            </w:r>
            <w:r>
              <w:rPr>
                <w:rFonts w:hint="eastAsia"/>
                <w:lang w:val="en-US" w:eastAsia="zh-CN"/>
              </w:rPr>
              <w:t>3</w:t>
            </w:r>
            <w:r>
              <w:rPr>
                <w:rFonts w:hint="eastAsia"/>
              </w:rPr>
              <w:t>分）</w:t>
            </w:r>
          </w:p>
          <w:p>
            <w:pPr>
              <w:rPr>
                <w:rFonts w:hint="eastAsia"/>
              </w:rPr>
            </w:pPr>
            <w:r>
              <w:rPr>
                <w:rFonts w:hint="eastAsia"/>
              </w:rPr>
              <w:t>产品质量承诺详实。</w:t>
            </w:r>
          </w:p>
          <w:p>
            <w:pPr>
              <w:rPr>
                <w:rFonts w:hint="eastAsia"/>
              </w:rPr>
            </w:pPr>
            <w:r>
              <w:rPr>
                <w:rFonts w:hint="eastAsia"/>
              </w:rPr>
              <w:t>优秀：</w:t>
            </w:r>
            <w:r>
              <w:rPr>
                <w:rFonts w:hint="eastAsia"/>
                <w:lang w:val="en-US" w:eastAsia="zh-CN"/>
              </w:rPr>
              <w:t>3</w:t>
            </w:r>
            <w:r>
              <w:rPr>
                <w:rFonts w:hint="eastAsia"/>
              </w:rPr>
              <w:t xml:space="preserve"> 分；</w:t>
            </w:r>
          </w:p>
          <w:p>
            <w:pPr>
              <w:rPr>
                <w:rFonts w:hint="eastAsia"/>
              </w:rPr>
            </w:pPr>
            <w:r>
              <w:rPr>
                <w:rFonts w:hint="eastAsia"/>
              </w:rPr>
              <w:t>一般：</w:t>
            </w:r>
            <w:r>
              <w:rPr>
                <w:rFonts w:hint="eastAsia"/>
                <w:lang w:val="en-US" w:eastAsia="zh-CN"/>
              </w:rPr>
              <w:t>2</w:t>
            </w:r>
            <w:r>
              <w:rPr>
                <w:rFonts w:hint="eastAsia"/>
              </w:rPr>
              <w:t xml:space="preserve"> 分；</w:t>
            </w:r>
          </w:p>
          <w:p>
            <w:pPr>
              <w:rPr>
                <w:rFonts w:hint="eastAsia"/>
              </w:rPr>
            </w:pPr>
            <w:r>
              <w:rPr>
                <w:rFonts w:hint="eastAsia"/>
              </w:rPr>
              <w:t>较差：</w:t>
            </w:r>
            <w:r>
              <w:rPr>
                <w:rFonts w:hint="eastAsia"/>
                <w:lang w:val="en-US" w:eastAsia="zh-CN"/>
              </w:rPr>
              <w:t>1</w:t>
            </w:r>
            <w:r>
              <w:rPr>
                <w:rFonts w:hint="eastAsia"/>
              </w:rPr>
              <w:t xml:space="preserve"> 分。</w:t>
            </w:r>
          </w:p>
          <w:p>
            <w:pPr>
              <w:rPr>
                <w:rFonts w:hint="eastAsia"/>
              </w:rPr>
            </w:pPr>
            <w:r>
              <w:rPr>
                <w:rFonts w:hint="eastAsia"/>
              </w:rPr>
              <w:t>3.备品备件配置（</w:t>
            </w:r>
            <w:r>
              <w:rPr>
                <w:rFonts w:hint="eastAsia"/>
                <w:lang w:val="en-US" w:eastAsia="zh-CN"/>
              </w:rPr>
              <w:t>4</w:t>
            </w:r>
            <w:r>
              <w:rPr>
                <w:rFonts w:hint="eastAsia"/>
              </w:rPr>
              <w:t>分）</w:t>
            </w:r>
          </w:p>
          <w:p>
            <w:pPr>
              <w:rPr>
                <w:rFonts w:hint="eastAsia"/>
              </w:rPr>
            </w:pPr>
            <w:r>
              <w:rPr>
                <w:rFonts w:hint="eastAsia"/>
              </w:rPr>
              <w:t>承诺能够满足技术规范书对备品备件要求及应急需求（如技术规范书内无备品备件及应急需求要求的均得满分）。</w:t>
            </w:r>
          </w:p>
          <w:p>
            <w:pPr>
              <w:rPr>
                <w:rFonts w:hint="eastAsia"/>
              </w:rPr>
            </w:pPr>
            <w:r>
              <w:rPr>
                <w:rFonts w:hint="eastAsia"/>
              </w:rPr>
              <w:t>优秀：</w:t>
            </w:r>
            <w:r>
              <w:rPr>
                <w:rFonts w:hint="eastAsia"/>
                <w:lang w:val="en-US" w:eastAsia="zh-CN"/>
              </w:rPr>
              <w:t>4</w:t>
            </w:r>
            <w:r>
              <w:rPr>
                <w:rFonts w:hint="eastAsia"/>
              </w:rPr>
              <w:t>分；</w:t>
            </w:r>
          </w:p>
          <w:p>
            <w:pPr>
              <w:rPr>
                <w:rFonts w:hint="eastAsia"/>
              </w:rPr>
            </w:pPr>
            <w:r>
              <w:rPr>
                <w:rFonts w:hint="eastAsia"/>
              </w:rPr>
              <w:t xml:space="preserve">一般：2 </w:t>
            </w:r>
            <w:r>
              <w:rPr>
                <w:rFonts w:hint="eastAsia"/>
                <w:lang w:val="en-US" w:eastAsia="zh-CN"/>
              </w:rPr>
              <w:t>-3</w:t>
            </w:r>
            <w:r>
              <w:rPr>
                <w:rFonts w:hint="eastAsia"/>
              </w:rPr>
              <w:t>分；</w:t>
            </w:r>
          </w:p>
          <w:p>
            <w:pPr>
              <w:rPr>
                <w:rFonts w:hint="default" w:ascii="Calibri" w:hAnsi="Calibri" w:eastAsia="宋体" w:cs="Times New Roman"/>
                <w:color w:val="000000"/>
                <w:kern w:val="2"/>
                <w:sz w:val="21"/>
                <w:szCs w:val="22"/>
                <w:highlight w:val="none"/>
                <w:lang w:val="en-US" w:eastAsia="zh-CN" w:bidi="ar-SA"/>
              </w:rPr>
            </w:pPr>
            <w:r>
              <w:rPr>
                <w:rFonts w:hint="eastAsia"/>
              </w:rPr>
              <w:t>较差：</w:t>
            </w:r>
            <w:r>
              <w:rPr>
                <w:rFonts w:hint="eastAsia"/>
                <w:lang w:val="en-US" w:eastAsia="zh-CN"/>
              </w:rPr>
              <w:t>1</w:t>
            </w:r>
            <w:r>
              <w:rPr>
                <w:rFonts w:hint="eastAsia"/>
              </w:rPr>
              <w:t>分。</w:t>
            </w:r>
          </w:p>
        </w:tc>
        <w:tc>
          <w:tcPr>
            <w:tcW w:w="1134"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eastAsia"/>
                <w:color w:val="auto"/>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eastAsia"/>
                <w:color w:val="auto"/>
                <w:highlight w:val="none"/>
                <w:lang w:val="en-US" w:eastAsia="zh-CN"/>
              </w:rPr>
              <w:t>3</w:t>
            </w:r>
          </w:p>
        </w:tc>
        <w:tc>
          <w:tcPr>
            <w:tcW w:w="1134" w:type="dxa"/>
            <w:noWrap w:val="0"/>
            <w:vAlign w:val="center"/>
          </w:tcPr>
          <w:p>
            <w:pPr>
              <w:spacing w:line="400" w:lineRule="exact"/>
              <w:jc w:val="center"/>
              <w:rPr>
                <w:rFonts w:hint="eastAsia"/>
                <w:color w:val="auto"/>
                <w:highlight w:val="none"/>
              </w:rPr>
            </w:pPr>
            <w:r>
              <w:rPr>
                <w:rFonts w:hint="eastAsia"/>
                <w:color w:val="auto"/>
                <w:highlight w:val="none"/>
              </w:rPr>
              <w:t>相关报告</w:t>
            </w:r>
          </w:p>
          <w:p>
            <w:pPr>
              <w:spacing w:line="400" w:lineRule="exact"/>
              <w:jc w:val="center"/>
              <w:rPr>
                <w:rFonts w:hint="eastAsia" w:ascii="Calibri" w:hAnsi="Calibri" w:eastAsia="宋体" w:cs="Times New Roman"/>
                <w:color w:val="auto"/>
                <w:kern w:val="2"/>
                <w:sz w:val="21"/>
                <w:szCs w:val="22"/>
                <w:highlight w:val="none"/>
                <w:lang w:val="en-US" w:eastAsia="zh-CN" w:bidi="ar-SA"/>
              </w:rPr>
            </w:pPr>
            <w:r>
              <w:rPr>
                <w:rFonts w:hint="eastAsia"/>
                <w:color w:val="auto"/>
                <w:highlight w:val="none"/>
              </w:rPr>
              <w:t>情况</w:t>
            </w:r>
          </w:p>
        </w:tc>
        <w:tc>
          <w:tcPr>
            <w:tcW w:w="1489" w:type="dxa"/>
            <w:noWrap w:val="0"/>
            <w:vAlign w:val="center"/>
          </w:tcPr>
          <w:p>
            <w:pPr>
              <w:spacing w:line="400" w:lineRule="exact"/>
              <w:jc w:val="center"/>
              <w:rPr>
                <w:rFonts w:hint="eastAsia"/>
                <w:color w:val="auto"/>
                <w:highlight w:val="none"/>
              </w:rPr>
            </w:pPr>
            <w:r>
              <w:rPr>
                <w:rFonts w:hint="eastAsia"/>
                <w:color w:val="auto"/>
                <w:highlight w:val="none"/>
              </w:rPr>
              <w:t>相关报告</w:t>
            </w:r>
          </w:p>
          <w:p>
            <w:pPr>
              <w:spacing w:line="400" w:lineRule="exact"/>
              <w:jc w:val="center"/>
              <w:rPr>
                <w:rFonts w:hint="eastAsia" w:ascii="Calibri" w:hAnsi="Calibri" w:eastAsia="宋体" w:cs="Times New Roman"/>
                <w:color w:val="auto"/>
                <w:kern w:val="2"/>
                <w:sz w:val="21"/>
                <w:szCs w:val="22"/>
                <w:highlight w:val="none"/>
                <w:lang w:val="en-US" w:eastAsia="zh-CN" w:bidi="ar-SA"/>
              </w:rPr>
            </w:pPr>
            <w:r>
              <w:rPr>
                <w:rFonts w:hint="eastAsia"/>
                <w:color w:val="auto"/>
                <w:highlight w:val="none"/>
              </w:rPr>
              <w:t>情况</w:t>
            </w:r>
          </w:p>
        </w:tc>
        <w:tc>
          <w:tcPr>
            <w:tcW w:w="4748" w:type="dxa"/>
            <w:noWrap w:val="0"/>
            <w:vAlign w:val="center"/>
          </w:tcPr>
          <w:p>
            <w:pPr>
              <w:numPr>
                <w:ilvl w:val="0"/>
                <w:numId w:val="0"/>
              </w:numPr>
              <w:ind w:left="0" w:leftChars="0" w:firstLine="0" w:firstLineChars="0"/>
              <w:rPr>
                <w:rFonts w:hint="default"/>
                <w:color w:val="000000"/>
                <w:highlight w:val="none"/>
                <w:lang w:val="en-US" w:eastAsia="zh-CN"/>
              </w:rPr>
            </w:pPr>
            <w:r>
              <w:rPr>
                <w:rFonts w:hint="default"/>
                <w:color w:val="000000"/>
                <w:highlight w:val="none"/>
                <w:lang w:val="en-US" w:eastAsia="zh-CN"/>
              </w:rPr>
              <w:t>产品出厂测试报告完整，对所有设备及备件附件均进行参数检验。</w:t>
            </w:r>
          </w:p>
          <w:p>
            <w:pPr>
              <w:numPr>
                <w:ilvl w:val="0"/>
                <w:numId w:val="0"/>
              </w:numPr>
              <w:ind w:left="0" w:leftChars="0" w:firstLine="0" w:firstLineChars="0"/>
              <w:rPr>
                <w:rFonts w:hint="default"/>
                <w:color w:val="000000"/>
                <w:highlight w:val="none"/>
                <w:lang w:val="en-US" w:eastAsia="zh-CN"/>
              </w:rPr>
            </w:pPr>
            <w:r>
              <w:rPr>
                <w:rFonts w:hint="default"/>
                <w:color w:val="000000"/>
                <w:highlight w:val="none"/>
                <w:lang w:val="en-US" w:eastAsia="zh-CN"/>
              </w:rPr>
              <w:t>优秀：9-10 分；</w:t>
            </w:r>
          </w:p>
          <w:p>
            <w:pPr>
              <w:numPr>
                <w:ilvl w:val="0"/>
                <w:numId w:val="0"/>
              </w:numPr>
              <w:ind w:left="0" w:leftChars="0" w:firstLine="0" w:firstLineChars="0"/>
              <w:rPr>
                <w:rFonts w:hint="default"/>
                <w:color w:val="000000"/>
                <w:highlight w:val="none"/>
                <w:lang w:val="en-US" w:eastAsia="zh-CN"/>
              </w:rPr>
            </w:pPr>
            <w:r>
              <w:rPr>
                <w:rFonts w:hint="default"/>
                <w:color w:val="000000"/>
                <w:highlight w:val="none"/>
                <w:lang w:val="en-US" w:eastAsia="zh-CN"/>
              </w:rPr>
              <w:t>良好：7-8 分；</w:t>
            </w:r>
          </w:p>
          <w:p>
            <w:pPr>
              <w:numPr>
                <w:ilvl w:val="0"/>
                <w:numId w:val="0"/>
              </w:numPr>
              <w:ind w:left="0" w:leftChars="0" w:firstLine="0" w:firstLineChars="0"/>
              <w:rPr>
                <w:rFonts w:hint="default"/>
                <w:color w:val="000000"/>
                <w:highlight w:val="none"/>
                <w:lang w:val="en-US" w:eastAsia="zh-CN"/>
              </w:rPr>
            </w:pPr>
            <w:r>
              <w:rPr>
                <w:rFonts w:hint="default"/>
                <w:color w:val="000000"/>
                <w:highlight w:val="none"/>
                <w:lang w:val="en-US" w:eastAsia="zh-CN"/>
              </w:rPr>
              <w:t>一般：5-6 分；</w:t>
            </w:r>
          </w:p>
          <w:p>
            <w:pPr>
              <w:numPr>
                <w:ilvl w:val="0"/>
                <w:numId w:val="0"/>
              </w:numPr>
              <w:ind w:left="0" w:leftChars="0" w:firstLine="0" w:firstLineChars="0"/>
              <w:rPr>
                <w:rFonts w:hint="default" w:ascii="Calibri" w:hAnsi="Calibri" w:eastAsia="宋体" w:cs="Times New Roman"/>
                <w:color w:val="000000"/>
                <w:kern w:val="2"/>
                <w:sz w:val="21"/>
                <w:szCs w:val="22"/>
                <w:highlight w:val="none"/>
                <w:lang w:val="en-US" w:eastAsia="zh-CN" w:bidi="ar-SA"/>
              </w:rPr>
            </w:pPr>
            <w:r>
              <w:rPr>
                <w:rFonts w:hint="default"/>
                <w:color w:val="000000"/>
                <w:highlight w:val="none"/>
                <w:lang w:val="en-US" w:eastAsia="zh-CN"/>
              </w:rPr>
              <w:t>较差：0-4 分。</w:t>
            </w:r>
          </w:p>
        </w:tc>
        <w:tc>
          <w:tcPr>
            <w:tcW w:w="1134"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eastAsia"/>
                <w:color w:val="auto"/>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eastAsia"/>
                <w:color w:val="auto"/>
                <w:highlight w:val="none"/>
                <w:lang w:val="en-US" w:eastAsia="zh-CN"/>
              </w:rPr>
              <w:t>4</w:t>
            </w:r>
          </w:p>
        </w:tc>
        <w:tc>
          <w:tcPr>
            <w:tcW w:w="1134" w:type="dxa"/>
            <w:noWrap w:val="0"/>
            <w:vAlign w:val="center"/>
          </w:tcPr>
          <w:p>
            <w:pPr>
              <w:spacing w:line="400" w:lineRule="exact"/>
              <w:jc w:val="center"/>
              <w:rPr>
                <w:rFonts w:hint="eastAsia" w:ascii="Calibri" w:hAnsi="Calibri" w:eastAsia="宋体" w:cs="Times New Roman"/>
                <w:color w:val="auto"/>
                <w:kern w:val="2"/>
                <w:sz w:val="21"/>
                <w:szCs w:val="22"/>
                <w:highlight w:val="none"/>
                <w:lang w:val="en-US" w:eastAsia="zh-CN" w:bidi="ar-SA"/>
              </w:rPr>
            </w:pPr>
            <w:r>
              <w:rPr>
                <w:rFonts w:hint="eastAsia"/>
                <w:color w:val="auto"/>
                <w:highlight w:val="none"/>
              </w:rPr>
              <w:t>企业技术能力</w:t>
            </w:r>
          </w:p>
        </w:tc>
        <w:tc>
          <w:tcPr>
            <w:tcW w:w="1489" w:type="dxa"/>
            <w:noWrap w:val="0"/>
            <w:vAlign w:val="center"/>
          </w:tcPr>
          <w:p>
            <w:pPr>
              <w:spacing w:line="400" w:lineRule="exact"/>
              <w:jc w:val="center"/>
              <w:rPr>
                <w:rFonts w:hint="eastAsia" w:ascii="Calibri" w:hAnsi="Calibri" w:eastAsia="宋体" w:cs="Times New Roman"/>
                <w:color w:val="auto"/>
                <w:kern w:val="2"/>
                <w:sz w:val="21"/>
                <w:szCs w:val="22"/>
                <w:highlight w:val="none"/>
                <w:lang w:val="en-US" w:eastAsia="zh-CN" w:bidi="ar-SA"/>
              </w:rPr>
            </w:pPr>
            <w:r>
              <w:rPr>
                <w:rFonts w:hint="eastAsia"/>
                <w:color w:val="auto"/>
                <w:highlight w:val="none"/>
              </w:rPr>
              <w:t>企业技术能力</w:t>
            </w:r>
          </w:p>
        </w:tc>
        <w:tc>
          <w:tcPr>
            <w:tcW w:w="4748" w:type="dxa"/>
            <w:noWrap w:val="0"/>
            <w:vAlign w:val="center"/>
          </w:tcPr>
          <w:p>
            <w:pPr>
              <w:numPr>
                <w:ilvl w:val="0"/>
                <w:numId w:val="0"/>
              </w:numPr>
              <w:ind w:left="0" w:leftChars="0" w:firstLine="0" w:firstLineChars="0"/>
              <w:rPr>
                <w:rFonts w:hint="default"/>
                <w:color w:val="000000"/>
                <w:highlight w:val="none"/>
                <w:lang w:val="en-US" w:eastAsia="zh-CN"/>
              </w:rPr>
            </w:pPr>
            <w:r>
              <w:rPr>
                <w:rFonts w:hint="default"/>
                <w:color w:val="000000"/>
                <w:highlight w:val="none"/>
                <w:lang w:val="en-US" w:eastAsia="zh-CN"/>
              </w:rPr>
              <w:t>1.设备使用技术先进性（</w:t>
            </w:r>
            <w:r>
              <w:rPr>
                <w:rFonts w:hint="eastAsia"/>
                <w:color w:val="000000"/>
                <w:highlight w:val="none"/>
                <w:lang w:val="en-US" w:eastAsia="zh-CN"/>
              </w:rPr>
              <w:t>5</w:t>
            </w:r>
            <w:r>
              <w:rPr>
                <w:rFonts w:hint="default"/>
                <w:color w:val="000000"/>
                <w:highlight w:val="none"/>
                <w:lang w:val="en-US" w:eastAsia="zh-CN"/>
              </w:rPr>
              <w:t xml:space="preserve"> 分）</w:t>
            </w:r>
          </w:p>
          <w:p>
            <w:pPr>
              <w:numPr>
                <w:ilvl w:val="0"/>
                <w:numId w:val="0"/>
              </w:numPr>
              <w:ind w:left="0" w:leftChars="0" w:firstLine="0" w:firstLineChars="0"/>
              <w:rPr>
                <w:rFonts w:hint="default"/>
                <w:color w:val="000000"/>
                <w:highlight w:val="none"/>
                <w:lang w:val="en-US" w:eastAsia="zh-CN"/>
              </w:rPr>
            </w:pPr>
            <w:r>
              <w:rPr>
                <w:rFonts w:hint="default"/>
                <w:color w:val="000000"/>
                <w:highlight w:val="none"/>
                <w:lang w:val="en-US" w:eastAsia="zh-CN"/>
              </w:rPr>
              <w:t>专利证明材料丰富。</w:t>
            </w:r>
          </w:p>
          <w:p>
            <w:pPr>
              <w:rPr>
                <w:rFonts w:hint="eastAsia"/>
              </w:rPr>
            </w:pPr>
            <w:r>
              <w:rPr>
                <w:rFonts w:hint="eastAsia"/>
              </w:rPr>
              <w:t>优秀：4-5 分；</w:t>
            </w:r>
          </w:p>
          <w:p>
            <w:pPr>
              <w:rPr>
                <w:rFonts w:hint="eastAsia"/>
              </w:rPr>
            </w:pPr>
            <w:r>
              <w:rPr>
                <w:rFonts w:hint="eastAsia"/>
              </w:rPr>
              <w:t>一般：2-3 分；</w:t>
            </w:r>
          </w:p>
          <w:p>
            <w:pPr>
              <w:numPr>
                <w:ilvl w:val="0"/>
                <w:numId w:val="0"/>
              </w:numPr>
              <w:ind w:left="0" w:leftChars="0" w:firstLine="0" w:firstLineChars="0"/>
              <w:rPr>
                <w:rFonts w:hint="eastAsia"/>
              </w:rPr>
            </w:pPr>
            <w:r>
              <w:rPr>
                <w:rFonts w:hint="eastAsia"/>
              </w:rPr>
              <w:t>较差：0-1 分。</w:t>
            </w:r>
          </w:p>
          <w:p>
            <w:pPr>
              <w:numPr>
                <w:ilvl w:val="0"/>
                <w:numId w:val="0"/>
              </w:numPr>
              <w:ind w:left="0" w:leftChars="0" w:firstLine="0" w:firstLineChars="0"/>
              <w:rPr>
                <w:rFonts w:hint="default"/>
                <w:color w:val="000000"/>
                <w:highlight w:val="none"/>
                <w:lang w:val="en-US" w:eastAsia="zh-CN"/>
              </w:rPr>
            </w:pPr>
            <w:r>
              <w:rPr>
                <w:rFonts w:hint="default"/>
                <w:color w:val="000000"/>
                <w:highlight w:val="none"/>
                <w:lang w:val="en-US" w:eastAsia="zh-CN"/>
              </w:rPr>
              <w:t>2.进度控制方案（</w:t>
            </w:r>
            <w:r>
              <w:rPr>
                <w:rFonts w:hint="eastAsia"/>
                <w:color w:val="000000"/>
                <w:highlight w:val="none"/>
                <w:lang w:val="en-US" w:eastAsia="zh-CN"/>
              </w:rPr>
              <w:t>5</w:t>
            </w:r>
            <w:r>
              <w:rPr>
                <w:rFonts w:hint="default"/>
                <w:color w:val="000000"/>
                <w:highlight w:val="none"/>
                <w:lang w:val="en-US" w:eastAsia="zh-CN"/>
              </w:rPr>
              <w:t>分）</w:t>
            </w:r>
          </w:p>
          <w:p>
            <w:pPr>
              <w:numPr>
                <w:ilvl w:val="0"/>
                <w:numId w:val="0"/>
              </w:numPr>
              <w:ind w:left="0" w:leftChars="0" w:firstLine="0" w:firstLineChars="0"/>
              <w:rPr>
                <w:rFonts w:hint="default"/>
                <w:color w:val="000000"/>
                <w:highlight w:val="none"/>
                <w:lang w:val="en-US" w:eastAsia="zh-CN"/>
              </w:rPr>
            </w:pPr>
            <w:r>
              <w:rPr>
                <w:rFonts w:hint="default"/>
                <w:color w:val="000000"/>
                <w:highlight w:val="none"/>
                <w:lang w:val="en-US" w:eastAsia="zh-CN"/>
              </w:rPr>
              <w:t>在生产计划基础上，供应商确保按生产计划实施以保障生产进度的措施、行动、方法等可行性高。</w:t>
            </w:r>
          </w:p>
          <w:p>
            <w:pPr>
              <w:rPr>
                <w:rFonts w:hint="eastAsia"/>
              </w:rPr>
            </w:pPr>
            <w:r>
              <w:rPr>
                <w:rFonts w:hint="eastAsia"/>
              </w:rPr>
              <w:t>优秀：4-5 分；</w:t>
            </w:r>
          </w:p>
          <w:p>
            <w:pPr>
              <w:rPr>
                <w:rFonts w:hint="eastAsia"/>
              </w:rPr>
            </w:pPr>
            <w:r>
              <w:rPr>
                <w:rFonts w:hint="eastAsia"/>
              </w:rPr>
              <w:t>一般：2-3 分；</w:t>
            </w:r>
          </w:p>
          <w:p>
            <w:pPr>
              <w:numPr>
                <w:ilvl w:val="0"/>
                <w:numId w:val="0"/>
              </w:numPr>
              <w:ind w:left="0" w:leftChars="0" w:firstLine="0" w:firstLineChars="0"/>
              <w:rPr>
                <w:rFonts w:hint="default" w:ascii="Calibri" w:hAnsi="Calibri" w:eastAsia="宋体" w:cs="Times New Roman"/>
                <w:color w:val="000000"/>
                <w:kern w:val="2"/>
                <w:sz w:val="21"/>
                <w:szCs w:val="22"/>
                <w:highlight w:val="none"/>
                <w:lang w:val="en-US" w:eastAsia="zh-CN" w:bidi="ar-SA"/>
              </w:rPr>
            </w:pPr>
            <w:r>
              <w:rPr>
                <w:rFonts w:hint="eastAsia"/>
              </w:rPr>
              <w:t>较差：0-1 分。</w:t>
            </w:r>
          </w:p>
        </w:tc>
        <w:tc>
          <w:tcPr>
            <w:tcW w:w="1134" w:type="dxa"/>
            <w:noWrap w:val="0"/>
            <w:vAlign w:val="center"/>
          </w:tcPr>
          <w:p>
            <w:pPr>
              <w:spacing w:line="400" w:lineRule="exact"/>
              <w:jc w:val="center"/>
              <w:rPr>
                <w:rFonts w:hint="default" w:ascii="Calibri" w:hAnsi="Calibri" w:eastAsia="宋体" w:cs="Times New Roman"/>
                <w:color w:val="auto"/>
                <w:kern w:val="2"/>
                <w:sz w:val="21"/>
                <w:szCs w:val="22"/>
                <w:highlight w:val="none"/>
                <w:lang w:val="en-US" w:eastAsia="zh-CN" w:bidi="ar-SA"/>
              </w:rPr>
            </w:pPr>
            <w:r>
              <w:rPr>
                <w:rFonts w:hint="eastAsia"/>
                <w:color w:val="auto"/>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gridSpan w:val="2"/>
            <w:noWrap w:val="0"/>
            <w:vAlign w:val="top"/>
          </w:tcPr>
          <w:p>
            <w:pPr>
              <w:spacing w:line="400" w:lineRule="exact"/>
              <w:rPr>
                <w:color w:val="auto"/>
                <w:highlight w:val="none"/>
              </w:rPr>
            </w:pPr>
            <w:r>
              <w:rPr>
                <w:b/>
                <w:color w:val="auto"/>
                <w:highlight w:val="none"/>
              </w:rPr>
              <w:t>商务/技术分计算方法</w:t>
            </w:r>
          </w:p>
        </w:tc>
        <w:tc>
          <w:tcPr>
            <w:tcW w:w="7371" w:type="dxa"/>
            <w:gridSpan w:val="3"/>
            <w:noWrap w:val="0"/>
            <w:vAlign w:val="top"/>
          </w:tcPr>
          <w:p>
            <w:pPr>
              <w:spacing w:line="400" w:lineRule="exact"/>
              <w:rPr>
                <w:color w:val="auto"/>
                <w:highlight w:val="none"/>
              </w:rPr>
            </w:pPr>
            <w:r>
              <w:rPr>
                <w:b w:val="0"/>
                <w:color w:val="auto"/>
                <w:highlight w:val="none"/>
              </w:rPr>
              <w:t>评标专家打分完毕后，计算各标包供应商的商务/技术分时，取专家打分的平均分作为该供应商的商务/技术得分。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185" w:type="dxa"/>
            <w:gridSpan w:val="5"/>
            <w:noWrap w:val="0"/>
            <w:vAlign w:val="top"/>
          </w:tcPr>
          <w:p>
            <w:pPr>
              <w:spacing w:line="400" w:lineRule="exact"/>
              <w:rPr>
                <w:color w:val="auto"/>
                <w:highlight w:val="none"/>
              </w:rPr>
            </w:pPr>
            <w:r>
              <w:rPr>
                <w:b/>
                <w:color w:val="auto"/>
                <w:highlight w:val="none"/>
              </w:rPr>
              <w:t>价格评审（</w:t>
            </w:r>
            <w:r>
              <w:rPr>
                <w:rFonts w:hint="eastAsia"/>
                <w:b/>
                <w:color w:val="auto"/>
                <w:highlight w:val="none"/>
                <w:lang w:val="en-US" w:eastAsia="zh-CN"/>
              </w:rPr>
              <w:t>35</w:t>
            </w:r>
            <w:r>
              <w:rPr>
                <w:b/>
                <w:color w:val="auto"/>
                <w:highlight w:val="none"/>
              </w:rPr>
              <w:t>）分</w:t>
            </w:r>
          </w:p>
        </w:tc>
      </w:tr>
      <w:bookmarkEnd w:id="0"/>
      <w:bookmarkEnd w:id="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gridSpan w:val="2"/>
            <w:noWrap w:val="0"/>
            <w:vAlign w:val="center"/>
          </w:tcPr>
          <w:p>
            <w:pPr>
              <w:spacing w:line="400" w:lineRule="exact"/>
              <w:jc w:val="left"/>
              <w:rPr>
                <w:color w:val="auto"/>
                <w:highlight w:val="none"/>
              </w:rPr>
            </w:pPr>
            <w:r>
              <w:rPr>
                <w:b/>
                <w:color w:val="auto"/>
                <w:highlight w:val="none"/>
              </w:rPr>
              <w:t>价格分计算方法名称</w:t>
            </w:r>
          </w:p>
        </w:tc>
        <w:tc>
          <w:tcPr>
            <w:tcW w:w="7371" w:type="dxa"/>
            <w:gridSpan w:val="3"/>
            <w:noWrap w:val="0"/>
            <w:vAlign w:val="center"/>
          </w:tcPr>
          <w:p>
            <w:pPr>
              <w:tabs>
                <w:tab w:val="left" w:pos="1300"/>
              </w:tabs>
              <w:bidi w:val="0"/>
              <w:jc w:val="left"/>
              <w:rPr>
                <w:rFonts w:hint="default" w:ascii="Calibri" w:hAnsi="Calibri" w:eastAsia="宋体" w:cs="Times New Roman"/>
                <w:color w:val="auto"/>
                <w:kern w:val="2"/>
                <w:sz w:val="24"/>
                <w:szCs w:val="24"/>
                <w:highlight w:val="none"/>
                <w:lang w:val="en-US" w:eastAsia="zh-CN" w:bidi="ar-SA"/>
              </w:rPr>
            </w:pPr>
            <w:r>
              <w:rPr>
                <w:rFonts w:hint="eastAsia"/>
                <w:b w:val="0"/>
                <w:color w:val="auto"/>
                <w:sz w:val="24"/>
                <w:szCs w:val="24"/>
                <w:highlight w:val="none"/>
                <w:lang w:val="en-US" w:eastAsia="zh-CN"/>
              </w:rPr>
              <w:t>低价高分法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gridSpan w:val="2"/>
            <w:noWrap w:val="0"/>
            <w:vAlign w:val="center"/>
          </w:tcPr>
          <w:p>
            <w:pPr>
              <w:spacing w:line="400" w:lineRule="exact"/>
              <w:jc w:val="left"/>
              <w:rPr>
                <w:color w:val="auto"/>
                <w:highlight w:val="none"/>
              </w:rPr>
            </w:pPr>
            <w:r>
              <w:rPr>
                <w:b/>
                <w:color w:val="auto"/>
                <w:highlight w:val="none"/>
              </w:rPr>
              <w:t>评标基准价计算方法</w:t>
            </w:r>
          </w:p>
        </w:tc>
        <w:tc>
          <w:tcPr>
            <w:tcW w:w="7371" w:type="dxa"/>
            <w:gridSpan w:val="3"/>
            <w:noWrap w:val="0"/>
            <w:vAlign w:val="center"/>
          </w:tcPr>
          <w:p>
            <w:pPr>
              <w:spacing w:line="400" w:lineRule="exact"/>
              <w:jc w:val="left"/>
              <w:rPr>
                <w:color w:val="auto"/>
                <w:sz w:val="24"/>
                <w:szCs w:val="24"/>
                <w:highlight w:val="none"/>
              </w:rPr>
            </w:pPr>
            <w:r>
              <w:rPr>
                <w:rFonts w:hint="eastAsia" w:ascii="宋体" w:hAnsi="宋体" w:eastAsia="宋体" w:cs="宋体"/>
                <w:color w:val="auto"/>
                <w:sz w:val="24"/>
                <w:szCs w:val="24"/>
                <w:highlight w:val="none"/>
              </w:rPr>
              <w:t>计算评标基准价，</w:t>
            </w:r>
            <w:r>
              <w:rPr>
                <w:rFonts w:ascii="宋体" w:hAnsi="宋体" w:eastAsia="宋体" w:cs="宋体"/>
                <w:sz w:val="24"/>
                <w:szCs w:val="24"/>
              </w:rPr>
              <w:t>基准价为有效投标人的最低评标价</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814" w:type="dxa"/>
            <w:gridSpan w:val="2"/>
            <w:noWrap w:val="0"/>
            <w:vAlign w:val="center"/>
          </w:tcPr>
          <w:p>
            <w:pPr>
              <w:spacing w:line="400" w:lineRule="exact"/>
              <w:jc w:val="left"/>
              <w:rPr>
                <w:color w:val="auto"/>
                <w:highlight w:val="none"/>
              </w:rPr>
            </w:pPr>
            <w:r>
              <w:rPr>
                <w:b/>
                <w:color w:val="auto"/>
                <w:highlight w:val="none"/>
              </w:rPr>
              <w:t>价格分计算公式</w:t>
            </w:r>
          </w:p>
        </w:tc>
        <w:tc>
          <w:tcPr>
            <w:tcW w:w="7371" w:type="dxa"/>
            <w:gridSpan w:val="3"/>
            <w:noWrap w:val="0"/>
            <w:vAlign w:val="center"/>
          </w:tcPr>
          <w:p>
            <w:pPr>
              <w:spacing w:line="400" w:lineRule="exact"/>
              <w:jc w:val="left"/>
              <w:rPr>
                <w:color w:val="auto"/>
                <w:sz w:val="24"/>
                <w:szCs w:val="24"/>
                <w:highlight w:val="none"/>
              </w:rPr>
            </w:pPr>
            <w:r>
              <w:rPr>
                <w:rFonts w:ascii="宋体" w:hAnsi="宋体" w:eastAsia="宋体" w:cs="宋体"/>
                <w:sz w:val="24"/>
                <w:szCs w:val="24"/>
              </w:rPr>
              <w:t>价格分计算公式 价格得分=基准价/评标价×报价满分。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4" w:type="dxa"/>
            <w:gridSpan w:val="2"/>
            <w:noWrap w:val="0"/>
            <w:vAlign w:val="center"/>
          </w:tcPr>
          <w:p>
            <w:pPr>
              <w:spacing w:line="400" w:lineRule="exact"/>
              <w:jc w:val="left"/>
              <w:rPr>
                <w:color w:val="auto"/>
                <w:highlight w:val="none"/>
              </w:rPr>
            </w:pPr>
            <w:r>
              <w:rPr>
                <w:b/>
                <w:color w:val="auto"/>
                <w:highlight w:val="none"/>
              </w:rPr>
              <w:t>进入价格评分厂家数量</w:t>
            </w:r>
          </w:p>
        </w:tc>
        <w:tc>
          <w:tcPr>
            <w:tcW w:w="7371" w:type="dxa"/>
            <w:gridSpan w:val="3"/>
            <w:noWrap w:val="0"/>
            <w:vAlign w:val="center"/>
          </w:tcPr>
          <w:p>
            <w:pPr>
              <w:spacing w:line="400" w:lineRule="exact"/>
              <w:jc w:val="left"/>
              <w:rPr>
                <w:color w:val="auto"/>
                <w:sz w:val="24"/>
                <w:szCs w:val="24"/>
                <w:highlight w:val="none"/>
              </w:rPr>
            </w:pPr>
            <w:r>
              <w:rPr>
                <w:b w:val="0"/>
                <w:color w:val="auto"/>
                <w:sz w:val="24"/>
                <w:szCs w:val="24"/>
                <w:highlight w:val="none"/>
              </w:rPr>
              <w:t>本次评标不设置技术商务末位淘汰。进入技术商务评分范围的</w:t>
            </w:r>
            <w:r>
              <w:rPr>
                <w:rFonts w:hint="eastAsia"/>
                <w:b w:val="0"/>
                <w:color w:val="auto"/>
                <w:sz w:val="24"/>
                <w:szCs w:val="24"/>
                <w:highlight w:val="none"/>
                <w:lang w:val="en-US" w:eastAsia="zh-CN"/>
              </w:rPr>
              <w:t>供应商</w:t>
            </w:r>
            <w:r>
              <w:rPr>
                <w:b w:val="0"/>
                <w:color w:val="auto"/>
                <w:sz w:val="24"/>
                <w:szCs w:val="24"/>
                <w:highlight w:val="none"/>
              </w:rPr>
              <w:t>全部进入价格评分。</w:t>
            </w:r>
          </w:p>
        </w:tc>
      </w:tr>
    </w:tbl>
    <w:p>
      <w:pPr>
        <w:rPr>
          <w:color w:val="auto"/>
          <w:highlight w:val="none"/>
        </w:rPr>
      </w:pPr>
    </w:p>
    <w:p>
      <w:pPr>
        <w:rPr>
          <w:color w:val="auto"/>
          <w:highlight w:val="none"/>
        </w:rPr>
      </w:pPr>
    </w:p>
    <w:p/>
    <w:sectPr>
      <w:headerReference r:id="rId3" w:type="default"/>
      <w:footerReference r:id="rId4" w:type="default"/>
      <w:footerReference r:id="rId5" w:type="even"/>
      <w:pgSz w:w="11906" w:h="16838"/>
      <w:pgMar w:top="1134" w:right="1797" w:bottom="1134" w:left="1797" w:header="851" w:footer="680"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文鼎CS大黑">
    <w:altName w:val="宋体"/>
    <w:panose1 w:val="00000000000000000000"/>
    <w:charset w:val="86"/>
    <w:family w:val="auto"/>
    <w:pitch w:val="default"/>
    <w:sig w:usb0="00000000" w:usb1="00000000" w:usb2="00000010" w:usb3="00000000" w:csb0="00040000" w:csb1="00000000"/>
  </w:font>
  <w:font w:name="方正粗宋简体">
    <w:altName w:val="宋体"/>
    <w:panose1 w:val="00000000000000000000"/>
    <w:charset w:val="86"/>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7"/>
      </w:rPr>
    </w:pPr>
    <w:r>
      <w:rPr>
        <w:rStyle w:val="7"/>
      </w:rPr>
      <w:pgNum/>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jc w:val="both"/>
      <w:rPr>
        <w:rFonts w:hint="eastAsia"/>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75848"/>
    <w:rsid w:val="09BB1244"/>
    <w:rsid w:val="0A5F5D89"/>
    <w:rsid w:val="0BD107F3"/>
    <w:rsid w:val="120668A8"/>
    <w:rsid w:val="12C04058"/>
    <w:rsid w:val="15A9411A"/>
    <w:rsid w:val="17FA1432"/>
    <w:rsid w:val="1AC83E28"/>
    <w:rsid w:val="27B96E3F"/>
    <w:rsid w:val="294C32E2"/>
    <w:rsid w:val="29C73352"/>
    <w:rsid w:val="2CFD2A26"/>
    <w:rsid w:val="2F6F329A"/>
    <w:rsid w:val="32270449"/>
    <w:rsid w:val="32EE0641"/>
    <w:rsid w:val="38CC32FE"/>
    <w:rsid w:val="3E412892"/>
    <w:rsid w:val="3FB51C28"/>
    <w:rsid w:val="41DE17FD"/>
    <w:rsid w:val="46B81B60"/>
    <w:rsid w:val="49867B64"/>
    <w:rsid w:val="49951010"/>
    <w:rsid w:val="4CAF1A5D"/>
    <w:rsid w:val="4E547B90"/>
    <w:rsid w:val="4FB216C3"/>
    <w:rsid w:val="51962224"/>
    <w:rsid w:val="53A74715"/>
    <w:rsid w:val="56FC7131"/>
    <w:rsid w:val="57FD0349"/>
    <w:rsid w:val="582A0014"/>
    <w:rsid w:val="5A2C6EB9"/>
    <w:rsid w:val="5B3D683F"/>
    <w:rsid w:val="5D813276"/>
    <w:rsid w:val="64446399"/>
    <w:rsid w:val="654523B9"/>
    <w:rsid w:val="67542800"/>
    <w:rsid w:val="69A826CB"/>
    <w:rsid w:val="6CBB0A96"/>
    <w:rsid w:val="6D1F7E14"/>
    <w:rsid w:val="6E8E6BB1"/>
    <w:rsid w:val="704F30B2"/>
    <w:rsid w:val="706972C8"/>
    <w:rsid w:val="713B7C54"/>
    <w:rsid w:val="743E609F"/>
    <w:rsid w:val="767936C2"/>
    <w:rsid w:val="7A4773F3"/>
    <w:rsid w:val="7B8302DC"/>
    <w:rsid w:val="7D493B5B"/>
    <w:rsid w:val="7DEE51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Body Text First Indent"/>
    <w:basedOn w:val="1"/>
    <w:unhideWhenUsed/>
    <w:qFormat/>
    <w:uiPriority w:val="99"/>
    <w:pPr>
      <w:spacing w:beforeLines="50" w:line="360" w:lineRule="auto"/>
      <w:ind w:firstLine="200" w:firstLineChars="200"/>
    </w:pPr>
    <w:rPr>
      <w:rFonts w:ascii="Times New Roman" w:hAnsi="Times New Roman"/>
      <w:sz w:val="24"/>
      <w:szCs w:val="24"/>
    </w:rPr>
  </w:style>
  <w:style w:type="character" w:styleId="7">
    <w:name w:val="page number"/>
    <w:unhideWhenUsed/>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2026-06-17T09:25:00Z</dcterms:created>
  <dc:creator>CSG</dc:creator>
  <cp:lastModifiedBy>黄凤仙</cp:lastModifiedBy>
  <cp:lastPrinted>2026-06-24T01:30:00Z</cp:lastPrinted>
  <dcterms:modified xsi:type="dcterms:W3CDTF">2026-08-31T07:18:34Z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9BEF74FC44354952AE5064014547C542</vt:lpwstr>
  </property>
</Properties>
</file>