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200"/>
        <w:jc w:val="center"/>
        <w:rPr>
          <w:rFonts w:hint="eastAsia" w:eastAsia="黑体"/>
          <w:b/>
          <w:sz w:val="52"/>
          <w:lang w:eastAsia="zh-CN"/>
        </w:rPr>
      </w:pPr>
      <w:bookmarkStart w:id="0" w:name="OLE_LINK1"/>
      <w:bookmarkStart w:id="1" w:name="_Toc415486390"/>
      <w:bookmarkStart w:id="2" w:name="_Toc416267173"/>
      <w:r>
        <w:rPr>
          <w:rFonts w:hint="eastAsia" w:eastAsia="黑体"/>
          <w:b/>
          <w:sz w:val="52"/>
          <w:lang w:eastAsia="zh-CN"/>
        </w:rPr>
        <w:t>防汛用橡皮艇</w:t>
      </w:r>
    </w:p>
    <w:bookmarkEnd w:id="0"/>
    <w:p>
      <w:pPr>
        <w:spacing w:beforeLines="200"/>
        <w:jc w:val="center"/>
        <w:rPr>
          <w:rFonts w:eastAsia="黑体"/>
          <w:b/>
          <w:sz w:val="52"/>
        </w:rPr>
      </w:pPr>
      <w:r>
        <w:rPr>
          <w:rFonts w:hint="eastAsia" w:eastAsia="黑体"/>
          <w:b/>
          <w:sz w:val="52"/>
        </w:rPr>
        <w:t>技术规范书</w:t>
      </w:r>
    </w:p>
    <w:p>
      <w:pPr>
        <w:ind w:left="2517" w:firstLine="361" w:firstLineChars="100"/>
        <w:rPr>
          <w:rFonts w:eastAsia="黑体"/>
          <w:b/>
          <w:sz w:val="36"/>
        </w:rPr>
      </w:pPr>
    </w:p>
    <w:p>
      <w:pPr>
        <w:ind w:left="2517" w:firstLine="361" w:firstLineChars="100"/>
        <w:rPr>
          <w:rFonts w:eastAsia="黑体"/>
          <w:b/>
          <w:sz w:val="36"/>
        </w:rPr>
      </w:pPr>
    </w:p>
    <w:p>
      <w:pPr>
        <w:pStyle w:val="2"/>
        <w:rPr>
          <w:rFonts w:eastAsia="黑体"/>
          <w:b/>
          <w:sz w:val="36"/>
        </w:rPr>
      </w:pPr>
    </w:p>
    <w:p>
      <w:pPr>
        <w:pStyle w:val="3"/>
        <w:rPr>
          <w:rFonts w:eastAsia="黑体"/>
          <w:b/>
          <w:sz w:val="36"/>
        </w:rPr>
      </w:pPr>
    </w:p>
    <w:p>
      <w:pPr>
        <w:rPr>
          <w:rFonts w:eastAsia="黑体"/>
          <w:b/>
          <w:sz w:val="36"/>
        </w:rPr>
      </w:pPr>
    </w:p>
    <w:p>
      <w:pPr>
        <w:pStyle w:val="2"/>
        <w:rPr>
          <w:rFonts w:eastAsia="黑体"/>
          <w:b/>
          <w:sz w:val="36"/>
        </w:rPr>
      </w:pPr>
    </w:p>
    <w:p>
      <w:pPr>
        <w:pStyle w:val="3"/>
        <w:rPr>
          <w:rFonts w:eastAsia="黑体"/>
          <w:b/>
          <w:sz w:val="36"/>
        </w:rPr>
      </w:pPr>
    </w:p>
    <w:p>
      <w:pPr>
        <w:rPr>
          <w:rFonts w:eastAsia="黑体"/>
          <w:b/>
          <w:sz w:val="36"/>
        </w:rPr>
      </w:pPr>
    </w:p>
    <w:p>
      <w:pPr>
        <w:pStyle w:val="2"/>
        <w:rPr>
          <w:rFonts w:eastAsia="黑体"/>
          <w:b/>
          <w:sz w:val="36"/>
        </w:rPr>
      </w:pPr>
    </w:p>
    <w:p>
      <w:pPr>
        <w:pStyle w:val="3"/>
      </w:pPr>
    </w:p>
    <w:p>
      <w:pPr>
        <w:ind w:left="2517" w:firstLine="361" w:firstLineChars="100"/>
        <w:rPr>
          <w:rFonts w:eastAsia="黑体"/>
          <w:b/>
          <w:sz w:val="36"/>
        </w:rPr>
      </w:pPr>
    </w:p>
    <w:p>
      <w:pPr>
        <w:jc w:val="center"/>
        <w:rPr>
          <w:rFonts w:hint="eastAsia" w:ascii="黑体" w:eastAsia="黑体"/>
          <w:b/>
          <w:color w:val="auto"/>
          <w:spacing w:val="20"/>
          <w:w w:val="135"/>
          <w:sz w:val="30"/>
          <w:lang w:eastAsia="zh-CN"/>
        </w:rPr>
      </w:pPr>
      <w:r>
        <w:rPr>
          <w:rFonts w:hint="eastAsia" w:ascii="黑体" w:eastAsia="黑体"/>
          <w:b/>
          <w:color w:val="auto"/>
          <w:spacing w:val="20"/>
          <w:w w:val="135"/>
          <w:sz w:val="30"/>
        </w:rPr>
        <w:t>广西电网有限责任公司</w:t>
      </w:r>
      <w:r>
        <w:rPr>
          <w:rFonts w:hint="eastAsia" w:ascii="黑体" w:eastAsia="黑体"/>
          <w:b/>
          <w:color w:val="auto"/>
          <w:spacing w:val="20"/>
          <w:w w:val="135"/>
          <w:sz w:val="30"/>
          <w:lang w:eastAsia="zh-CN"/>
        </w:rPr>
        <w:t>柳州供电局</w:t>
      </w:r>
    </w:p>
    <w:p>
      <w:pPr>
        <w:jc w:val="center"/>
        <w:rPr>
          <w:rFonts w:ascii="黑体" w:eastAsia="黑体"/>
          <w:b/>
          <w:spacing w:val="20"/>
          <w:w w:val="135"/>
          <w:sz w:val="30"/>
        </w:rPr>
      </w:pPr>
      <w:r>
        <w:rPr>
          <w:rFonts w:hint="eastAsia" w:ascii="黑体" w:eastAsia="黑体"/>
          <w:b/>
          <w:spacing w:val="20"/>
          <w:w w:val="135"/>
          <w:sz w:val="30"/>
        </w:rPr>
        <w:t>202</w:t>
      </w:r>
      <w:r>
        <w:rPr>
          <w:rFonts w:hint="eastAsia" w:ascii="黑体" w:eastAsia="黑体"/>
          <w:b/>
          <w:spacing w:val="20"/>
          <w:w w:val="135"/>
          <w:sz w:val="30"/>
          <w:lang w:val="en-US" w:eastAsia="zh-CN"/>
        </w:rPr>
        <w:t>4</w:t>
      </w:r>
      <w:r>
        <w:rPr>
          <w:rFonts w:hint="eastAsia" w:ascii="黑体" w:eastAsia="黑体"/>
          <w:b/>
          <w:spacing w:val="20"/>
          <w:w w:val="135"/>
          <w:sz w:val="30"/>
        </w:rPr>
        <w:t>年</w:t>
      </w:r>
      <w:r>
        <w:rPr>
          <w:rFonts w:hint="eastAsia" w:ascii="黑体" w:eastAsia="黑体"/>
          <w:b/>
          <w:spacing w:val="20"/>
          <w:w w:val="135"/>
          <w:sz w:val="30"/>
          <w:lang w:val="en-US" w:eastAsia="zh-CN"/>
        </w:rPr>
        <w:t>6</w:t>
      </w:r>
      <w:r>
        <w:rPr>
          <w:rFonts w:hint="eastAsia" w:ascii="黑体" w:eastAsia="黑体"/>
          <w:b/>
          <w:spacing w:val="20"/>
          <w:w w:val="135"/>
          <w:sz w:val="30"/>
        </w:rPr>
        <w:t>月</w:t>
      </w:r>
    </w:p>
    <w:p>
      <w:pPr>
        <w:spacing w:line="560" w:lineRule="exact"/>
        <w:jc w:val="center"/>
        <w:rPr>
          <w:rFonts w:ascii="Arial" w:hAnsi="Arial"/>
          <w:bCs/>
          <w:sz w:val="44"/>
          <w:szCs w:val="44"/>
        </w:rPr>
      </w:pPr>
      <w:r>
        <w:rPr>
          <w:rFonts w:ascii="仿宋_GB2312" w:eastAsia="仿宋_GB2312"/>
          <w:color w:val="000000"/>
        </w:rPr>
        <w:br w:type="page"/>
      </w:r>
      <w:r>
        <w:rPr>
          <w:rFonts w:hint="eastAsia" w:ascii="方正小标宋_GBK" w:hAnsi="方正小标宋_GBK" w:eastAsia="方正小标宋_GBK" w:cs="方正小标宋_GBK"/>
          <w:bCs/>
          <w:sz w:val="44"/>
          <w:szCs w:val="44"/>
        </w:rPr>
        <w:t>知识产权声明</w:t>
      </w:r>
    </w:p>
    <w:p>
      <w:pPr>
        <w:spacing w:line="560" w:lineRule="exact"/>
        <w:jc w:val="center"/>
        <w:rPr>
          <w:rFonts w:ascii="Arial" w:hAnsi="Arial"/>
          <w:b/>
          <w:sz w:val="32"/>
          <w:szCs w:val="32"/>
        </w:rPr>
      </w:pP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南方电网公司拥有本作品的知识产权，未经南方电网公司书面许可，任何单位和个人不得擅自</w:t>
      </w:r>
      <w:r>
        <w:rPr>
          <w:rFonts w:hint="eastAsia" w:ascii="仿宋_GB2312" w:hAnsi="仿宋_GB2312" w:eastAsia="仿宋_GB2312" w:cs="仿宋_GB2312"/>
          <w:color w:val="333333"/>
          <w:sz w:val="32"/>
          <w:szCs w:val="32"/>
        </w:rPr>
        <w:t>使用（包括但不限于复制、发行、转载、通过信息网络传播等）</w:t>
      </w:r>
      <w:r>
        <w:rPr>
          <w:rFonts w:hint="eastAsia" w:ascii="仿宋_GB2312" w:hAnsi="仿宋_GB2312" w:eastAsia="仿宋_GB2312" w:cs="仿宋_GB2312"/>
          <w:sz w:val="32"/>
          <w:szCs w:val="32"/>
        </w:rPr>
        <w:t>，否则，南方电网公司将依法追究法律责任。</w:t>
      </w:r>
    </w:p>
    <w:p>
      <w:pPr>
        <w:spacing w:line="560" w:lineRule="exact"/>
        <w:rPr>
          <w:rFonts w:ascii="Arial" w:hAnsi="Arial"/>
          <w:sz w:val="28"/>
          <w:szCs w:val="28"/>
        </w:rPr>
      </w:pPr>
    </w:p>
    <w:p>
      <w:pPr>
        <w:spacing w:line="560" w:lineRule="exact"/>
        <w:ind w:firstLine="560"/>
        <w:rPr>
          <w:rFonts w:ascii="Arial" w:hAnsi="Arial"/>
          <w:sz w:val="28"/>
          <w:szCs w:val="28"/>
        </w:rPr>
      </w:pPr>
    </w:p>
    <w:p>
      <w:pPr>
        <w:spacing w:line="560" w:lineRule="exact"/>
        <w:jc w:val="center"/>
        <w:rPr>
          <w:rFonts w:ascii="Trebuchet MS" w:hAnsi="Trebuchet MS" w:cs="Trebuchet MS"/>
          <w:sz w:val="44"/>
          <w:szCs w:val="44"/>
        </w:rPr>
      </w:pPr>
      <w:r>
        <w:rPr>
          <w:rFonts w:ascii="Trebuchet MS" w:hAnsi="Trebuchet MS" w:cs="Trebuchet MS"/>
          <w:sz w:val="44"/>
          <w:szCs w:val="44"/>
        </w:rPr>
        <w:t>Intellectual Property Rights Statement</w:t>
      </w:r>
    </w:p>
    <w:p>
      <w:pPr>
        <w:spacing w:line="560" w:lineRule="exact"/>
        <w:ind w:firstLine="640"/>
        <w:rPr>
          <w:rFonts w:ascii="Arial" w:hAnsi="Arial"/>
          <w:sz w:val="32"/>
          <w:szCs w:val="32"/>
        </w:rPr>
      </w:pPr>
    </w:p>
    <w:p>
      <w:pPr>
        <w:spacing w:line="560" w:lineRule="exact"/>
        <w:ind w:firstLine="640"/>
        <w:rPr>
          <w:sz w:val="32"/>
          <w:szCs w:val="32"/>
        </w:rPr>
      </w:pPr>
      <w:r>
        <w:rPr>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widowControl/>
        <w:jc w:val="left"/>
        <w:rPr>
          <w:rFonts w:ascii="仿宋_GB2312" w:eastAsia="仿宋_GB2312"/>
          <w:color w:val="000000"/>
        </w:rPr>
      </w:pPr>
    </w:p>
    <w:p>
      <w:pPr>
        <w:rPr>
          <w:rFonts w:eastAsia="黑体"/>
          <w:sz w:val="32"/>
          <w:szCs w:val="28"/>
        </w:rPr>
      </w:pPr>
      <w:r>
        <w:rPr>
          <w:rFonts w:hint="eastAsia" w:eastAsia="黑体"/>
          <w:sz w:val="32"/>
          <w:szCs w:val="28"/>
        </w:rPr>
        <w:br w:type="page"/>
      </w:r>
    </w:p>
    <w:p>
      <w:pPr>
        <w:spacing w:line="360" w:lineRule="auto"/>
        <w:jc w:val="center"/>
        <w:rPr>
          <w:rFonts w:eastAsia="黑体"/>
          <w:sz w:val="32"/>
          <w:szCs w:val="28"/>
        </w:rPr>
      </w:pPr>
      <w:r>
        <w:rPr>
          <w:rFonts w:hint="eastAsia" w:eastAsia="黑体"/>
          <w:sz w:val="32"/>
          <w:szCs w:val="28"/>
        </w:rPr>
        <w:t>前  言</w:t>
      </w:r>
    </w:p>
    <w:p>
      <w:pPr>
        <w:ind w:firstLine="420" w:firstLineChars="200"/>
        <w:jc w:val="left"/>
        <w:rPr>
          <w:rFonts w:ascii="宋体" w:hAnsi="宋体"/>
          <w:szCs w:val="21"/>
        </w:rPr>
      </w:pPr>
      <w:r>
        <w:rPr>
          <w:rFonts w:hint="eastAsia" w:ascii="宋体" w:hAnsi="宋体"/>
          <w:szCs w:val="21"/>
        </w:rPr>
        <w:t>为规范</w:t>
      </w:r>
      <w:r>
        <w:rPr>
          <w:rFonts w:hint="eastAsia" w:ascii="宋体" w:hAnsi="宋体"/>
          <w:szCs w:val="21"/>
          <w:lang w:val="en-US" w:eastAsia="zh-CN"/>
        </w:rPr>
        <w:t>防汛用橡皮艇</w:t>
      </w:r>
      <w:r>
        <w:rPr>
          <w:rFonts w:hint="eastAsia" w:ascii="宋体" w:hAnsi="宋体"/>
          <w:szCs w:val="21"/>
        </w:rPr>
        <w:t>技术参数和技术要求，</w:t>
      </w:r>
      <w:r>
        <w:rPr>
          <w:rFonts w:hint="eastAsia" w:ascii="宋体" w:hAnsi="宋体"/>
          <w:color w:val="auto"/>
          <w:szCs w:val="21"/>
        </w:rPr>
        <w:t>指导广西电网有限责任公司</w:t>
      </w:r>
      <w:r>
        <w:rPr>
          <w:rFonts w:hint="eastAsia" w:ascii="宋体" w:hAnsi="宋体"/>
          <w:color w:val="auto"/>
          <w:szCs w:val="21"/>
          <w:lang w:eastAsia="zh-CN"/>
        </w:rPr>
        <w:t>柳州供电局各级单位</w:t>
      </w:r>
      <w:r>
        <w:rPr>
          <w:rFonts w:hint="eastAsia" w:ascii="宋体" w:hAnsi="宋体"/>
          <w:color w:val="auto"/>
          <w:szCs w:val="21"/>
          <w:lang w:val="en-US" w:eastAsia="zh-CN"/>
        </w:rPr>
        <w:t>防汛用橡皮艇</w:t>
      </w:r>
      <w:r>
        <w:rPr>
          <w:rFonts w:hint="eastAsia" w:ascii="宋体" w:hAnsi="宋体"/>
          <w:szCs w:val="21"/>
        </w:rPr>
        <w:t>的选型和采购管理工作，依据国家和行业的有关标准和规程，特制定本规范。</w:t>
      </w:r>
    </w:p>
    <w:p>
      <w:pPr>
        <w:ind w:firstLine="420" w:firstLineChars="200"/>
        <w:jc w:val="left"/>
        <w:rPr>
          <w:rFonts w:ascii="宋体" w:hAnsi="宋体"/>
          <w:color w:val="auto"/>
          <w:szCs w:val="21"/>
        </w:rPr>
      </w:pPr>
      <w:r>
        <w:rPr>
          <w:rFonts w:hint="eastAsia" w:ascii="宋体" w:hAnsi="宋体"/>
          <w:color w:val="auto"/>
          <w:szCs w:val="21"/>
        </w:rPr>
        <w:t>本技术规范由</w:t>
      </w:r>
      <w:r>
        <w:rPr>
          <w:rFonts w:hint="eastAsia" w:ascii="宋体" w:hAnsi="宋体"/>
          <w:color w:val="auto"/>
          <w:szCs w:val="21"/>
          <w:lang w:eastAsia="zh-CN"/>
        </w:rPr>
        <w:t>广西</w:t>
      </w:r>
      <w:r>
        <w:rPr>
          <w:rFonts w:hint="eastAsia" w:ascii="宋体" w:hAnsi="宋体"/>
          <w:color w:val="auto"/>
          <w:szCs w:val="21"/>
        </w:rPr>
        <w:t>电网有限责任公司</w:t>
      </w:r>
      <w:r>
        <w:rPr>
          <w:rFonts w:hint="eastAsia" w:ascii="宋体" w:hAnsi="宋体"/>
          <w:color w:val="auto"/>
          <w:szCs w:val="21"/>
          <w:lang w:eastAsia="zh-CN"/>
        </w:rPr>
        <w:t>柳州供电局</w:t>
      </w:r>
      <w:r>
        <w:rPr>
          <w:rFonts w:hint="eastAsia" w:ascii="宋体" w:hAnsi="宋体"/>
          <w:color w:val="auto"/>
          <w:szCs w:val="21"/>
        </w:rPr>
        <w:t>安全监管部（应急指挥中心）提出、归口管理和负责解释。</w:t>
      </w:r>
    </w:p>
    <w:p>
      <w:pPr>
        <w:ind w:firstLine="420" w:firstLineChars="200"/>
        <w:jc w:val="left"/>
        <w:rPr>
          <w:rFonts w:hint="eastAsia" w:ascii="宋体" w:hAnsi="宋体" w:eastAsia="宋体"/>
          <w:color w:val="auto"/>
          <w:szCs w:val="21"/>
          <w:lang w:eastAsia="zh-CN"/>
        </w:rPr>
      </w:pPr>
      <w:r>
        <w:rPr>
          <w:rFonts w:hint="eastAsia" w:ascii="宋体" w:hAnsi="宋体"/>
          <w:color w:val="auto"/>
          <w:szCs w:val="21"/>
        </w:rPr>
        <w:t>本规范参加单位：</w:t>
      </w:r>
      <w:r>
        <w:rPr>
          <w:rFonts w:hint="eastAsia" w:ascii="宋体" w:hAnsi="宋体"/>
          <w:color w:val="auto"/>
          <w:szCs w:val="21"/>
          <w:lang w:eastAsia="zh-CN"/>
        </w:rPr>
        <w:t>柳州融安供电局、柳州柳城供电局</w:t>
      </w:r>
    </w:p>
    <w:p>
      <w:pPr>
        <w:ind w:firstLine="420" w:firstLineChars="200"/>
        <w:jc w:val="left"/>
        <w:rPr>
          <w:rFonts w:hint="eastAsia" w:ascii="宋体" w:hAnsi="宋体" w:eastAsia="宋体"/>
          <w:color w:val="auto"/>
          <w:szCs w:val="21"/>
          <w:lang w:eastAsia="zh-CN"/>
        </w:rPr>
      </w:pPr>
      <w:r>
        <w:rPr>
          <w:rFonts w:hint="eastAsia" w:ascii="宋体" w:hAnsi="宋体"/>
          <w:color w:val="auto"/>
          <w:szCs w:val="21"/>
        </w:rPr>
        <w:t>本规范主要起草人：</w:t>
      </w:r>
      <w:r>
        <w:rPr>
          <w:rFonts w:hint="eastAsia" w:ascii="宋体" w:hAnsi="宋体"/>
          <w:color w:val="auto"/>
          <w:szCs w:val="21"/>
          <w:lang w:eastAsia="zh-CN"/>
        </w:rPr>
        <w:t>莫玉、曾科鳞</w:t>
      </w:r>
    </w:p>
    <w:p>
      <w:pPr>
        <w:ind w:firstLine="420" w:firstLineChars="200"/>
        <w:jc w:val="left"/>
        <w:rPr>
          <w:rFonts w:hint="eastAsia" w:ascii="宋体" w:hAnsi="宋体" w:eastAsia="宋体"/>
          <w:color w:val="auto"/>
          <w:szCs w:val="21"/>
          <w:lang w:eastAsia="zh-CN"/>
        </w:rPr>
      </w:pPr>
      <w:r>
        <w:rPr>
          <w:rFonts w:hint="eastAsia" w:ascii="宋体" w:hAnsi="宋体"/>
          <w:color w:val="auto"/>
          <w:szCs w:val="21"/>
        </w:rPr>
        <w:t>本规范主要审核人：</w:t>
      </w:r>
      <w:r>
        <w:rPr>
          <w:rFonts w:hint="eastAsia" w:ascii="宋体" w:hAnsi="宋体"/>
          <w:color w:val="auto"/>
          <w:szCs w:val="21"/>
          <w:lang w:eastAsia="zh-CN"/>
        </w:rPr>
        <w:t>戴孟云</w:t>
      </w:r>
    </w:p>
    <w:p>
      <w:pPr>
        <w:ind w:firstLine="420" w:firstLineChars="200"/>
        <w:jc w:val="left"/>
        <w:rPr>
          <w:rFonts w:ascii="宋体" w:hAnsi="宋体"/>
          <w:color w:val="auto"/>
          <w:szCs w:val="21"/>
        </w:rPr>
      </w:pPr>
      <w:r>
        <w:rPr>
          <w:rFonts w:hint="eastAsia" w:ascii="宋体" w:hAnsi="宋体"/>
          <w:color w:val="auto"/>
          <w:szCs w:val="21"/>
        </w:rPr>
        <w:t>本规范自发布之日起实施。</w:t>
      </w:r>
    </w:p>
    <w:p>
      <w:pPr>
        <w:spacing w:line="360" w:lineRule="auto"/>
        <w:ind w:firstLine="420" w:firstLineChars="200"/>
        <w:rPr>
          <w:rFonts w:ascii="黑体" w:eastAsia="黑体"/>
          <w:color w:val="auto"/>
          <w:sz w:val="36"/>
          <w:szCs w:val="36"/>
        </w:rPr>
      </w:pPr>
      <w:r>
        <w:rPr>
          <w:rFonts w:hint="eastAsia" w:ascii="宋体" w:hAnsi="宋体"/>
          <w:color w:val="auto"/>
          <w:szCs w:val="21"/>
        </w:rPr>
        <w:t>执行中的问题和意见，请及时反馈至广西电网有限责任公司</w:t>
      </w:r>
      <w:r>
        <w:rPr>
          <w:rFonts w:hint="eastAsia" w:ascii="宋体" w:hAnsi="宋体"/>
          <w:color w:val="auto"/>
          <w:szCs w:val="21"/>
          <w:lang w:eastAsia="zh-CN"/>
        </w:rPr>
        <w:t>柳州供电局</w:t>
      </w:r>
      <w:r>
        <w:rPr>
          <w:rFonts w:hint="eastAsia" w:ascii="宋体" w:hAnsi="宋体"/>
          <w:color w:val="auto"/>
          <w:szCs w:val="21"/>
        </w:rPr>
        <w:t>安全监管部（应急</w:t>
      </w:r>
      <w:r>
        <w:rPr>
          <w:rFonts w:hint="eastAsia" w:ascii="宋体" w:hAnsi="宋体"/>
          <w:color w:val="auto"/>
          <w:szCs w:val="21"/>
          <w:lang w:eastAsia="zh-CN"/>
        </w:rPr>
        <w:t>管理部</w:t>
      </w:r>
      <w:r>
        <w:rPr>
          <w:rFonts w:hint="eastAsia" w:ascii="宋体" w:hAnsi="宋体"/>
          <w:color w:val="auto"/>
          <w:szCs w:val="21"/>
        </w:rPr>
        <w:t>）。</w:t>
      </w:r>
    </w:p>
    <w:p>
      <w:pPr>
        <w:spacing w:line="360" w:lineRule="auto"/>
        <w:jc w:val="center"/>
        <w:rPr>
          <w:rFonts w:ascii="黑体" w:eastAsia="黑体"/>
          <w:sz w:val="36"/>
          <w:szCs w:val="36"/>
        </w:rPr>
      </w:pPr>
    </w:p>
    <w:p>
      <w:pPr>
        <w:spacing w:line="360" w:lineRule="auto"/>
        <w:jc w:val="center"/>
        <w:rPr>
          <w:rFonts w:ascii="黑体" w:eastAsia="黑体"/>
          <w:sz w:val="36"/>
          <w:szCs w:val="36"/>
        </w:rPr>
      </w:pPr>
    </w:p>
    <w:p>
      <w:pPr>
        <w:spacing w:line="360" w:lineRule="auto"/>
        <w:jc w:val="center"/>
        <w:rPr>
          <w:rFonts w:ascii="黑体" w:eastAsia="黑体"/>
          <w:sz w:val="36"/>
          <w:szCs w:val="36"/>
        </w:rPr>
      </w:pPr>
    </w:p>
    <w:p>
      <w:pPr>
        <w:spacing w:line="360" w:lineRule="auto"/>
        <w:jc w:val="center"/>
        <w:rPr>
          <w:rFonts w:ascii="黑体" w:eastAsia="黑体"/>
          <w:sz w:val="36"/>
          <w:szCs w:val="36"/>
        </w:rPr>
      </w:pPr>
    </w:p>
    <w:p>
      <w:pPr>
        <w:spacing w:line="360" w:lineRule="auto"/>
        <w:jc w:val="center"/>
        <w:rPr>
          <w:rFonts w:ascii="黑体" w:eastAsia="黑体"/>
          <w:sz w:val="36"/>
          <w:szCs w:val="36"/>
        </w:rPr>
      </w:pPr>
    </w:p>
    <w:p>
      <w:pPr>
        <w:spacing w:line="360" w:lineRule="auto"/>
        <w:jc w:val="center"/>
        <w:rPr>
          <w:rFonts w:ascii="黑体" w:eastAsia="黑体"/>
          <w:sz w:val="36"/>
          <w:szCs w:val="36"/>
        </w:rPr>
      </w:pPr>
    </w:p>
    <w:p>
      <w:pPr>
        <w:spacing w:line="360" w:lineRule="auto"/>
        <w:jc w:val="center"/>
        <w:rPr>
          <w:rFonts w:ascii="黑体" w:eastAsia="黑体"/>
          <w:sz w:val="36"/>
          <w:szCs w:val="36"/>
        </w:rPr>
      </w:pPr>
    </w:p>
    <w:p>
      <w:pPr>
        <w:spacing w:line="360" w:lineRule="auto"/>
        <w:jc w:val="center"/>
        <w:rPr>
          <w:rFonts w:ascii="黑体" w:eastAsia="黑体"/>
          <w:sz w:val="36"/>
          <w:szCs w:val="36"/>
        </w:rPr>
      </w:pPr>
    </w:p>
    <w:p>
      <w:pPr>
        <w:spacing w:line="360" w:lineRule="auto"/>
        <w:jc w:val="center"/>
        <w:rPr>
          <w:rFonts w:ascii="黑体" w:eastAsia="黑体"/>
          <w:sz w:val="36"/>
          <w:szCs w:val="36"/>
        </w:rPr>
      </w:pPr>
    </w:p>
    <w:p>
      <w:pPr>
        <w:spacing w:line="360" w:lineRule="auto"/>
        <w:jc w:val="center"/>
        <w:rPr>
          <w:rFonts w:ascii="黑体" w:eastAsia="黑体"/>
          <w:sz w:val="36"/>
          <w:szCs w:val="36"/>
        </w:rPr>
      </w:pPr>
    </w:p>
    <w:p>
      <w:pPr>
        <w:spacing w:line="360" w:lineRule="auto"/>
        <w:jc w:val="center"/>
        <w:rPr>
          <w:rFonts w:ascii="黑体" w:eastAsia="黑体"/>
          <w:sz w:val="36"/>
          <w:szCs w:val="36"/>
        </w:rPr>
      </w:pPr>
    </w:p>
    <w:p>
      <w:pPr>
        <w:spacing w:line="360" w:lineRule="auto"/>
        <w:jc w:val="center"/>
        <w:rPr>
          <w:rFonts w:ascii="黑体" w:eastAsia="黑体"/>
          <w:sz w:val="36"/>
          <w:szCs w:val="36"/>
        </w:rPr>
      </w:pPr>
    </w:p>
    <w:p>
      <w:pPr>
        <w:spacing w:line="360" w:lineRule="auto"/>
        <w:jc w:val="center"/>
        <w:rPr>
          <w:rFonts w:ascii="黑体" w:eastAsia="黑体"/>
          <w:sz w:val="36"/>
          <w:szCs w:val="36"/>
        </w:rPr>
      </w:pPr>
    </w:p>
    <w:p>
      <w:pPr>
        <w:spacing w:line="360" w:lineRule="auto"/>
        <w:jc w:val="center"/>
        <w:rPr>
          <w:rFonts w:ascii="黑体" w:eastAsia="黑体"/>
          <w:sz w:val="36"/>
          <w:szCs w:val="36"/>
        </w:rPr>
      </w:pPr>
    </w:p>
    <w:p>
      <w:pPr>
        <w:spacing w:line="360" w:lineRule="auto"/>
        <w:jc w:val="center"/>
        <w:rPr>
          <w:rFonts w:ascii="黑体" w:eastAsia="黑体"/>
          <w:sz w:val="36"/>
          <w:szCs w:val="36"/>
        </w:rPr>
      </w:pPr>
    </w:p>
    <w:p>
      <w:pPr>
        <w:spacing w:line="360" w:lineRule="auto"/>
        <w:jc w:val="center"/>
        <w:rPr>
          <w:rFonts w:ascii="黑体" w:eastAsia="黑体"/>
          <w:sz w:val="36"/>
          <w:szCs w:val="36"/>
        </w:rPr>
      </w:pPr>
      <w:r>
        <w:rPr>
          <w:rFonts w:hint="eastAsia" w:ascii="黑体" w:eastAsia="黑体"/>
          <w:sz w:val="36"/>
          <w:szCs w:val="36"/>
        </w:rPr>
        <w:t>目</w:t>
      </w:r>
      <w:bookmarkStart w:id="3" w:name="BKML"/>
      <w:bookmarkEnd w:id="3"/>
      <w:r>
        <w:rPr>
          <w:rFonts w:hint="eastAsia" w:ascii="黑体" w:eastAsia="黑体"/>
          <w:sz w:val="36"/>
          <w:szCs w:val="36"/>
        </w:rPr>
        <w:t xml:space="preserve"> 录</w:t>
      </w:r>
    </w:p>
    <w:p>
      <w:pPr>
        <w:pStyle w:val="34"/>
        <w:tabs>
          <w:tab w:val="right" w:leader="dot" w:pos="9354"/>
          <w:tab w:val="clear" w:pos="9241"/>
        </w:tabs>
      </w:pPr>
      <w:r>
        <w:fldChar w:fldCharType="begin"/>
      </w:r>
      <w:r>
        <w:instrText xml:space="preserve"> TOC \o "1-2" \h \z \u </w:instrText>
      </w:r>
      <w:r>
        <w:fldChar w:fldCharType="separate"/>
      </w:r>
      <w:r>
        <w:fldChar w:fldCharType="begin"/>
      </w:r>
      <w:r>
        <w:instrText xml:space="preserve"> HYPERLINK \l _Toc4851 </w:instrText>
      </w:r>
      <w:r>
        <w:fldChar w:fldCharType="separate"/>
      </w:r>
      <w:r>
        <w:rPr>
          <w:rFonts w:hint="eastAsia" w:ascii="黑体" w:hAnsi="Times New Roman" w:eastAsia="黑体"/>
          <w:i w:val="0"/>
          <w:szCs w:val="21"/>
        </w:rPr>
        <w:t xml:space="preserve">1 </w:t>
      </w:r>
      <w:r>
        <w:rPr>
          <w:rFonts w:ascii="Times New Roman"/>
        </w:rPr>
        <w:t>范围</w:t>
      </w:r>
      <w:r>
        <w:tab/>
      </w:r>
      <w:r>
        <w:fldChar w:fldCharType="begin"/>
      </w:r>
      <w:r>
        <w:instrText xml:space="preserve"> PAGEREF _Toc4851 \h </w:instrText>
      </w:r>
      <w:r>
        <w:fldChar w:fldCharType="separate"/>
      </w:r>
      <w:r>
        <w:t>1</w:t>
      </w:r>
      <w:r>
        <w:fldChar w:fldCharType="end"/>
      </w:r>
      <w:r>
        <w:fldChar w:fldCharType="end"/>
      </w:r>
    </w:p>
    <w:p>
      <w:pPr>
        <w:pStyle w:val="34"/>
        <w:tabs>
          <w:tab w:val="right" w:leader="dot" w:pos="9354"/>
          <w:tab w:val="clear" w:pos="9241"/>
        </w:tabs>
      </w:pPr>
      <w:r>
        <w:fldChar w:fldCharType="begin"/>
      </w:r>
      <w:r>
        <w:instrText xml:space="preserve"> HYPERLINK \l _Toc22971 </w:instrText>
      </w:r>
      <w:r>
        <w:fldChar w:fldCharType="separate"/>
      </w:r>
      <w:r>
        <w:rPr>
          <w:rFonts w:hint="eastAsia" w:ascii="黑体" w:hAnsi="Times New Roman" w:eastAsia="黑体"/>
          <w:i w:val="0"/>
          <w:szCs w:val="21"/>
        </w:rPr>
        <w:t xml:space="preserve">2 </w:t>
      </w:r>
      <w:r>
        <w:rPr>
          <w:rFonts w:hint="eastAsia" w:ascii="Times New Roman"/>
          <w:lang w:eastAsia="zh-CN"/>
        </w:rPr>
        <w:t>供货范围</w:t>
      </w:r>
      <w:r>
        <w:tab/>
      </w:r>
      <w:r>
        <w:fldChar w:fldCharType="begin"/>
      </w:r>
      <w:r>
        <w:instrText xml:space="preserve"> PAGEREF _Toc22971 \h </w:instrText>
      </w:r>
      <w:r>
        <w:fldChar w:fldCharType="separate"/>
      </w:r>
      <w:r>
        <w:t>1</w:t>
      </w:r>
      <w:r>
        <w:fldChar w:fldCharType="end"/>
      </w:r>
      <w:r>
        <w:fldChar w:fldCharType="end"/>
      </w:r>
    </w:p>
    <w:p>
      <w:pPr>
        <w:pStyle w:val="34"/>
        <w:tabs>
          <w:tab w:val="right" w:leader="dot" w:pos="9354"/>
          <w:tab w:val="clear" w:pos="9241"/>
        </w:tabs>
      </w:pPr>
      <w:r>
        <w:fldChar w:fldCharType="begin"/>
      </w:r>
      <w:r>
        <w:instrText xml:space="preserve"> HYPERLINK \l _Toc18700 </w:instrText>
      </w:r>
      <w:r>
        <w:fldChar w:fldCharType="separate"/>
      </w:r>
      <w:r>
        <w:rPr>
          <w:rFonts w:hint="eastAsia" w:ascii="黑体" w:hAnsi="Times New Roman" w:eastAsia="黑体"/>
          <w:i w:val="0"/>
          <w:szCs w:val="21"/>
        </w:rPr>
        <w:t xml:space="preserve">3 </w:t>
      </w:r>
      <w:r>
        <w:rPr>
          <w:rFonts w:hint="eastAsia" w:ascii="Times New Roman"/>
          <w:lang w:eastAsia="zh-CN"/>
        </w:rPr>
        <w:t>应遵循的主要标准</w:t>
      </w:r>
      <w:r>
        <w:tab/>
      </w:r>
      <w:r>
        <w:fldChar w:fldCharType="begin"/>
      </w:r>
      <w:r>
        <w:instrText xml:space="preserve"> PAGEREF _Toc18700 \h </w:instrText>
      </w:r>
      <w:r>
        <w:fldChar w:fldCharType="separate"/>
      </w:r>
      <w:r>
        <w:t>2</w:t>
      </w:r>
      <w:r>
        <w:fldChar w:fldCharType="end"/>
      </w:r>
      <w:r>
        <w:fldChar w:fldCharType="end"/>
      </w:r>
    </w:p>
    <w:p>
      <w:pPr>
        <w:pStyle w:val="34"/>
        <w:tabs>
          <w:tab w:val="right" w:leader="dot" w:pos="9354"/>
          <w:tab w:val="clear" w:pos="9241"/>
        </w:tabs>
      </w:pPr>
      <w:r>
        <w:fldChar w:fldCharType="begin"/>
      </w:r>
      <w:r>
        <w:instrText xml:space="preserve"> HYPERLINK \l _Toc7821 </w:instrText>
      </w:r>
      <w:r>
        <w:fldChar w:fldCharType="separate"/>
      </w:r>
      <w:r>
        <w:rPr>
          <w:rFonts w:hint="eastAsia" w:ascii="黑体" w:hAnsi="Times New Roman" w:eastAsia="黑体"/>
          <w:i w:val="0"/>
          <w:szCs w:val="21"/>
        </w:rPr>
        <w:t xml:space="preserve">4 </w:t>
      </w:r>
      <w:r>
        <w:rPr>
          <w:rFonts w:ascii="Times New Roman"/>
        </w:rPr>
        <w:t>术语和定义</w:t>
      </w:r>
      <w:r>
        <w:tab/>
      </w:r>
      <w:r>
        <w:fldChar w:fldCharType="begin"/>
      </w:r>
      <w:r>
        <w:instrText xml:space="preserve"> PAGEREF _Toc7821 \h </w:instrText>
      </w:r>
      <w:r>
        <w:fldChar w:fldCharType="separate"/>
      </w:r>
      <w:r>
        <w:t>2</w:t>
      </w:r>
      <w:r>
        <w:fldChar w:fldCharType="end"/>
      </w:r>
      <w:r>
        <w:fldChar w:fldCharType="end"/>
      </w:r>
    </w:p>
    <w:p>
      <w:pPr>
        <w:pStyle w:val="34"/>
        <w:tabs>
          <w:tab w:val="right" w:leader="dot" w:pos="9354"/>
          <w:tab w:val="clear" w:pos="9241"/>
        </w:tabs>
      </w:pPr>
      <w:r>
        <w:fldChar w:fldCharType="begin"/>
      </w:r>
      <w:r>
        <w:instrText xml:space="preserve"> HYPERLINK \l _Toc10331 </w:instrText>
      </w:r>
      <w:r>
        <w:fldChar w:fldCharType="separate"/>
      </w:r>
      <w:r>
        <w:rPr>
          <w:rFonts w:hint="eastAsia" w:ascii="黑体" w:hAnsi="Times New Roman" w:eastAsia="黑体"/>
          <w:i w:val="0"/>
          <w:szCs w:val="21"/>
        </w:rPr>
        <w:t xml:space="preserve">5 </w:t>
      </w:r>
      <w:r>
        <w:rPr>
          <w:rFonts w:ascii="Times New Roman"/>
        </w:rPr>
        <w:t>系统组成</w:t>
      </w:r>
      <w:r>
        <w:tab/>
      </w:r>
      <w:r>
        <w:fldChar w:fldCharType="begin"/>
      </w:r>
      <w:r>
        <w:instrText xml:space="preserve"> PAGEREF _Toc10331 \h </w:instrText>
      </w:r>
      <w:r>
        <w:fldChar w:fldCharType="separate"/>
      </w:r>
      <w:r>
        <w:t>2</w:t>
      </w:r>
      <w:r>
        <w:fldChar w:fldCharType="end"/>
      </w:r>
      <w:r>
        <w:fldChar w:fldCharType="end"/>
      </w:r>
    </w:p>
    <w:p>
      <w:pPr>
        <w:pStyle w:val="34"/>
        <w:tabs>
          <w:tab w:val="right" w:leader="dot" w:pos="9354"/>
          <w:tab w:val="clear" w:pos="9241"/>
        </w:tabs>
      </w:pPr>
      <w:r>
        <w:fldChar w:fldCharType="begin"/>
      </w:r>
      <w:r>
        <w:instrText xml:space="preserve"> HYPERLINK \l _Toc19953 </w:instrText>
      </w:r>
      <w:r>
        <w:fldChar w:fldCharType="separate"/>
      </w:r>
      <w:r>
        <w:rPr>
          <w:rFonts w:hint="eastAsia" w:ascii="黑体" w:hAnsi="Times New Roman" w:eastAsia="黑体"/>
          <w:i w:val="0"/>
          <w:szCs w:val="21"/>
        </w:rPr>
        <w:t xml:space="preserve">6 </w:t>
      </w:r>
      <w:r>
        <w:rPr>
          <w:rFonts w:ascii="Times New Roman"/>
        </w:rPr>
        <w:t>技术要求</w:t>
      </w:r>
      <w:r>
        <w:tab/>
      </w:r>
      <w:r>
        <w:fldChar w:fldCharType="begin"/>
      </w:r>
      <w:r>
        <w:instrText xml:space="preserve"> PAGEREF _Toc19953 \h </w:instrText>
      </w:r>
      <w:r>
        <w:fldChar w:fldCharType="separate"/>
      </w:r>
      <w:r>
        <w:t>2</w:t>
      </w:r>
      <w:r>
        <w:fldChar w:fldCharType="end"/>
      </w:r>
      <w:r>
        <w:fldChar w:fldCharType="end"/>
      </w:r>
    </w:p>
    <w:p>
      <w:pPr>
        <w:pStyle w:val="34"/>
        <w:tabs>
          <w:tab w:val="right" w:leader="dot" w:pos="9354"/>
          <w:tab w:val="clear" w:pos="9241"/>
        </w:tabs>
      </w:pPr>
      <w:r>
        <w:fldChar w:fldCharType="begin"/>
      </w:r>
      <w:r>
        <w:instrText xml:space="preserve"> HYPERLINK \l _Toc11869 </w:instrText>
      </w:r>
      <w:r>
        <w:fldChar w:fldCharType="separate"/>
      </w:r>
      <w:r>
        <w:rPr>
          <w:rFonts w:hint="eastAsia" w:ascii="黑体" w:hAnsi="Times New Roman" w:eastAsia="黑体"/>
          <w:i w:val="0"/>
          <w:szCs w:val="21"/>
        </w:rPr>
        <w:t xml:space="preserve">7 </w:t>
      </w:r>
      <w:r>
        <w:rPr>
          <w:rFonts w:ascii="Times New Roman"/>
        </w:rPr>
        <w:t>试验要求</w:t>
      </w:r>
      <w:r>
        <w:tab/>
      </w:r>
      <w:r>
        <w:fldChar w:fldCharType="begin"/>
      </w:r>
      <w:r>
        <w:instrText xml:space="preserve"> PAGEREF _Toc11869 \h </w:instrText>
      </w:r>
      <w:r>
        <w:fldChar w:fldCharType="separate"/>
      </w:r>
      <w:r>
        <w:t>3</w:t>
      </w:r>
      <w:r>
        <w:fldChar w:fldCharType="end"/>
      </w:r>
      <w:r>
        <w:fldChar w:fldCharType="end"/>
      </w:r>
    </w:p>
    <w:p>
      <w:pPr>
        <w:pStyle w:val="34"/>
        <w:tabs>
          <w:tab w:val="right" w:leader="dot" w:pos="9354"/>
          <w:tab w:val="clear" w:pos="9241"/>
        </w:tabs>
      </w:pPr>
      <w:r>
        <w:fldChar w:fldCharType="begin"/>
      </w:r>
      <w:r>
        <w:instrText xml:space="preserve"> HYPERLINK \l _Toc2816 </w:instrText>
      </w:r>
      <w:r>
        <w:fldChar w:fldCharType="separate"/>
      </w:r>
      <w:r>
        <w:rPr>
          <w:rFonts w:hint="eastAsia" w:ascii="黑体" w:hAnsi="Times New Roman" w:eastAsia="黑体"/>
          <w:i w:val="0"/>
          <w:szCs w:val="21"/>
        </w:rPr>
        <w:t xml:space="preserve">8 </w:t>
      </w:r>
      <w:r>
        <w:rPr>
          <w:rFonts w:ascii="Times New Roman"/>
        </w:rPr>
        <w:t>检验规则</w:t>
      </w:r>
      <w:r>
        <w:tab/>
      </w:r>
      <w:r>
        <w:fldChar w:fldCharType="begin"/>
      </w:r>
      <w:r>
        <w:instrText xml:space="preserve"> PAGEREF _Toc2816 \h </w:instrText>
      </w:r>
      <w:r>
        <w:fldChar w:fldCharType="separate"/>
      </w:r>
      <w:r>
        <w:t>4</w:t>
      </w:r>
      <w:r>
        <w:fldChar w:fldCharType="end"/>
      </w:r>
      <w:r>
        <w:fldChar w:fldCharType="end"/>
      </w:r>
    </w:p>
    <w:p>
      <w:pPr>
        <w:pStyle w:val="34"/>
        <w:tabs>
          <w:tab w:val="right" w:leader="dot" w:pos="9354"/>
          <w:tab w:val="clear" w:pos="9241"/>
        </w:tabs>
      </w:pPr>
      <w:r>
        <w:fldChar w:fldCharType="begin"/>
      </w:r>
      <w:r>
        <w:instrText xml:space="preserve"> HYPERLINK \l _Toc26386 </w:instrText>
      </w:r>
      <w:r>
        <w:fldChar w:fldCharType="separate"/>
      </w:r>
      <w:r>
        <w:rPr>
          <w:rFonts w:hint="eastAsia" w:ascii="黑体" w:hAnsi="Times New Roman" w:eastAsia="黑体"/>
          <w:i w:val="0"/>
          <w:szCs w:val="21"/>
        </w:rPr>
        <w:t xml:space="preserve">9 </w:t>
      </w:r>
      <w:r>
        <w:rPr>
          <w:rFonts w:ascii="Times New Roman"/>
        </w:rPr>
        <w:t>标志、包装、运输</w:t>
      </w:r>
      <w:r>
        <w:tab/>
      </w:r>
      <w:r>
        <w:fldChar w:fldCharType="begin"/>
      </w:r>
      <w:r>
        <w:instrText xml:space="preserve"> PAGEREF _Toc26386 \h </w:instrText>
      </w:r>
      <w:r>
        <w:fldChar w:fldCharType="separate"/>
      </w:r>
      <w:r>
        <w:t>4</w:t>
      </w:r>
      <w:r>
        <w:fldChar w:fldCharType="end"/>
      </w:r>
      <w:r>
        <w:fldChar w:fldCharType="end"/>
      </w:r>
    </w:p>
    <w:p>
      <w:pPr>
        <w:pStyle w:val="29"/>
      </w:pPr>
      <w:r>
        <w:fldChar w:fldCharType="end"/>
      </w:r>
    </w:p>
    <w:p>
      <w:pPr>
        <w:pStyle w:val="29"/>
        <w:sectPr>
          <w:footerReference r:id="rId5" w:type="first"/>
          <w:headerReference r:id="rId3" w:type="default"/>
          <w:footerReference r:id="rId4" w:type="default"/>
          <w:pgSz w:w="11906" w:h="16838"/>
          <w:pgMar w:top="1440" w:right="1418" w:bottom="1440" w:left="1134" w:header="851" w:footer="992" w:gutter="0"/>
          <w:pgNumType w:fmt="upperRoman" w:start="1"/>
          <w:cols w:space="425" w:num="1"/>
          <w:formProt w:val="0"/>
          <w:titlePg/>
          <w:docGrid w:type="lines" w:linePitch="344" w:charSpace="0"/>
        </w:sectPr>
      </w:pPr>
    </w:p>
    <w:bookmarkEnd w:id="1"/>
    <w:bookmarkEnd w:id="2"/>
    <w:p>
      <w:pPr>
        <w:pStyle w:val="55"/>
        <w:spacing w:before="312" w:after="312"/>
        <w:rPr>
          <w:rFonts w:ascii="Times New Roman"/>
        </w:rPr>
      </w:pPr>
      <w:bookmarkStart w:id="4" w:name="_Toc415486391"/>
      <w:bookmarkStart w:id="5" w:name="_Toc386617896"/>
      <w:bookmarkStart w:id="6" w:name="_Toc416267174"/>
      <w:bookmarkStart w:id="7" w:name="_Toc386893275"/>
      <w:bookmarkStart w:id="8" w:name="_Toc4851"/>
      <w:bookmarkStart w:id="9" w:name="_Toc386613493"/>
      <w:bookmarkStart w:id="10" w:name="_Toc416267225"/>
      <w:bookmarkStart w:id="11" w:name="_Toc388521260"/>
      <w:r>
        <w:rPr>
          <w:rFonts w:ascii="Times New Roman"/>
        </w:rPr>
        <w:t>范围</w:t>
      </w:r>
      <w:bookmarkEnd w:id="4"/>
      <w:bookmarkEnd w:id="5"/>
      <w:bookmarkEnd w:id="6"/>
      <w:bookmarkEnd w:id="7"/>
      <w:bookmarkEnd w:id="8"/>
      <w:bookmarkEnd w:id="9"/>
      <w:bookmarkEnd w:id="10"/>
      <w:bookmarkEnd w:id="11"/>
    </w:p>
    <w:p>
      <w:pPr>
        <w:pStyle w:val="29"/>
        <w:rPr>
          <w:rFonts w:ascii="Times New Roman"/>
        </w:rPr>
      </w:pPr>
      <w:r>
        <w:rPr>
          <w:rFonts w:hint="eastAsia" w:hAnsi="宋体" w:cs="宋体"/>
          <w:szCs w:val="21"/>
        </w:rPr>
        <w:t>本规范明确了</w:t>
      </w:r>
      <w:r>
        <w:rPr>
          <w:rFonts w:hint="eastAsia" w:ascii="Times New Roman"/>
          <w:lang w:val="en-US" w:eastAsia="zh-CN"/>
        </w:rPr>
        <w:t>防汛用橡皮艇</w:t>
      </w:r>
      <w:r>
        <w:rPr>
          <w:rFonts w:hint="eastAsia" w:hAnsi="宋体" w:cs="宋体"/>
          <w:szCs w:val="21"/>
        </w:rPr>
        <w:t>的基本技术原则，适用于</w:t>
      </w:r>
      <w:r>
        <w:rPr>
          <w:rFonts w:hint="eastAsia" w:hAnsi="宋体" w:cs="宋体"/>
          <w:color w:val="auto"/>
          <w:szCs w:val="21"/>
        </w:rPr>
        <w:t>广西电网有限责任公司柳州供电局</w:t>
      </w:r>
      <w:r>
        <w:rPr>
          <w:rFonts w:hint="eastAsia" w:hAnsi="宋体" w:cs="宋体"/>
          <w:szCs w:val="21"/>
        </w:rPr>
        <w:t>各级单位开展</w:t>
      </w:r>
      <w:r>
        <w:rPr>
          <w:rFonts w:hint="eastAsia" w:ascii="Times New Roman"/>
          <w:lang w:val="en-US" w:eastAsia="zh-CN"/>
        </w:rPr>
        <w:t>防汛用橡皮艇</w:t>
      </w:r>
      <w:r>
        <w:rPr>
          <w:rFonts w:hint="eastAsia" w:hAnsi="宋体" w:cs="宋体"/>
          <w:szCs w:val="21"/>
        </w:rPr>
        <w:t>装备的配置、验收、使用及运维等工作</w:t>
      </w:r>
      <w:r>
        <w:rPr>
          <w:rFonts w:hint="eastAsia" w:ascii="Times New Roman"/>
        </w:rPr>
        <w:t>。</w:t>
      </w:r>
    </w:p>
    <w:p>
      <w:pPr>
        <w:pStyle w:val="55"/>
        <w:spacing w:before="312" w:after="312"/>
        <w:rPr>
          <w:rFonts w:ascii="Times New Roman"/>
        </w:rPr>
      </w:pPr>
      <w:bookmarkStart w:id="12" w:name="_Toc22971"/>
      <w:bookmarkStart w:id="13" w:name="_Toc416267175"/>
      <w:bookmarkStart w:id="14" w:name="_Toc386613494"/>
      <w:bookmarkStart w:id="15" w:name="_Toc388521261"/>
      <w:bookmarkStart w:id="16" w:name="_Toc415486392"/>
      <w:bookmarkStart w:id="17" w:name="_Toc416267226"/>
      <w:bookmarkStart w:id="18" w:name="_Toc386617897"/>
      <w:bookmarkStart w:id="19" w:name="_Toc386893276"/>
      <w:r>
        <w:rPr>
          <w:rFonts w:hint="eastAsia" w:ascii="Times New Roman"/>
          <w:lang w:eastAsia="zh-CN"/>
        </w:rPr>
        <w:t>供货范围</w:t>
      </w:r>
      <w:bookmarkEnd w:id="12"/>
    </w:p>
    <w:p>
      <w:pPr>
        <w:pStyle w:val="56"/>
        <w:numPr>
          <w:ilvl w:val="2"/>
          <w:numId w:val="0"/>
        </w:numPr>
        <w:spacing w:before="156" w:after="156"/>
        <w:ind w:leftChars="0"/>
        <w:rPr>
          <w:rFonts w:hint="eastAsia" w:ascii="黑体" w:hAnsi="黑体" w:eastAsia="黑体" w:cs="黑体"/>
          <w:b w:val="0"/>
          <w:bCs w:val="0"/>
          <w:color w:val="auto"/>
          <w:szCs w:val="22"/>
        </w:rPr>
      </w:pPr>
      <w:r>
        <w:rPr>
          <w:rFonts w:hint="eastAsia" w:ascii="黑体" w:hAnsi="黑体" w:eastAsia="黑体" w:cs="黑体"/>
          <w:b w:val="0"/>
          <w:bCs w:val="0"/>
          <w:color w:val="auto"/>
          <w:lang w:val="en-US" w:eastAsia="zh-CN"/>
        </w:rPr>
        <w:t>2.1</w:t>
      </w:r>
      <w:r>
        <w:rPr>
          <w:rFonts w:hint="eastAsia" w:ascii="黑体" w:hAnsi="黑体" w:eastAsia="黑体" w:cs="黑体"/>
          <w:b w:val="0"/>
          <w:bCs w:val="0"/>
          <w:color w:val="auto"/>
          <w:szCs w:val="22"/>
        </w:rPr>
        <w:t>供货范围</w:t>
      </w:r>
    </w:p>
    <w:p>
      <w:pPr>
        <w:pStyle w:val="56"/>
        <w:numPr>
          <w:ilvl w:val="2"/>
          <w:numId w:val="0"/>
        </w:numPr>
        <w:spacing w:before="156" w:after="156"/>
        <w:ind w:leftChars="0"/>
        <w:rPr>
          <w:rFonts w:hint="eastAsia" w:ascii="Times New Roman" w:eastAsia="宋体"/>
          <w:color w:val="auto"/>
          <w:szCs w:val="22"/>
        </w:rPr>
      </w:pPr>
      <w:r>
        <w:rPr>
          <w:rFonts w:hint="eastAsia" w:ascii="Times New Roman" w:eastAsia="宋体"/>
          <w:color w:val="auto"/>
          <w:szCs w:val="22"/>
          <w:lang w:val="en-US" w:eastAsia="zh-CN"/>
        </w:rPr>
        <w:t>2</w:t>
      </w:r>
      <w:r>
        <w:rPr>
          <w:rFonts w:hint="eastAsia" w:ascii="Times New Roman" w:eastAsia="宋体"/>
          <w:color w:val="auto"/>
          <w:szCs w:val="22"/>
        </w:rPr>
        <w:t>.1.1 投标方应按本技术规范的要求提供防汛用</w:t>
      </w:r>
      <w:r>
        <w:rPr>
          <w:rFonts w:hint="eastAsia" w:ascii="Times New Roman" w:eastAsia="宋体"/>
          <w:color w:val="auto"/>
          <w:szCs w:val="22"/>
          <w:lang w:eastAsia="zh-CN"/>
        </w:rPr>
        <w:t>橡皮艇</w:t>
      </w:r>
      <w:r>
        <w:rPr>
          <w:rFonts w:hint="eastAsia" w:ascii="Times New Roman" w:eastAsia="宋体"/>
          <w:color w:val="auto"/>
          <w:szCs w:val="22"/>
        </w:rPr>
        <w:t>全新的、合格的产品及其附属设备（如有）、备品备件（如有）、专用工具（如有）和仪器（如有）。投标方所提供的组件或附件如需向第三方外购时，投标方应对质量向招标方负责，并提供相应出厂和验收证明。</w:t>
      </w:r>
    </w:p>
    <w:p>
      <w:pPr>
        <w:pStyle w:val="56"/>
        <w:numPr>
          <w:ilvl w:val="2"/>
          <w:numId w:val="0"/>
        </w:numPr>
        <w:spacing w:before="156" w:after="156"/>
        <w:ind w:leftChars="0"/>
        <w:rPr>
          <w:rFonts w:hint="eastAsia" w:ascii="Times New Roman" w:eastAsia="宋体"/>
          <w:color w:val="auto"/>
          <w:szCs w:val="22"/>
          <w:lang w:val="en-US" w:eastAsia="zh-CN"/>
        </w:rPr>
      </w:pPr>
      <w:r>
        <w:rPr>
          <w:rFonts w:hint="eastAsia" w:ascii="Times New Roman" w:eastAsia="宋体"/>
          <w:color w:val="auto"/>
          <w:szCs w:val="22"/>
          <w:lang w:val="en-US" w:eastAsia="zh-CN"/>
        </w:rPr>
        <w:t>2.1.2 供货范围一览表</w:t>
      </w:r>
    </w:p>
    <w:p>
      <w:pPr>
        <w:pStyle w:val="56"/>
        <w:numPr>
          <w:ilvl w:val="2"/>
          <w:numId w:val="0"/>
        </w:numPr>
        <w:spacing w:before="156" w:after="156"/>
        <w:ind w:leftChars="0" w:firstLine="420" w:firstLineChars="200"/>
        <w:rPr>
          <w:rFonts w:hint="eastAsia" w:ascii="Times New Roman" w:eastAsia="宋体"/>
          <w:color w:val="auto"/>
          <w:szCs w:val="22"/>
          <w:lang w:val="en-US" w:eastAsia="zh-CN"/>
        </w:rPr>
      </w:pPr>
      <w:r>
        <w:rPr>
          <w:rFonts w:hint="eastAsia" w:ascii="Times New Roman" w:eastAsia="宋体"/>
          <w:color w:val="auto"/>
          <w:szCs w:val="22"/>
          <w:lang w:val="en-US" w:eastAsia="zh-CN"/>
        </w:rPr>
        <w:t>投标方应确保供货范围完整，对于属于合同设备运行所必需的部件如：含备品、专用工具（如有）等，即使本供货范围未列出或数目不足，投标方仍须在执行合同时补足。</w:t>
      </w:r>
    </w:p>
    <w:p>
      <w:pPr>
        <w:pStyle w:val="56"/>
        <w:numPr>
          <w:ilvl w:val="2"/>
          <w:numId w:val="0"/>
        </w:numPr>
        <w:spacing w:before="156" w:after="156"/>
        <w:ind w:leftChars="0" w:firstLine="420" w:firstLineChars="200"/>
        <w:rPr>
          <w:rFonts w:hint="eastAsia" w:ascii="Times New Roman" w:eastAsia="宋体"/>
          <w:color w:val="auto"/>
          <w:szCs w:val="22"/>
          <w:lang w:val="en-US" w:eastAsia="zh-CN"/>
        </w:rPr>
      </w:pPr>
      <w:r>
        <w:rPr>
          <w:rFonts w:hint="eastAsia" w:ascii="Times New Roman" w:eastAsia="宋体"/>
          <w:color w:val="auto"/>
          <w:szCs w:val="22"/>
          <w:lang w:val="en-US" w:eastAsia="zh-CN"/>
        </w:rPr>
        <w:t>项目名称：</w:t>
      </w:r>
    </w:p>
    <w:p>
      <w:pPr>
        <w:pStyle w:val="56"/>
        <w:numPr>
          <w:ilvl w:val="2"/>
          <w:numId w:val="0"/>
        </w:numPr>
        <w:spacing w:before="156" w:after="156"/>
        <w:ind w:leftChars="0" w:firstLine="1890" w:firstLineChars="900"/>
        <w:rPr>
          <w:rFonts w:hint="eastAsia" w:ascii="Times New Roman" w:eastAsia="宋体"/>
          <w:color w:val="auto"/>
          <w:szCs w:val="22"/>
          <w:lang w:val="en-US" w:eastAsia="zh-CN"/>
        </w:rPr>
      </w:pPr>
      <w:r>
        <w:rPr>
          <w:rFonts w:hint="eastAsia" w:ascii="Times New Roman" w:eastAsia="宋体"/>
          <w:color w:val="auto"/>
          <w:szCs w:val="22"/>
          <w:lang w:val="en-US" w:eastAsia="zh-CN"/>
        </w:rPr>
        <w:t xml:space="preserve">表2.1  </w:t>
      </w:r>
      <w:r>
        <w:rPr>
          <w:rFonts w:hint="eastAsia" w:ascii="Times New Roman" w:eastAsia="宋体"/>
          <w:color w:val="auto"/>
          <w:szCs w:val="22"/>
        </w:rPr>
        <w:t>防汛用</w:t>
      </w:r>
      <w:r>
        <w:rPr>
          <w:rFonts w:hint="eastAsia" w:ascii="Times New Roman" w:eastAsia="宋体"/>
          <w:color w:val="auto"/>
          <w:szCs w:val="22"/>
          <w:lang w:eastAsia="zh-CN"/>
        </w:rPr>
        <w:t>橡皮艇</w:t>
      </w:r>
      <w:r>
        <w:rPr>
          <w:rFonts w:hint="eastAsia" w:ascii="Times New Roman" w:eastAsia="宋体"/>
          <w:color w:val="auto"/>
          <w:szCs w:val="22"/>
          <w:lang w:val="en-US" w:eastAsia="zh-CN"/>
        </w:rPr>
        <w:t>物资供货范围一览表</w:t>
      </w:r>
    </w:p>
    <w:tbl>
      <w:tblPr>
        <w:tblStyle w:val="39"/>
        <w:tblW w:w="9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1212"/>
        <w:gridCol w:w="1241"/>
        <w:gridCol w:w="830"/>
        <w:gridCol w:w="830"/>
        <w:gridCol w:w="3340"/>
        <w:gridCol w:w="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blHeader/>
          <w:jc w:val="center"/>
        </w:trPr>
        <w:tc>
          <w:tcPr>
            <w:tcW w:w="670"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序号</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物资名称</w:t>
            </w:r>
          </w:p>
        </w:tc>
        <w:tc>
          <w:tcPr>
            <w:tcW w:w="1241"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规格型号</w:t>
            </w:r>
          </w:p>
        </w:tc>
        <w:tc>
          <w:tcPr>
            <w:tcW w:w="830"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color w:val="auto"/>
                <w:sz w:val="18"/>
                <w:szCs w:val="18"/>
                <w:highlight w:val="none"/>
                <w:lang w:eastAsia="zh-CN"/>
              </w:rPr>
            </w:pPr>
            <w:r>
              <w:rPr>
                <w:rFonts w:hint="eastAsia" w:ascii="宋体" w:hAnsi="宋体" w:eastAsia="宋体" w:cs="宋体"/>
                <w:b/>
                <w:bCs/>
                <w:color w:val="auto"/>
                <w:sz w:val="18"/>
                <w:szCs w:val="18"/>
                <w:highlight w:val="none"/>
                <w:lang w:eastAsia="zh-CN"/>
              </w:rPr>
              <w:t>单位</w:t>
            </w:r>
          </w:p>
        </w:tc>
        <w:tc>
          <w:tcPr>
            <w:tcW w:w="830"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color w:val="auto"/>
                <w:sz w:val="18"/>
                <w:szCs w:val="18"/>
                <w:highlight w:val="none"/>
                <w:lang w:eastAsia="zh-CN"/>
              </w:rPr>
            </w:pPr>
            <w:r>
              <w:rPr>
                <w:rFonts w:hint="eastAsia" w:ascii="宋体" w:hAnsi="宋体" w:eastAsia="宋体" w:cs="宋体"/>
                <w:b/>
                <w:bCs/>
                <w:color w:val="auto"/>
                <w:sz w:val="18"/>
                <w:szCs w:val="18"/>
                <w:highlight w:val="none"/>
                <w:lang w:eastAsia="zh-CN"/>
              </w:rPr>
              <w:t>需求数量</w:t>
            </w:r>
          </w:p>
        </w:tc>
        <w:tc>
          <w:tcPr>
            <w:tcW w:w="3340"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主要技术参数</w:t>
            </w:r>
          </w:p>
        </w:tc>
        <w:tc>
          <w:tcPr>
            <w:tcW w:w="909"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color w:val="auto"/>
                <w:sz w:val="18"/>
                <w:szCs w:val="18"/>
                <w:highlight w:val="none"/>
                <w:lang w:eastAsia="zh-CN"/>
              </w:rPr>
            </w:pPr>
            <w:r>
              <w:rPr>
                <w:rFonts w:hint="eastAsia" w:ascii="宋体" w:hAnsi="宋体" w:eastAsia="宋体" w:cs="宋体"/>
                <w:b/>
                <w:bCs/>
                <w:color w:val="auto"/>
                <w:sz w:val="18"/>
                <w:szCs w:val="18"/>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4" w:hRule="atLeast"/>
          <w:jc w:val="center"/>
        </w:trPr>
        <w:tc>
          <w:tcPr>
            <w:tcW w:w="670"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rPr>
              <w:t>防汛用</w:t>
            </w:r>
            <w:r>
              <w:rPr>
                <w:rFonts w:hint="eastAsia" w:ascii="宋体" w:hAnsi="宋体" w:eastAsia="宋体" w:cs="宋体"/>
                <w:color w:val="auto"/>
                <w:sz w:val="18"/>
                <w:szCs w:val="18"/>
                <w:lang w:eastAsia="zh-CN"/>
              </w:rPr>
              <w:t>橡皮艇</w:t>
            </w:r>
          </w:p>
        </w:tc>
        <w:tc>
          <w:tcPr>
            <w:tcW w:w="1241" w:type="dxa"/>
            <w:noWrap w:val="0"/>
            <w:vAlign w:val="center"/>
          </w:tcPr>
          <w:p>
            <w:pPr>
              <w:pStyle w:val="56"/>
              <w:numPr>
                <w:ilvl w:val="2"/>
                <w:numId w:val="0"/>
              </w:numPr>
              <w:spacing w:before="156" w:after="156"/>
              <w:ind w:leftChars="0"/>
              <w:rPr>
                <w:rFonts w:hint="eastAsia" w:ascii="宋体" w:hAnsi="宋体" w:eastAsia="宋体" w:cs="宋体"/>
                <w:sz w:val="18"/>
                <w:szCs w:val="18"/>
              </w:rPr>
            </w:pPr>
          </w:p>
          <w:p>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18"/>
                <w:szCs w:val="18"/>
                <w:highlight w:val="none"/>
              </w:rPr>
            </w:pPr>
          </w:p>
        </w:tc>
        <w:tc>
          <w:tcPr>
            <w:tcW w:w="830"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eastAsia="zh-CN"/>
              </w:rPr>
              <w:t>只</w:t>
            </w:r>
          </w:p>
        </w:tc>
        <w:tc>
          <w:tcPr>
            <w:tcW w:w="830"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1</w:t>
            </w:r>
          </w:p>
        </w:tc>
        <w:tc>
          <w:tcPr>
            <w:tcW w:w="3340" w:type="dxa"/>
            <w:noWrap w:val="0"/>
            <w:vAlign w:val="center"/>
          </w:tcPr>
          <w:p>
            <w:pPr>
              <w:pStyle w:val="56"/>
              <w:numPr>
                <w:ilvl w:val="2"/>
                <w:numId w:val="0"/>
              </w:numPr>
              <w:spacing w:before="156" w:after="156"/>
              <w:ind w:leftChars="0"/>
              <w:rPr>
                <w:rFonts w:hint="eastAsia" w:ascii="宋体" w:hAnsi="宋体" w:eastAsia="宋体" w:cs="宋体"/>
                <w:sz w:val="18"/>
                <w:szCs w:val="18"/>
                <w:lang w:eastAsia="zh-CN"/>
              </w:rPr>
            </w:pPr>
            <w:r>
              <w:rPr>
                <w:rFonts w:hint="eastAsia" w:ascii="宋体" w:hAnsi="宋体" w:eastAsia="宋体" w:cs="宋体"/>
                <w:sz w:val="18"/>
                <w:szCs w:val="18"/>
                <w:lang w:eastAsia="zh-CN"/>
              </w:rPr>
              <w:t>防汛用橡皮艇：准乘人数</w:t>
            </w:r>
            <w:r>
              <w:rPr>
                <w:rFonts w:hint="eastAsia" w:ascii="宋体" w:hAnsi="宋体" w:eastAsia="宋体" w:cs="宋体"/>
                <w:sz w:val="18"/>
                <w:szCs w:val="18"/>
              </w:rPr>
              <w:t>：</w:t>
            </w:r>
            <w:r>
              <w:rPr>
                <w:rFonts w:hint="eastAsia" w:ascii="宋体" w:hAnsi="宋体" w:eastAsia="宋体" w:cs="宋体"/>
                <w:sz w:val="18"/>
                <w:szCs w:val="18"/>
                <w:lang w:val="en-US" w:eastAsia="zh-CN"/>
              </w:rPr>
              <w:t>8人；</w:t>
            </w:r>
            <w:r>
              <w:rPr>
                <w:rFonts w:hint="eastAsia" w:ascii="宋体" w:hAnsi="宋体" w:eastAsia="宋体" w:cs="宋体"/>
                <w:sz w:val="18"/>
                <w:szCs w:val="18"/>
                <w:lang w:eastAsia="zh-CN"/>
              </w:rPr>
              <w:t>船体尺寸：</w:t>
            </w:r>
            <w:r>
              <w:rPr>
                <w:rFonts w:hint="eastAsia" w:ascii="宋体" w:hAnsi="宋体" w:eastAsia="宋体" w:cs="宋体"/>
                <w:sz w:val="18"/>
                <w:szCs w:val="18"/>
                <w:lang w:val="en-US" w:eastAsia="zh-CN"/>
              </w:rPr>
              <w:t>380*170*45cm；</w:t>
            </w:r>
            <w:r>
              <w:rPr>
                <w:rFonts w:hint="eastAsia" w:ascii="宋体" w:hAnsi="宋体" w:eastAsia="宋体" w:cs="宋体"/>
                <w:sz w:val="18"/>
                <w:szCs w:val="18"/>
                <w:lang w:eastAsia="zh-CN"/>
              </w:rPr>
              <w:t>总重：≤82kg。</w:t>
            </w:r>
          </w:p>
          <w:p>
            <w:pPr>
              <w:pStyle w:val="56"/>
              <w:numPr>
                <w:ilvl w:val="2"/>
                <w:numId w:val="0"/>
              </w:numPr>
              <w:spacing w:before="156" w:after="156"/>
              <w:ind w:leftChars="0"/>
              <w:rPr>
                <w:rFonts w:hint="eastAsia" w:ascii="宋体" w:hAnsi="宋体" w:eastAsia="宋体" w:cs="宋体"/>
                <w:color w:val="auto"/>
                <w:sz w:val="18"/>
                <w:szCs w:val="18"/>
                <w:highlight w:val="none"/>
                <w:lang w:eastAsia="zh-CN"/>
              </w:rPr>
            </w:pPr>
            <w:r>
              <w:rPr>
                <w:rFonts w:hint="eastAsia" w:ascii="宋体" w:hAnsi="宋体" w:eastAsia="宋体" w:cs="宋体"/>
                <w:sz w:val="18"/>
                <w:szCs w:val="18"/>
                <w:lang w:eastAsia="zh-CN"/>
              </w:rPr>
              <w:t>航外机：功率：</w:t>
            </w:r>
            <w:r>
              <w:rPr>
                <w:rFonts w:hint="eastAsia" w:ascii="宋体" w:hAnsi="宋体" w:eastAsia="宋体" w:cs="宋体"/>
                <w:sz w:val="18"/>
                <w:szCs w:val="18"/>
                <w:lang w:val="en-US" w:eastAsia="zh-CN"/>
              </w:rPr>
              <w:t>30马力；</w:t>
            </w:r>
            <w:r>
              <w:rPr>
                <w:rFonts w:hint="eastAsia" w:ascii="宋体" w:hAnsi="宋体" w:eastAsia="宋体" w:cs="宋体"/>
                <w:sz w:val="18"/>
                <w:szCs w:val="18"/>
                <w:lang w:eastAsia="zh-CN"/>
              </w:rPr>
              <w:t>转速：</w:t>
            </w:r>
            <w:r>
              <w:rPr>
                <w:rFonts w:hint="eastAsia" w:ascii="宋体" w:hAnsi="宋体" w:eastAsia="宋体" w:cs="宋体"/>
                <w:sz w:val="18"/>
                <w:szCs w:val="18"/>
                <w:lang w:val="en-US" w:eastAsia="zh-CN"/>
              </w:rPr>
              <w:t>4000r.p.m~5000r.p.m；</w:t>
            </w:r>
            <w:r>
              <w:rPr>
                <w:rFonts w:hint="eastAsia" w:ascii="宋体" w:hAnsi="宋体" w:eastAsia="宋体" w:cs="宋体"/>
                <w:sz w:val="18"/>
                <w:szCs w:val="18"/>
                <w:lang w:eastAsia="zh-CN"/>
              </w:rPr>
              <w:t>重量：</w:t>
            </w:r>
            <w:r>
              <w:rPr>
                <w:rFonts w:hint="eastAsia" w:ascii="宋体" w:hAnsi="宋体" w:eastAsia="宋体" w:cs="宋体"/>
                <w:sz w:val="18"/>
                <w:szCs w:val="18"/>
                <w:lang w:val="en-US" w:eastAsia="zh-CN"/>
              </w:rPr>
              <w:t>58kg；</w:t>
            </w:r>
            <w:r>
              <w:rPr>
                <w:rFonts w:hint="eastAsia" w:ascii="宋体" w:hAnsi="宋体" w:eastAsia="宋体" w:cs="宋体"/>
                <w:sz w:val="18"/>
                <w:szCs w:val="18"/>
                <w:lang w:eastAsia="zh-CN"/>
              </w:rPr>
              <w:t>随机油箱：</w:t>
            </w:r>
            <w:r>
              <w:rPr>
                <w:rFonts w:hint="eastAsia" w:ascii="宋体" w:hAnsi="宋体" w:eastAsia="宋体" w:cs="宋体"/>
                <w:sz w:val="18"/>
                <w:szCs w:val="18"/>
                <w:lang w:val="en-US" w:eastAsia="zh-CN"/>
              </w:rPr>
              <w:t>24L</w:t>
            </w:r>
          </w:p>
        </w:tc>
        <w:tc>
          <w:tcPr>
            <w:tcW w:w="909"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18"/>
                <w:szCs w:val="18"/>
                <w:highlight w:val="none"/>
              </w:rPr>
            </w:pPr>
          </w:p>
        </w:tc>
      </w:tr>
    </w:tbl>
    <w:p>
      <w:pPr>
        <w:pStyle w:val="29"/>
        <w:ind w:left="0" w:leftChars="0" w:firstLine="0" w:firstLineChars="0"/>
        <w:rPr>
          <w:rFonts w:hint="eastAsia"/>
          <w:lang w:val="en-US" w:eastAsia="zh-CN"/>
        </w:rPr>
      </w:pPr>
    </w:p>
    <w:p>
      <w:pPr>
        <w:pStyle w:val="56"/>
        <w:numPr>
          <w:ilvl w:val="2"/>
          <w:numId w:val="0"/>
        </w:numPr>
        <w:spacing w:before="156" w:after="156"/>
        <w:ind w:leftChars="0"/>
        <w:rPr>
          <w:rFonts w:hint="eastAsia" w:ascii="黑体" w:hAnsi="黑体" w:eastAsia="黑体" w:cs="黑体"/>
          <w:b w:val="0"/>
          <w:bCs w:val="0"/>
          <w:color w:val="auto"/>
          <w:szCs w:val="22"/>
        </w:rPr>
      </w:pPr>
      <w:r>
        <w:rPr>
          <w:rFonts w:hint="eastAsia" w:ascii="黑体" w:hAnsi="黑体" w:eastAsia="黑体" w:cs="黑体"/>
          <w:b w:val="0"/>
          <w:bCs w:val="0"/>
          <w:color w:val="auto"/>
          <w:szCs w:val="22"/>
          <w:lang w:val="en-US" w:eastAsia="zh-CN"/>
        </w:rPr>
        <w:t>2</w:t>
      </w:r>
      <w:r>
        <w:rPr>
          <w:rFonts w:hint="eastAsia" w:ascii="黑体" w:hAnsi="黑体" w:eastAsia="黑体" w:cs="黑体"/>
          <w:b w:val="0"/>
          <w:bCs w:val="0"/>
          <w:color w:val="auto"/>
          <w:szCs w:val="22"/>
        </w:rPr>
        <w:t>.2范围和界限</w:t>
      </w:r>
    </w:p>
    <w:p>
      <w:pPr>
        <w:pStyle w:val="56"/>
        <w:numPr>
          <w:ilvl w:val="2"/>
          <w:numId w:val="0"/>
        </w:numPr>
        <w:spacing w:before="156" w:after="156"/>
        <w:ind w:leftChars="0"/>
        <w:rPr>
          <w:rFonts w:hint="eastAsia" w:ascii="Times New Roman" w:eastAsia="宋体"/>
          <w:color w:val="auto"/>
          <w:szCs w:val="22"/>
        </w:rPr>
      </w:pPr>
      <w:r>
        <w:rPr>
          <w:rFonts w:hint="eastAsia" w:ascii="Times New Roman" w:eastAsia="宋体"/>
          <w:color w:val="auto"/>
          <w:szCs w:val="22"/>
          <w:lang w:val="en-US" w:eastAsia="zh-CN"/>
        </w:rPr>
        <w:t>2</w:t>
      </w:r>
      <w:r>
        <w:rPr>
          <w:rFonts w:hint="eastAsia" w:ascii="Times New Roman" w:eastAsia="宋体"/>
          <w:color w:val="auto"/>
          <w:szCs w:val="22"/>
        </w:rPr>
        <w:t>.2.1 现场性能试验在投标方的技术指导下由招标方完成。投标方协助招标方按标准检查产品质量, 处理性能试验过程中出现的问题, 并提供备品、备件，做好销售服务工作。投标方应选派有经验的技术人员, 对招标方人员进行免费培训。</w:t>
      </w:r>
    </w:p>
    <w:p>
      <w:pPr>
        <w:pStyle w:val="56"/>
        <w:numPr>
          <w:ilvl w:val="2"/>
          <w:numId w:val="0"/>
        </w:numPr>
        <w:spacing w:before="156" w:after="156"/>
        <w:ind w:leftChars="0"/>
        <w:rPr>
          <w:rFonts w:hint="eastAsia" w:ascii="Times New Roman" w:eastAsia="宋体"/>
          <w:color w:val="auto"/>
          <w:szCs w:val="22"/>
        </w:rPr>
      </w:pPr>
      <w:r>
        <w:rPr>
          <w:rFonts w:hint="eastAsia" w:ascii="Times New Roman" w:eastAsia="宋体"/>
          <w:color w:val="auto"/>
          <w:szCs w:val="22"/>
          <w:lang w:val="en-US" w:eastAsia="zh-CN"/>
        </w:rPr>
        <w:t>2</w:t>
      </w:r>
      <w:r>
        <w:rPr>
          <w:rFonts w:hint="eastAsia" w:ascii="Times New Roman" w:eastAsia="宋体"/>
          <w:color w:val="auto"/>
          <w:szCs w:val="22"/>
        </w:rPr>
        <w:t>.2.2 投标方应协助招标方解决产品使用过程出现的问题。</w:t>
      </w:r>
    </w:p>
    <w:p>
      <w:pPr>
        <w:pStyle w:val="56"/>
        <w:numPr>
          <w:ilvl w:val="2"/>
          <w:numId w:val="0"/>
        </w:numPr>
        <w:spacing w:before="156" w:after="156"/>
        <w:ind w:leftChars="0"/>
        <w:rPr>
          <w:rFonts w:hint="eastAsia" w:ascii="Times New Roman" w:eastAsia="宋体"/>
          <w:color w:val="auto"/>
          <w:szCs w:val="22"/>
        </w:rPr>
      </w:pPr>
      <w:r>
        <w:rPr>
          <w:rFonts w:hint="eastAsia" w:ascii="Times New Roman" w:eastAsia="宋体"/>
          <w:color w:val="auto"/>
          <w:szCs w:val="22"/>
          <w:lang w:val="en-US" w:eastAsia="zh-CN"/>
        </w:rPr>
        <w:t>2</w:t>
      </w:r>
      <w:r>
        <w:rPr>
          <w:rFonts w:hint="eastAsia" w:ascii="Times New Roman" w:eastAsia="宋体"/>
          <w:color w:val="auto"/>
          <w:szCs w:val="22"/>
        </w:rPr>
        <w:t>.2.3 产品性能试验合格后方可使用。产品通过性能试验后，投标方和招标方（业主）双方应根据相关法律、法规和公司管理制度签署验收证明书。该证明书共两份，双方各执一份。</w:t>
      </w:r>
    </w:p>
    <w:p>
      <w:pPr>
        <w:pStyle w:val="56"/>
        <w:numPr>
          <w:ilvl w:val="2"/>
          <w:numId w:val="0"/>
        </w:numPr>
        <w:spacing w:before="156" w:after="156"/>
        <w:ind w:leftChars="0"/>
        <w:rPr>
          <w:rFonts w:hint="eastAsia" w:ascii="Times New Roman" w:eastAsia="宋体"/>
          <w:color w:val="auto"/>
          <w:szCs w:val="22"/>
          <w:lang w:eastAsia="zh-CN"/>
        </w:rPr>
      </w:pPr>
      <w:r>
        <w:rPr>
          <w:rFonts w:hint="eastAsia" w:ascii="Times New Roman" w:eastAsia="宋体"/>
          <w:color w:val="auto"/>
          <w:szCs w:val="22"/>
          <w:lang w:val="en-US" w:eastAsia="zh-CN"/>
        </w:rPr>
        <w:t>2</w:t>
      </w:r>
      <w:r>
        <w:rPr>
          <w:rFonts w:hint="eastAsia" w:ascii="Times New Roman" w:eastAsia="宋体"/>
          <w:color w:val="auto"/>
          <w:szCs w:val="22"/>
        </w:rPr>
        <w:t>.2.4 如果性能试验、使用过程及质保期内技术指标一项或多项不能满足合同技术部分要求，招投标双方共同分析原因，分清责任，如属制造方面的原因，或涉及索赔部分，按商务部分有关条款执行</w:t>
      </w:r>
      <w:r>
        <w:rPr>
          <w:rFonts w:hint="eastAsia" w:ascii="Times New Roman" w:eastAsia="宋体"/>
          <w:color w:val="auto"/>
          <w:szCs w:val="22"/>
          <w:lang w:eastAsia="zh-CN"/>
        </w:rPr>
        <w:t>。</w:t>
      </w:r>
    </w:p>
    <w:p>
      <w:pPr>
        <w:pStyle w:val="56"/>
        <w:numPr>
          <w:ilvl w:val="2"/>
          <w:numId w:val="0"/>
        </w:numPr>
        <w:spacing w:before="156" w:after="156"/>
        <w:ind w:leftChars="0"/>
        <w:rPr>
          <w:color w:val="auto"/>
        </w:rPr>
      </w:pPr>
      <w:r>
        <w:rPr>
          <w:rFonts w:hint="eastAsia" w:ascii="Times New Roman" w:eastAsia="宋体"/>
          <w:color w:val="auto"/>
          <w:szCs w:val="22"/>
        </w:rPr>
        <w:t>2.2.5 本技术规范未说明，但又与设计、制造、装配、试验、运输、包装、保管、安装和运行维护有关的技术要求，按条款3所规定的有关标准执行。</w:t>
      </w:r>
      <w:r>
        <w:rPr>
          <w:rFonts w:hint="eastAsia" w:ascii="Times New Roman"/>
          <w:color w:val="auto"/>
        </w:rPr>
        <w:t xml:space="preserve"> </w:t>
      </w:r>
    </w:p>
    <w:bookmarkEnd w:id="13"/>
    <w:bookmarkEnd w:id="14"/>
    <w:bookmarkEnd w:id="15"/>
    <w:bookmarkEnd w:id="16"/>
    <w:bookmarkEnd w:id="17"/>
    <w:bookmarkEnd w:id="18"/>
    <w:bookmarkEnd w:id="19"/>
    <w:p>
      <w:pPr>
        <w:pStyle w:val="55"/>
        <w:spacing w:before="312" w:after="312"/>
        <w:rPr>
          <w:rFonts w:ascii="Times New Roman"/>
        </w:rPr>
      </w:pPr>
      <w:bookmarkStart w:id="20" w:name="_Toc18700"/>
      <w:r>
        <w:rPr>
          <w:rFonts w:hint="eastAsia" w:ascii="Times New Roman"/>
          <w:lang w:eastAsia="zh-CN"/>
        </w:rPr>
        <w:t>应遵循的主要标准</w:t>
      </w:r>
      <w:bookmarkEnd w:id="20"/>
    </w:p>
    <w:p>
      <w:pPr>
        <w:pStyle w:val="29"/>
        <w:keepNext w:val="0"/>
        <w:keepLines w:val="0"/>
        <w:pageBreakBefore w:val="0"/>
        <w:kinsoku/>
        <w:wordWrap/>
        <w:overflowPunct/>
        <w:topLinePunct w:val="0"/>
        <w:bidi w:val="0"/>
        <w:adjustRightInd/>
        <w:snapToGrid/>
        <w:textAlignment w:val="auto"/>
        <w:rPr>
          <w:rFonts w:ascii="Times New Roman"/>
          <w:szCs w:val="22"/>
        </w:rPr>
      </w:pPr>
      <w:r>
        <w:rPr>
          <w:rFonts w:ascii="Times New Roman"/>
          <w:szCs w:val="22"/>
        </w:rPr>
        <w:t>除本标书特殊规定外, 投标方所提供的设备均按规定的标准和规程的最新版本进行设计、制造、试验和安装。如果这些标准内容有矛盾时,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并从招标方处获得书面的认可才能使用。</w:t>
      </w:r>
      <w:r>
        <w:rPr>
          <w:rFonts w:hint="eastAsia" w:ascii="Times New Roman"/>
          <w:szCs w:val="22"/>
        </w:rPr>
        <w:t>主要引用标准如下：</w:t>
      </w:r>
    </w:p>
    <w:p>
      <w:pPr>
        <w:keepNext w:val="0"/>
        <w:keepLines w:val="0"/>
        <w:pageBreakBefore w:val="0"/>
        <w:kinsoku/>
        <w:wordWrap/>
        <w:overflowPunct/>
        <w:topLinePunct w:val="0"/>
        <w:bidi w:val="0"/>
        <w:adjustRightInd/>
        <w:snapToGrid/>
        <w:ind w:firstLine="420" w:firstLineChars="200"/>
        <w:textAlignment w:val="auto"/>
        <w:rPr>
          <w:rFonts w:hint="eastAsia" w:hAnsi="宋体" w:eastAsia="宋体"/>
          <w:lang w:eastAsia="zh-CN"/>
        </w:rPr>
      </w:pPr>
      <w:r>
        <w:rPr>
          <w:rFonts w:hint="eastAsia"/>
        </w:rPr>
        <w:t>SL297-2004</w:t>
      </w:r>
      <w:r>
        <w:rPr>
          <w:rFonts w:hAnsi="宋体"/>
        </w:rPr>
        <w:tab/>
      </w:r>
      <w:r>
        <w:rPr>
          <w:rFonts w:hint="eastAsia" w:hAnsi="宋体"/>
        </w:rPr>
        <w:tab/>
      </w:r>
      <w:r>
        <w:rPr>
          <w:rFonts w:hint="eastAsia" w:hAnsi="宋体"/>
        </w:rPr>
        <w:t xml:space="preserve"> </w:t>
      </w:r>
      <w:r>
        <w:rPr>
          <w:rFonts w:hint="eastAsia" w:hAnsi="宋体"/>
          <w:lang w:val="en-US" w:eastAsia="zh-CN"/>
        </w:rPr>
        <w:t xml:space="preserve">    </w:t>
      </w:r>
      <w:r>
        <w:rPr>
          <w:rFonts w:hint="eastAsia" w:hAnsi="宋体"/>
          <w:lang w:eastAsia="zh-CN"/>
        </w:rPr>
        <w:t>防汛储备物资验收标准</w:t>
      </w:r>
    </w:p>
    <w:p>
      <w:pPr>
        <w:keepNext w:val="0"/>
        <w:keepLines w:val="0"/>
        <w:pageBreakBefore w:val="0"/>
        <w:tabs>
          <w:tab w:val="left" w:pos="2610"/>
        </w:tabs>
        <w:kinsoku/>
        <w:wordWrap/>
        <w:overflowPunct/>
        <w:topLinePunct w:val="0"/>
        <w:bidi w:val="0"/>
        <w:adjustRightInd/>
        <w:snapToGrid/>
        <w:ind w:firstLine="420" w:firstLineChars="200"/>
        <w:textAlignment w:val="auto"/>
        <w:rPr>
          <w:rFonts w:hint="eastAsia" w:hAnsi="宋体" w:eastAsia="宋体"/>
          <w:lang w:val="en-US" w:eastAsia="zh-CN"/>
        </w:rPr>
      </w:pPr>
      <w:r>
        <w:rPr>
          <w:rFonts w:hint="eastAsia" w:hAnsi="宋体"/>
        </w:rPr>
        <w:t>CB/T 4505-2020</w:t>
      </w:r>
      <w:r>
        <w:rPr>
          <w:rFonts w:hAnsi="宋体"/>
        </w:rPr>
        <w:tab/>
      </w:r>
      <w:r>
        <w:rPr>
          <w:rFonts w:hint="eastAsia" w:hAnsi="宋体"/>
          <w:lang w:eastAsia="zh-CN"/>
        </w:rPr>
        <w:t>舷外机通用技术规范</w:t>
      </w:r>
    </w:p>
    <w:p>
      <w:pPr>
        <w:pStyle w:val="55"/>
        <w:spacing w:before="312" w:after="312"/>
        <w:rPr>
          <w:rFonts w:ascii="Times New Roman"/>
        </w:rPr>
      </w:pPr>
      <w:bookmarkStart w:id="21" w:name="_Toc386613495"/>
      <w:bookmarkEnd w:id="21"/>
      <w:bookmarkStart w:id="22" w:name="_Toc415486393"/>
      <w:bookmarkStart w:id="23" w:name="_Toc416267227"/>
      <w:bookmarkStart w:id="24" w:name="_Toc7821"/>
      <w:bookmarkStart w:id="25" w:name="_Toc416267176"/>
      <w:bookmarkStart w:id="26" w:name="_Toc388521262"/>
      <w:bookmarkStart w:id="27" w:name="_Toc386617898"/>
      <w:bookmarkStart w:id="28" w:name="_Toc386893277"/>
      <w:r>
        <w:rPr>
          <w:rFonts w:ascii="Times New Roman"/>
        </w:rPr>
        <w:t>术语和定义</w:t>
      </w:r>
      <w:bookmarkEnd w:id="22"/>
      <w:bookmarkEnd w:id="23"/>
      <w:bookmarkEnd w:id="24"/>
      <w:bookmarkEnd w:id="25"/>
      <w:bookmarkEnd w:id="26"/>
      <w:bookmarkEnd w:id="27"/>
      <w:bookmarkEnd w:id="28"/>
      <w:bookmarkStart w:id="29" w:name="_Toc386617899"/>
    </w:p>
    <w:bookmarkEnd w:id="29"/>
    <w:p>
      <w:pPr>
        <w:pStyle w:val="29"/>
      </w:pPr>
      <w:bookmarkStart w:id="30" w:name="_Toc386617906"/>
      <w:bookmarkStart w:id="31" w:name="_Toc386893278"/>
      <w:bookmarkStart w:id="32" w:name="_Toc388521263"/>
      <w:bookmarkStart w:id="33" w:name="_Toc415486394"/>
      <w:bookmarkStart w:id="34" w:name="_Toc416267228"/>
      <w:bookmarkStart w:id="35" w:name="_Toc416267177"/>
      <w:r>
        <w:rPr>
          <w:rFonts w:hint="eastAsia"/>
        </w:rPr>
        <w:t>下列术语和定义适用于本文件。</w:t>
      </w:r>
    </w:p>
    <w:p>
      <w:pPr>
        <w:pStyle w:val="137"/>
        <w:rPr>
          <w:rFonts w:hint="eastAsia" w:ascii="黑体" w:hAnsi="黑体" w:eastAsia="黑体" w:cs="黑体"/>
        </w:rPr>
      </w:pPr>
    </w:p>
    <w:p>
      <w:pPr>
        <w:pStyle w:val="137"/>
        <w:numPr>
          <w:ilvl w:val="0"/>
          <w:numId w:val="0"/>
        </w:numPr>
        <w:ind w:firstLine="420" w:firstLineChars="200"/>
        <w:rPr>
          <w:rFonts w:hint="eastAsia" w:ascii="黑体" w:hAnsi="黑体" w:eastAsia="黑体" w:cs="黑体"/>
        </w:rPr>
      </w:pPr>
      <w:r>
        <w:rPr>
          <w:rFonts w:hint="eastAsia" w:ascii="黑体" w:hAnsi="黑体" w:eastAsia="黑体" w:cs="黑体"/>
          <w:lang w:eastAsia="zh-CN"/>
        </w:rPr>
        <w:t>防汛用橡皮艇</w:t>
      </w:r>
      <w:r>
        <w:rPr>
          <w:rFonts w:hint="eastAsia" w:ascii="黑体" w:hAnsi="黑体" w:eastAsia="黑体" w:cs="黑体"/>
          <w:b/>
        </w:rPr>
        <w:t xml:space="preserve">rubber boats </w:t>
      </w:r>
    </w:p>
    <w:p>
      <w:pPr>
        <w:pStyle w:val="29"/>
        <w:rPr>
          <w:rFonts w:ascii="Times New Roman"/>
        </w:rPr>
      </w:pPr>
      <w:r>
        <w:rPr>
          <w:rFonts w:hint="eastAsia" w:ascii="Times New Roman"/>
        </w:rPr>
        <w:t>在金属或木材作的骨架上蒙以橡胶布外壳的轻便小艇。</w:t>
      </w:r>
    </w:p>
    <w:p>
      <w:pPr>
        <w:pStyle w:val="137"/>
        <w:rPr>
          <w:rFonts w:ascii="Times New Roman"/>
        </w:rPr>
      </w:pPr>
      <w:bookmarkStart w:id="36" w:name="_Toc386617900"/>
    </w:p>
    <w:bookmarkEnd w:id="36"/>
    <w:p>
      <w:pPr>
        <w:pStyle w:val="29"/>
        <w:rPr>
          <w:rFonts w:hint="eastAsia" w:ascii="黑体" w:hAnsi="黑体" w:eastAsia="黑体" w:cs="黑体"/>
        </w:rPr>
      </w:pPr>
      <w:r>
        <w:rPr>
          <w:rFonts w:hint="eastAsia" w:ascii="黑体" w:hAnsi="黑体" w:eastAsia="黑体" w:cs="黑体"/>
          <w:lang w:eastAsia="zh-CN"/>
        </w:rPr>
        <w:t>准乘人数</w:t>
      </w:r>
      <w:r>
        <w:rPr>
          <w:rFonts w:hint="eastAsia" w:ascii="黑体" w:hAnsi="黑体" w:eastAsia="黑体" w:cs="黑体"/>
        </w:rPr>
        <w:t xml:space="preserve"> capacity</w:t>
      </w:r>
    </w:p>
    <w:p>
      <w:pPr>
        <w:pStyle w:val="29"/>
        <w:rPr>
          <w:rFonts w:ascii="Times New Roman"/>
        </w:rPr>
      </w:pPr>
      <w:r>
        <w:rPr>
          <w:rFonts w:hint="eastAsia" w:ascii="Times New Roman"/>
          <w:lang w:eastAsia="zh-CN"/>
        </w:rPr>
        <w:t>准乘人数是指标注请款下允许乘坐的人员。</w:t>
      </w:r>
    </w:p>
    <w:p>
      <w:pPr>
        <w:pStyle w:val="137"/>
        <w:rPr>
          <w:rFonts w:ascii="Times New Roman"/>
        </w:rPr>
      </w:pPr>
      <w:bookmarkStart w:id="37" w:name="_Toc386617901"/>
    </w:p>
    <w:bookmarkEnd w:id="37"/>
    <w:p>
      <w:pPr>
        <w:pStyle w:val="137"/>
        <w:numPr>
          <w:ilvl w:val="0"/>
          <w:numId w:val="0"/>
        </w:numPr>
        <w:ind w:firstLine="420" w:firstLineChars="200"/>
        <w:rPr>
          <w:rFonts w:hint="eastAsia" w:ascii="黑体" w:hAnsi="黑体" w:eastAsia="黑体" w:cs="黑体"/>
          <w:b/>
        </w:rPr>
      </w:pPr>
      <w:r>
        <w:rPr>
          <w:rFonts w:hint="eastAsia" w:ascii="黑体" w:hAnsi="黑体" w:eastAsia="黑体" w:cs="黑体"/>
          <w:lang w:eastAsia="zh-CN"/>
        </w:rPr>
        <w:t>安全载重</w:t>
      </w:r>
      <w:r>
        <w:rPr>
          <w:rFonts w:hint="eastAsia" w:ascii="黑体" w:hAnsi="黑体" w:eastAsia="黑体" w:cs="黑体"/>
          <w:lang w:val="en-US" w:eastAsia="zh-CN"/>
        </w:rPr>
        <w:t xml:space="preserve"> </w:t>
      </w:r>
      <w:r>
        <w:rPr>
          <w:rFonts w:hint="eastAsia" w:ascii="黑体" w:hAnsi="黑体" w:eastAsia="黑体" w:cs="黑体"/>
        </w:rPr>
        <w:t xml:space="preserve">safe load </w:t>
      </w:r>
    </w:p>
    <w:p>
      <w:pPr>
        <w:pStyle w:val="137"/>
        <w:numPr>
          <w:ilvl w:val="0"/>
          <w:numId w:val="0"/>
        </w:numPr>
        <w:ind w:firstLine="420" w:firstLineChars="200"/>
        <w:rPr>
          <w:rFonts w:ascii="Times New Roman"/>
          <w:szCs w:val="22"/>
        </w:rPr>
      </w:pPr>
      <w:r>
        <w:rPr>
          <w:rFonts w:ascii="Arial" w:hAnsi="Arial" w:eastAsia="Arial" w:cs="Arial"/>
          <w:i w:val="0"/>
          <w:iCs w:val="0"/>
          <w:caps w:val="0"/>
          <w:color w:val="333333"/>
          <w:spacing w:val="0"/>
          <w:sz w:val="21"/>
          <w:szCs w:val="21"/>
          <w:shd w:val="clear" w:fill="FFFFFF"/>
        </w:rPr>
        <w:t>安全载重一般是超载后还能保持安全的重量范围</w:t>
      </w:r>
      <w:r>
        <w:rPr>
          <w:rFonts w:hint="eastAsia" w:ascii="Times New Roman"/>
          <w:szCs w:val="22"/>
        </w:rPr>
        <w:t>。</w:t>
      </w:r>
    </w:p>
    <w:p>
      <w:pPr>
        <w:pStyle w:val="137"/>
        <w:rPr>
          <w:rFonts w:ascii="Times New Roman"/>
        </w:rPr>
      </w:pPr>
      <w:bookmarkStart w:id="38" w:name="_Toc386617903"/>
      <w:bookmarkStart w:id="39" w:name="_Toc386617902"/>
    </w:p>
    <w:bookmarkEnd w:id="38"/>
    <w:p>
      <w:pPr>
        <w:pStyle w:val="29"/>
        <w:rPr>
          <w:rFonts w:hint="eastAsia" w:ascii="Times New Roman" w:eastAsia="黑体"/>
        </w:rPr>
      </w:pPr>
      <w:r>
        <w:rPr>
          <w:rFonts w:hint="eastAsia" w:ascii="Times New Roman" w:eastAsia="黑体"/>
          <w:lang w:eastAsia="zh-CN"/>
        </w:rPr>
        <w:t>二冲程</w:t>
      </w:r>
      <w:r>
        <w:rPr>
          <w:rFonts w:hint="eastAsia" w:ascii="Times New Roman" w:eastAsia="黑体"/>
        </w:rPr>
        <w:t xml:space="preserve"> </w:t>
      </w:r>
      <w:r>
        <w:rPr>
          <w:rFonts w:hint="eastAsia" w:ascii="Times New Roman" w:eastAsia="黑体"/>
          <w:lang w:val="en-US" w:eastAsia="zh-CN"/>
        </w:rPr>
        <w:t>t</w:t>
      </w:r>
      <w:r>
        <w:rPr>
          <w:rFonts w:hint="eastAsia" w:ascii="Times New Roman" w:eastAsia="黑体"/>
        </w:rPr>
        <w:t xml:space="preserve">wo-stroke </w:t>
      </w:r>
    </w:p>
    <w:p>
      <w:pPr>
        <w:pStyle w:val="29"/>
        <w:rPr>
          <w:szCs w:val="21"/>
        </w:rPr>
      </w:pPr>
      <w:r>
        <w:rPr>
          <w:rFonts w:hint="eastAsia"/>
          <w:szCs w:val="21"/>
        </w:rPr>
        <w:t>将机械能转化为内能的</w:t>
      </w:r>
      <w:r>
        <w:rPr>
          <w:rFonts w:hint="default"/>
          <w:szCs w:val="21"/>
        </w:rPr>
        <w:fldChar w:fldCharType="begin"/>
      </w:r>
      <w:r>
        <w:rPr>
          <w:rFonts w:hint="default"/>
          <w:szCs w:val="21"/>
        </w:rPr>
        <w:instrText xml:space="preserve"> HYPERLINK "https://baike.baidu.com/item/%E5%86%B2%E7%A8%8B/1602465?fromModule=lemma_inlink" \t "https://baike.baidu.com/item/_blank" </w:instrText>
      </w:r>
      <w:r>
        <w:rPr>
          <w:rFonts w:hint="default"/>
          <w:szCs w:val="21"/>
        </w:rPr>
        <w:fldChar w:fldCharType="separate"/>
      </w:r>
      <w:r>
        <w:rPr>
          <w:rFonts w:hint="default"/>
          <w:szCs w:val="21"/>
        </w:rPr>
        <w:t>冲程</w:t>
      </w:r>
      <w:r>
        <w:rPr>
          <w:rFonts w:hint="default"/>
          <w:szCs w:val="21"/>
        </w:rPr>
        <w:fldChar w:fldCharType="end"/>
      </w:r>
      <w:r>
        <w:rPr>
          <w:rFonts w:hint="eastAsia"/>
          <w:szCs w:val="21"/>
          <w:lang w:eastAsia="zh-CN"/>
        </w:rPr>
        <w:t>。</w:t>
      </w:r>
      <w:r>
        <w:rPr>
          <w:rFonts w:hint="eastAsia"/>
          <w:szCs w:val="21"/>
        </w:rPr>
        <w:t>活塞从下止点到上止点。完成两个动作 关闭所有进排气，压缩混合气。 每两个冲程完成一次做工，所以叫二冲程</w:t>
      </w:r>
      <w:r>
        <w:rPr>
          <w:rFonts w:hint="eastAsia"/>
          <w:szCs w:val="21"/>
          <w:lang w:eastAsia="zh-CN"/>
        </w:rPr>
        <w:t>。</w:t>
      </w:r>
    </w:p>
    <w:p>
      <w:pPr>
        <w:pStyle w:val="137"/>
        <w:rPr>
          <w:rFonts w:ascii="Times New Roman"/>
        </w:rPr>
      </w:pPr>
    </w:p>
    <w:bookmarkEnd w:id="39"/>
    <w:p>
      <w:pPr>
        <w:ind w:firstLine="420" w:firstLineChars="200"/>
        <w:rPr>
          <w:rFonts w:hint="eastAsia" w:ascii="黑体" w:hAnsi="黑体" w:eastAsia="黑体" w:cs="黑体"/>
          <w:kern w:val="0"/>
          <w:szCs w:val="22"/>
        </w:rPr>
      </w:pPr>
      <w:r>
        <w:rPr>
          <w:rFonts w:hint="eastAsia" w:ascii="黑体" w:hAnsi="黑体" w:eastAsia="黑体" w:cs="黑体"/>
          <w:lang w:eastAsia="zh-CN"/>
        </w:rPr>
        <w:t>功率</w:t>
      </w:r>
      <w:r>
        <w:rPr>
          <w:rFonts w:hint="eastAsia" w:ascii="黑体" w:hAnsi="黑体" w:eastAsia="黑体" w:cs="黑体"/>
        </w:rPr>
        <w:t xml:space="preserve"> </w:t>
      </w:r>
      <w:r>
        <w:rPr>
          <w:rFonts w:hint="eastAsia" w:ascii="黑体" w:hAnsi="黑体" w:eastAsia="黑体" w:cs="黑体"/>
          <w:kern w:val="0"/>
          <w:szCs w:val="22"/>
        </w:rPr>
        <w:t xml:space="preserve">power </w:t>
      </w:r>
    </w:p>
    <w:p>
      <w:pPr>
        <w:ind w:firstLine="420" w:firstLineChars="200"/>
        <w:rPr>
          <w:szCs w:val="21"/>
        </w:rPr>
      </w:pPr>
      <w:r>
        <w:rPr>
          <w:rFonts w:hint="eastAsia" w:ascii="Times New Roman" w:hAnsi="Times New Roman" w:eastAsia="宋体" w:cs="Times New Roman"/>
          <w:kern w:val="0"/>
          <w:sz w:val="21"/>
          <w:szCs w:val="20"/>
          <w:lang w:val="en-US" w:eastAsia="zh-CN" w:bidi="ar-SA"/>
        </w:rPr>
        <w:t>是一个物理量，用于描述在单位时间内完成的工作或能量转换的速率。</w:t>
      </w:r>
    </w:p>
    <w:p>
      <w:pPr>
        <w:pStyle w:val="137"/>
        <w:rPr>
          <w:rFonts w:ascii="Times New Roman"/>
        </w:rPr>
      </w:pPr>
    </w:p>
    <w:p>
      <w:pPr>
        <w:pStyle w:val="29"/>
        <w:rPr>
          <w:rFonts w:hint="eastAsia" w:ascii="黑体" w:hAnsi="黑体" w:eastAsia="黑体" w:cs="黑体"/>
        </w:rPr>
      </w:pPr>
      <w:r>
        <w:rPr>
          <w:rFonts w:hint="eastAsia" w:ascii="黑体" w:hAnsi="黑体" w:eastAsia="黑体" w:cs="黑体"/>
          <w:lang w:eastAsia="zh-CN"/>
        </w:rPr>
        <w:t>转速</w:t>
      </w:r>
      <w:r>
        <w:rPr>
          <w:rFonts w:hint="eastAsia" w:ascii="黑体" w:hAnsi="黑体" w:eastAsia="黑体" w:cs="黑体"/>
        </w:rPr>
        <w:t xml:space="preserve"> </w:t>
      </w:r>
      <w:r>
        <w:rPr>
          <w:rFonts w:hint="eastAsia" w:ascii="黑体" w:hAnsi="黑体" w:eastAsia="黑体" w:cs="黑体"/>
        </w:rPr>
        <w:fldChar w:fldCharType="begin"/>
      </w:r>
      <w:r>
        <w:rPr>
          <w:rFonts w:hint="eastAsia" w:ascii="黑体" w:hAnsi="黑体" w:eastAsia="黑体" w:cs="黑体"/>
        </w:rPr>
        <w:instrText xml:space="preserve"> HYPERLINK "https://www.baidu.com/s?wd=Rotational Speed&amp;rsv_idx=2&amp;tn=baiduhome_pg&amp;usm=1&amp;ie=utf-8&amp;rsv_pq=c1276860000401fb&amp;oq=%E8%BD%AC%E9%80%9F%E5%90%8D%E8%AF%8D%E8%A7%A3%E9%87%8A&amp;rsv_t=b203sIwuxxHoHxxoUO+9WAUs6/07I3JZkTqYzgeM2Cue1RHffzI6GvlFK9FouzZYjq/1&amp;sa=re_dqa_zy&amp;icon=1" \t "https://www.baidu.com/_self" </w:instrText>
      </w:r>
      <w:r>
        <w:rPr>
          <w:rFonts w:hint="eastAsia" w:ascii="黑体" w:hAnsi="黑体" w:eastAsia="黑体" w:cs="黑体"/>
        </w:rPr>
        <w:fldChar w:fldCharType="separate"/>
      </w:r>
      <w:r>
        <w:rPr>
          <w:rFonts w:hint="eastAsia" w:ascii="黑体" w:hAnsi="黑体" w:eastAsia="黑体" w:cs="黑体"/>
          <w:lang w:val="en-US" w:eastAsia="zh-CN"/>
        </w:rPr>
        <w:t>r</w:t>
      </w:r>
      <w:r>
        <w:rPr>
          <w:rFonts w:hint="eastAsia" w:ascii="黑体" w:hAnsi="黑体" w:eastAsia="黑体" w:cs="黑体"/>
        </w:rPr>
        <w:t xml:space="preserve">otational </w:t>
      </w:r>
      <w:r>
        <w:rPr>
          <w:rFonts w:hint="eastAsia" w:ascii="黑体" w:hAnsi="黑体" w:eastAsia="黑体" w:cs="黑体"/>
          <w:lang w:val="en-US" w:eastAsia="zh-CN"/>
        </w:rPr>
        <w:t>s</w:t>
      </w:r>
      <w:r>
        <w:rPr>
          <w:rFonts w:hint="eastAsia" w:ascii="黑体" w:hAnsi="黑体" w:eastAsia="黑体" w:cs="黑体"/>
        </w:rPr>
        <w:t>peed</w:t>
      </w:r>
      <w:r>
        <w:rPr>
          <w:rFonts w:hint="eastAsia" w:ascii="黑体" w:hAnsi="黑体" w:eastAsia="黑体" w:cs="黑体"/>
        </w:rPr>
        <w:fldChar w:fldCharType="end"/>
      </w:r>
    </w:p>
    <w:p>
      <w:pPr>
        <w:pStyle w:val="29"/>
        <w:rPr>
          <w:rFonts w:ascii="Times New Roman"/>
        </w:rPr>
      </w:pPr>
      <w:r>
        <w:rPr>
          <w:rFonts w:hint="eastAsia" w:ascii="Times New Roman"/>
        </w:rPr>
        <w:t>指做圆周运动的物体单位时间内沿圆周绕圆心转过的圈数。</w:t>
      </w:r>
    </w:p>
    <w:p>
      <w:pPr>
        <w:pStyle w:val="137"/>
        <w:rPr>
          <w:rFonts w:ascii="Times New Roman"/>
        </w:rPr>
      </w:pPr>
    </w:p>
    <w:p>
      <w:pPr>
        <w:keepNext w:val="0"/>
        <w:keepLines w:val="0"/>
        <w:widowControl/>
        <w:suppressLineNumbers w:val="0"/>
        <w:shd w:val="clear" w:fill="FFFFFF"/>
        <w:ind w:right="45" w:firstLine="420" w:firstLineChars="200"/>
        <w:jc w:val="left"/>
        <w:rPr>
          <w:rFonts w:hint="eastAsia" w:ascii="黑体" w:hAnsi="黑体" w:eastAsia="黑体" w:cs="黑体"/>
        </w:rPr>
      </w:pPr>
      <w:r>
        <w:rPr>
          <w:rFonts w:hint="eastAsia" w:ascii="黑体" w:hAnsi="黑体" w:eastAsia="黑体" w:cs="黑体"/>
          <w:lang w:eastAsia="zh-CN"/>
        </w:rPr>
        <w:t>排气量</w:t>
      </w:r>
      <w:r>
        <w:rPr>
          <w:rFonts w:hint="eastAsia" w:ascii="黑体" w:hAnsi="黑体" w:eastAsia="黑体" w:cs="黑体"/>
          <w:lang w:val="en-US" w:eastAsia="zh-CN"/>
        </w:rPr>
        <w:t xml:space="preserve"> air displacement</w:t>
      </w:r>
    </w:p>
    <w:p>
      <w:pPr>
        <w:pStyle w:val="29"/>
        <w:rPr>
          <w:rFonts w:ascii="Times New Roman"/>
        </w:rPr>
      </w:pPr>
      <w:r>
        <w:rPr>
          <w:rFonts w:hint="eastAsia" w:ascii="Times New Roman"/>
        </w:rPr>
        <w:t>排气量是指在</w:t>
      </w:r>
      <w:r>
        <w:rPr>
          <w:rFonts w:hint="default" w:ascii="Times New Roman"/>
        </w:rPr>
        <w:fldChar w:fldCharType="begin"/>
      </w:r>
      <w:r>
        <w:rPr>
          <w:rFonts w:hint="default" w:ascii="Times New Roman"/>
        </w:rPr>
        <w:instrText xml:space="preserve"> HYPERLINK "https://baike.baidu.com/item/%E5%BC%95%E6%93%8E/2043?fromModule=lemma_inlink" \t "https://baike.baidu.com/item/_blank" </w:instrText>
      </w:r>
      <w:r>
        <w:rPr>
          <w:rFonts w:hint="default" w:ascii="Times New Roman"/>
        </w:rPr>
        <w:fldChar w:fldCharType="separate"/>
      </w:r>
      <w:r>
        <w:rPr>
          <w:rFonts w:hint="default" w:ascii="Times New Roman"/>
        </w:rPr>
        <w:t>引擎</w:t>
      </w:r>
      <w:r>
        <w:rPr>
          <w:rFonts w:hint="default" w:ascii="Times New Roman"/>
        </w:rPr>
        <w:fldChar w:fldCharType="end"/>
      </w:r>
      <w:r>
        <w:rPr>
          <w:rFonts w:hint="default" w:ascii="Times New Roman"/>
        </w:rPr>
        <w:t>的某一循环运作中，能将全部空气及混合气送入所有汽缸的能力，也是指一个</w:t>
      </w:r>
      <w:r>
        <w:rPr>
          <w:rFonts w:hint="default" w:ascii="Times New Roman"/>
        </w:rPr>
        <w:fldChar w:fldCharType="begin"/>
      </w:r>
      <w:r>
        <w:rPr>
          <w:rFonts w:hint="default" w:ascii="Times New Roman"/>
        </w:rPr>
        <w:instrText xml:space="preserve"> HYPERLINK "https://baike.baidu.com/item/%E6%B4%BB%E5%A1%9E/753671?fromModule=lemma_inlink" \t "https://baike.baidu.com/item/_blank" </w:instrText>
      </w:r>
      <w:r>
        <w:rPr>
          <w:rFonts w:hint="default" w:ascii="Times New Roman"/>
        </w:rPr>
        <w:fldChar w:fldCharType="separate"/>
      </w:r>
      <w:r>
        <w:rPr>
          <w:rFonts w:hint="default" w:ascii="Times New Roman"/>
        </w:rPr>
        <w:t>活塞</w:t>
      </w:r>
      <w:r>
        <w:rPr>
          <w:rFonts w:hint="default" w:ascii="Times New Roman"/>
        </w:rPr>
        <w:fldChar w:fldCharType="end"/>
      </w:r>
      <w:r>
        <w:rPr>
          <w:rFonts w:hint="default" w:ascii="Times New Roman"/>
        </w:rPr>
        <w:t>从一个行程运作至另一行程所能排的体积</w:t>
      </w:r>
      <w:r>
        <w:rPr>
          <w:rFonts w:hint="eastAsia" w:ascii="Times New Roman"/>
        </w:rPr>
        <w:t>。</w:t>
      </w:r>
    </w:p>
    <w:p>
      <w:pPr>
        <w:pStyle w:val="55"/>
        <w:spacing w:before="312" w:after="312"/>
        <w:rPr>
          <w:rFonts w:hint="eastAsia" w:ascii="黑体" w:hAnsi="黑体" w:eastAsia="黑体" w:cs="黑体"/>
        </w:rPr>
      </w:pPr>
      <w:bookmarkStart w:id="40" w:name="_Toc10331"/>
      <w:r>
        <w:rPr>
          <w:rFonts w:hint="eastAsia" w:ascii="黑体" w:hAnsi="黑体" w:eastAsia="黑体" w:cs="黑体"/>
        </w:rPr>
        <w:t>系统</w:t>
      </w:r>
      <w:bookmarkEnd w:id="30"/>
      <w:bookmarkEnd w:id="31"/>
      <w:bookmarkEnd w:id="32"/>
      <w:bookmarkEnd w:id="33"/>
      <w:r>
        <w:rPr>
          <w:rFonts w:hint="eastAsia" w:ascii="黑体" w:hAnsi="黑体" w:eastAsia="黑体" w:cs="黑体"/>
        </w:rPr>
        <w:t>组成</w:t>
      </w:r>
      <w:bookmarkEnd w:id="34"/>
      <w:bookmarkEnd w:id="35"/>
      <w:bookmarkEnd w:id="40"/>
    </w:p>
    <w:p>
      <w:pPr>
        <w:ind w:firstLine="420" w:firstLineChars="200"/>
      </w:pPr>
      <w:r>
        <w:rPr>
          <w:rFonts w:hint="eastAsia"/>
          <w:lang w:val="en-US" w:eastAsia="zh-CN"/>
        </w:rPr>
        <w:t>防汛用橡皮艇</w:t>
      </w:r>
      <w:r>
        <w:rPr>
          <w:rFonts w:hint="eastAsia"/>
        </w:rPr>
        <w:t>主要由</w:t>
      </w:r>
      <w:r>
        <w:rPr>
          <w:rFonts w:hint="eastAsia"/>
          <w:lang w:eastAsia="zh-CN"/>
        </w:rPr>
        <w:t>橡皮艇、航外机</w:t>
      </w:r>
      <w:r>
        <w:rPr>
          <w:rFonts w:hint="eastAsia"/>
        </w:rPr>
        <w:t>组成。</w:t>
      </w:r>
    </w:p>
    <w:p>
      <w:pPr>
        <w:pStyle w:val="55"/>
        <w:spacing w:before="312" w:after="312"/>
        <w:rPr>
          <w:rFonts w:ascii="Times New Roman"/>
        </w:rPr>
      </w:pPr>
      <w:bookmarkStart w:id="41" w:name="_Toc19953"/>
      <w:bookmarkStart w:id="42" w:name="_Toc416267178"/>
      <w:bookmarkStart w:id="43" w:name="_Toc386893284"/>
      <w:bookmarkStart w:id="44" w:name="_Toc415486395"/>
      <w:bookmarkStart w:id="45" w:name="_Toc386617913"/>
      <w:bookmarkStart w:id="46" w:name="_Toc416267229"/>
      <w:bookmarkStart w:id="47" w:name="_Toc388521265"/>
      <w:r>
        <w:rPr>
          <w:rFonts w:ascii="Times New Roman"/>
        </w:rPr>
        <w:t>技术要求</w:t>
      </w:r>
      <w:bookmarkEnd w:id="41"/>
      <w:bookmarkEnd w:id="42"/>
      <w:bookmarkEnd w:id="43"/>
      <w:bookmarkEnd w:id="44"/>
      <w:bookmarkEnd w:id="45"/>
      <w:bookmarkEnd w:id="46"/>
      <w:bookmarkEnd w:id="47"/>
    </w:p>
    <w:p>
      <w:pPr>
        <w:pStyle w:val="52"/>
        <w:spacing w:before="156" w:after="156"/>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防汛用橡皮艇</w:t>
      </w:r>
    </w:p>
    <w:p>
      <w:pPr>
        <w:pStyle w:val="56"/>
        <w:spacing w:before="156" w:after="156"/>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准乘人数</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val="en-US" w:eastAsia="zh-CN"/>
        </w:rPr>
        <w:t>8人</w:t>
      </w:r>
    </w:p>
    <w:p>
      <w:pPr>
        <w:pStyle w:val="56"/>
        <w:spacing w:before="156" w:after="156"/>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船体尺寸：</w:t>
      </w:r>
      <w:r>
        <w:rPr>
          <w:rFonts w:hint="eastAsia" w:asciiTheme="minorEastAsia" w:hAnsiTheme="minorEastAsia" w:eastAsiaTheme="minorEastAsia" w:cstheme="minorEastAsia"/>
          <w:lang w:val="en-US" w:eastAsia="zh-CN"/>
        </w:rPr>
        <w:t>380*170*45cm</w:t>
      </w:r>
    </w:p>
    <w:p>
      <w:pPr>
        <w:pStyle w:val="56"/>
        <w:spacing w:before="156" w:after="156"/>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总重：≤82kg</w:t>
      </w:r>
    </w:p>
    <w:p>
      <w:pPr>
        <w:pStyle w:val="56"/>
        <w:spacing w:before="156" w:after="156"/>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安全载重：≥1000kg</w:t>
      </w:r>
    </w:p>
    <w:p>
      <w:pPr>
        <w:pStyle w:val="56"/>
        <w:spacing w:before="156" w:after="156"/>
        <w:rPr>
          <w:rFonts w:asciiTheme="minorEastAsia" w:hAnsiTheme="minorEastAsia" w:eastAsiaTheme="minorEastAsia" w:cstheme="minorEastAsia"/>
        </w:rPr>
      </w:pPr>
      <w:r>
        <w:rPr>
          <w:rFonts w:hint="eastAsia" w:asciiTheme="minorEastAsia" w:hAnsiTheme="minorEastAsia" w:eastAsiaTheme="minorEastAsia" w:cstheme="minorEastAsia"/>
        </w:rPr>
        <w:t>艇身材质：PVC加网材质+橡胶涂覆织物</w:t>
      </w:r>
    </w:p>
    <w:p>
      <w:pPr>
        <w:pStyle w:val="56"/>
        <w:spacing w:before="156" w:after="156"/>
        <w:rPr>
          <w:rFonts w:asciiTheme="minorEastAsia" w:hAnsiTheme="minorEastAsia" w:eastAsiaTheme="minorEastAsia" w:cstheme="minorEastAsia"/>
        </w:rPr>
      </w:pPr>
      <w:r>
        <w:rPr>
          <w:rFonts w:hint="eastAsia" w:asciiTheme="minorEastAsia" w:hAnsiTheme="minorEastAsia" w:eastAsiaTheme="minorEastAsia" w:cstheme="minorEastAsia"/>
        </w:rPr>
        <w:t>底板材质：防滑铝合金材质，并由阳极氧化的铝合金纵梁加固</w:t>
      </w:r>
    </w:p>
    <w:p>
      <w:pPr>
        <w:pStyle w:val="52"/>
        <w:spacing w:before="156" w:after="156"/>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航外机</w:t>
      </w:r>
    </w:p>
    <w:p>
      <w:pPr>
        <w:pStyle w:val="56"/>
        <w:spacing w:before="156" w:after="156"/>
        <w:rPr>
          <w:rFonts w:asciiTheme="minorEastAsia" w:hAnsiTheme="minorEastAsia" w:eastAsiaTheme="minorEastAsia" w:cstheme="minorEastAsia"/>
        </w:rPr>
      </w:pPr>
      <w:bookmarkStart w:id="48" w:name="_Ref305050300"/>
      <w:r>
        <w:rPr>
          <w:rFonts w:hint="eastAsia" w:asciiTheme="minorEastAsia" w:hAnsiTheme="minorEastAsia" w:eastAsiaTheme="minorEastAsia" w:cstheme="minorEastAsia"/>
        </w:rPr>
        <w:t>型式：</w:t>
      </w:r>
      <w:r>
        <w:rPr>
          <w:rFonts w:hint="eastAsia" w:asciiTheme="minorEastAsia" w:hAnsiTheme="minorEastAsia" w:eastAsiaTheme="minorEastAsia" w:cstheme="minorEastAsia"/>
          <w:lang w:eastAsia="zh-CN"/>
        </w:rPr>
        <w:t>二冲程</w:t>
      </w:r>
    </w:p>
    <w:bookmarkEnd w:id="48"/>
    <w:p>
      <w:pPr>
        <w:pStyle w:val="56"/>
        <w:spacing w:before="156" w:after="156"/>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功率：</w:t>
      </w:r>
      <w:r>
        <w:rPr>
          <w:rFonts w:hint="eastAsia" w:asciiTheme="minorEastAsia" w:hAnsiTheme="minorEastAsia" w:eastAsiaTheme="minorEastAsia" w:cstheme="minorEastAsia"/>
          <w:lang w:val="en-US" w:eastAsia="zh-CN"/>
        </w:rPr>
        <w:t>30马力</w:t>
      </w:r>
    </w:p>
    <w:p>
      <w:pPr>
        <w:pStyle w:val="56"/>
        <w:spacing w:before="156" w:after="156"/>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转速：</w:t>
      </w:r>
      <w:r>
        <w:rPr>
          <w:rFonts w:hint="eastAsia" w:asciiTheme="minorEastAsia" w:hAnsiTheme="minorEastAsia" w:eastAsiaTheme="minorEastAsia" w:cstheme="minorEastAsia"/>
          <w:lang w:val="en-US" w:eastAsia="zh-CN"/>
        </w:rPr>
        <w:t>4000r.p.m~5000r.p.m</w:t>
      </w:r>
    </w:p>
    <w:p>
      <w:pPr>
        <w:pStyle w:val="56"/>
        <w:spacing w:before="156" w:after="156"/>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缸体：</w:t>
      </w:r>
      <w:r>
        <w:rPr>
          <w:rFonts w:hint="eastAsia" w:asciiTheme="minorEastAsia" w:hAnsiTheme="minorEastAsia" w:eastAsiaTheme="minorEastAsia" w:cstheme="minorEastAsia"/>
          <w:lang w:val="en-US" w:eastAsia="zh-CN"/>
        </w:rPr>
        <w:t>2</w:t>
      </w:r>
    </w:p>
    <w:p>
      <w:pPr>
        <w:pStyle w:val="56"/>
        <w:spacing w:before="156" w:after="156"/>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排气量：</w:t>
      </w:r>
      <w:r>
        <w:rPr>
          <w:rFonts w:hint="eastAsia" w:asciiTheme="minorEastAsia" w:hAnsiTheme="minorEastAsia" w:eastAsiaTheme="minorEastAsia" w:cstheme="minorEastAsia"/>
          <w:lang w:val="en-US" w:eastAsia="zh-CN"/>
        </w:rPr>
        <w:t>496</w:t>
      </w:r>
    </w:p>
    <w:p>
      <w:pPr>
        <w:pStyle w:val="56"/>
        <w:spacing w:before="156" w:after="156"/>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重量：</w:t>
      </w:r>
      <w:r>
        <w:rPr>
          <w:rFonts w:hint="eastAsia" w:asciiTheme="minorEastAsia" w:hAnsiTheme="minorEastAsia" w:eastAsiaTheme="minorEastAsia" w:cstheme="minorEastAsia"/>
          <w:lang w:val="en-US" w:eastAsia="zh-CN"/>
        </w:rPr>
        <w:t>58kg</w:t>
      </w:r>
    </w:p>
    <w:p>
      <w:pPr>
        <w:pStyle w:val="56"/>
        <w:spacing w:before="156" w:after="156"/>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体积：</w:t>
      </w:r>
      <w:r>
        <w:rPr>
          <w:rFonts w:hint="eastAsia" w:asciiTheme="minorEastAsia" w:hAnsiTheme="minorEastAsia" w:eastAsiaTheme="minorEastAsia" w:cstheme="minorEastAsia"/>
          <w:lang w:val="en-US" w:eastAsia="zh-CN"/>
        </w:rPr>
        <w:t>0.485立方</w:t>
      </w:r>
    </w:p>
    <w:p>
      <w:pPr>
        <w:pStyle w:val="56"/>
        <w:spacing w:before="156" w:after="156"/>
        <w:rPr>
          <w:rFonts w:asciiTheme="minorEastAsia" w:hAnsiTheme="minorEastAsia" w:eastAsiaTheme="minorEastAsia" w:cstheme="minorEastAsia"/>
        </w:rPr>
      </w:pPr>
      <w:r>
        <w:rPr>
          <w:rFonts w:hint="eastAsia" w:asciiTheme="minorEastAsia" w:hAnsiTheme="minorEastAsia" w:eastAsiaTheme="minorEastAsia" w:cstheme="minorEastAsia"/>
          <w:lang w:eastAsia="zh-CN"/>
        </w:rPr>
        <w:t>随机油箱：</w:t>
      </w:r>
      <w:r>
        <w:rPr>
          <w:rFonts w:hint="eastAsia" w:asciiTheme="minorEastAsia" w:hAnsiTheme="minorEastAsia" w:eastAsiaTheme="minorEastAsia" w:cstheme="minorEastAsia"/>
          <w:lang w:val="en-US" w:eastAsia="zh-CN"/>
        </w:rPr>
        <w:t>24L</w:t>
      </w:r>
    </w:p>
    <w:p>
      <w:pPr>
        <w:pStyle w:val="55"/>
        <w:spacing w:before="312" w:after="312"/>
        <w:rPr>
          <w:rFonts w:ascii="Times New Roman"/>
        </w:rPr>
      </w:pPr>
      <w:bookmarkStart w:id="49" w:name="_Toc416267179"/>
      <w:bookmarkStart w:id="50" w:name="_Toc388521271"/>
      <w:bookmarkStart w:id="51" w:name="_Toc415486396"/>
      <w:bookmarkStart w:id="52" w:name="_Toc386893290"/>
      <w:bookmarkStart w:id="53" w:name="_Toc306180727"/>
      <w:bookmarkStart w:id="54" w:name="_Toc416267230"/>
      <w:bookmarkStart w:id="55" w:name="_Toc386617919"/>
      <w:bookmarkStart w:id="56" w:name="_Toc11869"/>
      <w:bookmarkStart w:id="57" w:name="_Toc306180729"/>
      <w:bookmarkStart w:id="58" w:name="_Toc386893299"/>
      <w:bookmarkStart w:id="59" w:name="_Toc386617928"/>
      <w:bookmarkStart w:id="60" w:name="_Toc416267183"/>
      <w:bookmarkStart w:id="61" w:name="_Toc388521283"/>
      <w:bookmarkStart w:id="62" w:name="_Toc416267232"/>
      <w:bookmarkStart w:id="63" w:name="_Toc415486401"/>
      <w:r>
        <w:rPr>
          <w:rFonts w:ascii="Times New Roman"/>
        </w:rPr>
        <w:t>试验</w:t>
      </w:r>
      <w:bookmarkEnd w:id="49"/>
      <w:bookmarkEnd w:id="50"/>
      <w:bookmarkEnd w:id="51"/>
      <w:bookmarkEnd w:id="52"/>
      <w:bookmarkEnd w:id="53"/>
      <w:bookmarkEnd w:id="54"/>
      <w:bookmarkEnd w:id="55"/>
      <w:r>
        <w:rPr>
          <w:rFonts w:ascii="Times New Roman"/>
        </w:rPr>
        <w:t>要求</w:t>
      </w:r>
      <w:bookmarkEnd w:id="56"/>
    </w:p>
    <w:p>
      <w:pPr>
        <w:pStyle w:val="52"/>
        <w:spacing w:before="156" w:after="156"/>
      </w:pPr>
      <w:r>
        <w:rPr>
          <w:rFonts w:ascii="Times New Roman"/>
        </w:rPr>
        <w:t>结构和外观检测</w:t>
      </w:r>
    </w:p>
    <w:p>
      <w:pPr>
        <w:pStyle w:val="56"/>
        <w:spacing w:before="156" w:after="156"/>
        <w:rPr>
          <w:rFonts w:ascii="Times New Roman"/>
        </w:rPr>
      </w:pPr>
      <w:r>
        <w:rPr>
          <w:rFonts w:ascii="Times New Roman"/>
        </w:rPr>
        <w:t>试验方法</w:t>
      </w:r>
    </w:p>
    <w:p>
      <w:pPr>
        <w:ind w:firstLine="420" w:firstLineChars="200"/>
      </w:pPr>
      <w:r>
        <w:rPr>
          <w:rFonts w:hint="eastAsia"/>
        </w:rPr>
        <w:t>按</w:t>
      </w:r>
      <w:r>
        <w:rPr>
          <w:rFonts w:hint="eastAsia"/>
          <w:lang w:eastAsia="zh-CN"/>
        </w:rPr>
        <w:t>防汛用橡皮艇艇身、防汛用橡皮艇地板、航外机发动机</w:t>
      </w:r>
      <w:r>
        <w:rPr>
          <w:rFonts w:hint="eastAsia"/>
        </w:rPr>
        <w:t>的顺序逐一检查机组的外观质量、</w:t>
      </w:r>
      <w:r>
        <w:rPr>
          <w:rFonts w:hint="eastAsia"/>
          <w:lang w:eastAsia="zh-CN"/>
        </w:rPr>
        <w:t>密封性、漏油</w:t>
      </w:r>
      <w:r>
        <w:rPr>
          <w:rFonts w:hint="eastAsia"/>
        </w:rPr>
        <w:t>检查等。</w:t>
      </w:r>
    </w:p>
    <w:p>
      <w:pPr>
        <w:pStyle w:val="56"/>
        <w:spacing w:before="156" w:after="156"/>
        <w:rPr>
          <w:rFonts w:ascii="Times New Roman"/>
        </w:rPr>
      </w:pPr>
      <w:r>
        <w:rPr>
          <w:rFonts w:ascii="Times New Roman"/>
        </w:rPr>
        <w:t>判定准则</w:t>
      </w:r>
    </w:p>
    <w:p>
      <w:pPr>
        <w:pStyle w:val="61"/>
        <w:spacing w:before="156" w:after="156"/>
        <w:rPr>
          <w:rFonts w:ascii="Times New Roman" w:eastAsia="宋体"/>
          <w:kern w:val="2"/>
          <w:szCs w:val="24"/>
        </w:rPr>
      </w:pPr>
      <w:r>
        <w:rPr>
          <w:rFonts w:ascii="Times New Roman" w:eastAsia="宋体"/>
          <w:kern w:val="2"/>
          <w:szCs w:val="24"/>
        </w:rPr>
        <w:t>整机外观美观整洁，结构坚固，布局合理。</w:t>
      </w:r>
    </w:p>
    <w:p>
      <w:pPr>
        <w:pStyle w:val="61"/>
        <w:spacing w:before="156" w:after="156"/>
        <w:rPr>
          <w:rFonts w:ascii="Times New Roman" w:eastAsia="宋体"/>
          <w:kern w:val="2"/>
          <w:szCs w:val="24"/>
        </w:rPr>
      </w:pPr>
      <w:r>
        <w:rPr>
          <w:rFonts w:ascii="Times New Roman" w:eastAsia="宋体"/>
          <w:kern w:val="2"/>
          <w:szCs w:val="24"/>
        </w:rPr>
        <w:t>表面光洁、均匀，无划痕、毛刺等其他缺陷。</w:t>
      </w:r>
    </w:p>
    <w:p>
      <w:pPr>
        <w:pStyle w:val="61"/>
        <w:spacing w:before="156" w:after="156"/>
        <w:rPr>
          <w:rFonts w:ascii="Times New Roman" w:eastAsia="宋体"/>
          <w:kern w:val="2"/>
          <w:szCs w:val="24"/>
        </w:rPr>
      </w:pPr>
      <w:r>
        <w:rPr>
          <w:rFonts w:hint="eastAsia" w:ascii="Times New Roman" w:eastAsia="宋体"/>
          <w:kern w:val="2"/>
          <w:szCs w:val="24"/>
          <w:lang w:eastAsia="zh-CN"/>
        </w:rPr>
        <w:t>防汛用橡皮艇充气无漏气、发动机启动正常，</w:t>
      </w:r>
      <w:r>
        <w:rPr>
          <w:rFonts w:hint="eastAsia" w:ascii="Times New Roman" w:eastAsia="宋体"/>
          <w:kern w:val="2"/>
          <w:szCs w:val="24"/>
        </w:rPr>
        <w:t>满足工作要求</w:t>
      </w:r>
      <w:r>
        <w:rPr>
          <w:rFonts w:ascii="Times New Roman" w:eastAsia="宋体"/>
          <w:kern w:val="2"/>
          <w:szCs w:val="24"/>
        </w:rPr>
        <w:t>。</w:t>
      </w:r>
    </w:p>
    <w:p>
      <w:pPr>
        <w:pStyle w:val="61"/>
        <w:spacing w:before="156" w:after="156"/>
        <w:rPr>
          <w:rFonts w:ascii="Times New Roman"/>
          <w:szCs w:val="22"/>
        </w:rPr>
      </w:pPr>
      <w:r>
        <w:rPr>
          <w:rFonts w:hint="eastAsia" w:asciiTheme="minorEastAsia" w:hAnsiTheme="minorEastAsia" w:eastAsiaTheme="minorEastAsia" w:cstheme="minorEastAsia"/>
          <w:szCs w:val="22"/>
        </w:rPr>
        <w:t>机组铭牌、发电机铭牌应在明显位置，铭牌数据包含型号、额定功率、电流、电压、频率，重量、出厂日期等，内容齐全、数据完整、正确</w:t>
      </w:r>
      <w:r>
        <w:rPr>
          <w:rFonts w:hint="eastAsia" w:ascii="Times New Roman"/>
          <w:szCs w:val="22"/>
        </w:rPr>
        <w:t>。</w:t>
      </w:r>
    </w:p>
    <w:p>
      <w:pPr>
        <w:pStyle w:val="52"/>
        <w:spacing w:before="156" w:after="156"/>
        <w:rPr>
          <w:rFonts w:ascii="Times New Roman"/>
        </w:rPr>
      </w:pPr>
      <w:r>
        <w:rPr>
          <w:rFonts w:hint="eastAsia" w:ascii="Times New Roman"/>
        </w:rPr>
        <w:t>专用性能</w:t>
      </w:r>
      <w:r>
        <w:rPr>
          <w:rFonts w:ascii="Times New Roman"/>
        </w:rPr>
        <w:t>检测</w:t>
      </w:r>
    </w:p>
    <w:p>
      <w:pPr>
        <w:pStyle w:val="56"/>
        <w:spacing w:before="156" w:after="156"/>
        <w:rPr>
          <w:rFonts w:ascii="Times New Roman"/>
        </w:rPr>
      </w:pPr>
      <w:r>
        <w:rPr>
          <w:rFonts w:hint="eastAsia" w:ascii="Times New Roman"/>
          <w:lang w:eastAsia="zh-CN"/>
        </w:rPr>
        <w:t>气密性</w:t>
      </w:r>
      <w:r>
        <w:rPr>
          <w:rFonts w:hint="eastAsia" w:ascii="Times New Roman"/>
        </w:rPr>
        <w:t>试验</w:t>
      </w:r>
    </w:p>
    <w:p>
      <w:pPr>
        <w:ind w:firstLine="420" w:firstLineChars="200"/>
      </w:pPr>
      <w:r>
        <w:rPr>
          <w:rFonts w:hint="eastAsia"/>
        </w:rPr>
        <w:t>将</w:t>
      </w:r>
      <w:r>
        <w:rPr>
          <w:rFonts w:hint="eastAsia"/>
          <w:lang w:eastAsia="zh-CN"/>
        </w:rPr>
        <w:t>防汛用橡皮艇充气</w:t>
      </w:r>
      <w:r>
        <w:rPr>
          <w:rFonts w:hint="eastAsia"/>
          <w:lang w:val="en-US" w:eastAsia="zh-CN"/>
        </w:rPr>
        <w:t>24小时后，是否存在无漏气现象</w:t>
      </w:r>
      <w:r>
        <w:rPr>
          <w:rFonts w:hint="eastAsia"/>
        </w:rPr>
        <w:t>。</w:t>
      </w:r>
    </w:p>
    <w:p>
      <w:pPr>
        <w:pStyle w:val="56"/>
        <w:spacing w:before="156" w:after="156"/>
        <w:rPr>
          <w:rFonts w:ascii="Times New Roman"/>
        </w:rPr>
      </w:pPr>
      <w:r>
        <w:rPr>
          <w:rFonts w:hint="eastAsia" w:ascii="Times New Roman"/>
        </w:rPr>
        <w:t>启动性能试验</w:t>
      </w:r>
    </w:p>
    <w:p>
      <w:pPr>
        <w:ind w:firstLine="420" w:firstLineChars="200"/>
        <w:rPr>
          <w:rFonts w:hint="eastAsia"/>
        </w:rPr>
      </w:pPr>
      <w:r>
        <w:rPr>
          <w:rFonts w:hint="eastAsia"/>
          <w:lang w:eastAsia="zh-CN"/>
        </w:rPr>
        <w:t>航外机</w:t>
      </w:r>
      <w:r>
        <w:rPr>
          <w:rFonts w:hint="eastAsia"/>
        </w:rPr>
        <w:t>处于常温冷态下，启动发</w:t>
      </w:r>
      <w:r>
        <w:rPr>
          <w:rFonts w:hint="eastAsia"/>
          <w:lang w:eastAsia="zh-CN"/>
        </w:rPr>
        <w:t>动</w:t>
      </w:r>
      <w:r>
        <w:rPr>
          <w:rFonts w:hint="eastAsia"/>
        </w:rPr>
        <w:t>机组，应能启动成功。发动机启动后，检查泵的供水是否正常。运转正常后，换出空挡，挂上前进档或倒档，检查</w:t>
      </w:r>
      <w:r>
        <w:rPr>
          <w:rFonts w:hint="eastAsia"/>
          <w:lang w:eastAsia="zh-CN"/>
        </w:rPr>
        <w:t>防汛用橡皮艇</w:t>
      </w:r>
      <w:r>
        <w:rPr>
          <w:rFonts w:hint="eastAsia"/>
        </w:rPr>
        <w:t>是否有动力。</w:t>
      </w:r>
    </w:p>
    <w:p>
      <w:pPr>
        <w:pStyle w:val="56"/>
        <w:spacing w:before="156" w:after="156"/>
        <w:rPr>
          <w:rFonts w:ascii="Times New Roman"/>
        </w:rPr>
      </w:pPr>
      <w:r>
        <w:rPr>
          <w:rFonts w:hint="eastAsia" w:ascii="Times New Roman"/>
        </w:rPr>
        <w:t>带载运行</w:t>
      </w:r>
      <w:r>
        <w:rPr>
          <w:rFonts w:ascii="Times New Roman"/>
        </w:rPr>
        <w:t>试验</w:t>
      </w:r>
    </w:p>
    <w:p>
      <w:pPr>
        <w:pStyle w:val="36"/>
        <w:widowControl/>
        <w:spacing w:before="76" w:line="23" w:lineRule="atLeast"/>
        <w:ind w:right="120" w:firstLine="420" w:firstLineChars="200"/>
        <w:rPr>
          <w:kern w:val="2"/>
          <w:sz w:val="21"/>
        </w:rPr>
      </w:pPr>
      <w:r>
        <w:rPr>
          <w:rFonts w:hint="eastAsia"/>
          <w:kern w:val="2"/>
          <w:sz w:val="21"/>
        </w:rPr>
        <w:t>由</w:t>
      </w:r>
      <w:r>
        <w:rPr>
          <w:rFonts w:hint="eastAsia"/>
          <w:kern w:val="2"/>
          <w:sz w:val="21"/>
          <w:lang w:eastAsia="zh-CN"/>
        </w:rPr>
        <w:t>低载重</w:t>
      </w:r>
      <w:r>
        <w:rPr>
          <w:rFonts w:hint="eastAsia"/>
          <w:kern w:val="2"/>
          <w:sz w:val="21"/>
        </w:rPr>
        <w:t>逐步增加，在各</w:t>
      </w:r>
      <w:r>
        <w:rPr>
          <w:rFonts w:hint="eastAsia"/>
          <w:kern w:val="2"/>
          <w:sz w:val="21"/>
          <w:lang w:eastAsia="zh-CN"/>
        </w:rPr>
        <w:t>载重</w:t>
      </w:r>
      <w:r>
        <w:rPr>
          <w:rFonts w:hint="eastAsia"/>
          <w:kern w:val="2"/>
          <w:sz w:val="21"/>
        </w:rPr>
        <w:t>状态时</w:t>
      </w:r>
      <w:r>
        <w:rPr>
          <w:rFonts w:hint="eastAsia"/>
          <w:kern w:val="2"/>
          <w:sz w:val="21"/>
          <w:lang w:eastAsia="zh-CN"/>
        </w:rPr>
        <w:t>防汛用橡皮艇的运转</w:t>
      </w:r>
      <w:r>
        <w:rPr>
          <w:rFonts w:hint="eastAsia"/>
          <w:kern w:val="2"/>
          <w:sz w:val="21"/>
        </w:rPr>
        <w:t>参数，按规定的时间间隔做好记录</w:t>
      </w:r>
      <w:r>
        <w:rPr>
          <w:rFonts w:hint="eastAsia"/>
          <w:kern w:val="2"/>
          <w:sz w:val="21"/>
          <w:lang w:eastAsia="zh-CN"/>
        </w:rPr>
        <w:t>。</w:t>
      </w:r>
      <w:r>
        <w:rPr>
          <w:rFonts w:hint="eastAsia"/>
          <w:kern w:val="2"/>
          <w:sz w:val="21"/>
        </w:rPr>
        <w:t>同时，检验发</w:t>
      </w:r>
      <w:r>
        <w:rPr>
          <w:rFonts w:hint="eastAsia"/>
          <w:kern w:val="2"/>
          <w:sz w:val="21"/>
          <w:lang w:eastAsia="zh-CN"/>
        </w:rPr>
        <w:t>动</w:t>
      </w:r>
      <w:r>
        <w:rPr>
          <w:rFonts w:hint="eastAsia"/>
          <w:kern w:val="2"/>
          <w:sz w:val="21"/>
        </w:rPr>
        <w:t>机运转是否平稳，有无异常响声。试验过程中</w:t>
      </w:r>
      <w:r>
        <w:rPr>
          <w:kern w:val="2"/>
          <w:sz w:val="21"/>
        </w:rPr>
        <w:t>发</w:t>
      </w:r>
      <w:r>
        <w:rPr>
          <w:rFonts w:hint="eastAsia"/>
          <w:kern w:val="2"/>
          <w:sz w:val="21"/>
          <w:lang w:eastAsia="zh-CN"/>
        </w:rPr>
        <w:t>动</w:t>
      </w:r>
      <w:r>
        <w:rPr>
          <w:kern w:val="2"/>
          <w:sz w:val="21"/>
        </w:rPr>
        <w:t>机工作状态应平稳</w:t>
      </w:r>
      <w:r>
        <w:rPr>
          <w:rFonts w:hint="eastAsia"/>
          <w:kern w:val="2"/>
          <w:sz w:val="21"/>
        </w:rPr>
        <w:t>，</w:t>
      </w:r>
      <w:r>
        <w:rPr>
          <w:kern w:val="2"/>
          <w:sz w:val="21"/>
        </w:rPr>
        <w:t>各活动部件无过热现象。</w:t>
      </w:r>
    </w:p>
    <w:p>
      <w:pPr>
        <w:pStyle w:val="55"/>
        <w:spacing w:before="312" w:after="312"/>
        <w:rPr>
          <w:rFonts w:ascii="Times New Roman"/>
        </w:rPr>
      </w:pPr>
      <w:bookmarkStart w:id="64" w:name="_Toc388521276"/>
      <w:bookmarkStart w:id="65" w:name="_Toc416267182"/>
      <w:bookmarkStart w:id="66" w:name="_Toc415486399"/>
      <w:bookmarkStart w:id="67" w:name="_Toc386617924"/>
      <w:bookmarkStart w:id="68" w:name="_Toc416267231"/>
      <w:bookmarkStart w:id="69" w:name="_Toc386893295"/>
      <w:bookmarkStart w:id="70" w:name="_Toc2816"/>
      <w:r>
        <w:rPr>
          <w:rFonts w:ascii="Times New Roman"/>
        </w:rPr>
        <w:t>检验规则</w:t>
      </w:r>
      <w:bookmarkEnd w:id="64"/>
      <w:bookmarkEnd w:id="65"/>
      <w:bookmarkEnd w:id="66"/>
      <w:bookmarkEnd w:id="67"/>
      <w:bookmarkEnd w:id="68"/>
      <w:bookmarkEnd w:id="69"/>
      <w:bookmarkEnd w:id="70"/>
    </w:p>
    <w:p>
      <w:pPr>
        <w:pStyle w:val="52"/>
        <w:spacing w:before="156" w:after="156"/>
      </w:pPr>
      <w:r>
        <w:rPr>
          <w:rFonts w:hint="eastAsia"/>
        </w:rPr>
        <w:t>出厂检验</w:t>
      </w:r>
    </w:p>
    <w:p>
      <w:pPr>
        <w:pStyle w:val="56"/>
        <w:spacing w:before="156" w:after="156"/>
        <w:rPr>
          <w:rFonts w:ascii="Times New Roman" w:eastAsia="宋体"/>
          <w:kern w:val="2"/>
          <w:szCs w:val="24"/>
        </w:rPr>
      </w:pPr>
      <w:r>
        <w:rPr>
          <w:rFonts w:hint="eastAsia" w:ascii="Times New Roman" w:eastAsia="宋体"/>
          <w:kern w:val="2"/>
          <w:szCs w:val="24"/>
        </w:rPr>
        <w:t>每</w:t>
      </w:r>
      <w:r>
        <w:rPr>
          <w:rFonts w:hint="eastAsia" w:ascii="Times New Roman" w:eastAsia="宋体"/>
          <w:kern w:val="2"/>
          <w:szCs w:val="24"/>
          <w:lang w:eastAsia="zh-CN"/>
        </w:rPr>
        <w:t>艘防汛用橡皮艇</w:t>
      </w:r>
      <w:r>
        <w:rPr>
          <w:rFonts w:hint="eastAsia" w:ascii="Times New Roman" w:eastAsia="宋体"/>
          <w:kern w:val="2"/>
          <w:szCs w:val="24"/>
        </w:rPr>
        <w:t>均应进行出厂检验，经制造厂质量检验部门检验合格，并签发产品合格证后方可出厂。</w:t>
      </w:r>
    </w:p>
    <w:p>
      <w:pPr>
        <w:pStyle w:val="56"/>
        <w:spacing w:before="156" w:after="156"/>
        <w:rPr>
          <w:rFonts w:ascii="Times New Roman" w:eastAsia="宋体"/>
          <w:kern w:val="2"/>
          <w:szCs w:val="24"/>
        </w:rPr>
      </w:pPr>
      <w:r>
        <w:rPr>
          <w:rFonts w:hint="eastAsia" w:ascii="Times New Roman" w:eastAsia="宋体"/>
          <w:kern w:val="2"/>
          <w:szCs w:val="24"/>
        </w:rPr>
        <w:t>出厂检验项目：</w:t>
      </w:r>
    </w:p>
    <w:p>
      <w:pPr>
        <w:pStyle w:val="29"/>
      </w:pPr>
      <w:r>
        <w:rPr>
          <w:rFonts w:hint="eastAsia"/>
        </w:rPr>
        <w:t>—检查外观；</w:t>
      </w:r>
    </w:p>
    <w:p>
      <w:pPr>
        <w:pStyle w:val="29"/>
      </w:pPr>
      <w:r>
        <w:rPr>
          <w:rFonts w:hint="eastAsia"/>
        </w:rPr>
        <w:t>—检查</w:t>
      </w:r>
      <w:r>
        <w:rPr>
          <w:rFonts w:hint="eastAsia"/>
          <w:lang w:eastAsia="zh-CN"/>
        </w:rPr>
        <w:t>气密性</w:t>
      </w:r>
      <w:r>
        <w:rPr>
          <w:rFonts w:hint="eastAsia"/>
        </w:rPr>
        <w:t>；</w:t>
      </w:r>
    </w:p>
    <w:p>
      <w:pPr>
        <w:pStyle w:val="29"/>
      </w:pPr>
      <w:r>
        <w:rPr>
          <w:rFonts w:hint="eastAsia"/>
        </w:rPr>
        <w:t>—</w:t>
      </w:r>
      <w:r>
        <w:rPr>
          <w:rFonts w:hint="eastAsia"/>
          <w:lang w:eastAsia="zh-CN"/>
        </w:rPr>
        <w:t>检查艇身底板；</w:t>
      </w:r>
    </w:p>
    <w:p>
      <w:pPr>
        <w:pStyle w:val="29"/>
      </w:pPr>
      <w:r>
        <w:rPr>
          <w:rFonts w:hint="eastAsia"/>
        </w:rPr>
        <w:t>—检查启动性能；</w:t>
      </w:r>
    </w:p>
    <w:p>
      <w:pPr>
        <w:pStyle w:val="29"/>
      </w:pPr>
      <w:r>
        <w:rPr>
          <w:rFonts w:hint="eastAsia"/>
        </w:rPr>
        <w:t>—检查</w:t>
      </w:r>
      <w:r>
        <w:rPr>
          <w:rFonts w:hint="eastAsia"/>
          <w:lang w:eastAsia="zh-CN"/>
        </w:rPr>
        <w:t>操控装置</w:t>
      </w:r>
      <w:r>
        <w:rPr>
          <w:rFonts w:hint="eastAsia"/>
        </w:rPr>
        <w:t>；</w:t>
      </w:r>
    </w:p>
    <w:p>
      <w:pPr>
        <w:pStyle w:val="29"/>
      </w:pPr>
      <w:r>
        <w:rPr>
          <w:rFonts w:hint="eastAsia"/>
        </w:rPr>
        <w:t>—</w:t>
      </w:r>
      <w:r>
        <w:rPr>
          <w:rFonts w:hint="eastAsia"/>
          <w:lang w:eastAsia="zh-CN"/>
        </w:rPr>
        <w:t>检查燃油系统</w:t>
      </w:r>
      <w:r>
        <w:rPr>
          <w:rFonts w:hint="eastAsia"/>
        </w:rPr>
        <w:t>；</w:t>
      </w:r>
    </w:p>
    <w:p>
      <w:pPr>
        <w:pStyle w:val="29"/>
      </w:pPr>
      <w:r>
        <w:rPr>
          <w:rFonts w:hint="eastAsia"/>
        </w:rPr>
        <w:t>—带载运行试验。</w:t>
      </w:r>
    </w:p>
    <w:p>
      <w:pPr>
        <w:pStyle w:val="55"/>
        <w:spacing w:before="312" w:after="312"/>
        <w:rPr>
          <w:rFonts w:ascii="Times New Roman"/>
        </w:rPr>
      </w:pPr>
      <w:bookmarkStart w:id="71" w:name="_Toc26386"/>
      <w:r>
        <w:rPr>
          <w:rFonts w:ascii="Times New Roman"/>
        </w:rPr>
        <w:t>标志、包装、运输</w:t>
      </w:r>
      <w:bookmarkEnd w:id="57"/>
      <w:bookmarkEnd w:id="58"/>
      <w:bookmarkEnd w:id="59"/>
      <w:bookmarkEnd w:id="60"/>
      <w:bookmarkEnd w:id="61"/>
      <w:bookmarkEnd w:id="62"/>
      <w:bookmarkEnd w:id="63"/>
      <w:bookmarkEnd w:id="71"/>
    </w:p>
    <w:p>
      <w:pPr>
        <w:pStyle w:val="52"/>
        <w:spacing w:before="156" w:after="156"/>
        <w:rPr>
          <w:rFonts w:ascii="Times New Roman"/>
        </w:rPr>
      </w:pPr>
      <w:bookmarkStart w:id="72" w:name="_Toc386893300"/>
      <w:bookmarkStart w:id="73" w:name="_Toc388521284"/>
      <w:bookmarkStart w:id="74" w:name="_Toc386617929"/>
      <w:r>
        <w:rPr>
          <w:rFonts w:ascii="Times New Roman"/>
        </w:rPr>
        <w:t>标志</w:t>
      </w:r>
      <w:bookmarkEnd w:id="72"/>
      <w:bookmarkEnd w:id="73"/>
      <w:bookmarkEnd w:id="74"/>
    </w:p>
    <w:p>
      <w:pPr>
        <w:pStyle w:val="75"/>
        <w:numPr>
          <w:ilvl w:val="0"/>
          <w:numId w:val="0"/>
        </w:numPr>
        <w:ind w:firstLine="420" w:firstLineChars="200"/>
        <w:rPr>
          <w:rFonts w:ascii="Times New Roman"/>
        </w:rPr>
      </w:pPr>
      <w:r>
        <w:rPr>
          <w:rFonts w:hint="eastAsia" w:ascii="Times New Roman"/>
          <w:lang w:eastAsia="zh-CN"/>
        </w:rPr>
        <w:t>防汛用橡皮艇</w:t>
      </w:r>
      <w:r>
        <w:rPr>
          <w:rFonts w:ascii="Times New Roman"/>
        </w:rPr>
        <w:t>应有永久性标牌，标牌的内容至少应包括：产品名称、型号、制造商名称、生产日期和出厂编号等。</w:t>
      </w:r>
    </w:p>
    <w:p>
      <w:pPr>
        <w:pStyle w:val="52"/>
        <w:spacing w:before="156" w:after="156"/>
        <w:rPr>
          <w:rFonts w:ascii="Times New Roman" w:hAnsi="Arial" w:eastAsia="宋体"/>
          <w:kern w:val="2"/>
          <w:szCs w:val="32"/>
        </w:rPr>
      </w:pPr>
      <w:bookmarkStart w:id="75" w:name="_Toc388521285"/>
      <w:bookmarkStart w:id="76" w:name="_Toc386893301"/>
      <w:bookmarkStart w:id="77" w:name="_Toc386617930"/>
      <w:r>
        <w:rPr>
          <w:rFonts w:ascii="Times New Roman"/>
        </w:rPr>
        <w:t>包装</w:t>
      </w:r>
      <w:bookmarkEnd w:id="75"/>
      <w:bookmarkEnd w:id="76"/>
      <w:bookmarkEnd w:id="77"/>
    </w:p>
    <w:p>
      <w:pPr>
        <w:pStyle w:val="75"/>
        <w:rPr>
          <w:rFonts w:ascii="Times New Roman"/>
        </w:rPr>
      </w:pPr>
      <w:r>
        <w:rPr>
          <w:rFonts w:hint="eastAsia" w:ascii="Times New Roman" w:hAnsi="Arial"/>
          <w:kern w:val="2"/>
          <w:szCs w:val="32"/>
        </w:rPr>
        <w:t>设备制造完成并通过试验后应及时包装，并将全套安装使用说明书</w:t>
      </w:r>
      <w:r>
        <w:rPr>
          <w:rFonts w:ascii="Times New Roman" w:hAnsi="Arial"/>
          <w:kern w:val="2"/>
          <w:szCs w:val="32"/>
        </w:rPr>
        <w:t>，</w:t>
      </w:r>
      <w:r>
        <w:rPr>
          <w:rFonts w:hint="eastAsia" w:ascii="Times New Roman" w:hAnsi="Arial"/>
          <w:kern w:val="2"/>
          <w:szCs w:val="32"/>
        </w:rPr>
        <w:t>产品合格证明书、出厂试验记录、产品外形尺寸图、运输尺寸图、产品拆卸件一览表、装箱单、铭牌图或铭牌标志图及备件一览表等包装好</w:t>
      </w:r>
      <w:r>
        <w:rPr>
          <w:rFonts w:ascii="Times New Roman" w:hAnsi="Arial"/>
          <w:kern w:val="2"/>
          <w:szCs w:val="32"/>
        </w:rPr>
        <w:t>，</w:t>
      </w:r>
      <w:r>
        <w:rPr>
          <w:rFonts w:hint="eastAsia" w:ascii="Times New Roman" w:hAnsi="Arial"/>
          <w:kern w:val="2"/>
          <w:szCs w:val="32"/>
        </w:rPr>
        <w:t>防止受潮。从投标方发货至招标方收到期间</w:t>
      </w:r>
      <w:r>
        <w:rPr>
          <w:rFonts w:ascii="Times New Roman" w:hAnsi="Arial"/>
          <w:kern w:val="2"/>
          <w:szCs w:val="32"/>
        </w:rPr>
        <w:t>，</w:t>
      </w:r>
      <w:r>
        <w:rPr>
          <w:rFonts w:hint="eastAsia" w:ascii="Times New Roman" w:hAnsi="Arial"/>
          <w:kern w:val="2"/>
          <w:szCs w:val="32"/>
        </w:rPr>
        <w:t>设备和资料应完好无损。</w:t>
      </w:r>
    </w:p>
    <w:p>
      <w:pPr>
        <w:pStyle w:val="75"/>
        <w:rPr>
          <w:rFonts w:ascii="Times New Roman"/>
        </w:rPr>
      </w:pPr>
      <w:r>
        <w:rPr>
          <w:rFonts w:hint="eastAsia" w:ascii="Times New Roman" w:hAnsi="Arial"/>
          <w:kern w:val="2"/>
          <w:szCs w:val="32"/>
        </w:rPr>
        <w:t>在包装箱上应以不褪色的醒目标志标明：合同号、目的地、设备名称、箱号、毛重、外形尺寸。包装箱应连续编号，不能有重号。</w:t>
      </w:r>
    </w:p>
    <w:p>
      <w:pPr>
        <w:pStyle w:val="75"/>
        <w:rPr>
          <w:rFonts w:ascii="Times New Roman"/>
          <w:szCs w:val="22"/>
        </w:rPr>
      </w:pPr>
      <w:r>
        <w:rPr>
          <w:rFonts w:hint="eastAsia" w:ascii="Times New Roman"/>
          <w:szCs w:val="22"/>
        </w:rPr>
        <w:t>包装箱上应有明显的包装储运图示标志(按GB/T 191-2008)。</w:t>
      </w:r>
    </w:p>
    <w:p>
      <w:pPr>
        <w:pStyle w:val="52"/>
        <w:spacing w:before="156" w:after="156"/>
        <w:rPr>
          <w:rFonts w:ascii="Times New Roman"/>
        </w:rPr>
      </w:pPr>
      <w:bookmarkStart w:id="78" w:name="_Toc388521286"/>
      <w:bookmarkStart w:id="79" w:name="_Toc386617931"/>
      <w:bookmarkStart w:id="80" w:name="_Toc386893302"/>
      <w:r>
        <w:rPr>
          <w:rFonts w:ascii="Times New Roman"/>
        </w:rPr>
        <w:t>运输</w:t>
      </w:r>
      <w:bookmarkEnd w:id="78"/>
      <w:bookmarkEnd w:id="79"/>
      <w:bookmarkEnd w:id="80"/>
    </w:p>
    <w:p>
      <w:pPr>
        <w:pStyle w:val="75"/>
        <w:rPr>
          <w:rFonts w:ascii="Times New Roman"/>
          <w:szCs w:val="22"/>
        </w:rPr>
      </w:pPr>
      <w:r>
        <w:rPr>
          <w:rFonts w:hint="eastAsia" w:ascii="Times New Roman"/>
          <w:szCs w:val="22"/>
        </w:rPr>
        <w:t>整体产品或分别运输的部件都要适合运输和装载的要求。各种包装应能确保各零部件在运输过程中不致遭到损坏、丢失、变形、受潮和腐蚀。</w:t>
      </w:r>
    </w:p>
    <w:p>
      <w:pPr>
        <w:pStyle w:val="56"/>
        <w:spacing w:before="156" w:after="156"/>
        <w:rPr>
          <w:rFonts w:ascii="Times New Roman" w:eastAsia="宋体"/>
          <w:szCs w:val="22"/>
        </w:rPr>
      </w:pPr>
      <w:bookmarkStart w:id="81" w:name="_Toc388521287"/>
      <w:bookmarkStart w:id="82" w:name="_Toc386893303"/>
      <w:bookmarkStart w:id="83" w:name="_Toc386617932"/>
      <w:r>
        <w:rPr>
          <w:rFonts w:hint="eastAsia" w:ascii="Times New Roman" w:eastAsia="宋体"/>
          <w:szCs w:val="22"/>
        </w:rPr>
        <w:t>在设备启运后一周内，投标方应以最快捷的方式通知招标方以下内容：设备名称；件数、件号、重量；合同号；货运单号；达到港(站)；设备发出日期。</w:t>
      </w:r>
    </w:p>
    <w:p>
      <w:pPr>
        <w:pStyle w:val="56"/>
        <w:spacing w:before="156" w:after="156"/>
        <w:rPr>
          <w:rFonts w:ascii="Times New Roman" w:eastAsia="宋体"/>
          <w:szCs w:val="22"/>
        </w:rPr>
      </w:pPr>
      <w:r>
        <w:rPr>
          <w:rFonts w:hint="eastAsia" w:ascii="Times New Roman" w:eastAsia="宋体"/>
          <w:szCs w:val="22"/>
        </w:rPr>
        <w:t>备品备件、专用工具等（见专用部分）应随设备同时装运，但必须单独包装，并明显标记，以便与提供的其它设备相区别。</w:t>
      </w:r>
    </w:p>
    <w:bookmarkEnd w:id="81"/>
    <w:bookmarkEnd w:id="82"/>
    <w:bookmarkEnd w:id="83"/>
    <w:p>
      <w:pPr>
        <w:pStyle w:val="52"/>
        <w:spacing w:before="156" w:after="156"/>
        <w:outlineLvl w:val="3"/>
      </w:pPr>
      <w:r>
        <w:rPr>
          <w:rFonts w:hint="eastAsia" w:ascii="Times New Roman"/>
        </w:rPr>
        <w:t>质量保证</w:t>
      </w:r>
    </w:p>
    <w:p>
      <w:pPr>
        <w:pStyle w:val="56"/>
        <w:spacing w:before="156" w:after="156"/>
        <w:rPr>
          <w:sz w:val="28"/>
          <w:szCs w:val="28"/>
        </w:rPr>
      </w:pPr>
      <w:r>
        <w:rPr>
          <w:rFonts w:hint="eastAsia" w:ascii="Times New Roman" w:eastAsia="宋体"/>
          <w:szCs w:val="22"/>
        </w:rPr>
        <w:t>制造厂在安装和启动时应安排技术人员提供现场安装指导服务，提出技术建议，并有对运行人员提供相关培训的义务。制造厂应提供设备专用工具。设备在使用期内，制造厂应提供技术支持和所需的备品备件。</w:t>
      </w:r>
    </w:p>
    <w:p>
      <w:pPr>
        <w:pStyle w:val="56"/>
        <w:spacing w:before="156" w:after="156"/>
        <w:rPr>
          <w:sz w:val="28"/>
          <w:szCs w:val="28"/>
        </w:rPr>
      </w:pPr>
      <w:r>
        <w:rPr>
          <w:rFonts w:hint="eastAsia" w:ascii="Times New Roman" w:eastAsia="宋体"/>
          <w:szCs w:val="22"/>
        </w:rPr>
        <w:t>全部设备必须是全新的, 持久耐用的,应满足作为一个完整产品所能满足的全部要求。投标方应保证设备在规定的使用条件下运行、并按使用说明书进行安装和维护、预期寿命应不少于10年。</w:t>
      </w:r>
    </w:p>
    <w:p>
      <w:pPr>
        <w:pStyle w:val="56"/>
        <w:spacing w:before="156" w:after="156"/>
      </w:pPr>
      <w:bookmarkStart w:id="84" w:name="_GoBack"/>
      <w:bookmarkEnd w:id="84"/>
      <w:r>
        <w:rPr>
          <w:rFonts w:hint="eastAsia" w:ascii="Times New Roman" w:eastAsia="宋体"/>
          <w:szCs w:val="22"/>
        </w:rPr>
        <w:t>投标方应保证制造过程中的所有工艺、材料等（包括投标方的外购件在内）均应符合本招标技术文件的规定。若招标方根据运行经验指定投标方提供某种外购零部件，投标方应积极配合</w:t>
      </w:r>
      <w:r>
        <w:rPr>
          <w:rFonts w:hint="eastAsia" w:ascii="Times New Roman" w:eastAsia="宋体"/>
          <w:szCs w:val="22"/>
          <w:lang w:eastAsia="zh-CN"/>
        </w:rPr>
        <w:t>。</w:t>
      </w:r>
    </w:p>
    <w:p>
      <w:pPr>
        <w:pStyle w:val="52"/>
        <w:numPr>
          <w:ilvl w:val="1"/>
          <w:numId w:val="0"/>
        </w:numPr>
        <w:spacing w:before="156" w:after="156"/>
        <w:rPr>
          <w:color w:val="0000FF"/>
        </w:rPr>
      </w:pPr>
    </w:p>
    <w:sectPr>
      <w:footerReference r:id="rId6" w:type="default"/>
      <w:pgSz w:w="11906" w:h="16838"/>
      <w:pgMar w:top="1440" w:right="1701" w:bottom="1440" w:left="1701" w:header="964" w:footer="737" w:gutter="0"/>
      <w:pgNumType w:start="1"/>
      <w:cols w:space="425" w:num="1"/>
      <w:formProt w:val="0"/>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rebuchet MS">
    <w:panose1 w:val="020B0603020202020204"/>
    <w:charset w:val="00"/>
    <w:family w:val="swiss"/>
    <w:pitch w:val="default"/>
    <w:sig w:usb0="000002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tabs>
        <w:tab w:val="center" w:pos="4153"/>
        <w:tab w:val="right" w:pos="8306"/>
      </w:tabs>
      <w:ind w:right="360" w:rightChars="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tabs>
        <w:tab w:val="center" w:pos="4153"/>
        <w:tab w:val="right" w:pos="8306"/>
      </w:tabs>
      <w:ind w:right="0" w:rightChars="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923860"/>
    </w:sdtPr>
    <w:sdtContent>
      <w:p>
        <w:pPr>
          <w:pStyle w:val="23"/>
          <w:jc w:val="center"/>
        </w:pPr>
        <w:r>
          <w:fldChar w:fldCharType="begin"/>
        </w:r>
        <w:r>
          <w:instrText xml:space="preserve"> PAGE   \* MERGEFORMAT </w:instrText>
        </w:r>
        <w:r>
          <w:fldChar w:fldCharType="separate"/>
        </w:r>
        <w:r>
          <w:rPr>
            <w:lang w:val="zh-CN"/>
          </w:rPr>
          <w:t>3</w:t>
        </w:r>
        <w:r>
          <w:rPr>
            <w:lang w:val="zh-CN"/>
          </w:rPr>
          <w:fldChar w:fldCharType="end"/>
        </w:r>
      </w:p>
    </w:sdtContent>
  </w:sdt>
  <w:p>
    <w:pPr>
      <w:pStyle w:val="2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single" w:color="auto" w:sz="6" w:space="1"/>
      </w:pBdr>
      <w:tabs>
        <w:tab w:val="center" w:pos="4153"/>
        <w:tab w:val="right" w:pos="8306"/>
      </w:tabs>
      <w:jc w:val="center"/>
    </w:pPr>
    <w:r>
      <w:rPr>
        <w:rFonts w:hint="eastAsia"/>
        <w:lang w:val="en-US" w:eastAsia="zh-CN"/>
      </w:rPr>
      <w:t>防汛用橡皮艇</w:t>
    </w:r>
    <w:r>
      <w:rPr>
        <w:rFonts w:hint="eastAsia"/>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suff w:val="space"/>
      <w:lvlText w:val="%1."/>
      <w:lvlJc w:val="left"/>
      <w:pPr>
        <w:ind w:left="0" w:firstLine="0"/>
      </w:pPr>
      <w:rPr>
        <w:rFonts w:hint="eastAsia"/>
      </w:rPr>
    </w:lvl>
    <w:lvl w:ilvl="1" w:tentative="0">
      <w:start w:val="1"/>
      <w:numFmt w:val="decimal"/>
      <w:pStyle w:val="5"/>
      <w:isLgl/>
      <w:suff w:val="space"/>
      <w:lvlText w:val="%1.%2"/>
      <w:lvlJc w:val="left"/>
      <w:pPr>
        <w:ind w:left="142" w:firstLine="0"/>
      </w:pPr>
      <w:rPr>
        <w:rFonts w:hint="eastAsia"/>
        <w:b w:val="0"/>
      </w:rPr>
    </w:lvl>
    <w:lvl w:ilvl="2" w:tentative="0">
      <w:start w:val="1"/>
      <w:numFmt w:val="decimal"/>
      <w:pStyle w:val="158"/>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079102AD"/>
    <w:multiLevelType w:val="multilevel"/>
    <w:tmpl w:val="079102AD"/>
    <w:lvl w:ilvl="0" w:tentative="0">
      <w:start w:val="1"/>
      <w:numFmt w:val="decimal"/>
      <w:pStyle w:val="70"/>
      <w:suff w:val="nothing"/>
      <w:lvlText w:val="注%1："/>
      <w:lvlJc w:val="left"/>
      <w:pPr>
        <w:ind w:left="811" w:hanging="448"/>
      </w:pPr>
      <w:rPr>
        <w:rFonts w:hint="eastAsia" w:ascii="黑体" w:eastAsia="黑体"/>
        <w:b w:val="0"/>
        <w:i w:val="0"/>
        <w:sz w:val="18"/>
        <w:lang w:val="en-US"/>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2">
    <w:nsid w:val="093C6778"/>
    <w:multiLevelType w:val="multilevel"/>
    <w:tmpl w:val="093C6778"/>
    <w:lvl w:ilvl="0" w:tentative="0">
      <w:start w:val="1"/>
      <w:numFmt w:val="decimal"/>
      <w:pStyle w:val="128"/>
      <w:suff w:val="nothing"/>
      <w:lvlText w:val="示例%1："/>
      <w:lvlJc w:val="left"/>
      <w:pPr>
        <w:ind w:left="0" w:firstLine="397"/>
      </w:pPr>
      <w:rPr>
        <w:rFonts w:hint="eastAsia" w:ascii="黑体" w:eastAsia="黑体"/>
        <w:sz w:val="1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0AE367E9"/>
    <w:multiLevelType w:val="multilevel"/>
    <w:tmpl w:val="0AE367E9"/>
    <w:lvl w:ilvl="0" w:tentative="0">
      <w:start w:val="1"/>
      <w:numFmt w:val="none"/>
      <w:pStyle w:val="62"/>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4">
    <w:nsid w:val="0DDE2B46"/>
    <w:multiLevelType w:val="multilevel"/>
    <w:tmpl w:val="0DDE2B46"/>
    <w:lvl w:ilvl="0" w:tentative="0">
      <w:start w:val="1"/>
      <w:numFmt w:val="lowerLetter"/>
      <w:pStyle w:val="133"/>
      <w:suff w:val="nothing"/>
      <w:lvlText w:val="%1   "/>
      <w:lvlJc w:val="left"/>
      <w:pPr>
        <w:ind w:left="544" w:hanging="181"/>
      </w:pPr>
      <w:rPr>
        <w:rFonts w:hint="eastAsia" w:asci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5">
    <w:nsid w:val="1DBF583A"/>
    <w:multiLevelType w:val="multilevel"/>
    <w:tmpl w:val="1DBF583A"/>
    <w:lvl w:ilvl="0" w:tentative="0">
      <w:start w:val="1"/>
      <w:numFmt w:val="decimal"/>
      <w:pStyle w:val="77"/>
      <w:suff w:val="nothing"/>
      <w:lvlText w:val="注%1："/>
      <w:lvlJc w:val="left"/>
      <w:pPr>
        <w:ind w:left="811" w:hanging="448"/>
      </w:pPr>
      <w:rPr>
        <w:rFonts w:hint="eastAsia" w:ascii="黑体" w:eastAsia="黑体"/>
        <w:b w:val="0"/>
        <w:i w:val="0"/>
        <w:sz w:val="18"/>
        <w:szCs w:val="18"/>
        <w:vertAlign w:val="baseline"/>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6">
    <w:nsid w:val="1FC91163"/>
    <w:multiLevelType w:val="multilevel"/>
    <w:tmpl w:val="1FC91163"/>
    <w:lvl w:ilvl="0" w:tentative="0">
      <w:start w:val="1"/>
      <w:numFmt w:val="decimal"/>
      <w:pStyle w:val="55"/>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52"/>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pStyle w:val="56"/>
      <w:suff w:val="nothing"/>
      <w:lvlText w:val="%1.%2.%3　"/>
      <w:lvlJc w:val="left"/>
      <w:pPr>
        <w:ind w:left="0" w:firstLine="0"/>
      </w:pPr>
      <w:rPr>
        <w:rFonts w:hint="eastAsia" w:ascii="黑体" w:hAnsi="Times New Roman" w:eastAsia="黑体"/>
        <w:b w:val="0"/>
        <w:i w:val="0"/>
        <w:sz w:val="21"/>
      </w:rPr>
    </w:lvl>
    <w:lvl w:ilvl="3" w:tentative="0">
      <w:start w:val="1"/>
      <w:numFmt w:val="decimal"/>
      <w:pStyle w:val="61"/>
      <w:suff w:val="nothing"/>
      <w:lvlText w:val="%1.%2.%3.%4　"/>
      <w:lvlJc w:val="left"/>
      <w:pPr>
        <w:ind w:left="0" w:firstLine="0"/>
      </w:pPr>
      <w:rPr>
        <w:rFonts w:hint="eastAsia" w:ascii="黑体" w:hAnsi="Times New Roman" w:eastAsia="黑体"/>
        <w:b w:val="0"/>
        <w:i w:val="0"/>
        <w:sz w:val="21"/>
      </w:rPr>
    </w:lvl>
    <w:lvl w:ilvl="4" w:tentative="0">
      <w:start w:val="1"/>
      <w:numFmt w:val="decimal"/>
      <w:pStyle w:val="65"/>
      <w:suff w:val="nothing"/>
      <w:lvlText w:val="%1.%2.%3.%4.%5　"/>
      <w:lvlJc w:val="left"/>
      <w:pPr>
        <w:ind w:left="0" w:firstLine="0"/>
      </w:pPr>
      <w:rPr>
        <w:rFonts w:hint="eastAsia" w:ascii="黑体" w:hAnsi="Times New Roman" w:eastAsia="黑体"/>
        <w:b w:val="0"/>
        <w:i w:val="0"/>
        <w:sz w:val="21"/>
      </w:rPr>
    </w:lvl>
    <w:lvl w:ilvl="5" w:tentative="0">
      <w:start w:val="1"/>
      <w:numFmt w:val="decimal"/>
      <w:pStyle w:val="66"/>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0" w:firstLine="0"/>
      </w:pPr>
      <w:rPr>
        <w:rFonts w:hint="eastAsia"/>
      </w:rPr>
    </w:lvl>
    <w:lvl w:ilvl="8" w:tentative="0">
      <w:start w:val="1"/>
      <w:numFmt w:val="decimal"/>
      <w:lvlText w:val="%1.%2.%3.%4.%5.%6.%7.%8.%9"/>
      <w:lvlJc w:val="left"/>
      <w:pPr>
        <w:tabs>
          <w:tab w:val="left" w:pos="4777"/>
        </w:tabs>
        <w:ind w:left="0" w:firstLine="0"/>
      </w:pPr>
      <w:rPr>
        <w:rFonts w:hint="eastAsia"/>
      </w:rPr>
    </w:lvl>
  </w:abstractNum>
  <w:abstractNum w:abstractNumId="7">
    <w:nsid w:val="2A8F7113"/>
    <w:multiLevelType w:val="multilevel"/>
    <w:tmpl w:val="2A8F7113"/>
    <w:lvl w:ilvl="0" w:tentative="0">
      <w:start w:val="1"/>
      <w:numFmt w:val="upperLetter"/>
      <w:pStyle w:val="110"/>
      <w:suff w:val="space"/>
      <w:lvlText w:val="%1"/>
      <w:lvlJc w:val="left"/>
      <w:pPr>
        <w:ind w:left="623" w:hanging="425"/>
      </w:pPr>
      <w:rPr>
        <w:rFonts w:hint="eastAsia"/>
      </w:rPr>
    </w:lvl>
    <w:lvl w:ilvl="1" w:tentative="0">
      <w:start w:val="1"/>
      <w:numFmt w:val="decimal"/>
      <w:pStyle w:val="111"/>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8">
    <w:nsid w:val="2C5917C3"/>
    <w:multiLevelType w:val="multilevel"/>
    <w:tmpl w:val="2C5917C3"/>
    <w:lvl w:ilvl="0" w:tentative="0">
      <w:start w:val="1"/>
      <w:numFmt w:val="none"/>
      <w:pStyle w:val="58"/>
      <w:suff w:val="nothing"/>
      <w:lvlText w:val="%1——"/>
      <w:lvlJc w:val="left"/>
      <w:pPr>
        <w:ind w:left="833" w:hanging="408"/>
      </w:pPr>
      <w:rPr>
        <w:rFonts w:hint="eastAsia"/>
      </w:rPr>
    </w:lvl>
    <w:lvl w:ilvl="1" w:tentative="0">
      <w:start w:val="1"/>
      <w:numFmt w:val="bullet"/>
      <w:pStyle w:val="59"/>
      <w:lvlText w:val=""/>
      <w:lvlJc w:val="left"/>
      <w:pPr>
        <w:tabs>
          <w:tab w:val="left" w:pos="760"/>
        </w:tabs>
        <w:ind w:left="1264" w:hanging="413"/>
      </w:pPr>
      <w:rPr>
        <w:rFonts w:hint="default" w:ascii="Symbol" w:hAnsi="Symbol"/>
        <w:color w:val="auto"/>
      </w:rPr>
    </w:lvl>
    <w:lvl w:ilvl="2" w:tentative="0">
      <w:start w:val="1"/>
      <w:numFmt w:val="bullet"/>
      <w:pStyle w:val="72"/>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9">
    <w:nsid w:val="3D733618"/>
    <w:multiLevelType w:val="multilevel"/>
    <w:tmpl w:val="3D733618"/>
    <w:lvl w:ilvl="0" w:tentative="0">
      <w:start w:val="1"/>
      <w:numFmt w:val="decimal"/>
      <w:pStyle w:val="30"/>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10">
    <w:nsid w:val="44C50F90"/>
    <w:multiLevelType w:val="multilevel"/>
    <w:tmpl w:val="44C50F90"/>
    <w:lvl w:ilvl="0" w:tentative="0">
      <w:start w:val="1"/>
      <w:numFmt w:val="lowerLetter"/>
      <w:pStyle w:val="71"/>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64"/>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73"/>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11">
    <w:nsid w:val="4B733A5F"/>
    <w:multiLevelType w:val="multilevel"/>
    <w:tmpl w:val="4B733A5F"/>
    <w:lvl w:ilvl="0" w:tentative="0">
      <w:start w:val="1"/>
      <w:numFmt w:val="decimal"/>
      <w:pStyle w:val="74"/>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none"/>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12">
    <w:nsid w:val="557C2AF5"/>
    <w:multiLevelType w:val="multilevel"/>
    <w:tmpl w:val="557C2AF5"/>
    <w:lvl w:ilvl="0" w:tentative="0">
      <w:start w:val="1"/>
      <w:numFmt w:val="decimal"/>
      <w:pStyle w:val="140"/>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3">
    <w:nsid w:val="60B55DC2"/>
    <w:multiLevelType w:val="multilevel"/>
    <w:tmpl w:val="60B55DC2"/>
    <w:lvl w:ilvl="0" w:tentative="0">
      <w:start w:val="1"/>
      <w:numFmt w:val="upperLetter"/>
      <w:pStyle w:val="98"/>
      <w:lvlText w:val="%1"/>
      <w:lvlJc w:val="left"/>
      <w:pPr>
        <w:tabs>
          <w:tab w:val="left" w:pos="0"/>
        </w:tabs>
        <w:ind w:left="0" w:hanging="425"/>
      </w:pPr>
      <w:rPr>
        <w:rFonts w:hint="eastAsia"/>
      </w:rPr>
    </w:lvl>
    <w:lvl w:ilvl="1" w:tentative="0">
      <w:start w:val="1"/>
      <w:numFmt w:val="decimal"/>
      <w:pStyle w:val="99"/>
      <w:suff w:val="nothing"/>
      <w:lvlText w:val="表%1.%2　"/>
      <w:lvlJc w:val="left"/>
      <w:pPr>
        <w:ind w:left="3969"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4">
    <w:nsid w:val="646260FA"/>
    <w:multiLevelType w:val="multilevel"/>
    <w:tmpl w:val="646260FA"/>
    <w:lvl w:ilvl="0" w:tentative="0">
      <w:start w:val="1"/>
      <w:numFmt w:val="decimal"/>
      <w:pStyle w:val="138"/>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657D3FBC"/>
    <w:multiLevelType w:val="multilevel"/>
    <w:tmpl w:val="657D3FBC"/>
    <w:lvl w:ilvl="0" w:tentative="0">
      <w:start w:val="1"/>
      <w:numFmt w:val="upperLetter"/>
      <w:pStyle w:val="96"/>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114"/>
      <w:suff w:val="nothing"/>
      <w:lvlText w:val="%1.%2　"/>
      <w:lvlJc w:val="left"/>
      <w:pPr>
        <w:ind w:left="2127"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100"/>
      <w:suff w:val="nothing"/>
      <w:lvlText w:val="%1.%2.%3.%4　"/>
      <w:lvlJc w:val="left"/>
      <w:pPr>
        <w:ind w:left="0" w:firstLine="0"/>
      </w:pPr>
      <w:rPr>
        <w:rFonts w:hint="eastAsia" w:ascii="黑体" w:hAnsi="Times New Roman" w:eastAsia="黑体"/>
        <w:b w:val="0"/>
        <w:i w:val="0"/>
        <w:sz w:val="21"/>
      </w:rPr>
    </w:lvl>
    <w:lvl w:ilvl="4" w:tentative="0">
      <w:start w:val="1"/>
      <w:numFmt w:val="decimal"/>
      <w:pStyle w:val="105"/>
      <w:suff w:val="nothing"/>
      <w:lvlText w:val="%1.%2.%3.%4.%5　"/>
      <w:lvlJc w:val="left"/>
      <w:pPr>
        <w:ind w:left="0" w:firstLine="0"/>
      </w:pPr>
      <w:rPr>
        <w:rFonts w:hint="eastAsia" w:ascii="黑体" w:hAnsi="Times New Roman" w:eastAsia="黑体"/>
        <w:b w:val="0"/>
        <w:i w:val="0"/>
        <w:sz w:val="21"/>
      </w:rPr>
    </w:lvl>
    <w:lvl w:ilvl="5" w:tentative="0">
      <w:start w:val="1"/>
      <w:numFmt w:val="decimal"/>
      <w:pStyle w:val="108"/>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6">
    <w:nsid w:val="6D6C07CD"/>
    <w:multiLevelType w:val="multilevel"/>
    <w:tmpl w:val="6D6C07CD"/>
    <w:lvl w:ilvl="0" w:tentative="0">
      <w:start w:val="1"/>
      <w:numFmt w:val="lowerLetter"/>
      <w:pStyle w:val="117"/>
      <w:lvlText w:val="%1)"/>
      <w:lvlJc w:val="left"/>
      <w:pPr>
        <w:tabs>
          <w:tab w:val="left" w:pos="839"/>
        </w:tabs>
        <w:ind w:left="839" w:hanging="419"/>
      </w:pPr>
      <w:rPr>
        <w:rFonts w:hint="eastAsia" w:ascii="宋体" w:eastAsia="宋体"/>
        <w:b w:val="0"/>
        <w:i w:val="0"/>
        <w:sz w:val="21"/>
      </w:rPr>
    </w:lvl>
    <w:lvl w:ilvl="1" w:tentative="0">
      <w:start w:val="1"/>
      <w:numFmt w:val="decimal"/>
      <w:pStyle w:val="107"/>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17">
    <w:nsid w:val="6DBF04F4"/>
    <w:multiLevelType w:val="multilevel"/>
    <w:tmpl w:val="6DBF04F4"/>
    <w:lvl w:ilvl="0" w:tentative="0">
      <w:start w:val="1"/>
      <w:numFmt w:val="none"/>
      <w:pStyle w:val="69"/>
      <w:suff w:val="nothing"/>
      <w:lvlText w:val="%1注："/>
      <w:lvlJc w:val="left"/>
      <w:pPr>
        <w:ind w:left="726" w:hanging="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num w:numId="1">
    <w:abstractNumId w:val="0"/>
  </w:num>
  <w:num w:numId="2">
    <w:abstractNumId w:val="9"/>
  </w:num>
  <w:num w:numId="3">
    <w:abstractNumId w:val="6"/>
  </w:num>
  <w:num w:numId="4">
    <w:abstractNumId w:val="8"/>
  </w:num>
  <w:num w:numId="5">
    <w:abstractNumId w:val="3"/>
  </w:num>
  <w:num w:numId="6">
    <w:abstractNumId w:val="10"/>
  </w:num>
  <w:num w:numId="7">
    <w:abstractNumId w:val="17"/>
  </w:num>
  <w:num w:numId="8">
    <w:abstractNumId w:val="1"/>
  </w:num>
  <w:num w:numId="9">
    <w:abstractNumId w:val="11"/>
  </w:num>
  <w:num w:numId="10">
    <w:abstractNumId w:val="5"/>
  </w:num>
  <w:num w:numId="11">
    <w:abstractNumId w:val="15"/>
  </w:num>
  <w:num w:numId="12">
    <w:abstractNumId w:val="13"/>
  </w:num>
  <w:num w:numId="13">
    <w:abstractNumId w:val="16"/>
  </w:num>
  <w:num w:numId="14">
    <w:abstractNumId w:val="7"/>
  </w:num>
  <w:num w:numId="15">
    <w:abstractNumId w:val="2"/>
  </w:num>
  <w:num w:numId="16">
    <w:abstractNumId w:val="4"/>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forms" w:enforcement="0"/>
  <w:defaultTabStop w:val="420"/>
  <w:drawingGridHorizontalSpacing w:val="105"/>
  <w:drawingGridVerticalSpacing w:val="172"/>
  <w:displayHorizontalDrawingGridEvery w:val="1"/>
  <w:displayVerticalDrawingGridEvery w:val="1"/>
  <w:noPunctuationKerning w:val="1"/>
  <w:characterSpacingControl w:val="compressPunctuation"/>
  <w:doNotValidateAgainstSchema/>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yZWI4YTI5MTQ1ZmMzMzU2OTM1MGEwZDE1YWE0NmQifQ=="/>
  </w:docVars>
  <w:rsids>
    <w:rsidRoot w:val="00035925"/>
    <w:rsid w:val="00000244"/>
    <w:rsid w:val="0000185F"/>
    <w:rsid w:val="0000494F"/>
    <w:rsid w:val="0000586F"/>
    <w:rsid w:val="00011538"/>
    <w:rsid w:val="00013A49"/>
    <w:rsid w:val="00013D86"/>
    <w:rsid w:val="00013E02"/>
    <w:rsid w:val="000167EA"/>
    <w:rsid w:val="0002143C"/>
    <w:rsid w:val="00022A31"/>
    <w:rsid w:val="00025A65"/>
    <w:rsid w:val="00026C31"/>
    <w:rsid w:val="00027280"/>
    <w:rsid w:val="000320A7"/>
    <w:rsid w:val="00032D4C"/>
    <w:rsid w:val="00033698"/>
    <w:rsid w:val="00035925"/>
    <w:rsid w:val="00050FD3"/>
    <w:rsid w:val="00055770"/>
    <w:rsid w:val="00060F70"/>
    <w:rsid w:val="00067CDF"/>
    <w:rsid w:val="00074B6F"/>
    <w:rsid w:val="00074FBE"/>
    <w:rsid w:val="00076118"/>
    <w:rsid w:val="00077378"/>
    <w:rsid w:val="000775FD"/>
    <w:rsid w:val="000777D5"/>
    <w:rsid w:val="00077B4A"/>
    <w:rsid w:val="00082339"/>
    <w:rsid w:val="00083A09"/>
    <w:rsid w:val="0009005E"/>
    <w:rsid w:val="00091DD6"/>
    <w:rsid w:val="00092857"/>
    <w:rsid w:val="00095A6F"/>
    <w:rsid w:val="000A0929"/>
    <w:rsid w:val="000A20A9"/>
    <w:rsid w:val="000A2477"/>
    <w:rsid w:val="000A321F"/>
    <w:rsid w:val="000A48B1"/>
    <w:rsid w:val="000B3143"/>
    <w:rsid w:val="000C067F"/>
    <w:rsid w:val="000C4E1F"/>
    <w:rsid w:val="000C6B05"/>
    <w:rsid w:val="000C6DD6"/>
    <w:rsid w:val="000C73D4"/>
    <w:rsid w:val="000D130E"/>
    <w:rsid w:val="000D22FD"/>
    <w:rsid w:val="000D3D4C"/>
    <w:rsid w:val="000D4F51"/>
    <w:rsid w:val="000D6990"/>
    <w:rsid w:val="000D6A70"/>
    <w:rsid w:val="000D718B"/>
    <w:rsid w:val="000E0B01"/>
    <w:rsid w:val="000E0B1C"/>
    <w:rsid w:val="000E0C46"/>
    <w:rsid w:val="000E3061"/>
    <w:rsid w:val="000E5087"/>
    <w:rsid w:val="000F030C"/>
    <w:rsid w:val="000F129C"/>
    <w:rsid w:val="000F2459"/>
    <w:rsid w:val="000F4B3A"/>
    <w:rsid w:val="001003B6"/>
    <w:rsid w:val="00104A99"/>
    <w:rsid w:val="001056DE"/>
    <w:rsid w:val="00107480"/>
    <w:rsid w:val="00107857"/>
    <w:rsid w:val="001124C0"/>
    <w:rsid w:val="001129B4"/>
    <w:rsid w:val="00113DC3"/>
    <w:rsid w:val="00114E6B"/>
    <w:rsid w:val="001154CA"/>
    <w:rsid w:val="001243CE"/>
    <w:rsid w:val="00124E33"/>
    <w:rsid w:val="00124FCE"/>
    <w:rsid w:val="0013175F"/>
    <w:rsid w:val="00133112"/>
    <w:rsid w:val="00134F79"/>
    <w:rsid w:val="001512B4"/>
    <w:rsid w:val="0015324B"/>
    <w:rsid w:val="00156374"/>
    <w:rsid w:val="00160378"/>
    <w:rsid w:val="001612EA"/>
    <w:rsid w:val="001620A5"/>
    <w:rsid w:val="00164C72"/>
    <w:rsid w:val="00164E53"/>
    <w:rsid w:val="0016699D"/>
    <w:rsid w:val="001669B5"/>
    <w:rsid w:val="00170E84"/>
    <w:rsid w:val="001732AF"/>
    <w:rsid w:val="00175159"/>
    <w:rsid w:val="00175777"/>
    <w:rsid w:val="00176208"/>
    <w:rsid w:val="00177927"/>
    <w:rsid w:val="0018129F"/>
    <w:rsid w:val="0018211B"/>
    <w:rsid w:val="001840D3"/>
    <w:rsid w:val="00184C40"/>
    <w:rsid w:val="001869D8"/>
    <w:rsid w:val="001900F8"/>
    <w:rsid w:val="00191258"/>
    <w:rsid w:val="00192680"/>
    <w:rsid w:val="00193037"/>
    <w:rsid w:val="0019343B"/>
    <w:rsid w:val="00193A2C"/>
    <w:rsid w:val="00193DFE"/>
    <w:rsid w:val="00193EA8"/>
    <w:rsid w:val="001A04F0"/>
    <w:rsid w:val="001A288E"/>
    <w:rsid w:val="001A434B"/>
    <w:rsid w:val="001A4F02"/>
    <w:rsid w:val="001B1C14"/>
    <w:rsid w:val="001B2222"/>
    <w:rsid w:val="001B5A10"/>
    <w:rsid w:val="001B6DC2"/>
    <w:rsid w:val="001C149C"/>
    <w:rsid w:val="001C21AC"/>
    <w:rsid w:val="001C2B24"/>
    <w:rsid w:val="001C3066"/>
    <w:rsid w:val="001C47BA"/>
    <w:rsid w:val="001C59EA"/>
    <w:rsid w:val="001C6025"/>
    <w:rsid w:val="001D0D00"/>
    <w:rsid w:val="001D2617"/>
    <w:rsid w:val="001D2A7D"/>
    <w:rsid w:val="001D406C"/>
    <w:rsid w:val="001D41EE"/>
    <w:rsid w:val="001D641D"/>
    <w:rsid w:val="001D7031"/>
    <w:rsid w:val="001E0380"/>
    <w:rsid w:val="001E05E4"/>
    <w:rsid w:val="001E0EFE"/>
    <w:rsid w:val="001E13B1"/>
    <w:rsid w:val="001F204A"/>
    <w:rsid w:val="001F3A19"/>
    <w:rsid w:val="00201D74"/>
    <w:rsid w:val="00202B3B"/>
    <w:rsid w:val="00203539"/>
    <w:rsid w:val="00211494"/>
    <w:rsid w:val="00216A4D"/>
    <w:rsid w:val="00216E99"/>
    <w:rsid w:val="00217817"/>
    <w:rsid w:val="00224060"/>
    <w:rsid w:val="002245BA"/>
    <w:rsid w:val="00225955"/>
    <w:rsid w:val="00232E5A"/>
    <w:rsid w:val="00234467"/>
    <w:rsid w:val="0023767F"/>
    <w:rsid w:val="00237D8D"/>
    <w:rsid w:val="00240A7C"/>
    <w:rsid w:val="00241DA2"/>
    <w:rsid w:val="00247FEE"/>
    <w:rsid w:val="00250E7D"/>
    <w:rsid w:val="00252A5F"/>
    <w:rsid w:val="00254E8C"/>
    <w:rsid w:val="00255AB9"/>
    <w:rsid w:val="002565D5"/>
    <w:rsid w:val="00256E30"/>
    <w:rsid w:val="00262027"/>
    <w:rsid w:val="002622C0"/>
    <w:rsid w:val="00262F92"/>
    <w:rsid w:val="0026398E"/>
    <w:rsid w:val="00274A92"/>
    <w:rsid w:val="002769F1"/>
    <w:rsid w:val="002778AE"/>
    <w:rsid w:val="00277C50"/>
    <w:rsid w:val="0028269A"/>
    <w:rsid w:val="00283590"/>
    <w:rsid w:val="00286973"/>
    <w:rsid w:val="002869A7"/>
    <w:rsid w:val="00287D82"/>
    <w:rsid w:val="00294E70"/>
    <w:rsid w:val="00296CF5"/>
    <w:rsid w:val="00297DD8"/>
    <w:rsid w:val="002A1924"/>
    <w:rsid w:val="002A7420"/>
    <w:rsid w:val="002B0F12"/>
    <w:rsid w:val="002B1308"/>
    <w:rsid w:val="002B2FFA"/>
    <w:rsid w:val="002B3C26"/>
    <w:rsid w:val="002B4554"/>
    <w:rsid w:val="002B5F61"/>
    <w:rsid w:val="002C245C"/>
    <w:rsid w:val="002C72D8"/>
    <w:rsid w:val="002D11FA"/>
    <w:rsid w:val="002D6698"/>
    <w:rsid w:val="002E0DDF"/>
    <w:rsid w:val="002E2906"/>
    <w:rsid w:val="002E33FA"/>
    <w:rsid w:val="002E5635"/>
    <w:rsid w:val="002E56F7"/>
    <w:rsid w:val="002E64C3"/>
    <w:rsid w:val="002E6A2C"/>
    <w:rsid w:val="002F1049"/>
    <w:rsid w:val="002F1D8C"/>
    <w:rsid w:val="002F21DA"/>
    <w:rsid w:val="002F373C"/>
    <w:rsid w:val="00301F39"/>
    <w:rsid w:val="003026F2"/>
    <w:rsid w:val="003033D3"/>
    <w:rsid w:val="0031277A"/>
    <w:rsid w:val="00315EAF"/>
    <w:rsid w:val="00320EEF"/>
    <w:rsid w:val="003215AD"/>
    <w:rsid w:val="003239F1"/>
    <w:rsid w:val="00325926"/>
    <w:rsid w:val="00327007"/>
    <w:rsid w:val="00327A8A"/>
    <w:rsid w:val="00335B99"/>
    <w:rsid w:val="00336610"/>
    <w:rsid w:val="003409DC"/>
    <w:rsid w:val="00343F73"/>
    <w:rsid w:val="00345060"/>
    <w:rsid w:val="0035323B"/>
    <w:rsid w:val="003539D1"/>
    <w:rsid w:val="00353BB1"/>
    <w:rsid w:val="003609D2"/>
    <w:rsid w:val="00363F22"/>
    <w:rsid w:val="00364382"/>
    <w:rsid w:val="00370360"/>
    <w:rsid w:val="00370649"/>
    <w:rsid w:val="00370F4D"/>
    <w:rsid w:val="003749A0"/>
    <w:rsid w:val="00375564"/>
    <w:rsid w:val="00383191"/>
    <w:rsid w:val="00386DED"/>
    <w:rsid w:val="003912E7"/>
    <w:rsid w:val="00393947"/>
    <w:rsid w:val="0039402E"/>
    <w:rsid w:val="00397A5B"/>
    <w:rsid w:val="003A2275"/>
    <w:rsid w:val="003A543F"/>
    <w:rsid w:val="003A6A4F"/>
    <w:rsid w:val="003A7088"/>
    <w:rsid w:val="003B00DF"/>
    <w:rsid w:val="003B1275"/>
    <w:rsid w:val="003B1778"/>
    <w:rsid w:val="003B3D03"/>
    <w:rsid w:val="003B56FF"/>
    <w:rsid w:val="003B6B39"/>
    <w:rsid w:val="003C11CB"/>
    <w:rsid w:val="003C6602"/>
    <w:rsid w:val="003C73DC"/>
    <w:rsid w:val="003C75F3"/>
    <w:rsid w:val="003C78A3"/>
    <w:rsid w:val="003D2E2D"/>
    <w:rsid w:val="003D4A26"/>
    <w:rsid w:val="003D6265"/>
    <w:rsid w:val="003D6B07"/>
    <w:rsid w:val="003E1867"/>
    <w:rsid w:val="003E5729"/>
    <w:rsid w:val="003F219C"/>
    <w:rsid w:val="003F4EE0"/>
    <w:rsid w:val="003F6885"/>
    <w:rsid w:val="00400730"/>
    <w:rsid w:val="00401BA8"/>
    <w:rsid w:val="00402153"/>
    <w:rsid w:val="0040289F"/>
    <w:rsid w:val="00402FC1"/>
    <w:rsid w:val="00406CFE"/>
    <w:rsid w:val="00410A52"/>
    <w:rsid w:val="004119A8"/>
    <w:rsid w:val="00413379"/>
    <w:rsid w:val="00416AE4"/>
    <w:rsid w:val="00425082"/>
    <w:rsid w:val="00427865"/>
    <w:rsid w:val="00431DEB"/>
    <w:rsid w:val="00433D08"/>
    <w:rsid w:val="00440A9E"/>
    <w:rsid w:val="00443954"/>
    <w:rsid w:val="00443EC9"/>
    <w:rsid w:val="00444D19"/>
    <w:rsid w:val="0044505F"/>
    <w:rsid w:val="0044617F"/>
    <w:rsid w:val="00446B29"/>
    <w:rsid w:val="004478B4"/>
    <w:rsid w:val="0044796A"/>
    <w:rsid w:val="00450E1B"/>
    <w:rsid w:val="00453F9A"/>
    <w:rsid w:val="00460A3B"/>
    <w:rsid w:val="00466AED"/>
    <w:rsid w:val="00471E91"/>
    <w:rsid w:val="00472AF1"/>
    <w:rsid w:val="00474675"/>
    <w:rsid w:val="0047470C"/>
    <w:rsid w:val="004761D5"/>
    <w:rsid w:val="0048193A"/>
    <w:rsid w:val="004831FD"/>
    <w:rsid w:val="004875A8"/>
    <w:rsid w:val="00491300"/>
    <w:rsid w:val="004919D7"/>
    <w:rsid w:val="004931FA"/>
    <w:rsid w:val="004A35F9"/>
    <w:rsid w:val="004A5DFF"/>
    <w:rsid w:val="004A6AB5"/>
    <w:rsid w:val="004B24C1"/>
    <w:rsid w:val="004B316E"/>
    <w:rsid w:val="004C292F"/>
    <w:rsid w:val="004C3053"/>
    <w:rsid w:val="004C3AC3"/>
    <w:rsid w:val="004D0DC0"/>
    <w:rsid w:val="004D3E90"/>
    <w:rsid w:val="004E2E9E"/>
    <w:rsid w:val="004E3943"/>
    <w:rsid w:val="004E51B3"/>
    <w:rsid w:val="004F5B0F"/>
    <w:rsid w:val="004F6C26"/>
    <w:rsid w:val="0050022D"/>
    <w:rsid w:val="00505762"/>
    <w:rsid w:val="0050625E"/>
    <w:rsid w:val="00510280"/>
    <w:rsid w:val="00511A93"/>
    <w:rsid w:val="00513D73"/>
    <w:rsid w:val="005145C1"/>
    <w:rsid w:val="00514A43"/>
    <w:rsid w:val="00514CE4"/>
    <w:rsid w:val="0051523D"/>
    <w:rsid w:val="00517368"/>
    <w:rsid w:val="005174E5"/>
    <w:rsid w:val="00522393"/>
    <w:rsid w:val="00522620"/>
    <w:rsid w:val="005234D9"/>
    <w:rsid w:val="00525656"/>
    <w:rsid w:val="00532E72"/>
    <w:rsid w:val="00533F46"/>
    <w:rsid w:val="005343D0"/>
    <w:rsid w:val="00534C02"/>
    <w:rsid w:val="00535B99"/>
    <w:rsid w:val="0054264B"/>
    <w:rsid w:val="0054369B"/>
    <w:rsid w:val="00543786"/>
    <w:rsid w:val="00543C10"/>
    <w:rsid w:val="00544A61"/>
    <w:rsid w:val="00544EB6"/>
    <w:rsid w:val="00544F48"/>
    <w:rsid w:val="0054739D"/>
    <w:rsid w:val="00547EC0"/>
    <w:rsid w:val="005533D7"/>
    <w:rsid w:val="00554B13"/>
    <w:rsid w:val="005703DE"/>
    <w:rsid w:val="00574D5B"/>
    <w:rsid w:val="00576DEE"/>
    <w:rsid w:val="00580336"/>
    <w:rsid w:val="00581EC3"/>
    <w:rsid w:val="00582E5F"/>
    <w:rsid w:val="005839F3"/>
    <w:rsid w:val="00583AED"/>
    <w:rsid w:val="0058464E"/>
    <w:rsid w:val="005860A7"/>
    <w:rsid w:val="005945AF"/>
    <w:rsid w:val="00597FDA"/>
    <w:rsid w:val="005A01CB"/>
    <w:rsid w:val="005A58FF"/>
    <w:rsid w:val="005A5EAF"/>
    <w:rsid w:val="005A64C0"/>
    <w:rsid w:val="005A6D6D"/>
    <w:rsid w:val="005A7E0D"/>
    <w:rsid w:val="005B1B67"/>
    <w:rsid w:val="005B27E0"/>
    <w:rsid w:val="005B300A"/>
    <w:rsid w:val="005B3C11"/>
    <w:rsid w:val="005B68D7"/>
    <w:rsid w:val="005B7CDC"/>
    <w:rsid w:val="005C1C28"/>
    <w:rsid w:val="005C317A"/>
    <w:rsid w:val="005C6DB5"/>
    <w:rsid w:val="005C761A"/>
    <w:rsid w:val="005D2ECD"/>
    <w:rsid w:val="005D54A4"/>
    <w:rsid w:val="005E19E7"/>
    <w:rsid w:val="005E1BE4"/>
    <w:rsid w:val="005E7C1A"/>
    <w:rsid w:val="005E7DD8"/>
    <w:rsid w:val="005F1FDC"/>
    <w:rsid w:val="005F3E38"/>
    <w:rsid w:val="005F4D28"/>
    <w:rsid w:val="005F6EE0"/>
    <w:rsid w:val="0060442E"/>
    <w:rsid w:val="00610B5A"/>
    <w:rsid w:val="00610FD8"/>
    <w:rsid w:val="0061716C"/>
    <w:rsid w:val="00621989"/>
    <w:rsid w:val="006243A1"/>
    <w:rsid w:val="00632E56"/>
    <w:rsid w:val="00635CBA"/>
    <w:rsid w:val="0063790D"/>
    <w:rsid w:val="00641A08"/>
    <w:rsid w:val="0064338B"/>
    <w:rsid w:val="00645884"/>
    <w:rsid w:val="00646542"/>
    <w:rsid w:val="00647FB5"/>
    <w:rsid w:val="006504F4"/>
    <w:rsid w:val="00652B05"/>
    <w:rsid w:val="00654BC9"/>
    <w:rsid w:val="006552FD"/>
    <w:rsid w:val="00661F49"/>
    <w:rsid w:val="00663AF3"/>
    <w:rsid w:val="00664FE5"/>
    <w:rsid w:val="00666B6C"/>
    <w:rsid w:val="006673E6"/>
    <w:rsid w:val="00673C5E"/>
    <w:rsid w:val="00674510"/>
    <w:rsid w:val="00677167"/>
    <w:rsid w:val="006777AD"/>
    <w:rsid w:val="00682682"/>
    <w:rsid w:val="00682702"/>
    <w:rsid w:val="00682EE1"/>
    <w:rsid w:val="00683E56"/>
    <w:rsid w:val="00692368"/>
    <w:rsid w:val="0069269A"/>
    <w:rsid w:val="00694258"/>
    <w:rsid w:val="006A2EBC"/>
    <w:rsid w:val="006A51F2"/>
    <w:rsid w:val="006A5813"/>
    <w:rsid w:val="006A5E50"/>
    <w:rsid w:val="006A5EA0"/>
    <w:rsid w:val="006A783B"/>
    <w:rsid w:val="006A7B33"/>
    <w:rsid w:val="006B0DAC"/>
    <w:rsid w:val="006B418F"/>
    <w:rsid w:val="006B4E13"/>
    <w:rsid w:val="006B75DD"/>
    <w:rsid w:val="006B793F"/>
    <w:rsid w:val="006C2A3D"/>
    <w:rsid w:val="006C67E0"/>
    <w:rsid w:val="006C6C86"/>
    <w:rsid w:val="006C7ABA"/>
    <w:rsid w:val="006C7EA8"/>
    <w:rsid w:val="006D0D60"/>
    <w:rsid w:val="006D1122"/>
    <w:rsid w:val="006D3C00"/>
    <w:rsid w:val="006E0A3D"/>
    <w:rsid w:val="006E12BF"/>
    <w:rsid w:val="006E3675"/>
    <w:rsid w:val="006E4A7F"/>
    <w:rsid w:val="006F1A1A"/>
    <w:rsid w:val="006F1A89"/>
    <w:rsid w:val="006F593A"/>
    <w:rsid w:val="00700E90"/>
    <w:rsid w:val="00703270"/>
    <w:rsid w:val="00704DF6"/>
    <w:rsid w:val="0070651C"/>
    <w:rsid w:val="007121ED"/>
    <w:rsid w:val="007132A3"/>
    <w:rsid w:val="00716421"/>
    <w:rsid w:val="00722A06"/>
    <w:rsid w:val="00722EE5"/>
    <w:rsid w:val="00724EFB"/>
    <w:rsid w:val="00724FBA"/>
    <w:rsid w:val="00737854"/>
    <w:rsid w:val="007419C3"/>
    <w:rsid w:val="0074257A"/>
    <w:rsid w:val="007467A7"/>
    <w:rsid w:val="007469DD"/>
    <w:rsid w:val="0074741B"/>
    <w:rsid w:val="0074759E"/>
    <w:rsid w:val="007478EA"/>
    <w:rsid w:val="00747F47"/>
    <w:rsid w:val="0075415C"/>
    <w:rsid w:val="0075441F"/>
    <w:rsid w:val="00754F96"/>
    <w:rsid w:val="007564E1"/>
    <w:rsid w:val="00757249"/>
    <w:rsid w:val="00763502"/>
    <w:rsid w:val="00764C3A"/>
    <w:rsid w:val="00764EB9"/>
    <w:rsid w:val="00770A74"/>
    <w:rsid w:val="0077332F"/>
    <w:rsid w:val="00777892"/>
    <w:rsid w:val="00777D54"/>
    <w:rsid w:val="0078007F"/>
    <w:rsid w:val="00780DA8"/>
    <w:rsid w:val="00787270"/>
    <w:rsid w:val="0078792A"/>
    <w:rsid w:val="007903D5"/>
    <w:rsid w:val="007913AB"/>
    <w:rsid w:val="007914F7"/>
    <w:rsid w:val="007A1976"/>
    <w:rsid w:val="007A78E4"/>
    <w:rsid w:val="007B1625"/>
    <w:rsid w:val="007B399F"/>
    <w:rsid w:val="007B4E8B"/>
    <w:rsid w:val="007B706E"/>
    <w:rsid w:val="007B71EB"/>
    <w:rsid w:val="007C13A4"/>
    <w:rsid w:val="007C1FDD"/>
    <w:rsid w:val="007C548F"/>
    <w:rsid w:val="007C6205"/>
    <w:rsid w:val="007C686A"/>
    <w:rsid w:val="007C728E"/>
    <w:rsid w:val="007D2C53"/>
    <w:rsid w:val="007D2CBE"/>
    <w:rsid w:val="007D3D60"/>
    <w:rsid w:val="007E1980"/>
    <w:rsid w:val="007E2A93"/>
    <w:rsid w:val="007E4149"/>
    <w:rsid w:val="007E4B76"/>
    <w:rsid w:val="007E5A88"/>
    <w:rsid w:val="007E5EA8"/>
    <w:rsid w:val="007F0CF1"/>
    <w:rsid w:val="007F12A5"/>
    <w:rsid w:val="007F1B23"/>
    <w:rsid w:val="007F4CF1"/>
    <w:rsid w:val="007F4F75"/>
    <w:rsid w:val="007F6AEA"/>
    <w:rsid w:val="007F758D"/>
    <w:rsid w:val="007F7D52"/>
    <w:rsid w:val="00800C70"/>
    <w:rsid w:val="0080654C"/>
    <w:rsid w:val="008071C6"/>
    <w:rsid w:val="00810061"/>
    <w:rsid w:val="0081403F"/>
    <w:rsid w:val="00817A00"/>
    <w:rsid w:val="008214FF"/>
    <w:rsid w:val="0082501A"/>
    <w:rsid w:val="00830AD8"/>
    <w:rsid w:val="00831E22"/>
    <w:rsid w:val="008349EC"/>
    <w:rsid w:val="00834EF4"/>
    <w:rsid w:val="0083550F"/>
    <w:rsid w:val="00835DB3"/>
    <w:rsid w:val="0083617B"/>
    <w:rsid w:val="008361A2"/>
    <w:rsid w:val="008371BD"/>
    <w:rsid w:val="00837BB3"/>
    <w:rsid w:val="00843844"/>
    <w:rsid w:val="008503F4"/>
    <w:rsid w:val="008504A8"/>
    <w:rsid w:val="00851FC7"/>
    <w:rsid w:val="0085282E"/>
    <w:rsid w:val="00854E69"/>
    <w:rsid w:val="00857662"/>
    <w:rsid w:val="00860C7F"/>
    <w:rsid w:val="00861242"/>
    <w:rsid w:val="0086273B"/>
    <w:rsid w:val="00862900"/>
    <w:rsid w:val="00862982"/>
    <w:rsid w:val="008641AF"/>
    <w:rsid w:val="0087198C"/>
    <w:rsid w:val="00872C1F"/>
    <w:rsid w:val="00873B42"/>
    <w:rsid w:val="00877CAC"/>
    <w:rsid w:val="008856D8"/>
    <w:rsid w:val="00890920"/>
    <w:rsid w:val="00891752"/>
    <w:rsid w:val="00892724"/>
    <w:rsid w:val="008928F1"/>
    <w:rsid w:val="00892E82"/>
    <w:rsid w:val="008A23A2"/>
    <w:rsid w:val="008A45FE"/>
    <w:rsid w:val="008A6085"/>
    <w:rsid w:val="008A7DC6"/>
    <w:rsid w:val="008B3C96"/>
    <w:rsid w:val="008B6452"/>
    <w:rsid w:val="008B7614"/>
    <w:rsid w:val="008C16B9"/>
    <w:rsid w:val="008C1B58"/>
    <w:rsid w:val="008C39AE"/>
    <w:rsid w:val="008C590D"/>
    <w:rsid w:val="008C78C6"/>
    <w:rsid w:val="008D02B9"/>
    <w:rsid w:val="008D0526"/>
    <w:rsid w:val="008D72E6"/>
    <w:rsid w:val="008E031B"/>
    <w:rsid w:val="008E7029"/>
    <w:rsid w:val="008E7EF6"/>
    <w:rsid w:val="008F0C45"/>
    <w:rsid w:val="008F1F98"/>
    <w:rsid w:val="008F2416"/>
    <w:rsid w:val="008F6758"/>
    <w:rsid w:val="009034E0"/>
    <w:rsid w:val="009040DD"/>
    <w:rsid w:val="009049BF"/>
    <w:rsid w:val="00904CA5"/>
    <w:rsid w:val="00904E64"/>
    <w:rsid w:val="00905B47"/>
    <w:rsid w:val="0091220C"/>
    <w:rsid w:val="0091331C"/>
    <w:rsid w:val="00914532"/>
    <w:rsid w:val="009204D1"/>
    <w:rsid w:val="009223B5"/>
    <w:rsid w:val="00922A2C"/>
    <w:rsid w:val="009279DE"/>
    <w:rsid w:val="00927D4E"/>
    <w:rsid w:val="00930116"/>
    <w:rsid w:val="0093172E"/>
    <w:rsid w:val="00935AA1"/>
    <w:rsid w:val="00940FBC"/>
    <w:rsid w:val="0094212C"/>
    <w:rsid w:val="00944CF9"/>
    <w:rsid w:val="00954689"/>
    <w:rsid w:val="009617C9"/>
    <w:rsid w:val="00961A6A"/>
    <w:rsid w:val="00961C93"/>
    <w:rsid w:val="00965324"/>
    <w:rsid w:val="009653D5"/>
    <w:rsid w:val="0097091E"/>
    <w:rsid w:val="009715AB"/>
    <w:rsid w:val="009760D3"/>
    <w:rsid w:val="00976751"/>
    <w:rsid w:val="00977132"/>
    <w:rsid w:val="00981A4B"/>
    <w:rsid w:val="00982501"/>
    <w:rsid w:val="00982A47"/>
    <w:rsid w:val="009877D3"/>
    <w:rsid w:val="00991E5F"/>
    <w:rsid w:val="00993CDB"/>
    <w:rsid w:val="00994E8F"/>
    <w:rsid w:val="009951DC"/>
    <w:rsid w:val="009959BB"/>
    <w:rsid w:val="00997158"/>
    <w:rsid w:val="009A3A7C"/>
    <w:rsid w:val="009A584E"/>
    <w:rsid w:val="009A5A33"/>
    <w:rsid w:val="009A7DF2"/>
    <w:rsid w:val="009B2ADB"/>
    <w:rsid w:val="009B603A"/>
    <w:rsid w:val="009B68EB"/>
    <w:rsid w:val="009B7D95"/>
    <w:rsid w:val="009C1534"/>
    <w:rsid w:val="009C2976"/>
    <w:rsid w:val="009C2D0E"/>
    <w:rsid w:val="009C3DAC"/>
    <w:rsid w:val="009C42E0"/>
    <w:rsid w:val="009C575F"/>
    <w:rsid w:val="009C6111"/>
    <w:rsid w:val="009C672F"/>
    <w:rsid w:val="009D1940"/>
    <w:rsid w:val="009D23CA"/>
    <w:rsid w:val="009D5362"/>
    <w:rsid w:val="009E1415"/>
    <w:rsid w:val="009E6116"/>
    <w:rsid w:val="009E7BC0"/>
    <w:rsid w:val="009F04F8"/>
    <w:rsid w:val="009F060D"/>
    <w:rsid w:val="009F2754"/>
    <w:rsid w:val="009F3AED"/>
    <w:rsid w:val="009F523F"/>
    <w:rsid w:val="00A003A8"/>
    <w:rsid w:val="00A02E43"/>
    <w:rsid w:val="00A04367"/>
    <w:rsid w:val="00A065F9"/>
    <w:rsid w:val="00A07F21"/>
    <w:rsid w:val="00A07F34"/>
    <w:rsid w:val="00A2117E"/>
    <w:rsid w:val="00A22154"/>
    <w:rsid w:val="00A25C38"/>
    <w:rsid w:val="00A2754F"/>
    <w:rsid w:val="00A30F11"/>
    <w:rsid w:val="00A3482B"/>
    <w:rsid w:val="00A36BBE"/>
    <w:rsid w:val="00A37C64"/>
    <w:rsid w:val="00A40D46"/>
    <w:rsid w:val="00A4283D"/>
    <w:rsid w:val="00A4307A"/>
    <w:rsid w:val="00A44BFD"/>
    <w:rsid w:val="00A460B1"/>
    <w:rsid w:val="00A47EBB"/>
    <w:rsid w:val="00A50AC8"/>
    <w:rsid w:val="00A51CDD"/>
    <w:rsid w:val="00A5631D"/>
    <w:rsid w:val="00A62442"/>
    <w:rsid w:val="00A647EF"/>
    <w:rsid w:val="00A6677C"/>
    <w:rsid w:val="00A6730D"/>
    <w:rsid w:val="00A71625"/>
    <w:rsid w:val="00A71B9B"/>
    <w:rsid w:val="00A72866"/>
    <w:rsid w:val="00A751C7"/>
    <w:rsid w:val="00A76298"/>
    <w:rsid w:val="00A77EE0"/>
    <w:rsid w:val="00A812BA"/>
    <w:rsid w:val="00A839DB"/>
    <w:rsid w:val="00A852A1"/>
    <w:rsid w:val="00A86561"/>
    <w:rsid w:val="00A87844"/>
    <w:rsid w:val="00A87E23"/>
    <w:rsid w:val="00A90773"/>
    <w:rsid w:val="00A96A17"/>
    <w:rsid w:val="00AA038C"/>
    <w:rsid w:val="00AA4A38"/>
    <w:rsid w:val="00AA4E9A"/>
    <w:rsid w:val="00AA7A09"/>
    <w:rsid w:val="00AB2833"/>
    <w:rsid w:val="00AB3B50"/>
    <w:rsid w:val="00AB3E78"/>
    <w:rsid w:val="00AB5799"/>
    <w:rsid w:val="00AB5F92"/>
    <w:rsid w:val="00AC03BF"/>
    <w:rsid w:val="00AC05B1"/>
    <w:rsid w:val="00AC06CB"/>
    <w:rsid w:val="00AC0C3B"/>
    <w:rsid w:val="00AC40B3"/>
    <w:rsid w:val="00AC50E5"/>
    <w:rsid w:val="00AC5CA4"/>
    <w:rsid w:val="00AD356C"/>
    <w:rsid w:val="00AD3A39"/>
    <w:rsid w:val="00AD3C0A"/>
    <w:rsid w:val="00AD52D6"/>
    <w:rsid w:val="00AD57E3"/>
    <w:rsid w:val="00AE2914"/>
    <w:rsid w:val="00AE6D15"/>
    <w:rsid w:val="00AE7A04"/>
    <w:rsid w:val="00AF4367"/>
    <w:rsid w:val="00AF6BDA"/>
    <w:rsid w:val="00AF74B0"/>
    <w:rsid w:val="00B04182"/>
    <w:rsid w:val="00B062BF"/>
    <w:rsid w:val="00B07AE3"/>
    <w:rsid w:val="00B10282"/>
    <w:rsid w:val="00B11430"/>
    <w:rsid w:val="00B1352F"/>
    <w:rsid w:val="00B15BAB"/>
    <w:rsid w:val="00B23E4D"/>
    <w:rsid w:val="00B276EC"/>
    <w:rsid w:val="00B315E8"/>
    <w:rsid w:val="00B353EB"/>
    <w:rsid w:val="00B35F0E"/>
    <w:rsid w:val="00B36670"/>
    <w:rsid w:val="00B439C4"/>
    <w:rsid w:val="00B4535E"/>
    <w:rsid w:val="00B47434"/>
    <w:rsid w:val="00B4766C"/>
    <w:rsid w:val="00B52A8C"/>
    <w:rsid w:val="00B52EE4"/>
    <w:rsid w:val="00B52F9F"/>
    <w:rsid w:val="00B60970"/>
    <w:rsid w:val="00B636A8"/>
    <w:rsid w:val="00B65090"/>
    <w:rsid w:val="00B665C6"/>
    <w:rsid w:val="00B71650"/>
    <w:rsid w:val="00B7354B"/>
    <w:rsid w:val="00B73CF3"/>
    <w:rsid w:val="00B741E9"/>
    <w:rsid w:val="00B74CCF"/>
    <w:rsid w:val="00B805AF"/>
    <w:rsid w:val="00B8139F"/>
    <w:rsid w:val="00B82E1A"/>
    <w:rsid w:val="00B83210"/>
    <w:rsid w:val="00B869EC"/>
    <w:rsid w:val="00B86E9A"/>
    <w:rsid w:val="00B87E44"/>
    <w:rsid w:val="00B9397A"/>
    <w:rsid w:val="00B95B9F"/>
    <w:rsid w:val="00B9633D"/>
    <w:rsid w:val="00B97496"/>
    <w:rsid w:val="00BA07B8"/>
    <w:rsid w:val="00BA2EBE"/>
    <w:rsid w:val="00BB0F03"/>
    <w:rsid w:val="00BB0F28"/>
    <w:rsid w:val="00BB458A"/>
    <w:rsid w:val="00BB6D3D"/>
    <w:rsid w:val="00BB784C"/>
    <w:rsid w:val="00BC1DD1"/>
    <w:rsid w:val="00BC58DC"/>
    <w:rsid w:val="00BC7312"/>
    <w:rsid w:val="00BC7C1C"/>
    <w:rsid w:val="00BD00D3"/>
    <w:rsid w:val="00BD1659"/>
    <w:rsid w:val="00BD3AA9"/>
    <w:rsid w:val="00BD4A18"/>
    <w:rsid w:val="00BD6200"/>
    <w:rsid w:val="00BD6DB2"/>
    <w:rsid w:val="00BE11CF"/>
    <w:rsid w:val="00BE19F0"/>
    <w:rsid w:val="00BE21AB"/>
    <w:rsid w:val="00BE2E55"/>
    <w:rsid w:val="00BE3A23"/>
    <w:rsid w:val="00BE55CB"/>
    <w:rsid w:val="00BF617A"/>
    <w:rsid w:val="00C0379D"/>
    <w:rsid w:val="00C03931"/>
    <w:rsid w:val="00C03975"/>
    <w:rsid w:val="00C05FE3"/>
    <w:rsid w:val="00C14B86"/>
    <w:rsid w:val="00C16052"/>
    <w:rsid w:val="00C2136D"/>
    <w:rsid w:val="00C214EE"/>
    <w:rsid w:val="00C2314B"/>
    <w:rsid w:val="00C23AA8"/>
    <w:rsid w:val="00C24971"/>
    <w:rsid w:val="00C266D8"/>
    <w:rsid w:val="00C2673F"/>
    <w:rsid w:val="00C26BE5"/>
    <w:rsid w:val="00C26E4D"/>
    <w:rsid w:val="00C27278"/>
    <w:rsid w:val="00C27909"/>
    <w:rsid w:val="00C27B03"/>
    <w:rsid w:val="00C314E1"/>
    <w:rsid w:val="00C32C99"/>
    <w:rsid w:val="00C34397"/>
    <w:rsid w:val="00C36201"/>
    <w:rsid w:val="00C37E66"/>
    <w:rsid w:val="00C4095D"/>
    <w:rsid w:val="00C4457C"/>
    <w:rsid w:val="00C4588D"/>
    <w:rsid w:val="00C578A7"/>
    <w:rsid w:val="00C601D2"/>
    <w:rsid w:val="00C62AD4"/>
    <w:rsid w:val="00C63650"/>
    <w:rsid w:val="00C637DA"/>
    <w:rsid w:val="00C65BCC"/>
    <w:rsid w:val="00C65BF4"/>
    <w:rsid w:val="00C65C02"/>
    <w:rsid w:val="00C65D02"/>
    <w:rsid w:val="00C66970"/>
    <w:rsid w:val="00C70347"/>
    <w:rsid w:val="00C77862"/>
    <w:rsid w:val="00C83140"/>
    <w:rsid w:val="00C831BC"/>
    <w:rsid w:val="00C83CA0"/>
    <w:rsid w:val="00C86473"/>
    <w:rsid w:val="00C8691C"/>
    <w:rsid w:val="00C90B4D"/>
    <w:rsid w:val="00C91289"/>
    <w:rsid w:val="00CA168A"/>
    <w:rsid w:val="00CA3083"/>
    <w:rsid w:val="00CA32FF"/>
    <w:rsid w:val="00CA357E"/>
    <w:rsid w:val="00CA44F9"/>
    <w:rsid w:val="00CA4A69"/>
    <w:rsid w:val="00CB1C6A"/>
    <w:rsid w:val="00CB2303"/>
    <w:rsid w:val="00CB5BEE"/>
    <w:rsid w:val="00CC0D65"/>
    <w:rsid w:val="00CC2058"/>
    <w:rsid w:val="00CC3E0C"/>
    <w:rsid w:val="00CC583F"/>
    <w:rsid w:val="00CC58D3"/>
    <w:rsid w:val="00CC784D"/>
    <w:rsid w:val="00CD05F8"/>
    <w:rsid w:val="00CD1291"/>
    <w:rsid w:val="00CD146E"/>
    <w:rsid w:val="00CD18D5"/>
    <w:rsid w:val="00CD343B"/>
    <w:rsid w:val="00CD4409"/>
    <w:rsid w:val="00CD67CA"/>
    <w:rsid w:val="00CE12C5"/>
    <w:rsid w:val="00CE6BB6"/>
    <w:rsid w:val="00CF3AD6"/>
    <w:rsid w:val="00CF49E4"/>
    <w:rsid w:val="00D0337B"/>
    <w:rsid w:val="00D079B2"/>
    <w:rsid w:val="00D10E6C"/>
    <w:rsid w:val="00D114E9"/>
    <w:rsid w:val="00D13132"/>
    <w:rsid w:val="00D23441"/>
    <w:rsid w:val="00D243A9"/>
    <w:rsid w:val="00D248F0"/>
    <w:rsid w:val="00D26ECB"/>
    <w:rsid w:val="00D40F93"/>
    <w:rsid w:val="00D429C6"/>
    <w:rsid w:val="00D42DE7"/>
    <w:rsid w:val="00D47748"/>
    <w:rsid w:val="00D51085"/>
    <w:rsid w:val="00D54CC3"/>
    <w:rsid w:val="00D57DDF"/>
    <w:rsid w:val="00D6041A"/>
    <w:rsid w:val="00D62474"/>
    <w:rsid w:val="00D633EB"/>
    <w:rsid w:val="00D70999"/>
    <w:rsid w:val="00D71C89"/>
    <w:rsid w:val="00D71D16"/>
    <w:rsid w:val="00D71F77"/>
    <w:rsid w:val="00D72CD2"/>
    <w:rsid w:val="00D779B4"/>
    <w:rsid w:val="00D82EC9"/>
    <w:rsid w:val="00D82FF7"/>
    <w:rsid w:val="00D844F5"/>
    <w:rsid w:val="00D847FE"/>
    <w:rsid w:val="00D852EB"/>
    <w:rsid w:val="00D87D67"/>
    <w:rsid w:val="00D93220"/>
    <w:rsid w:val="00D964EA"/>
    <w:rsid w:val="00D966D0"/>
    <w:rsid w:val="00DA0C59"/>
    <w:rsid w:val="00DA3991"/>
    <w:rsid w:val="00DB452F"/>
    <w:rsid w:val="00DB6CCA"/>
    <w:rsid w:val="00DB7E6C"/>
    <w:rsid w:val="00DC2111"/>
    <w:rsid w:val="00DC32B8"/>
    <w:rsid w:val="00DD0F34"/>
    <w:rsid w:val="00DD5A29"/>
    <w:rsid w:val="00DD5D9D"/>
    <w:rsid w:val="00DE35CB"/>
    <w:rsid w:val="00DE3989"/>
    <w:rsid w:val="00DF1277"/>
    <w:rsid w:val="00DF154F"/>
    <w:rsid w:val="00DF21E9"/>
    <w:rsid w:val="00DF63E1"/>
    <w:rsid w:val="00DF790C"/>
    <w:rsid w:val="00E00F14"/>
    <w:rsid w:val="00E02A9F"/>
    <w:rsid w:val="00E02D58"/>
    <w:rsid w:val="00E04170"/>
    <w:rsid w:val="00E04264"/>
    <w:rsid w:val="00E06386"/>
    <w:rsid w:val="00E07F22"/>
    <w:rsid w:val="00E1275F"/>
    <w:rsid w:val="00E13A88"/>
    <w:rsid w:val="00E165C3"/>
    <w:rsid w:val="00E238EC"/>
    <w:rsid w:val="00E242B2"/>
    <w:rsid w:val="00E24EB4"/>
    <w:rsid w:val="00E31253"/>
    <w:rsid w:val="00E31BB5"/>
    <w:rsid w:val="00E320ED"/>
    <w:rsid w:val="00E3230E"/>
    <w:rsid w:val="00E33AFB"/>
    <w:rsid w:val="00E33ED2"/>
    <w:rsid w:val="00E34218"/>
    <w:rsid w:val="00E34FB2"/>
    <w:rsid w:val="00E368C9"/>
    <w:rsid w:val="00E44674"/>
    <w:rsid w:val="00E45140"/>
    <w:rsid w:val="00E46282"/>
    <w:rsid w:val="00E5216E"/>
    <w:rsid w:val="00E60DC8"/>
    <w:rsid w:val="00E634B2"/>
    <w:rsid w:val="00E66247"/>
    <w:rsid w:val="00E74443"/>
    <w:rsid w:val="00E816C6"/>
    <w:rsid w:val="00E81C0B"/>
    <w:rsid w:val="00E82344"/>
    <w:rsid w:val="00E84C82"/>
    <w:rsid w:val="00E84D64"/>
    <w:rsid w:val="00E85F4F"/>
    <w:rsid w:val="00E863EE"/>
    <w:rsid w:val="00E87408"/>
    <w:rsid w:val="00E87461"/>
    <w:rsid w:val="00E914C4"/>
    <w:rsid w:val="00E9337A"/>
    <w:rsid w:val="00E934F5"/>
    <w:rsid w:val="00E94024"/>
    <w:rsid w:val="00E96961"/>
    <w:rsid w:val="00EA0486"/>
    <w:rsid w:val="00EA099E"/>
    <w:rsid w:val="00EA6004"/>
    <w:rsid w:val="00EA6BA3"/>
    <w:rsid w:val="00EA72EC"/>
    <w:rsid w:val="00EB11CB"/>
    <w:rsid w:val="00EB275A"/>
    <w:rsid w:val="00EB37A8"/>
    <w:rsid w:val="00EB44CD"/>
    <w:rsid w:val="00EB517D"/>
    <w:rsid w:val="00EB518F"/>
    <w:rsid w:val="00EB6260"/>
    <w:rsid w:val="00EB6A84"/>
    <w:rsid w:val="00EB786A"/>
    <w:rsid w:val="00EB7DFA"/>
    <w:rsid w:val="00EC1578"/>
    <w:rsid w:val="00EC1C72"/>
    <w:rsid w:val="00EC1F84"/>
    <w:rsid w:val="00EC39E7"/>
    <w:rsid w:val="00EC3C80"/>
    <w:rsid w:val="00EC3CC9"/>
    <w:rsid w:val="00EC6679"/>
    <w:rsid w:val="00EC680A"/>
    <w:rsid w:val="00ED2054"/>
    <w:rsid w:val="00ED393E"/>
    <w:rsid w:val="00ED5A9A"/>
    <w:rsid w:val="00ED6D8B"/>
    <w:rsid w:val="00EE0CB0"/>
    <w:rsid w:val="00EE2BED"/>
    <w:rsid w:val="00EE374B"/>
    <w:rsid w:val="00EF79FF"/>
    <w:rsid w:val="00EF7E37"/>
    <w:rsid w:val="00F04291"/>
    <w:rsid w:val="00F04728"/>
    <w:rsid w:val="00F057F6"/>
    <w:rsid w:val="00F058B7"/>
    <w:rsid w:val="00F06357"/>
    <w:rsid w:val="00F079E1"/>
    <w:rsid w:val="00F101B9"/>
    <w:rsid w:val="00F11BB5"/>
    <w:rsid w:val="00F12741"/>
    <w:rsid w:val="00F138D5"/>
    <w:rsid w:val="00F13F00"/>
    <w:rsid w:val="00F1417B"/>
    <w:rsid w:val="00F15226"/>
    <w:rsid w:val="00F2020A"/>
    <w:rsid w:val="00F206F4"/>
    <w:rsid w:val="00F24190"/>
    <w:rsid w:val="00F3191B"/>
    <w:rsid w:val="00F33C54"/>
    <w:rsid w:val="00F34B99"/>
    <w:rsid w:val="00F412D4"/>
    <w:rsid w:val="00F42D4D"/>
    <w:rsid w:val="00F448B8"/>
    <w:rsid w:val="00F45B1A"/>
    <w:rsid w:val="00F46A44"/>
    <w:rsid w:val="00F50F93"/>
    <w:rsid w:val="00F52DAB"/>
    <w:rsid w:val="00F543F0"/>
    <w:rsid w:val="00F54C7E"/>
    <w:rsid w:val="00F6180E"/>
    <w:rsid w:val="00F71ECB"/>
    <w:rsid w:val="00F75252"/>
    <w:rsid w:val="00F76A94"/>
    <w:rsid w:val="00F81BE2"/>
    <w:rsid w:val="00F81D29"/>
    <w:rsid w:val="00F828C0"/>
    <w:rsid w:val="00F84644"/>
    <w:rsid w:val="00F84AA0"/>
    <w:rsid w:val="00F86478"/>
    <w:rsid w:val="00F90F8D"/>
    <w:rsid w:val="00F91116"/>
    <w:rsid w:val="00F91C4D"/>
    <w:rsid w:val="00F92BD1"/>
    <w:rsid w:val="00F92FD9"/>
    <w:rsid w:val="00FA2322"/>
    <w:rsid w:val="00FA6684"/>
    <w:rsid w:val="00FA69EF"/>
    <w:rsid w:val="00FA6EE9"/>
    <w:rsid w:val="00FA731E"/>
    <w:rsid w:val="00FA7813"/>
    <w:rsid w:val="00FB2B38"/>
    <w:rsid w:val="00FB6240"/>
    <w:rsid w:val="00FB6C61"/>
    <w:rsid w:val="00FC1548"/>
    <w:rsid w:val="00FC1DA3"/>
    <w:rsid w:val="00FC38F1"/>
    <w:rsid w:val="00FC4879"/>
    <w:rsid w:val="00FC6358"/>
    <w:rsid w:val="00FD08BF"/>
    <w:rsid w:val="00FD253A"/>
    <w:rsid w:val="00FD320D"/>
    <w:rsid w:val="00FD456B"/>
    <w:rsid w:val="00FE23DE"/>
    <w:rsid w:val="00FE3300"/>
    <w:rsid w:val="00FE349C"/>
    <w:rsid w:val="00FF2EE2"/>
    <w:rsid w:val="00FF3A5B"/>
    <w:rsid w:val="00FF42E8"/>
    <w:rsid w:val="01D04668"/>
    <w:rsid w:val="06007E0A"/>
    <w:rsid w:val="06EE226F"/>
    <w:rsid w:val="092108C3"/>
    <w:rsid w:val="099C263F"/>
    <w:rsid w:val="0DB123AB"/>
    <w:rsid w:val="0FE16B88"/>
    <w:rsid w:val="14E77F06"/>
    <w:rsid w:val="172347D0"/>
    <w:rsid w:val="18375E3E"/>
    <w:rsid w:val="1AE5222B"/>
    <w:rsid w:val="21772FF1"/>
    <w:rsid w:val="220C72C8"/>
    <w:rsid w:val="224537B0"/>
    <w:rsid w:val="256C0FD9"/>
    <w:rsid w:val="286C08C2"/>
    <w:rsid w:val="2B73259B"/>
    <w:rsid w:val="2D726F1C"/>
    <w:rsid w:val="2DCA29C0"/>
    <w:rsid w:val="31C85C3C"/>
    <w:rsid w:val="40F365ED"/>
    <w:rsid w:val="43324873"/>
    <w:rsid w:val="46223872"/>
    <w:rsid w:val="4B5300A9"/>
    <w:rsid w:val="4BD37060"/>
    <w:rsid w:val="4BF24892"/>
    <w:rsid w:val="4D9076FB"/>
    <w:rsid w:val="4E2A13F9"/>
    <w:rsid w:val="4F0A5BA4"/>
    <w:rsid w:val="4F900434"/>
    <w:rsid w:val="50E557F8"/>
    <w:rsid w:val="557E3F74"/>
    <w:rsid w:val="56EB2EF7"/>
    <w:rsid w:val="5C5446DE"/>
    <w:rsid w:val="5CA748BF"/>
    <w:rsid w:val="5D85186E"/>
    <w:rsid w:val="5F8315F3"/>
    <w:rsid w:val="60583D40"/>
    <w:rsid w:val="61C82700"/>
    <w:rsid w:val="62114ECC"/>
    <w:rsid w:val="655619B5"/>
    <w:rsid w:val="65A70FD6"/>
    <w:rsid w:val="66A504F5"/>
    <w:rsid w:val="68283F50"/>
    <w:rsid w:val="6A3B6DD7"/>
    <w:rsid w:val="6C6C2CFA"/>
    <w:rsid w:val="6EB215B7"/>
    <w:rsid w:val="6F792E73"/>
    <w:rsid w:val="6FA750FC"/>
    <w:rsid w:val="70B163BB"/>
    <w:rsid w:val="71BE1C48"/>
    <w:rsid w:val="7254291F"/>
    <w:rsid w:val="72CA46A5"/>
    <w:rsid w:val="72EE70AC"/>
    <w:rsid w:val="74770050"/>
    <w:rsid w:val="75326556"/>
    <w:rsid w:val="79DD17FA"/>
    <w:rsid w:val="7BBB052A"/>
    <w:rsid w:val="7D197F5B"/>
    <w:rsid w:val="7FFE70E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uiPriority="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semiHidden="0" w:name="annotation reference"/>
    <w:lsdException w:uiPriority="0" w:name="line number"/>
    <w:lsdException w:qFormat="1" w:unhideWhenUsed="0" w:uiPriority="0" w:semiHidden="0" w:name="page number"/>
    <w:lsdException w:qFormat="1" w:unhideWhenUsed="0" w:uiPriority="0" w:name="endnote reference"/>
    <w:lsdException w:qFormat="1" w:unhideWhenUsed="0"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0"/>
    <w:qFormat/>
    <w:uiPriority w:val="0"/>
    <w:pPr>
      <w:keepNext/>
      <w:keepLines/>
      <w:spacing w:before="340" w:after="330" w:line="578" w:lineRule="auto"/>
      <w:outlineLvl w:val="0"/>
    </w:pPr>
    <w:rPr>
      <w:b/>
      <w:bCs/>
      <w:kern w:val="44"/>
      <w:sz w:val="44"/>
      <w:szCs w:val="44"/>
    </w:rPr>
  </w:style>
  <w:style w:type="paragraph" w:styleId="5">
    <w:name w:val="heading 2"/>
    <w:basedOn w:val="1"/>
    <w:next w:val="1"/>
    <w:unhideWhenUsed/>
    <w:qFormat/>
    <w:uiPriority w:val="0"/>
    <w:pPr>
      <w:keepNext/>
      <w:keepLines/>
      <w:numPr>
        <w:ilvl w:val="1"/>
        <w:numId w:val="1"/>
      </w:numPr>
      <w:outlineLvl w:val="1"/>
    </w:pPr>
    <w:rPr>
      <w:rFonts w:hAnsi="Arial"/>
      <w:b/>
      <w:bCs/>
      <w:szCs w:val="32"/>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paragraph" w:styleId="7">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line="240" w:lineRule="auto"/>
      <w:jc w:val="center"/>
      <w:outlineLvl w:val="0"/>
    </w:pPr>
    <w:rPr>
      <w:rFonts w:ascii="Cambria" w:hAnsi="Cambria"/>
      <w:b/>
      <w:bCs/>
      <w:sz w:val="32"/>
      <w:szCs w:val="32"/>
    </w:rPr>
  </w:style>
  <w:style w:type="paragraph" w:styleId="8">
    <w:name w:val="toc 7"/>
    <w:basedOn w:val="1"/>
    <w:next w:val="1"/>
    <w:semiHidden/>
    <w:qFormat/>
    <w:uiPriority w:val="0"/>
    <w:pPr>
      <w:tabs>
        <w:tab w:val="right" w:leader="dot" w:pos="9241"/>
      </w:tabs>
      <w:ind w:firstLine="505" w:firstLineChars="500"/>
      <w:jc w:val="left"/>
    </w:pPr>
    <w:rPr>
      <w:rFonts w:ascii="宋体"/>
      <w:szCs w:val="21"/>
    </w:rPr>
  </w:style>
  <w:style w:type="paragraph" w:styleId="9">
    <w:name w:val="index 8"/>
    <w:basedOn w:val="1"/>
    <w:next w:val="1"/>
    <w:qFormat/>
    <w:uiPriority w:val="0"/>
    <w:pPr>
      <w:ind w:left="1680" w:hanging="210"/>
      <w:jc w:val="left"/>
    </w:pPr>
    <w:rPr>
      <w:rFonts w:ascii="Calibri" w:hAnsi="Calibri"/>
      <w:sz w:val="20"/>
      <w:szCs w:val="20"/>
    </w:rPr>
  </w:style>
  <w:style w:type="paragraph" w:styleId="10">
    <w:name w:val="caption"/>
    <w:basedOn w:val="1"/>
    <w:next w:val="1"/>
    <w:qFormat/>
    <w:uiPriority w:val="0"/>
    <w:pPr>
      <w:spacing w:before="152" w:after="160"/>
    </w:pPr>
    <w:rPr>
      <w:rFonts w:ascii="Arial" w:hAnsi="Arial" w:eastAsia="黑体" w:cs="Arial"/>
      <w:sz w:val="20"/>
      <w:szCs w:val="20"/>
    </w:rPr>
  </w:style>
  <w:style w:type="paragraph" w:styleId="11">
    <w:name w:val="index 5"/>
    <w:basedOn w:val="1"/>
    <w:next w:val="1"/>
    <w:qFormat/>
    <w:uiPriority w:val="0"/>
    <w:pPr>
      <w:ind w:left="1050" w:hanging="210"/>
      <w:jc w:val="left"/>
    </w:pPr>
    <w:rPr>
      <w:rFonts w:ascii="Calibri" w:hAnsi="Calibri"/>
      <w:sz w:val="20"/>
      <w:szCs w:val="20"/>
    </w:rPr>
  </w:style>
  <w:style w:type="paragraph" w:styleId="12">
    <w:name w:val="Document Map"/>
    <w:basedOn w:val="1"/>
    <w:semiHidden/>
    <w:qFormat/>
    <w:uiPriority w:val="0"/>
    <w:pPr>
      <w:shd w:val="clear" w:color="auto" w:fill="000080"/>
    </w:pPr>
  </w:style>
  <w:style w:type="paragraph" w:styleId="13">
    <w:name w:val="annotation text"/>
    <w:basedOn w:val="1"/>
    <w:link w:val="150"/>
    <w:qFormat/>
    <w:uiPriority w:val="0"/>
    <w:pPr>
      <w:jc w:val="left"/>
    </w:pPr>
  </w:style>
  <w:style w:type="paragraph" w:styleId="14">
    <w:name w:val="index 6"/>
    <w:basedOn w:val="1"/>
    <w:next w:val="1"/>
    <w:qFormat/>
    <w:uiPriority w:val="0"/>
    <w:pPr>
      <w:ind w:left="1260" w:hanging="210"/>
      <w:jc w:val="left"/>
    </w:pPr>
    <w:rPr>
      <w:rFonts w:ascii="Calibri" w:hAnsi="Calibri"/>
      <w:sz w:val="20"/>
      <w:szCs w:val="20"/>
    </w:rPr>
  </w:style>
  <w:style w:type="paragraph" w:styleId="15">
    <w:name w:val="index 4"/>
    <w:basedOn w:val="1"/>
    <w:next w:val="1"/>
    <w:qFormat/>
    <w:uiPriority w:val="0"/>
    <w:pPr>
      <w:ind w:left="840" w:hanging="210"/>
      <w:jc w:val="left"/>
    </w:pPr>
    <w:rPr>
      <w:rFonts w:ascii="Calibri" w:hAnsi="Calibri"/>
      <w:sz w:val="20"/>
      <w:szCs w:val="20"/>
    </w:rPr>
  </w:style>
  <w:style w:type="paragraph" w:styleId="16">
    <w:name w:val="toc 5"/>
    <w:basedOn w:val="1"/>
    <w:next w:val="1"/>
    <w:semiHidden/>
    <w:qFormat/>
    <w:uiPriority w:val="0"/>
    <w:pPr>
      <w:tabs>
        <w:tab w:val="right" w:leader="dot" w:pos="9241"/>
      </w:tabs>
      <w:ind w:firstLine="300" w:firstLineChars="300"/>
      <w:jc w:val="left"/>
    </w:pPr>
    <w:rPr>
      <w:rFonts w:ascii="宋体"/>
      <w:szCs w:val="21"/>
    </w:rPr>
  </w:style>
  <w:style w:type="paragraph" w:styleId="17">
    <w:name w:val="toc 3"/>
    <w:basedOn w:val="1"/>
    <w:next w:val="1"/>
    <w:qFormat/>
    <w:uiPriority w:val="39"/>
    <w:pPr>
      <w:tabs>
        <w:tab w:val="right" w:leader="dot" w:pos="9241"/>
      </w:tabs>
      <w:ind w:firstLine="102" w:firstLineChars="100"/>
      <w:jc w:val="left"/>
    </w:pPr>
    <w:rPr>
      <w:rFonts w:ascii="宋体"/>
      <w:szCs w:val="21"/>
    </w:rPr>
  </w:style>
  <w:style w:type="paragraph" w:styleId="18">
    <w:name w:val="toc 8"/>
    <w:basedOn w:val="1"/>
    <w:next w:val="1"/>
    <w:semiHidden/>
    <w:qFormat/>
    <w:uiPriority w:val="0"/>
    <w:pPr>
      <w:tabs>
        <w:tab w:val="right" w:leader="dot" w:pos="9241"/>
      </w:tabs>
      <w:ind w:firstLine="607" w:firstLineChars="600"/>
      <w:jc w:val="left"/>
    </w:pPr>
    <w:rPr>
      <w:rFonts w:ascii="宋体"/>
      <w:szCs w:val="21"/>
    </w:rPr>
  </w:style>
  <w:style w:type="paragraph" w:styleId="19">
    <w:name w:val="index 3"/>
    <w:basedOn w:val="1"/>
    <w:next w:val="1"/>
    <w:qFormat/>
    <w:uiPriority w:val="0"/>
    <w:pPr>
      <w:ind w:left="630" w:hanging="210"/>
      <w:jc w:val="left"/>
    </w:pPr>
    <w:rPr>
      <w:rFonts w:ascii="Calibri" w:hAnsi="Calibri"/>
      <w:sz w:val="20"/>
      <w:szCs w:val="20"/>
    </w:rPr>
  </w:style>
  <w:style w:type="paragraph" w:styleId="20">
    <w:name w:val="Body Text Indent 2"/>
    <w:basedOn w:val="1"/>
    <w:qFormat/>
    <w:uiPriority w:val="0"/>
    <w:pPr>
      <w:spacing w:line="480" w:lineRule="auto"/>
      <w:ind w:left="420" w:leftChars="200"/>
    </w:pPr>
  </w:style>
  <w:style w:type="paragraph" w:styleId="21">
    <w:name w:val="endnote text"/>
    <w:basedOn w:val="1"/>
    <w:semiHidden/>
    <w:qFormat/>
    <w:uiPriority w:val="0"/>
    <w:pPr>
      <w:snapToGrid w:val="0"/>
      <w:jc w:val="left"/>
    </w:pPr>
  </w:style>
  <w:style w:type="paragraph" w:styleId="22">
    <w:name w:val="Balloon Text"/>
    <w:basedOn w:val="1"/>
    <w:link w:val="149"/>
    <w:qFormat/>
    <w:uiPriority w:val="0"/>
    <w:rPr>
      <w:sz w:val="18"/>
      <w:szCs w:val="18"/>
    </w:rPr>
  </w:style>
  <w:style w:type="paragraph" w:styleId="23">
    <w:name w:val="footer"/>
    <w:basedOn w:val="1"/>
    <w:link w:val="67"/>
    <w:qFormat/>
    <w:uiPriority w:val="99"/>
    <w:pPr>
      <w:snapToGrid w:val="0"/>
      <w:ind w:right="210" w:rightChars="100"/>
      <w:jc w:val="right"/>
    </w:pPr>
    <w:rPr>
      <w:sz w:val="18"/>
      <w:szCs w:val="18"/>
    </w:rPr>
  </w:style>
  <w:style w:type="paragraph" w:styleId="24">
    <w:name w:val="header"/>
    <w:basedOn w:val="1"/>
    <w:link w:val="68"/>
    <w:qFormat/>
    <w:uiPriority w:val="99"/>
    <w:pPr>
      <w:snapToGrid w:val="0"/>
      <w:jc w:val="left"/>
    </w:pPr>
    <w:rPr>
      <w:sz w:val="18"/>
      <w:szCs w:val="18"/>
    </w:rPr>
  </w:style>
  <w:style w:type="paragraph" w:styleId="25">
    <w:name w:val="toc 1"/>
    <w:basedOn w:val="1"/>
    <w:next w:val="1"/>
    <w:qFormat/>
    <w:uiPriority w:val="39"/>
    <w:pPr>
      <w:tabs>
        <w:tab w:val="right" w:leader="dot" w:pos="9241"/>
      </w:tabs>
      <w:spacing w:beforeLines="25" w:afterLines="25"/>
      <w:jc w:val="left"/>
    </w:pPr>
    <w:rPr>
      <w:rFonts w:ascii="宋体"/>
      <w:szCs w:val="21"/>
    </w:rPr>
  </w:style>
  <w:style w:type="paragraph" w:styleId="26">
    <w:name w:val="toc 4"/>
    <w:basedOn w:val="1"/>
    <w:next w:val="1"/>
    <w:semiHidden/>
    <w:qFormat/>
    <w:uiPriority w:val="0"/>
    <w:pPr>
      <w:tabs>
        <w:tab w:val="right" w:leader="dot" w:pos="9241"/>
      </w:tabs>
      <w:ind w:firstLine="198" w:firstLineChars="200"/>
      <w:jc w:val="left"/>
    </w:pPr>
    <w:rPr>
      <w:rFonts w:ascii="宋体"/>
      <w:szCs w:val="21"/>
    </w:rPr>
  </w:style>
  <w:style w:type="paragraph" w:styleId="27">
    <w:name w:val="index heading"/>
    <w:basedOn w:val="1"/>
    <w:next w:val="28"/>
    <w:qFormat/>
    <w:uiPriority w:val="0"/>
    <w:pPr>
      <w:spacing w:before="120" w:after="120"/>
      <w:jc w:val="center"/>
    </w:pPr>
    <w:rPr>
      <w:rFonts w:ascii="Calibri" w:hAnsi="Calibri"/>
      <w:b/>
      <w:bCs/>
      <w:iCs/>
      <w:szCs w:val="20"/>
    </w:rPr>
  </w:style>
  <w:style w:type="paragraph" w:styleId="28">
    <w:name w:val="index 1"/>
    <w:basedOn w:val="1"/>
    <w:next w:val="29"/>
    <w:qFormat/>
    <w:uiPriority w:val="0"/>
    <w:pPr>
      <w:tabs>
        <w:tab w:val="right" w:leader="dot" w:pos="9299"/>
      </w:tabs>
      <w:jc w:val="left"/>
    </w:pPr>
    <w:rPr>
      <w:rFonts w:ascii="宋体"/>
      <w:szCs w:val="21"/>
    </w:rPr>
  </w:style>
  <w:style w:type="paragraph" w:customStyle="1" w:styleId="29">
    <w:name w:val="段"/>
    <w:link w:val="51"/>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styleId="30">
    <w:name w:val="footnote text"/>
    <w:basedOn w:val="1"/>
    <w:qFormat/>
    <w:uiPriority w:val="0"/>
    <w:pPr>
      <w:numPr>
        <w:ilvl w:val="0"/>
        <w:numId w:val="2"/>
      </w:numPr>
      <w:snapToGrid w:val="0"/>
      <w:jc w:val="left"/>
    </w:pPr>
    <w:rPr>
      <w:rFonts w:ascii="宋体"/>
      <w:sz w:val="18"/>
      <w:szCs w:val="18"/>
    </w:rPr>
  </w:style>
  <w:style w:type="paragraph" w:styleId="31">
    <w:name w:val="toc 6"/>
    <w:basedOn w:val="1"/>
    <w:next w:val="1"/>
    <w:semiHidden/>
    <w:qFormat/>
    <w:uiPriority w:val="0"/>
    <w:pPr>
      <w:tabs>
        <w:tab w:val="right" w:leader="dot" w:pos="9241"/>
      </w:tabs>
      <w:ind w:firstLine="403" w:firstLineChars="400"/>
      <w:jc w:val="left"/>
    </w:pPr>
    <w:rPr>
      <w:rFonts w:ascii="宋体"/>
      <w:szCs w:val="21"/>
    </w:rPr>
  </w:style>
  <w:style w:type="paragraph" w:styleId="32">
    <w:name w:val="index 7"/>
    <w:basedOn w:val="1"/>
    <w:next w:val="1"/>
    <w:qFormat/>
    <w:uiPriority w:val="0"/>
    <w:pPr>
      <w:ind w:left="1470" w:hanging="210"/>
      <w:jc w:val="left"/>
    </w:pPr>
    <w:rPr>
      <w:rFonts w:ascii="Calibri" w:hAnsi="Calibri"/>
      <w:sz w:val="20"/>
      <w:szCs w:val="20"/>
    </w:rPr>
  </w:style>
  <w:style w:type="paragraph" w:styleId="33">
    <w:name w:val="index 9"/>
    <w:basedOn w:val="1"/>
    <w:next w:val="1"/>
    <w:qFormat/>
    <w:uiPriority w:val="0"/>
    <w:pPr>
      <w:ind w:left="1890" w:hanging="210"/>
      <w:jc w:val="left"/>
    </w:pPr>
    <w:rPr>
      <w:rFonts w:ascii="Calibri" w:hAnsi="Calibri"/>
      <w:sz w:val="20"/>
      <w:szCs w:val="20"/>
    </w:rPr>
  </w:style>
  <w:style w:type="paragraph" w:styleId="34">
    <w:name w:val="toc 2"/>
    <w:basedOn w:val="1"/>
    <w:next w:val="1"/>
    <w:qFormat/>
    <w:uiPriority w:val="39"/>
    <w:pPr>
      <w:tabs>
        <w:tab w:val="right" w:leader="dot" w:pos="9241"/>
      </w:tabs>
    </w:pPr>
    <w:rPr>
      <w:rFonts w:ascii="宋体"/>
      <w:szCs w:val="21"/>
    </w:rPr>
  </w:style>
  <w:style w:type="paragraph" w:styleId="35">
    <w:name w:val="toc 9"/>
    <w:basedOn w:val="1"/>
    <w:next w:val="1"/>
    <w:semiHidden/>
    <w:qFormat/>
    <w:uiPriority w:val="0"/>
    <w:pPr>
      <w:ind w:left="1470"/>
      <w:jc w:val="left"/>
    </w:pPr>
    <w:rPr>
      <w:sz w:val="20"/>
      <w:szCs w:val="20"/>
    </w:rPr>
  </w:style>
  <w:style w:type="paragraph" w:styleId="36">
    <w:name w:val="Normal (Web)"/>
    <w:basedOn w:val="1"/>
    <w:unhideWhenUsed/>
    <w:qFormat/>
    <w:uiPriority w:val="99"/>
    <w:pPr>
      <w:jc w:val="left"/>
    </w:pPr>
    <w:rPr>
      <w:kern w:val="0"/>
      <w:sz w:val="24"/>
    </w:rPr>
  </w:style>
  <w:style w:type="paragraph" w:styleId="37">
    <w:name w:val="index 2"/>
    <w:basedOn w:val="1"/>
    <w:next w:val="1"/>
    <w:qFormat/>
    <w:uiPriority w:val="0"/>
    <w:pPr>
      <w:ind w:left="420" w:hanging="210"/>
      <w:jc w:val="left"/>
    </w:pPr>
    <w:rPr>
      <w:rFonts w:ascii="Calibri" w:hAnsi="Calibri"/>
      <w:sz w:val="20"/>
      <w:szCs w:val="20"/>
    </w:rPr>
  </w:style>
  <w:style w:type="paragraph" w:styleId="38">
    <w:name w:val="annotation subject"/>
    <w:basedOn w:val="13"/>
    <w:next w:val="13"/>
    <w:link w:val="151"/>
    <w:qFormat/>
    <w:uiPriority w:val="0"/>
    <w:rPr>
      <w:b/>
      <w:bCs/>
    </w:rPr>
  </w:style>
  <w:style w:type="table" w:styleId="40">
    <w:name w:val="Table Grid"/>
    <w:basedOn w:val="39"/>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0"/>
    <w:rPr>
      <w:b/>
    </w:rPr>
  </w:style>
  <w:style w:type="character" w:styleId="43">
    <w:name w:val="endnote reference"/>
    <w:semiHidden/>
    <w:qFormat/>
    <w:uiPriority w:val="0"/>
    <w:rPr>
      <w:vertAlign w:val="superscript"/>
    </w:rPr>
  </w:style>
  <w:style w:type="character" w:styleId="44">
    <w:name w:val="page number"/>
    <w:qFormat/>
    <w:uiPriority w:val="0"/>
    <w:rPr>
      <w:rFonts w:ascii="Times New Roman" w:hAnsi="Times New Roman" w:eastAsia="宋体"/>
      <w:sz w:val="18"/>
    </w:rPr>
  </w:style>
  <w:style w:type="character" w:styleId="45">
    <w:name w:val="FollowedHyperlink"/>
    <w:qFormat/>
    <w:uiPriority w:val="0"/>
    <w:rPr>
      <w:color w:val="800080"/>
      <w:u w:val="single"/>
    </w:rPr>
  </w:style>
  <w:style w:type="character" w:styleId="46">
    <w:name w:val="Emphasis"/>
    <w:basedOn w:val="41"/>
    <w:qFormat/>
    <w:uiPriority w:val="0"/>
    <w:rPr>
      <w:i/>
    </w:rPr>
  </w:style>
  <w:style w:type="character" w:styleId="47">
    <w:name w:val="Hyperlink"/>
    <w:qFormat/>
    <w:uiPriority w:val="99"/>
    <w:rPr>
      <w:color w:val="0000FF"/>
      <w:spacing w:val="0"/>
      <w:w w:val="100"/>
      <w:szCs w:val="21"/>
      <w:u w:val="single"/>
    </w:rPr>
  </w:style>
  <w:style w:type="character" w:styleId="48">
    <w:name w:val="annotation reference"/>
    <w:qFormat/>
    <w:uiPriority w:val="0"/>
    <w:rPr>
      <w:sz w:val="21"/>
      <w:szCs w:val="21"/>
    </w:rPr>
  </w:style>
  <w:style w:type="character" w:styleId="49">
    <w:name w:val="footnote reference"/>
    <w:semiHidden/>
    <w:qFormat/>
    <w:uiPriority w:val="0"/>
    <w:rPr>
      <w:vertAlign w:val="superscript"/>
    </w:rPr>
  </w:style>
  <w:style w:type="character" w:customStyle="1" w:styleId="50">
    <w:name w:val="标题 1 Char"/>
    <w:basedOn w:val="41"/>
    <w:link w:val="4"/>
    <w:qFormat/>
    <w:uiPriority w:val="0"/>
    <w:rPr>
      <w:b/>
      <w:bCs/>
      <w:kern w:val="44"/>
      <w:sz w:val="44"/>
      <w:szCs w:val="44"/>
    </w:rPr>
  </w:style>
  <w:style w:type="character" w:customStyle="1" w:styleId="51">
    <w:name w:val="段 Char"/>
    <w:link w:val="29"/>
    <w:qFormat/>
    <w:uiPriority w:val="0"/>
    <w:rPr>
      <w:rFonts w:ascii="宋体"/>
      <w:sz w:val="21"/>
      <w:lang w:val="en-US" w:eastAsia="zh-CN" w:bidi="ar-SA"/>
    </w:rPr>
  </w:style>
  <w:style w:type="paragraph" w:customStyle="1" w:styleId="52">
    <w:name w:val="一级条标题"/>
    <w:next w:val="29"/>
    <w:qFormat/>
    <w:uiPriority w:val="0"/>
    <w:pPr>
      <w:numPr>
        <w:ilvl w:val="1"/>
        <w:numId w:val="3"/>
      </w:numPr>
      <w:spacing w:beforeLines="50" w:afterLines="50"/>
      <w:outlineLvl w:val="2"/>
    </w:pPr>
    <w:rPr>
      <w:rFonts w:ascii="黑体" w:hAnsi="Times New Roman" w:eastAsia="黑体" w:cs="Times New Roman"/>
      <w:sz w:val="21"/>
      <w:szCs w:val="21"/>
      <w:lang w:val="en-US" w:eastAsia="zh-CN" w:bidi="ar-SA"/>
    </w:rPr>
  </w:style>
  <w:style w:type="paragraph" w:customStyle="1" w:styleId="53">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54">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55">
    <w:name w:val="章标题"/>
    <w:next w:val="29"/>
    <w:qFormat/>
    <w:uiPriority w:val="0"/>
    <w:pPr>
      <w:numPr>
        <w:ilvl w:val="0"/>
        <w:numId w:val="3"/>
      </w:numPr>
      <w:spacing w:beforeLines="100" w:afterLines="100"/>
      <w:jc w:val="both"/>
      <w:outlineLvl w:val="1"/>
    </w:pPr>
    <w:rPr>
      <w:rFonts w:ascii="黑体" w:hAnsi="Times New Roman" w:eastAsia="黑体" w:cs="Times New Roman"/>
      <w:sz w:val="21"/>
      <w:lang w:val="en-US" w:eastAsia="zh-CN" w:bidi="ar-SA"/>
    </w:rPr>
  </w:style>
  <w:style w:type="paragraph" w:customStyle="1" w:styleId="56">
    <w:name w:val="二级条标题"/>
    <w:basedOn w:val="52"/>
    <w:next w:val="29"/>
    <w:qFormat/>
    <w:uiPriority w:val="0"/>
    <w:pPr>
      <w:numPr>
        <w:ilvl w:val="2"/>
      </w:numPr>
      <w:spacing w:before="50" w:after="50"/>
      <w:outlineLvl w:val="3"/>
    </w:pPr>
  </w:style>
  <w:style w:type="paragraph" w:customStyle="1" w:styleId="57">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58">
    <w:name w:val="列项——（一级）"/>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59">
    <w:name w:val="列项●（二级）"/>
    <w:qFormat/>
    <w:uiPriority w:val="0"/>
    <w:pPr>
      <w:numPr>
        <w:ilvl w:val="1"/>
        <w:numId w:val="4"/>
      </w:numPr>
      <w:tabs>
        <w:tab w:val="left" w:pos="840"/>
      </w:tabs>
      <w:jc w:val="both"/>
    </w:pPr>
    <w:rPr>
      <w:rFonts w:ascii="宋体" w:hAnsi="Times New Roman" w:eastAsia="宋体" w:cs="Times New Roman"/>
      <w:sz w:val="21"/>
      <w:lang w:val="en-US" w:eastAsia="zh-CN" w:bidi="ar-SA"/>
    </w:rPr>
  </w:style>
  <w:style w:type="paragraph" w:customStyle="1" w:styleId="60">
    <w:name w:val="目次、标准名称标题"/>
    <w:basedOn w:val="1"/>
    <w:next w:val="29"/>
    <w:qFormat/>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61">
    <w:name w:val="三级条标题"/>
    <w:basedOn w:val="56"/>
    <w:next w:val="29"/>
    <w:qFormat/>
    <w:uiPriority w:val="0"/>
    <w:pPr>
      <w:numPr>
        <w:ilvl w:val="3"/>
      </w:numPr>
      <w:outlineLvl w:val="4"/>
    </w:pPr>
  </w:style>
  <w:style w:type="paragraph" w:customStyle="1" w:styleId="62">
    <w:name w:val="示例"/>
    <w:next w:val="63"/>
    <w:qFormat/>
    <w:uiPriority w:val="0"/>
    <w:pPr>
      <w:widowControl w:val="0"/>
      <w:numPr>
        <w:ilvl w:val="0"/>
        <w:numId w:val="5"/>
      </w:numPr>
      <w:jc w:val="both"/>
    </w:pPr>
    <w:rPr>
      <w:rFonts w:ascii="宋体" w:hAnsi="Times New Roman" w:eastAsia="宋体" w:cs="Times New Roman"/>
      <w:sz w:val="18"/>
      <w:szCs w:val="18"/>
      <w:lang w:val="en-US" w:eastAsia="zh-CN" w:bidi="ar-SA"/>
    </w:rPr>
  </w:style>
  <w:style w:type="paragraph" w:customStyle="1" w:styleId="63">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64">
    <w:name w:val="数字编号列项（二级）"/>
    <w:qFormat/>
    <w:uiPriority w:val="0"/>
    <w:pPr>
      <w:numPr>
        <w:ilvl w:val="1"/>
        <w:numId w:val="6"/>
      </w:numPr>
      <w:jc w:val="both"/>
    </w:pPr>
    <w:rPr>
      <w:rFonts w:ascii="宋体" w:hAnsi="Times New Roman" w:eastAsia="宋体" w:cs="Times New Roman"/>
      <w:sz w:val="21"/>
      <w:lang w:val="en-US" w:eastAsia="zh-CN" w:bidi="ar-SA"/>
    </w:rPr>
  </w:style>
  <w:style w:type="paragraph" w:customStyle="1" w:styleId="65">
    <w:name w:val="四级条标题"/>
    <w:basedOn w:val="61"/>
    <w:next w:val="29"/>
    <w:qFormat/>
    <w:uiPriority w:val="0"/>
    <w:pPr>
      <w:numPr>
        <w:ilvl w:val="4"/>
      </w:numPr>
      <w:outlineLvl w:val="5"/>
    </w:pPr>
  </w:style>
  <w:style w:type="paragraph" w:customStyle="1" w:styleId="66">
    <w:name w:val="五级条标题"/>
    <w:basedOn w:val="65"/>
    <w:next w:val="29"/>
    <w:qFormat/>
    <w:uiPriority w:val="0"/>
    <w:pPr>
      <w:numPr>
        <w:ilvl w:val="5"/>
      </w:numPr>
      <w:outlineLvl w:val="6"/>
    </w:pPr>
  </w:style>
  <w:style w:type="character" w:customStyle="1" w:styleId="67">
    <w:name w:val="页脚 Char"/>
    <w:link w:val="23"/>
    <w:qFormat/>
    <w:uiPriority w:val="99"/>
    <w:rPr>
      <w:kern w:val="2"/>
      <w:sz w:val="18"/>
      <w:szCs w:val="18"/>
    </w:rPr>
  </w:style>
  <w:style w:type="character" w:customStyle="1" w:styleId="68">
    <w:name w:val="页眉 Char"/>
    <w:basedOn w:val="41"/>
    <w:link w:val="24"/>
    <w:qFormat/>
    <w:uiPriority w:val="99"/>
    <w:rPr>
      <w:kern w:val="2"/>
      <w:sz w:val="18"/>
      <w:szCs w:val="18"/>
    </w:rPr>
  </w:style>
  <w:style w:type="paragraph" w:customStyle="1" w:styleId="69">
    <w:name w:val="注："/>
    <w:next w:val="29"/>
    <w:qFormat/>
    <w:uiPriority w:val="0"/>
    <w:pPr>
      <w:widowControl w:val="0"/>
      <w:numPr>
        <w:ilvl w:val="0"/>
        <w:numId w:val="7"/>
      </w:numPr>
      <w:autoSpaceDE w:val="0"/>
      <w:autoSpaceDN w:val="0"/>
      <w:jc w:val="both"/>
    </w:pPr>
    <w:rPr>
      <w:rFonts w:ascii="宋体" w:hAnsi="Times New Roman" w:eastAsia="宋体" w:cs="Times New Roman"/>
      <w:sz w:val="18"/>
      <w:szCs w:val="18"/>
      <w:lang w:val="en-US" w:eastAsia="zh-CN" w:bidi="ar-SA"/>
    </w:rPr>
  </w:style>
  <w:style w:type="paragraph" w:customStyle="1" w:styleId="70">
    <w:name w:val="注×："/>
    <w:qFormat/>
    <w:uiPriority w:val="0"/>
    <w:pPr>
      <w:widowControl w:val="0"/>
      <w:numPr>
        <w:ilvl w:val="0"/>
        <w:numId w:val="8"/>
      </w:numPr>
      <w:autoSpaceDE w:val="0"/>
      <w:autoSpaceDN w:val="0"/>
      <w:jc w:val="both"/>
    </w:pPr>
    <w:rPr>
      <w:rFonts w:ascii="宋体" w:hAnsi="Times New Roman" w:eastAsia="宋体" w:cs="Times New Roman"/>
      <w:sz w:val="18"/>
      <w:szCs w:val="18"/>
      <w:lang w:val="en-US" w:eastAsia="zh-CN" w:bidi="ar-SA"/>
    </w:rPr>
  </w:style>
  <w:style w:type="paragraph" w:customStyle="1" w:styleId="71">
    <w:name w:val="字母编号列项（一级）"/>
    <w:qFormat/>
    <w:uiPriority w:val="0"/>
    <w:pPr>
      <w:numPr>
        <w:ilvl w:val="0"/>
        <w:numId w:val="6"/>
      </w:numPr>
      <w:jc w:val="both"/>
    </w:pPr>
    <w:rPr>
      <w:rFonts w:ascii="宋体" w:hAnsi="Times New Roman" w:eastAsia="宋体" w:cs="Times New Roman"/>
      <w:sz w:val="21"/>
      <w:lang w:val="en-US" w:eastAsia="zh-CN" w:bidi="ar-SA"/>
    </w:rPr>
  </w:style>
  <w:style w:type="paragraph" w:customStyle="1" w:styleId="72">
    <w:name w:val="列项◆（三级）"/>
    <w:basedOn w:val="1"/>
    <w:qFormat/>
    <w:uiPriority w:val="0"/>
    <w:pPr>
      <w:numPr>
        <w:ilvl w:val="2"/>
        <w:numId w:val="4"/>
      </w:numPr>
    </w:pPr>
    <w:rPr>
      <w:rFonts w:ascii="宋体"/>
      <w:szCs w:val="21"/>
    </w:rPr>
  </w:style>
  <w:style w:type="paragraph" w:customStyle="1" w:styleId="73">
    <w:name w:val="编号列项（三级）"/>
    <w:qFormat/>
    <w:uiPriority w:val="0"/>
    <w:pPr>
      <w:numPr>
        <w:ilvl w:val="2"/>
        <w:numId w:val="6"/>
      </w:numPr>
    </w:pPr>
    <w:rPr>
      <w:rFonts w:ascii="宋体" w:hAnsi="Times New Roman" w:eastAsia="宋体" w:cs="Times New Roman"/>
      <w:sz w:val="21"/>
      <w:lang w:val="en-US" w:eastAsia="zh-CN" w:bidi="ar-SA"/>
    </w:rPr>
  </w:style>
  <w:style w:type="paragraph" w:customStyle="1" w:styleId="74">
    <w:name w:val="示例×："/>
    <w:basedOn w:val="55"/>
    <w:qFormat/>
    <w:uiPriority w:val="0"/>
    <w:pPr>
      <w:numPr>
        <w:numId w:val="9"/>
      </w:numPr>
      <w:spacing w:beforeLines="0" w:afterLines="0"/>
      <w:outlineLvl w:val="9"/>
    </w:pPr>
    <w:rPr>
      <w:rFonts w:ascii="宋体" w:eastAsia="宋体"/>
      <w:sz w:val="18"/>
      <w:szCs w:val="18"/>
    </w:rPr>
  </w:style>
  <w:style w:type="paragraph" w:customStyle="1" w:styleId="75">
    <w:name w:val="二级无"/>
    <w:basedOn w:val="56"/>
    <w:qFormat/>
    <w:uiPriority w:val="0"/>
    <w:pPr>
      <w:spacing w:beforeLines="0" w:afterLines="0"/>
    </w:pPr>
    <w:rPr>
      <w:rFonts w:ascii="宋体" w:eastAsia="宋体"/>
    </w:rPr>
  </w:style>
  <w:style w:type="paragraph" w:customStyle="1" w:styleId="76">
    <w:name w:val="注：（正文）"/>
    <w:basedOn w:val="69"/>
    <w:next w:val="29"/>
    <w:qFormat/>
    <w:uiPriority w:val="0"/>
  </w:style>
  <w:style w:type="paragraph" w:customStyle="1" w:styleId="77">
    <w:name w:val="注×：（正文）"/>
    <w:qFormat/>
    <w:uiPriority w:val="0"/>
    <w:pPr>
      <w:numPr>
        <w:ilvl w:val="0"/>
        <w:numId w:val="10"/>
      </w:numPr>
      <w:jc w:val="both"/>
    </w:pPr>
    <w:rPr>
      <w:rFonts w:ascii="宋体" w:hAnsi="Times New Roman" w:eastAsia="宋体" w:cs="Times New Roman"/>
      <w:sz w:val="18"/>
      <w:szCs w:val="18"/>
      <w:lang w:val="en-US" w:eastAsia="zh-CN" w:bidi="ar-SA"/>
    </w:rPr>
  </w:style>
  <w:style w:type="paragraph" w:customStyle="1" w:styleId="78">
    <w:name w:val="标准标志"/>
    <w:next w:val="1"/>
    <w:qFormat/>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79">
    <w:name w:val="标准称谓"/>
    <w:next w:val="1"/>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80">
    <w:name w:val="标准书脚_偶数页"/>
    <w:qFormat/>
    <w:uiPriority w:val="0"/>
    <w:pPr>
      <w:spacing w:before="120"/>
      <w:ind w:left="221"/>
    </w:pPr>
    <w:rPr>
      <w:rFonts w:ascii="宋体" w:hAnsi="Times New Roman" w:eastAsia="宋体" w:cs="Times New Roman"/>
      <w:sz w:val="18"/>
      <w:szCs w:val="18"/>
      <w:lang w:val="en-US" w:eastAsia="zh-CN" w:bidi="ar-SA"/>
    </w:rPr>
  </w:style>
  <w:style w:type="paragraph" w:customStyle="1" w:styleId="81">
    <w:name w:val="标准书眉_偶数页"/>
    <w:basedOn w:val="54"/>
    <w:next w:val="1"/>
    <w:qFormat/>
    <w:uiPriority w:val="0"/>
    <w:pPr>
      <w:jc w:val="left"/>
    </w:pPr>
  </w:style>
  <w:style w:type="paragraph" w:customStyle="1" w:styleId="82">
    <w:name w:val="标准书眉一"/>
    <w:qFormat/>
    <w:uiPriority w:val="0"/>
    <w:pPr>
      <w:jc w:val="both"/>
    </w:pPr>
    <w:rPr>
      <w:rFonts w:ascii="Times New Roman" w:hAnsi="Times New Roman" w:eastAsia="宋体" w:cs="Times New Roman"/>
      <w:lang w:val="en-US" w:eastAsia="zh-CN" w:bidi="ar-SA"/>
    </w:rPr>
  </w:style>
  <w:style w:type="paragraph" w:customStyle="1" w:styleId="83">
    <w:name w:val="参考文献"/>
    <w:basedOn w:val="1"/>
    <w:next w:val="29"/>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84">
    <w:name w:val="参考文献、索引标题"/>
    <w:basedOn w:val="1"/>
    <w:next w:val="29"/>
    <w:qFormat/>
    <w:uiPriority w:val="0"/>
    <w:pPr>
      <w:keepNext/>
      <w:pageBreakBefore/>
      <w:widowControl/>
      <w:shd w:val="clear" w:color="FFFFFF" w:fill="FFFFFF"/>
      <w:spacing w:before="640" w:after="200"/>
      <w:jc w:val="center"/>
      <w:outlineLvl w:val="0"/>
    </w:pPr>
    <w:rPr>
      <w:rFonts w:ascii="黑体" w:eastAsia="黑体"/>
      <w:kern w:val="0"/>
      <w:szCs w:val="20"/>
    </w:rPr>
  </w:style>
  <w:style w:type="character" w:customStyle="1" w:styleId="85">
    <w:name w:val="发布"/>
    <w:qFormat/>
    <w:uiPriority w:val="0"/>
    <w:rPr>
      <w:rFonts w:ascii="黑体" w:eastAsia="黑体"/>
      <w:spacing w:val="85"/>
      <w:w w:val="100"/>
      <w:position w:val="3"/>
      <w:sz w:val="28"/>
      <w:szCs w:val="28"/>
    </w:rPr>
  </w:style>
  <w:style w:type="paragraph" w:customStyle="1" w:styleId="86">
    <w:name w:val="发布部门"/>
    <w:next w:val="29"/>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87">
    <w:name w:val="发布日期"/>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88">
    <w:name w:val="封面标准代替信息"/>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89">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90">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91">
    <w:name w:val="封面标准英文名称"/>
    <w:basedOn w:val="90"/>
    <w:qFormat/>
    <w:uiPriority w:val="0"/>
    <w:pPr>
      <w:framePr w:wrap="around"/>
      <w:spacing w:before="370" w:line="400" w:lineRule="exact"/>
    </w:pPr>
    <w:rPr>
      <w:rFonts w:ascii="Times New Roman"/>
      <w:sz w:val="28"/>
      <w:szCs w:val="28"/>
    </w:rPr>
  </w:style>
  <w:style w:type="paragraph" w:customStyle="1" w:styleId="92">
    <w:name w:val="封面一致性程度标识"/>
    <w:basedOn w:val="91"/>
    <w:qFormat/>
    <w:uiPriority w:val="0"/>
    <w:pPr>
      <w:framePr w:wrap="around"/>
      <w:spacing w:before="440"/>
    </w:pPr>
    <w:rPr>
      <w:rFonts w:ascii="宋体" w:eastAsia="宋体"/>
    </w:rPr>
  </w:style>
  <w:style w:type="paragraph" w:customStyle="1" w:styleId="93">
    <w:name w:val="封面标准文稿类别"/>
    <w:basedOn w:val="92"/>
    <w:qFormat/>
    <w:uiPriority w:val="0"/>
    <w:pPr>
      <w:framePr w:wrap="around"/>
      <w:spacing w:after="160" w:line="240" w:lineRule="auto"/>
    </w:pPr>
    <w:rPr>
      <w:sz w:val="24"/>
    </w:rPr>
  </w:style>
  <w:style w:type="paragraph" w:customStyle="1" w:styleId="94">
    <w:name w:val="封面标准文稿编辑信息"/>
    <w:basedOn w:val="93"/>
    <w:qFormat/>
    <w:uiPriority w:val="0"/>
    <w:pPr>
      <w:framePr w:wrap="around"/>
      <w:spacing w:before="180" w:line="180" w:lineRule="exact"/>
    </w:pPr>
    <w:rPr>
      <w:sz w:val="21"/>
    </w:rPr>
  </w:style>
  <w:style w:type="paragraph" w:customStyle="1" w:styleId="95">
    <w:name w:val="封面正文"/>
    <w:qFormat/>
    <w:uiPriority w:val="0"/>
    <w:pPr>
      <w:jc w:val="both"/>
    </w:pPr>
    <w:rPr>
      <w:rFonts w:ascii="Times New Roman" w:hAnsi="Times New Roman" w:eastAsia="宋体" w:cs="Times New Roman"/>
      <w:lang w:val="en-US" w:eastAsia="zh-CN" w:bidi="ar-SA"/>
    </w:rPr>
  </w:style>
  <w:style w:type="paragraph" w:customStyle="1" w:styleId="96">
    <w:name w:val="附录标识"/>
    <w:basedOn w:val="1"/>
    <w:next w:val="29"/>
    <w:qFormat/>
    <w:uiPriority w:val="0"/>
    <w:pPr>
      <w:keepNext/>
      <w:widowControl/>
      <w:numPr>
        <w:ilvl w:val="0"/>
        <w:numId w:val="11"/>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97">
    <w:name w:val="附录标题"/>
    <w:basedOn w:val="29"/>
    <w:next w:val="29"/>
    <w:qFormat/>
    <w:uiPriority w:val="0"/>
    <w:pPr>
      <w:ind w:firstLine="0" w:firstLineChars="0"/>
      <w:jc w:val="center"/>
    </w:pPr>
    <w:rPr>
      <w:rFonts w:ascii="黑体" w:eastAsia="黑体"/>
    </w:rPr>
  </w:style>
  <w:style w:type="paragraph" w:customStyle="1" w:styleId="98">
    <w:name w:val="附录表标号"/>
    <w:basedOn w:val="1"/>
    <w:next w:val="29"/>
    <w:qFormat/>
    <w:uiPriority w:val="0"/>
    <w:pPr>
      <w:numPr>
        <w:ilvl w:val="0"/>
        <w:numId w:val="12"/>
      </w:numPr>
      <w:tabs>
        <w:tab w:val="clear" w:pos="0"/>
      </w:tabs>
      <w:spacing w:line="14" w:lineRule="exact"/>
      <w:ind w:left="811" w:hanging="448"/>
      <w:jc w:val="center"/>
      <w:outlineLvl w:val="0"/>
    </w:pPr>
    <w:rPr>
      <w:color w:val="FFFFFF"/>
    </w:rPr>
  </w:style>
  <w:style w:type="paragraph" w:customStyle="1" w:styleId="99">
    <w:name w:val="附录表标题"/>
    <w:basedOn w:val="1"/>
    <w:next w:val="29"/>
    <w:qFormat/>
    <w:uiPriority w:val="0"/>
    <w:pPr>
      <w:numPr>
        <w:ilvl w:val="1"/>
        <w:numId w:val="12"/>
      </w:numPr>
      <w:tabs>
        <w:tab w:val="left" w:pos="180"/>
      </w:tabs>
      <w:spacing w:beforeLines="50" w:afterLines="50"/>
      <w:ind w:left="0" w:firstLine="0"/>
      <w:jc w:val="center"/>
    </w:pPr>
    <w:rPr>
      <w:rFonts w:ascii="黑体" w:eastAsia="黑体"/>
      <w:szCs w:val="21"/>
    </w:rPr>
  </w:style>
  <w:style w:type="paragraph" w:customStyle="1" w:styleId="100">
    <w:name w:val="附录二级条标题"/>
    <w:basedOn w:val="1"/>
    <w:next w:val="29"/>
    <w:qFormat/>
    <w:uiPriority w:val="0"/>
    <w:pPr>
      <w:widowControl/>
      <w:numPr>
        <w:ilvl w:val="3"/>
        <w:numId w:val="11"/>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101">
    <w:name w:val="附录二级无"/>
    <w:basedOn w:val="100"/>
    <w:qFormat/>
    <w:uiPriority w:val="0"/>
    <w:pPr>
      <w:tabs>
        <w:tab w:val="clear" w:pos="360"/>
      </w:tabs>
      <w:spacing w:beforeLines="0" w:afterLines="0"/>
    </w:pPr>
    <w:rPr>
      <w:rFonts w:ascii="宋体" w:eastAsia="宋体"/>
      <w:szCs w:val="21"/>
    </w:rPr>
  </w:style>
  <w:style w:type="paragraph" w:customStyle="1" w:styleId="102">
    <w:name w:val="附录公式"/>
    <w:basedOn w:val="29"/>
    <w:next w:val="29"/>
    <w:link w:val="103"/>
    <w:qFormat/>
    <w:uiPriority w:val="0"/>
  </w:style>
  <w:style w:type="character" w:customStyle="1" w:styleId="103">
    <w:name w:val="附录公式 Char"/>
    <w:basedOn w:val="51"/>
    <w:link w:val="102"/>
    <w:qFormat/>
    <w:uiPriority w:val="0"/>
    <w:rPr>
      <w:rFonts w:ascii="宋体"/>
      <w:sz w:val="21"/>
      <w:lang w:val="en-US" w:eastAsia="zh-CN" w:bidi="ar-SA"/>
    </w:rPr>
  </w:style>
  <w:style w:type="paragraph" w:customStyle="1" w:styleId="104">
    <w:name w:val="附录公式编号制表符"/>
    <w:basedOn w:val="1"/>
    <w:next w:val="29"/>
    <w:qFormat/>
    <w:uiPriority w:val="0"/>
    <w:pPr>
      <w:widowControl/>
      <w:tabs>
        <w:tab w:val="center" w:pos="4201"/>
        <w:tab w:val="right" w:leader="dot" w:pos="9298"/>
      </w:tabs>
      <w:autoSpaceDE w:val="0"/>
      <w:autoSpaceDN w:val="0"/>
    </w:pPr>
    <w:rPr>
      <w:rFonts w:ascii="宋体"/>
      <w:kern w:val="0"/>
      <w:szCs w:val="20"/>
    </w:rPr>
  </w:style>
  <w:style w:type="paragraph" w:customStyle="1" w:styleId="105">
    <w:name w:val="附录三级条标题"/>
    <w:basedOn w:val="100"/>
    <w:next w:val="29"/>
    <w:qFormat/>
    <w:uiPriority w:val="0"/>
    <w:pPr>
      <w:numPr>
        <w:ilvl w:val="4"/>
      </w:numPr>
      <w:outlineLvl w:val="4"/>
    </w:pPr>
  </w:style>
  <w:style w:type="paragraph" w:customStyle="1" w:styleId="106">
    <w:name w:val="附录三级无"/>
    <w:basedOn w:val="105"/>
    <w:qFormat/>
    <w:uiPriority w:val="0"/>
    <w:pPr>
      <w:tabs>
        <w:tab w:val="clear" w:pos="360"/>
      </w:tabs>
      <w:spacing w:beforeLines="0" w:afterLines="0"/>
    </w:pPr>
    <w:rPr>
      <w:rFonts w:ascii="宋体" w:eastAsia="宋体"/>
      <w:szCs w:val="21"/>
    </w:rPr>
  </w:style>
  <w:style w:type="paragraph" w:customStyle="1" w:styleId="107">
    <w:name w:val="附录数字编号列项（二级）"/>
    <w:qFormat/>
    <w:uiPriority w:val="0"/>
    <w:pPr>
      <w:numPr>
        <w:ilvl w:val="1"/>
        <w:numId w:val="13"/>
      </w:numPr>
    </w:pPr>
    <w:rPr>
      <w:rFonts w:ascii="宋体" w:hAnsi="Times New Roman" w:eastAsia="宋体" w:cs="Times New Roman"/>
      <w:sz w:val="21"/>
      <w:lang w:val="en-US" w:eastAsia="zh-CN" w:bidi="ar-SA"/>
    </w:rPr>
  </w:style>
  <w:style w:type="paragraph" w:customStyle="1" w:styleId="108">
    <w:name w:val="附录四级条标题"/>
    <w:basedOn w:val="105"/>
    <w:next w:val="29"/>
    <w:qFormat/>
    <w:uiPriority w:val="0"/>
    <w:pPr>
      <w:numPr>
        <w:ilvl w:val="5"/>
      </w:numPr>
      <w:outlineLvl w:val="5"/>
    </w:pPr>
  </w:style>
  <w:style w:type="paragraph" w:customStyle="1" w:styleId="109">
    <w:name w:val="附录四级无"/>
    <w:basedOn w:val="108"/>
    <w:qFormat/>
    <w:uiPriority w:val="0"/>
    <w:pPr>
      <w:tabs>
        <w:tab w:val="clear" w:pos="360"/>
      </w:tabs>
      <w:spacing w:beforeLines="0" w:afterLines="0"/>
    </w:pPr>
    <w:rPr>
      <w:rFonts w:ascii="宋体" w:eastAsia="宋体"/>
      <w:szCs w:val="21"/>
    </w:rPr>
  </w:style>
  <w:style w:type="paragraph" w:customStyle="1" w:styleId="110">
    <w:name w:val="附录图标号"/>
    <w:basedOn w:val="1"/>
    <w:qFormat/>
    <w:uiPriority w:val="0"/>
    <w:pPr>
      <w:keepNext/>
      <w:pageBreakBefore/>
      <w:widowControl/>
      <w:numPr>
        <w:ilvl w:val="0"/>
        <w:numId w:val="14"/>
      </w:numPr>
      <w:spacing w:line="14" w:lineRule="exact"/>
      <w:ind w:left="0" w:firstLine="363"/>
      <w:jc w:val="center"/>
      <w:outlineLvl w:val="0"/>
    </w:pPr>
    <w:rPr>
      <w:color w:val="FFFFFF"/>
    </w:rPr>
  </w:style>
  <w:style w:type="paragraph" w:customStyle="1" w:styleId="111">
    <w:name w:val="附录图标题"/>
    <w:basedOn w:val="1"/>
    <w:next w:val="29"/>
    <w:qFormat/>
    <w:uiPriority w:val="0"/>
    <w:pPr>
      <w:numPr>
        <w:ilvl w:val="1"/>
        <w:numId w:val="14"/>
      </w:numPr>
      <w:tabs>
        <w:tab w:val="left" w:pos="363"/>
      </w:tabs>
      <w:spacing w:beforeLines="50" w:afterLines="50"/>
      <w:ind w:left="0" w:firstLine="0"/>
      <w:jc w:val="center"/>
    </w:pPr>
    <w:rPr>
      <w:rFonts w:ascii="黑体" w:eastAsia="黑体"/>
      <w:szCs w:val="21"/>
    </w:rPr>
  </w:style>
  <w:style w:type="paragraph" w:customStyle="1" w:styleId="112">
    <w:name w:val="附录五级条标题"/>
    <w:basedOn w:val="108"/>
    <w:next w:val="29"/>
    <w:qFormat/>
    <w:uiPriority w:val="0"/>
    <w:pPr>
      <w:numPr>
        <w:ilvl w:val="0"/>
        <w:numId w:val="0"/>
      </w:numPr>
      <w:outlineLvl w:val="6"/>
    </w:pPr>
  </w:style>
  <w:style w:type="paragraph" w:customStyle="1" w:styleId="113">
    <w:name w:val="附录五级无"/>
    <w:basedOn w:val="112"/>
    <w:qFormat/>
    <w:uiPriority w:val="0"/>
    <w:pPr>
      <w:tabs>
        <w:tab w:val="clear" w:pos="360"/>
      </w:tabs>
      <w:spacing w:beforeLines="0" w:afterLines="0"/>
    </w:pPr>
    <w:rPr>
      <w:rFonts w:ascii="宋体" w:eastAsia="宋体"/>
      <w:szCs w:val="21"/>
    </w:rPr>
  </w:style>
  <w:style w:type="paragraph" w:customStyle="1" w:styleId="114">
    <w:name w:val="附录章标题"/>
    <w:next w:val="29"/>
    <w:qFormat/>
    <w:uiPriority w:val="0"/>
    <w:pPr>
      <w:numPr>
        <w:ilvl w:val="1"/>
        <w:numId w:val="11"/>
      </w:numPr>
      <w:tabs>
        <w:tab w:val="left" w:pos="360"/>
      </w:tabs>
      <w:wordWrap w:val="0"/>
      <w:overflowPunct w:val="0"/>
      <w:autoSpaceDE w:val="0"/>
      <w:spacing w:beforeLines="100" w:afterLines="100"/>
      <w:ind w:left="0"/>
      <w:jc w:val="both"/>
      <w:textAlignment w:val="baseline"/>
      <w:outlineLvl w:val="1"/>
    </w:pPr>
    <w:rPr>
      <w:rFonts w:ascii="黑体" w:hAnsi="Times New Roman" w:eastAsia="黑体" w:cs="Times New Roman"/>
      <w:kern w:val="21"/>
      <w:sz w:val="21"/>
      <w:lang w:val="en-US" w:eastAsia="zh-CN" w:bidi="ar-SA"/>
    </w:rPr>
  </w:style>
  <w:style w:type="paragraph" w:customStyle="1" w:styleId="115">
    <w:name w:val="附录一级条标题"/>
    <w:basedOn w:val="114"/>
    <w:next w:val="29"/>
    <w:qFormat/>
    <w:uiPriority w:val="0"/>
    <w:pPr>
      <w:numPr>
        <w:ilvl w:val="0"/>
        <w:numId w:val="0"/>
      </w:numPr>
      <w:autoSpaceDN w:val="0"/>
      <w:spacing w:beforeLines="50" w:afterLines="50"/>
      <w:outlineLvl w:val="2"/>
    </w:pPr>
  </w:style>
  <w:style w:type="paragraph" w:customStyle="1" w:styleId="116">
    <w:name w:val="附录一级无"/>
    <w:basedOn w:val="115"/>
    <w:qFormat/>
    <w:uiPriority w:val="0"/>
    <w:pPr>
      <w:tabs>
        <w:tab w:val="clear" w:pos="360"/>
      </w:tabs>
      <w:spacing w:beforeLines="0" w:afterLines="0"/>
    </w:pPr>
    <w:rPr>
      <w:rFonts w:ascii="宋体" w:eastAsia="宋体"/>
      <w:szCs w:val="21"/>
    </w:rPr>
  </w:style>
  <w:style w:type="paragraph" w:customStyle="1" w:styleId="117">
    <w:name w:val="附录字母编号列项（一级）"/>
    <w:qFormat/>
    <w:uiPriority w:val="0"/>
    <w:pPr>
      <w:numPr>
        <w:ilvl w:val="0"/>
        <w:numId w:val="13"/>
      </w:numPr>
    </w:pPr>
    <w:rPr>
      <w:rFonts w:ascii="宋体" w:hAnsi="Times New Roman" w:eastAsia="宋体" w:cs="Times New Roman"/>
      <w:sz w:val="21"/>
      <w:lang w:val="en-US" w:eastAsia="zh-CN" w:bidi="ar-SA"/>
    </w:rPr>
  </w:style>
  <w:style w:type="paragraph" w:customStyle="1" w:styleId="118">
    <w:name w:val="列项说明"/>
    <w:basedOn w:val="1"/>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19">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20">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21">
    <w:name w:val="其他标准标志"/>
    <w:basedOn w:val="78"/>
    <w:qFormat/>
    <w:uiPriority w:val="0"/>
    <w:pPr>
      <w:framePr w:w="6101" w:wrap="around" w:vAnchor="page" w:hAnchor="page" w:x="4673" w:y="942"/>
    </w:pPr>
    <w:rPr>
      <w:w w:val="130"/>
    </w:rPr>
  </w:style>
  <w:style w:type="paragraph" w:customStyle="1" w:styleId="122">
    <w:name w:val="其他标准称谓"/>
    <w:next w:val="1"/>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23">
    <w:name w:val="其他发布部门"/>
    <w:basedOn w:val="86"/>
    <w:qFormat/>
    <w:uiPriority w:val="0"/>
    <w:pPr>
      <w:framePr w:wrap="around" w:y="15310"/>
      <w:spacing w:line="0" w:lineRule="atLeast"/>
    </w:pPr>
    <w:rPr>
      <w:rFonts w:ascii="黑体" w:eastAsia="黑体"/>
      <w:b w:val="0"/>
    </w:rPr>
  </w:style>
  <w:style w:type="paragraph" w:customStyle="1" w:styleId="124">
    <w:name w:val="前言、引言标题"/>
    <w:next w:val="29"/>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25">
    <w:name w:val="三级无"/>
    <w:basedOn w:val="61"/>
    <w:qFormat/>
    <w:uiPriority w:val="0"/>
    <w:pPr>
      <w:spacing w:beforeLines="0" w:afterLines="0"/>
    </w:pPr>
    <w:rPr>
      <w:rFonts w:ascii="宋体" w:eastAsia="宋体"/>
    </w:rPr>
  </w:style>
  <w:style w:type="paragraph" w:customStyle="1" w:styleId="126">
    <w:name w:val="实施日期"/>
    <w:basedOn w:val="87"/>
    <w:qFormat/>
    <w:uiPriority w:val="0"/>
    <w:pPr>
      <w:framePr w:wrap="around" w:vAnchor="page" w:hAnchor="text"/>
      <w:jc w:val="right"/>
    </w:pPr>
  </w:style>
  <w:style w:type="paragraph" w:customStyle="1" w:styleId="127">
    <w:name w:val="示例后文字"/>
    <w:basedOn w:val="29"/>
    <w:next w:val="29"/>
    <w:qFormat/>
    <w:uiPriority w:val="0"/>
    <w:pPr>
      <w:ind w:firstLine="360"/>
    </w:pPr>
    <w:rPr>
      <w:sz w:val="18"/>
    </w:rPr>
  </w:style>
  <w:style w:type="paragraph" w:customStyle="1" w:styleId="128">
    <w:name w:val="首示例"/>
    <w:next w:val="29"/>
    <w:link w:val="129"/>
    <w:qFormat/>
    <w:uiPriority w:val="0"/>
    <w:pPr>
      <w:numPr>
        <w:ilvl w:val="0"/>
        <w:numId w:val="15"/>
      </w:numPr>
      <w:tabs>
        <w:tab w:val="left" w:pos="360"/>
      </w:tabs>
      <w:ind w:firstLine="0"/>
    </w:pPr>
    <w:rPr>
      <w:rFonts w:ascii="宋体" w:hAnsi="宋体" w:eastAsia="宋体" w:cs="Times New Roman"/>
      <w:kern w:val="2"/>
      <w:sz w:val="18"/>
      <w:szCs w:val="18"/>
      <w:lang w:val="en-US" w:eastAsia="zh-CN" w:bidi="ar-SA"/>
    </w:rPr>
  </w:style>
  <w:style w:type="character" w:customStyle="1" w:styleId="129">
    <w:name w:val="首示例 Char"/>
    <w:link w:val="128"/>
    <w:qFormat/>
    <w:uiPriority w:val="0"/>
    <w:rPr>
      <w:rFonts w:ascii="宋体" w:hAnsi="宋体"/>
      <w:kern w:val="2"/>
      <w:sz w:val="18"/>
      <w:szCs w:val="18"/>
    </w:rPr>
  </w:style>
  <w:style w:type="paragraph" w:customStyle="1" w:styleId="130">
    <w:name w:val="四级无"/>
    <w:basedOn w:val="65"/>
    <w:qFormat/>
    <w:uiPriority w:val="0"/>
    <w:pPr>
      <w:spacing w:beforeLines="0" w:afterLines="0"/>
    </w:pPr>
    <w:rPr>
      <w:rFonts w:ascii="宋体" w:eastAsia="宋体"/>
    </w:rPr>
  </w:style>
  <w:style w:type="paragraph" w:customStyle="1" w:styleId="131">
    <w:name w:val="条文脚注"/>
    <w:basedOn w:val="30"/>
    <w:qFormat/>
    <w:uiPriority w:val="0"/>
    <w:pPr>
      <w:numPr>
        <w:numId w:val="0"/>
      </w:numPr>
      <w:jc w:val="both"/>
    </w:pPr>
  </w:style>
  <w:style w:type="paragraph" w:customStyle="1" w:styleId="132">
    <w:name w:val="图标脚注说明"/>
    <w:basedOn w:val="29"/>
    <w:qFormat/>
    <w:uiPriority w:val="0"/>
    <w:pPr>
      <w:ind w:left="840" w:hanging="420" w:firstLineChars="0"/>
    </w:pPr>
    <w:rPr>
      <w:sz w:val="18"/>
      <w:szCs w:val="18"/>
    </w:rPr>
  </w:style>
  <w:style w:type="paragraph" w:customStyle="1" w:styleId="133">
    <w:name w:val="图表脚注说明"/>
    <w:basedOn w:val="1"/>
    <w:qFormat/>
    <w:uiPriority w:val="0"/>
    <w:pPr>
      <w:numPr>
        <w:ilvl w:val="0"/>
        <w:numId w:val="16"/>
      </w:numPr>
    </w:pPr>
    <w:rPr>
      <w:rFonts w:ascii="宋体"/>
      <w:sz w:val="18"/>
      <w:szCs w:val="18"/>
    </w:rPr>
  </w:style>
  <w:style w:type="paragraph" w:customStyle="1" w:styleId="134">
    <w:name w:val="图的脚注"/>
    <w:next w:val="29"/>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35">
    <w:name w:val="文献分类号"/>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36">
    <w:name w:val="五级无"/>
    <w:basedOn w:val="66"/>
    <w:qFormat/>
    <w:uiPriority w:val="0"/>
    <w:pPr>
      <w:spacing w:beforeLines="0" w:afterLines="0"/>
    </w:pPr>
    <w:rPr>
      <w:rFonts w:ascii="宋体" w:eastAsia="宋体"/>
    </w:rPr>
  </w:style>
  <w:style w:type="paragraph" w:customStyle="1" w:styleId="137">
    <w:name w:val="一级无"/>
    <w:basedOn w:val="52"/>
    <w:qFormat/>
    <w:uiPriority w:val="0"/>
    <w:pPr>
      <w:spacing w:beforeLines="0" w:afterLines="0"/>
    </w:pPr>
    <w:rPr>
      <w:rFonts w:ascii="宋体" w:eastAsia="宋体"/>
    </w:rPr>
  </w:style>
  <w:style w:type="paragraph" w:customStyle="1" w:styleId="138">
    <w:name w:val="正文表标题"/>
    <w:next w:val="29"/>
    <w:qFormat/>
    <w:uiPriority w:val="0"/>
    <w:pPr>
      <w:numPr>
        <w:ilvl w:val="0"/>
        <w:numId w:val="17"/>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39">
    <w:name w:val="正文公式编号制表符"/>
    <w:basedOn w:val="29"/>
    <w:next w:val="29"/>
    <w:qFormat/>
    <w:uiPriority w:val="0"/>
    <w:pPr>
      <w:ind w:firstLine="0" w:firstLineChars="0"/>
    </w:pPr>
  </w:style>
  <w:style w:type="paragraph" w:customStyle="1" w:styleId="140">
    <w:name w:val="正文图标题"/>
    <w:next w:val="29"/>
    <w:qFormat/>
    <w:uiPriority w:val="0"/>
    <w:pPr>
      <w:numPr>
        <w:ilvl w:val="0"/>
        <w:numId w:val="18"/>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41">
    <w:name w:val="终结线"/>
    <w:basedOn w:val="1"/>
    <w:qFormat/>
    <w:uiPriority w:val="0"/>
    <w:pPr>
      <w:framePr w:hSpace="181" w:vSpace="181" w:wrap="around" w:vAnchor="text" w:hAnchor="margin" w:xAlign="center" w:y="285"/>
    </w:pPr>
  </w:style>
  <w:style w:type="paragraph" w:customStyle="1" w:styleId="142">
    <w:name w:val="其他发布日期"/>
    <w:basedOn w:val="87"/>
    <w:qFormat/>
    <w:uiPriority w:val="0"/>
    <w:pPr>
      <w:framePr w:wrap="around" w:vAnchor="page" w:hAnchor="text" w:x="1419"/>
    </w:pPr>
  </w:style>
  <w:style w:type="paragraph" w:customStyle="1" w:styleId="143">
    <w:name w:val="其他实施日期"/>
    <w:basedOn w:val="126"/>
    <w:qFormat/>
    <w:uiPriority w:val="0"/>
    <w:pPr>
      <w:framePr w:wrap="around"/>
    </w:pPr>
  </w:style>
  <w:style w:type="paragraph" w:customStyle="1" w:styleId="144">
    <w:name w:val="封面标准名称2"/>
    <w:basedOn w:val="90"/>
    <w:qFormat/>
    <w:uiPriority w:val="0"/>
    <w:pPr>
      <w:framePr w:wrap="around" w:y="4469"/>
      <w:spacing w:beforeLines="630"/>
    </w:pPr>
  </w:style>
  <w:style w:type="paragraph" w:customStyle="1" w:styleId="145">
    <w:name w:val="封面标准英文名称2"/>
    <w:basedOn w:val="91"/>
    <w:qFormat/>
    <w:uiPriority w:val="0"/>
    <w:pPr>
      <w:framePr w:wrap="around" w:y="4469"/>
    </w:pPr>
  </w:style>
  <w:style w:type="paragraph" w:customStyle="1" w:styleId="146">
    <w:name w:val="封面一致性程度标识2"/>
    <w:basedOn w:val="92"/>
    <w:qFormat/>
    <w:uiPriority w:val="0"/>
    <w:pPr>
      <w:framePr w:wrap="around" w:y="4469"/>
    </w:pPr>
  </w:style>
  <w:style w:type="paragraph" w:customStyle="1" w:styleId="147">
    <w:name w:val="封面标准文稿类别2"/>
    <w:basedOn w:val="93"/>
    <w:qFormat/>
    <w:uiPriority w:val="0"/>
    <w:pPr>
      <w:framePr w:wrap="around" w:y="4469"/>
    </w:pPr>
  </w:style>
  <w:style w:type="paragraph" w:customStyle="1" w:styleId="148">
    <w:name w:val="封面标准文稿编辑信息2"/>
    <w:basedOn w:val="94"/>
    <w:qFormat/>
    <w:uiPriority w:val="0"/>
    <w:pPr>
      <w:framePr w:wrap="around" w:y="4469"/>
    </w:pPr>
  </w:style>
  <w:style w:type="character" w:customStyle="1" w:styleId="149">
    <w:name w:val="批注框文本 Char"/>
    <w:link w:val="22"/>
    <w:qFormat/>
    <w:uiPriority w:val="0"/>
    <w:rPr>
      <w:kern w:val="2"/>
      <w:sz w:val="18"/>
      <w:szCs w:val="18"/>
    </w:rPr>
  </w:style>
  <w:style w:type="character" w:customStyle="1" w:styleId="150">
    <w:name w:val="批注文字 Char"/>
    <w:link w:val="13"/>
    <w:qFormat/>
    <w:uiPriority w:val="0"/>
    <w:rPr>
      <w:kern w:val="2"/>
      <w:sz w:val="21"/>
      <w:szCs w:val="24"/>
    </w:rPr>
  </w:style>
  <w:style w:type="character" w:customStyle="1" w:styleId="151">
    <w:name w:val="批注主题 Char"/>
    <w:link w:val="38"/>
    <w:qFormat/>
    <w:uiPriority w:val="0"/>
    <w:rPr>
      <w:b/>
      <w:bCs/>
      <w:kern w:val="2"/>
      <w:sz w:val="21"/>
      <w:szCs w:val="24"/>
    </w:rPr>
  </w:style>
  <w:style w:type="paragraph" w:customStyle="1" w:styleId="152">
    <w:name w:val="列出段落1"/>
    <w:basedOn w:val="1"/>
    <w:qFormat/>
    <w:uiPriority w:val="34"/>
    <w:pPr>
      <w:ind w:firstLine="420" w:firstLineChars="200"/>
    </w:pPr>
  </w:style>
  <w:style w:type="paragraph" w:customStyle="1" w:styleId="153">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154">
    <w:name w:val="正文格式"/>
    <w:basedOn w:val="1"/>
    <w:link w:val="155"/>
    <w:qFormat/>
    <w:uiPriority w:val="0"/>
    <w:pPr>
      <w:topLinePunct/>
      <w:ind w:firstLine="420" w:firstLineChars="200"/>
    </w:pPr>
    <w:rPr>
      <w:rFonts w:ascii="宋体" w:hAnsi="宋体"/>
      <w:bCs/>
      <w:szCs w:val="21"/>
    </w:rPr>
  </w:style>
  <w:style w:type="character" w:customStyle="1" w:styleId="155">
    <w:name w:val="正文格式 Char"/>
    <w:link w:val="154"/>
    <w:qFormat/>
    <w:uiPriority w:val="0"/>
    <w:rPr>
      <w:rFonts w:ascii="宋体" w:hAnsi="宋体"/>
      <w:bCs/>
      <w:kern w:val="2"/>
      <w:sz w:val="21"/>
      <w:szCs w:val="21"/>
    </w:rPr>
  </w:style>
  <w:style w:type="paragraph" w:customStyle="1" w:styleId="156">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157">
    <w:name w:val="样式 标题 2"/>
    <w:basedOn w:val="5"/>
    <w:qFormat/>
    <w:uiPriority w:val="0"/>
    <w:rPr>
      <w:b w:val="0"/>
      <w:bCs w:val="0"/>
    </w:rPr>
  </w:style>
  <w:style w:type="paragraph" w:customStyle="1" w:styleId="158">
    <w:name w:val="样式1"/>
    <w:basedOn w:val="1"/>
    <w:qFormat/>
    <w:uiPriority w:val="0"/>
    <w:pPr>
      <w:numPr>
        <w:ilvl w:val="2"/>
        <w:numId w:val="1"/>
      </w:numPr>
    </w:p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microsoft.com/office/2006/relationships/keyMapCustomizations" Target="customization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E39D68-1362-493F-9FA9-C008F6F9F628}">
  <ds:schemaRefs/>
</ds:datastoreItem>
</file>

<file path=docProps/app.xml><?xml version="1.0" encoding="utf-8"?>
<Properties xmlns="http://schemas.openxmlformats.org/officeDocument/2006/extended-properties" xmlns:vt="http://schemas.openxmlformats.org/officeDocument/2006/docPropsVTypes">
  <Template>Normal.dotm</Template>
  <Company>zle</Company>
  <Pages>2</Pages>
  <Words>742</Words>
  <Characters>4234</Characters>
  <Lines>35</Lines>
  <Paragraphs>9</Paragraphs>
  <TotalTime>9</TotalTime>
  <ScaleCrop>false</ScaleCrop>
  <LinksUpToDate>false</LinksUpToDate>
  <CharactersWithSpaces>4967</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2017-03-20T06:44:00Z</dcterms:created>
  <dc:creator>CNIS</dc:creator>
  <cp:lastModifiedBy>谢礼</cp:lastModifiedBy>
  <cp:lastPrinted>2016-01-20T02:14:00Z</cp:lastPrinted>
  <dcterms:modified xsi:type="dcterms:W3CDTF">2026-04-14T08:01:50Z</dcterms:modified>
  <dc:title>标准名称</dc:title>
  <cp:revision>163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6835F297026E4D5A990D2765A186C92E</vt:lpwstr>
  </property>
</Properties>
</file>