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360" w:lineRule="auto"/>
        <w:jc w:val="both"/>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rPr>
        <w:drawing>
          <wp:anchor distT="0" distB="0" distL="114300" distR="114300" simplePos="0" relativeHeight="251660288" behindDoc="0" locked="0" layoutInCell="1" allowOverlap="1">
            <wp:simplePos x="0" y="0"/>
            <wp:positionH relativeFrom="column">
              <wp:posOffset>-728345</wp:posOffset>
            </wp:positionH>
            <wp:positionV relativeFrom="paragraph">
              <wp:posOffset>729615</wp:posOffset>
            </wp:positionV>
            <wp:extent cx="3771900" cy="851535"/>
            <wp:effectExtent l="0" t="0" r="0" b="635"/>
            <wp:wrapNone/>
            <wp:docPr id="3" name="图片 4" descr="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中国南方电网公司---横向标准组合"/>
                    <pic:cNvPicPr>
                      <a:picLocks noChangeAspect="1"/>
                    </pic:cNvPicPr>
                  </pic:nvPicPr>
                  <pic:blipFill>
                    <a:blip r:embed="rId4"/>
                    <a:stretch>
                      <a:fillRect/>
                    </a:stretch>
                  </pic:blipFill>
                  <pic:spPr>
                    <a:xfrm>
                      <a:off x="0" y="0"/>
                      <a:ext cx="3771900" cy="851535"/>
                    </a:xfrm>
                    <a:prstGeom prst="rect">
                      <a:avLst/>
                    </a:prstGeom>
                    <a:noFill/>
                    <a:ln>
                      <a:noFill/>
                    </a:ln>
                  </pic:spPr>
                </pic:pic>
              </a:graphicData>
            </a:graphic>
          </wp:anchor>
        </w:drawing>
      </w:r>
      <w:r>
        <w:rPr>
          <w:rFonts w:hint="eastAsia" w:ascii="方正仿宋_GBK" w:hAnsi="方正仿宋_GBK" w:eastAsia="方正仿宋_GBK" w:cs="方正仿宋_GBK"/>
          <w:color w:val="000000"/>
        </w:rPr>
        <w:drawing>
          <wp:anchor distT="0" distB="0" distL="114300" distR="114300" simplePos="0" relativeHeight="251659264" behindDoc="1" locked="0" layoutInCell="1" allowOverlap="1">
            <wp:simplePos x="0" y="0"/>
            <wp:positionH relativeFrom="column">
              <wp:posOffset>-1171575</wp:posOffset>
            </wp:positionH>
            <wp:positionV relativeFrom="paragraph">
              <wp:posOffset>-919480</wp:posOffset>
            </wp:positionV>
            <wp:extent cx="7602220" cy="8358505"/>
            <wp:effectExtent l="0" t="0" r="5080" b="10795"/>
            <wp:wrapNone/>
            <wp:docPr id="1" name="图片 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未命名"/>
                    <pic:cNvPicPr>
                      <a:picLocks noChangeAspect="1"/>
                    </pic:cNvPicPr>
                  </pic:nvPicPr>
                  <pic:blipFill>
                    <a:blip r:embed="rId5"/>
                    <a:stretch>
                      <a:fillRect/>
                    </a:stretch>
                  </pic:blipFill>
                  <pic:spPr>
                    <a:xfrm>
                      <a:off x="0" y="0"/>
                      <a:ext cx="7602220" cy="8358505"/>
                    </a:xfrm>
                    <a:prstGeom prst="rect">
                      <a:avLst/>
                    </a:prstGeom>
                    <a:noFill/>
                    <a:ln>
                      <a:noFill/>
                    </a:ln>
                  </pic:spPr>
                </pic:pic>
              </a:graphicData>
            </a:graphic>
          </wp:anchor>
        </w:drawing>
      </w: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rPr>
        <mc:AlternateContent>
          <mc:Choice Requires="wps">
            <w:drawing>
              <wp:anchor distT="0" distB="0" distL="114300" distR="114300" simplePos="0" relativeHeight="251661312" behindDoc="0" locked="0" layoutInCell="1" allowOverlap="1">
                <wp:simplePos x="0" y="0"/>
                <wp:positionH relativeFrom="margin">
                  <wp:posOffset>-296545</wp:posOffset>
                </wp:positionH>
                <wp:positionV relativeFrom="paragraph">
                  <wp:posOffset>104140</wp:posOffset>
                </wp:positionV>
                <wp:extent cx="5684520" cy="2066290"/>
                <wp:effectExtent l="0" t="0" r="0" b="0"/>
                <wp:wrapNone/>
                <wp:docPr id="6" name="矩形 6"/>
                <wp:cNvGraphicFramePr/>
                <a:graphic xmlns:a="http://schemas.openxmlformats.org/drawingml/2006/main">
                  <a:graphicData uri="http://schemas.microsoft.com/office/word/2010/wordprocessingShape">
                    <wps:wsp>
                      <wps:cNvSpPr/>
                      <wps:spPr>
                        <a:xfrm>
                          <a:off x="0" y="0"/>
                          <a:ext cx="5684520" cy="2066290"/>
                        </a:xfrm>
                        <a:prstGeom prst="rect">
                          <a:avLst/>
                        </a:prstGeom>
                        <a:noFill/>
                        <a:ln>
                          <a:noFill/>
                        </a:ln>
                        <a:effectLst/>
                      </wps:spPr>
                      <wps:txbx>
                        <w:txbxContent>
                          <w:p>
                            <w:pPr>
                              <w:keepNext w:val="0"/>
                              <w:keepLines w:val="0"/>
                              <w:pageBreakBefore w:val="0"/>
                              <w:widowControl w:val="0"/>
                              <w:kinsoku/>
                              <w:wordWrap/>
                              <w:overflowPunct/>
                              <w:topLinePunct w:val="0"/>
                              <w:bidi w:val="0"/>
                              <w:adjustRightInd/>
                              <w:snapToGrid/>
                              <w:spacing w:before="156" w:line="720" w:lineRule="auto"/>
                              <w:jc w:val="center"/>
                              <w:textAlignment w:val="auto"/>
                              <w:rPr>
                                <w:rFonts w:hint="default" w:ascii="黑体" w:hAnsi="黑体" w:eastAsia="黑体" w:cs="宋体"/>
                                <w:b/>
                                <w:color w:val="000000"/>
                                <w:sz w:val="48"/>
                                <w:szCs w:val="56"/>
                                <w:highlight w:val="none"/>
                                <w:u w:val="single"/>
                                <w:lang w:val="en-US" w:eastAsia="zh-CN"/>
                              </w:rPr>
                            </w:pPr>
                            <w:r>
                              <w:rPr>
                                <w:rFonts w:hint="eastAsia" w:ascii="黑体" w:hAnsi="黑体" w:eastAsia="黑体" w:cs="宋体"/>
                                <w:b/>
                                <w:color w:val="auto"/>
                                <w:sz w:val="48"/>
                                <w:szCs w:val="56"/>
                                <w:highlight w:val="none"/>
                                <w:u w:val="single"/>
                                <w:lang w:val="zh-CN" w:eastAsia="zh-CN"/>
                              </w:rPr>
                              <w:t>2026年南方电网数字电网集团（云南）有限公司AI计算服务器投标寻源项目</w:t>
                            </w:r>
                          </w:p>
                        </w:txbxContent>
                      </wps:txbx>
                      <wps:bodyPr upright="1"/>
                    </wps:wsp>
                  </a:graphicData>
                </a:graphic>
              </wp:anchor>
            </w:drawing>
          </mc:Choice>
          <mc:Fallback>
            <w:pict>
              <v:rect id="_x0000_s1026" o:spid="_x0000_s1026" o:spt="1" style="position:absolute;left:0pt;margin-left:-23.35pt;margin-top:8.2pt;height:162.7pt;width:447.6pt;mso-position-horizontal-relative:margin;z-index:251661312;mso-width-relative:page;mso-height-relative:page;" filled="f" stroked="f" coordsize="21600,21600" o:gfxdata="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FgAAAGRycy9QSwEC&#10;FAAUAAAACACHTuJAR/q0TdoAAAAKAQAADwAAAAAAAAABACAAAAA4AAAAZHJzL2Rvd25yZXYueG1s&#10;UEsBAhQAFAAAAAgAh07iQBkHhSqnAQAAUAMAAA4AAAAAAAAAAQAgAAAAPwEAAGRycy9lMm9Eb2Mu&#10;eG1sUEsFBgAAAAAGAAYAWQEAAFgFAAAAAA==&#10;">
                <v:fill on="f" focussize="0,0"/>
                <v:stroke on="f"/>
                <v:imagedata o:title=""/>
                <o:lock v:ext="edit" aspectratio="f"/>
                <v:textbox>
                  <w:txbxContent>
                    <w:p>
                      <w:pPr>
                        <w:keepNext w:val="0"/>
                        <w:keepLines w:val="0"/>
                        <w:pageBreakBefore w:val="0"/>
                        <w:widowControl w:val="0"/>
                        <w:kinsoku/>
                        <w:wordWrap/>
                        <w:overflowPunct/>
                        <w:topLinePunct w:val="0"/>
                        <w:bidi w:val="0"/>
                        <w:adjustRightInd/>
                        <w:snapToGrid/>
                        <w:spacing w:before="156" w:line="720" w:lineRule="auto"/>
                        <w:jc w:val="center"/>
                        <w:textAlignment w:val="auto"/>
                        <w:rPr>
                          <w:rFonts w:hint="default" w:ascii="黑体" w:hAnsi="黑体" w:eastAsia="黑体" w:cs="宋体"/>
                          <w:b/>
                          <w:color w:val="000000"/>
                          <w:sz w:val="48"/>
                          <w:szCs w:val="56"/>
                          <w:highlight w:val="none"/>
                          <w:u w:val="single"/>
                          <w:lang w:val="en-US" w:eastAsia="zh-CN"/>
                        </w:rPr>
                      </w:pPr>
                      <w:r>
                        <w:rPr>
                          <w:rFonts w:hint="eastAsia" w:ascii="黑体" w:hAnsi="黑体" w:eastAsia="黑体" w:cs="宋体"/>
                          <w:b/>
                          <w:color w:val="auto"/>
                          <w:sz w:val="48"/>
                          <w:szCs w:val="56"/>
                          <w:highlight w:val="none"/>
                          <w:u w:val="single"/>
                          <w:lang w:val="zh-CN" w:eastAsia="zh-CN"/>
                        </w:rPr>
                        <w:t>2026年南方电网数字电网集团（云南）有限公司AI计算服务器投标寻源项目</w:t>
                      </w:r>
                    </w:p>
                  </w:txbxContent>
                </v:textbox>
              </v:rect>
            </w:pict>
          </mc:Fallback>
        </mc:AlternateContent>
      </w: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rPr>
        <mc:AlternateContent>
          <mc:Choice Requires="wps">
            <w:drawing>
              <wp:anchor distT="0" distB="0" distL="114300" distR="114300" simplePos="0" relativeHeight="251662336" behindDoc="0" locked="0" layoutInCell="1" allowOverlap="1">
                <wp:simplePos x="0" y="0"/>
                <wp:positionH relativeFrom="column">
                  <wp:posOffset>-940435</wp:posOffset>
                </wp:positionH>
                <wp:positionV relativeFrom="paragraph">
                  <wp:posOffset>181610</wp:posOffset>
                </wp:positionV>
                <wp:extent cx="6346825" cy="7537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6346825" cy="753745"/>
                        </a:xfrm>
                        <a:prstGeom prst="rect">
                          <a:avLst/>
                        </a:prstGeom>
                        <a:noFill/>
                        <a:ln>
                          <a:noFill/>
                        </a:ln>
                        <a:effectLst/>
                      </wps:spPr>
                      <wps:txbx>
                        <w:txbxContent>
                          <w:p>
                            <w:pPr>
                              <w:wordWrap w:val="0"/>
                              <w:ind w:right="981" w:firstLine="1560" w:firstLineChars="185"/>
                              <w:jc w:val="right"/>
                              <w:rPr>
                                <w:rFonts w:ascii="文鼎CS大黑" w:eastAsia="方正粗宋简体"/>
                                <w:b/>
                                <w:color w:val="003B77"/>
                                <w:sz w:val="84"/>
                                <w:szCs w:val="84"/>
                              </w:rPr>
                            </w:pPr>
                            <w:r>
                              <w:rPr>
                                <w:rFonts w:hint="eastAsia" w:ascii="方正粗宋简体" w:eastAsia="方正粗宋简体"/>
                                <w:b/>
                                <w:color w:val="000080"/>
                                <w:sz w:val="84"/>
                                <w:szCs w:val="84"/>
                                <w:lang w:eastAsia="zh-CN"/>
                              </w:rPr>
                              <w:t>投标寻源</w:t>
                            </w:r>
                            <w:r>
                              <w:rPr>
                                <w:rFonts w:hint="eastAsia" w:ascii="方正粗宋简体" w:eastAsia="方正粗宋简体"/>
                                <w:b/>
                                <w:color w:val="000080"/>
                                <w:sz w:val="84"/>
                                <w:szCs w:val="84"/>
                                <w:lang w:val="en-US" w:eastAsia="zh-CN"/>
                              </w:rPr>
                              <w:t>需求方案</w:t>
                            </w:r>
                          </w:p>
                        </w:txbxContent>
                      </wps:txbx>
                      <wps:bodyPr upright="1"/>
                    </wps:wsp>
                  </a:graphicData>
                </a:graphic>
              </wp:anchor>
            </w:drawing>
          </mc:Choice>
          <mc:Fallback>
            <w:pict>
              <v:shape id="_x0000_s1026" o:spid="_x0000_s1026" o:spt="202" type="#_x0000_t202" style="position:absolute;left:0pt;margin-left:-74.05pt;margin-top:14.3pt;height:59.35pt;width:499.75pt;z-index:251662336;mso-width-relative:page;mso-height-relative:page;" filled="f" stroked="f" coordsize="21600,21600" o:gfxdata="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BYA&#10;AABkcnMvUEsBAhQAFAAAAAgAh07iQNC1PjHYAAAACwEAAA8AAAAAAAAAAQAgAAAAOAAAAGRycy9k&#10;b3ducmV2LnhtbFBLAQIUABQAAAAIAIdO4kD+oyI9swEAAFwDAAAOAAAAAAAAAAEAIAAAAD0BAABk&#10;cnMvZTJvRG9jLnhtbFBLBQYAAAAABgAGAFkBAABiBQAAAAA=&#10;">
                <v:fill on="f" focussize="0,0"/>
                <v:stroke on="f"/>
                <v:imagedata o:title=""/>
                <o:lock v:ext="edit" aspectratio="f"/>
                <v:textbox>
                  <w:txbxContent>
                    <w:p>
                      <w:pPr>
                        <w:wordWrap w:val="0"/>
                        <w:ind w:right="981" w:firstLine="1560" w:firstLineChars="185"/>
                        <w:jc w:val="right"/>
                        <w:rPr>
                          <w:rFonts w:ascii="文鼎CS大黑" w:eastAsia="方正粗宋简体"/>
                          <w:b/>
                          <w:color w:val="003B77"/>
                          <w:sz w:val="84"/>
                          <w:szCs w:val="84"/>
                        </w:rPr>
                      </w:pPr>
                      <w:r>
                        <w:rPr>
                          <w:rFonts w:hint="eastAsia" w:ascii="方正粗宋简体" w:eastAsia="方正粗宋简体"/>
                          <w:b/>
                          <w:color w:val="000080"/>
                          <w:sz w:val="84"/>
                          <w:szCs w:val="84"/>
                          <w:lang w:eastAsia="zh-CN"/>
                        </w:rPr>
                        <w:t>投标寻源</w:t>
                      </w:r>
                      <w:r>
                        <w:rPr>
                          <w:rFonts w:hint="eastAsia" w:ascii="方正粗宋简体" w:eastAsia="方正粗宋简体"/>
                          <w:b/>
                          <w:color w:val="000080"/>
                          <w:sz w:val="84"/>
                          <w:szCs w:val="84"/>
                          <w:lang w:val="en-US" w:eastAsia="zh-CN"/>
                        </w:rPr>
                        <w:t>需求方案</w:t>
                      </w:r>
                    </w:p>
                  </w:txbxContent>
                </v:textbox>
              </v:shape>
            </w:pict>
          </mc:Fallback>
        </mc:AlternateContent>
      </w: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p>
    <w:p>
      <w:pPr>
        <w:pStyle w:val="7"/>
        <w:spacing w:line="360" w:lineRule="auto"/>
        <w:jc w:val="both"/>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137795</wp:posOffset>
                </wp:positionV>
                <wp:extent cx="5273040" cy="514985"/>
                <wp:effectExtent l="0" t="0" r="0" b="0"/>
                <wp:wrapNone/>
                <wp:docPr id="5" name="文本框 5"/>
                <wp:cNvGraphicFramePr/>
                <a:graphic xmlns:a="http://schemas.openxmlformats.org/drawingml/2006/main">
                  <a:graphicData uri="http://schemas.microsoft.com/office/word/2010/wordprocessingShape">
                    <wps:wsp>
                      <wps:cNvSpPr txBox="1"/>
                      <wps:spPr>
                        <a:xfrm>
                          <a:off x="0" y="0"/>
                          <a:ext cx="5273040" cy="514985"/>
                        </a:xfrm>
                        <a:prstGeom prst="rect">
                          <a:avLst/>
                        </a:prstGeom>
                        <a:noFill/>
                        <a:ln>
                          <a:noFill/>
                        </a:ln>
                        <a:effectLst/>
                      </wps:spPr>
                      <wps:txbx>
                        <w:txbxContent>
                          <w:p>
                            <w:pPr>
                              <w:autoSpaceDE w:val="0"/>
                              <w:autoSpaceDN w:val="0"/>
                              <w:adjustRightInd w:val="0"/>
                              <w:jc w:val="center"/>
                              <w:rPr>
                                <w:rFonts w:hint="default" w:eastAsia="仿宋"/>
                                <w:b/>
                                <w:sz w:val="32"/>
                                <w:szCs w:val="32"/>
                                <w:u w:val="single"/>
                                <w:lang w:val="en-US"/>
                              </w:rPr>
                            </w:pPr>
                            <w:r>
                              <w:rPr>
                                <w:rFonts w:hint="eastAsia" w:ascii="黑体" w:hAnsi="黑体" w:eastAsia="黑体"/>
                                <w:b/>
                                <w:sz w:val="28"/>
                                <w:szCs w:val="32"/>
                                <w:u w:val="single"/>
                                <w:lang w:val="en-US" w:eastAsia="zh-CN"/>
                              </w:rPr>
                              <w:t>2026年9月</w:t>
                            </w:r>
                          </w:p>
                        </w:txbxContent>
                      </wps:txbx>
                      <wps:bodyPr upright="1"/>
                    </wps:wsp>
                  </a:graphicData>
                </a:graphic>
              </wp:anchor>
            </w:drawing>
          </mc:Choice>
          <mc:Fallback>
            <w:pict>
              <v:shape id="_x0000_s1026" o:spid="_x0000_s1026" o:spt="202" type="#_x0000_t202" style="position:absolute;left:0pt;margin-left:0.15pt;margin-top:10.85pt;height:40.55pt;width:415.2pt;z-index:251663360;mso-width-relative:page;mso-height-relative:page;" filled="f" stroked="f" coordsize="21600,21600" o:gfxdata="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FgAAAGRy&#10;cy9QSwECFAAUAAAACACHTuJAaxr+E9QAAAAHAQAADwAAAAAAAAABACAAAAA4AAAAZHJzL2Rvd25y&#10;ZXYueG1sUEsBAhQAFAAAAAgAh07iQJcRZsqzAQAAXAMAAA4AAAAAAAAAAQAgAAAAOQEAAGRycy9l&#10;Mm9Eb2MueG1sUEsFBgAAAAAGAAYAWQEAAF4FAAAAAA==&#10;">
                <v:fill on="f" focussize="0,0"/>
                <v:stroke on="f"/>
                <v:imagedata o:title=""/>
                <o:lock v:ext="edit" aspectratio="f"/>
                <v:textbox>
                  <w:txbxContent>
                    <w:p>
                      <w:pPr>
                        <w:autoSpaceDE w:val="0"/>
                        <w:autoSpaceDN w:val="0"/>
                        <w:adjustRightInd w:val="0"/>
                        <w:jc w:val="center"/>
                        <w:rPr>
                          <w:rFonts w:hint="default" w:eastAsia="仿宋"/>
                          <w:b/>
                          <w:sz w:val="32"/>
                          <w:szCs w:val="32"/>
                          <w:u w:val="single"/>
                          <w:lang w:val="en-US"/>
                        </w:rPr>
                      </w:pPr>
                      <w:r>
                        <w:rPr>
                          <w:rFonts w:hint="eastAsia" w:ascii="黑体" w:hAnsi="黑体" w:eastAsia="黑体"/>
                          <w:b/>
                          <w:sz w:val="28"/>
                          <w:szCs w:val="32"/>
                          <w:u w:val="single"/>
                          <w:lang w:val="en-US" w:eastAsia="zh-CN"/>
                        </w:rPr>
                        <w:t>2026年9月</w:t>
                      </w:r>
                    </w:p>
                  </w:txbxContent>
                </v:textbox>
              </v:shape>
            </w:pict>
          </mc:Fallback>
        </mc:AlternateContent>
      </w:r>
    </w:p>
    <w:p>
      <w:pPr>
        <w:rPr>
          <w:rFonts w:hint="eastAsia" w:ascii="方正仿宋_GBK" w:hAnsi="方正仿宋_GBK" w:eastAsia="方正仿宋_GBK" w:cs="方正仿宋_GBK"/>
          <w:sz w:val="32"/>
          <w:szCs w:val="32"/>
          <w:lang w:val="en-US" w:eastAsia="zh-CN"/>
        </w:rPr>
      </w:pPr>
    </w:p>
    <w:p>
      <w:pPr>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br w:type="page"/>
      </w:r>
    </w:p>
    <w:p>
      <w:pPr>
        <w:pStyle w:val="2"/>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一、询价邀请函</w:t>
      </w:r>
    </w:p>
    <w:p>
      <w:pPr>
        <w:jc w:val="center"/>
        <w:rPr>
          <w:rFonts w:hint="eastAsia" w:ascii="仿宋" w:hAnsi="仿宋" w:eastAsia="仿宋" w:cs="仿宋"/>
          <w:b/>
          <w:bCs/>
          <w:color w:val="auto"/>
          <w:sz w:val="36"/>
          <w:szCs w:val="40"/>
          <w:lang w:val="en-US" w:eastAsia="zh-CN"/>
        </w:rPr>
      </w:pPr>
      <w:r>
        <w:rPr>
          <w:rFonts w:hint="eastAsia" w:ascii="仿宋" w:hAnsi="仿宋" w:eastAsia="仿宋" w:cs="仿宋"/>
          <w:b/>
          <w:bCs/>
          <w:color w:val="auto"/>
          <w:sz w:val="36"/>
          <w:szCs w:val="40"/>
          <w:lang w:val="en-US" w:eastAsia="zh-CN"/>
        </w:rPr>
        <w:t>2026年南方电网数字电网集团（云南）有限公司AI计算服务器投标寻源项目询价邀请函</w:t>
      </w:r>
    </w:p>
    <w:p>
      <w:pPr>
        <w:pStyle w:val="4"/>
        <w:rPr>
          <w:rFonts w:hint="eastAsia" w:ascii="仿宋" w:hAnsi="仿宋" w:eastAsia="仿宋" w:cs="仿宋"/>
        </w:rPr>
      </w:pP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各供应商：</w:t>
      </w:r>
    </w:p>
    <w:p>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highlight w:val="none"/>
        </w:rPr>
        <w:t>您好！</w:t>
      </w:r>
      <w:r>
        <w:rPr>
          <w:rFonts w:hint="eastAsia" w:ascii="仿宋" w:hAnsi="仿宋" w:eastAsia="仿宋" w:cs="仿宋"/>
          <w:color w:val="auto"/>
          <w:sz w:val="24"/>
          <w:szCs w:val="24"/>
          <w:highlight w:val="none"/>
          <w:lang w:eastAsia="zh-CN"/>
        </w:rPr>
        <w:t>南方电网数字电网集团（</w:t>
      </w:r>
      <w:r>
        <w:rPr>
          <w:rFonts w:hint="eastAsia" w:ascii="仿宋" w:hAnsi="仿宋" w:eastAsia="仿宋" w:cs="仿宋"/>
          <w:color w:val="auto"/>
          <w:sz w:val="24"/>
          <w:szCs w:val="24"/>
          <w:highlight w:val="none"/>
          <w:lang w:val="en-US" w:eastAsia="zh-CN"/>
        </w:rPr>
        <w:t>云南</w:t>
      </w:r>
      <w:r>
        <w:rPr>
          <w:rFonts w:hint="eastAsia" w:ascii="仿宋" w:hAnsi="仿宋" w:eastAsia="仿宋" w:cs="仿宋"/>
          <w:color w:val="auto"/>
          <w:sz w:val="24"/>
          <w:szCs w:val="24"/>
          <w:highlight w:val="none"/>
          <w:lang w:eastAsia="zh-CN"/>
        </w:rPr>
        <w:t>）有限公司</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以下</w:t>
      </w:r>
      <w:r>
        <w:rPr>
          <w:rFonts w:hint="eastAsia" w:ascii="仿宋" w:hAnsi="仿宋" w:eastAsia="仿宋" w:cs="仿宋"/>
          <w:color w:val="auto"/>
          <w:sz w:val="24"/>
          <w:szCs w:val="24"/>
          <w:highlight w:val="none"/>
        </w:rPr>
        <w:t>简称我公司）拟参</w:t>
      </w:r>
      <w:r>
        <w:rPr>
          <w:rFonts w:hint="eastAsia" w:ascii="仿宋" w:hAnsi="仿宋" w:eastAsia="仿宋" w:cs="仿宋"/>
          <w:color w:val="auto"/>
          <w:sz w:val="24"/>
          <w:szCs w:val="24"/>
          <w:u w:val="none"/>
        </w:rPr>
        <w:t>与与</w:t>
      </w:r>
      <w:r>
        <w:rPr>
          <w:rFonts w:hint="eastAsia" w:ascii="仿宋" w:hAnsi="仿宋" w:eastAsia="仿宋" w:cs="仿宋"/>
          <w:b/>
          <w:bCs/>
          <w:color w:val="0000EE"/>
          <w:sz w:val="24"/>
          <w:szCs w:val="24"/>
          <w:highlight w:val="none"/>
          <w:u w:val="single"/>
          <w:lang w:val="en-US" w:eastAsia="zh-CN"/>
        </w:rPr>
        <w:t>某招标项目</w:t>
      </w:r>
      <w:r>
        <w:rPr>
          <w:rFonts w:hint="eastAsia" w:ascii="仿宋" w:hAnsi="仿宋" w:eastAsia="仿宋" w:cs="仿宋"/>
          <w:color w:val="auto"/>
          <w:sz w:val="24"/>
          <w:szCs w:val="24"/>
        </w:rPr>
        <w:t>投</w:t>
      </w:r>
      <w:r>
        <w:rPr>
          <w:rFonts w:hint="eastAsia" w:ascii="仿宋" w:hAnsi="仿宋" w:eastAsia="仿宋" w:cs="仿宋"/>
          <w:sz w:val="24"/>
          <w:szCs w:val="24"/>
        </w:rPr>
        <w:t>标</w:t>
      </w:r>
      <w:r>
        <w:rPr>
          <w:rFonts w:hint="eastAsia" w:ascii="仿宋" w:hAnsi="仿宋" w:eastAsia="仿宋" w:cs="仿宋"/>
          <w:sz w:val="24"/>
          <w:szCs w:val="24"/>
          <w:highlight w:val="none"/>
        </w:rPr>
        <w:t>，特邀请贵单位参与我公司该项目设备</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询价，相关内容如下</w:t>
      </w:r>
      <w:r>
        <w:rPr>
          <w:rFonts w:hint="eastAsia" w:ascii="仿宋" w:hAnsi="仿宋" w:eastAsia="仿宋" w:cs="仿宋"/>
          <w:sz w:val="24"/>
          <w:szCs w:val="24"/>
        </w:rPr>
        <w:t>：</w:t>
      </w:r>
    </w:p>
    <w:p>
      <w:pPr>
        <w:pStyle w:val="3"/>
        <w:numPr>
          <w:ilvl w:val="0"/>
          <w:numId w:val="1"/>
        </w:numPr>
        <w:bidi w:val="0"/>
        <w:ind w:left="0" w:leftChars="0" w:firstLine="0" w:firstLineChars="0"/>
        <w:rPr>
          <w:rFonts w:hint="eastAsia" w:ascii="仿宋" w:hAnsi="仿宋" w:eastAsia="仿宋" w:cs="仿宋"/>
          <w:sz w:val="24"/>
          <w:szCs w:val="24"/>
          <w:highlight w:val="none"/>
          <w:lang w:val="en-US" w:eastAsia="zh-CN"/>
        </w:rPr>
      </w:pPr>
      <w:bookmarkStart w:id="0" w:name="_Toc24330"/>
      <w:r>
        <w:rPr>
          <w:rFonts w:hint="eastAsia" w:ascii="仿宋" w:hAnsi="仿宋" w:eastAsia="仿宋" w:cs="仿宋"/>
          <w:sz w:val="24"/>
          <w:szCs w:val="24"/>
          <w:highlight w:val="none"/>
          <w:lang w:val="en-US" w:eastAsia="zh-CN"/>
        </w:rPr>
        <w:t>项目概况</w:t>
      </w:r>
      <w:bookmarkEnd w:id="0"/>
      <w:r>
        <w:rPr>
          <w:rFonts w:hint="eastAsia" w:ascii="仿宋" w:hAnsi="仿宋" w:eastAsia="仿宋" w:cs="仿宋"/>
          <w:sz w:val="24"/>
          <w:szCs w:val="24"/>
          <w:highlight w:val="none"/>
          <w:lang w:val="en-US" w:eastAsia="zh-CN"/>
        </w:rPr>
        <w:t>：</w:t>
      </w:r>
    </w:p>
    <w:p>
      <w:pPr>
        <w:tabs>
          <w:tab w:val="left" w:pos="5880"/>
        </w:tabs>
        <w:snapToGrid w:val="0"/>
        <w:spacing w:line="360" w:lineRule="auto"/>
        <w:ind w:firstLine="480" w:firstLineChars="200"/>
        <w:outlineLvl w:val="9"/>
        <w:rPr>
          <w:rFonts w:hint="eastAsia" w:ascii="仿宋" w:hAnsi="仿宋" w:eastAsia="仿宋" w:cs="仿宋"/>
          <w:b w:val="0"/>
          <w:bCs w:val="0"/>
          <w:color w:val="auto"/>
          <w:sz w:val="24"/>
          <w:szCs w:val="24"/>
          <w:highlight w:val="none"/>
          <w:lang w:eastAsia="zh-CN"/>
        </w:rPr>
      </w:pPr>
      <w:bookmarkStart w:id="1" w:name="_Toc2664"/>
      <w:r>
        <w:rPr>
          <w:rFonts w:hint="eastAsia" w:ascii="仿宋" w:hAnsi="仿宋" w:eastAsia="仿宋" w:cs="仿宋"/>
          <w:b w:val="0"/>
          <w:bCs w:val="0"/>
          <w:sz w:val="24"/>
          <w:szCs w:val="24"/>
          <w:highlight w:val="none"/>
        </w:rPr>
        <w:t>根据项目需要，</w:t>
      </w:r>
      <w:r>
        <w:rPr>
          <w:rFonts w:hint="eastAsia" w:ascii="仿宋" w:hAnsi="仿宋" w:eastAsia="仿宋" w:cs="仿宋"/>
          <w:b w:val="0"/>
          <w:bCs w:val="0"/>
          <w:sz w:val="24"/>
          <w:szCs w:val="24"/>
          <w:highlight w:val="none"/>
          <w:lang w:val="en-US" w:eastAsia="zh-CN"/>
        </w:rPr>
        <w:t>我公司</w:t>
      </w:r>
      <w:r>
        <w:rPr>
          <w:rFonts w:hint="eastAsia" w:ascii="仿宋" w:hAnsi="仿宋" w:eastAsia="仿宋" w:cs="仿宋"/>
          <w:b w:val="0"/>
          <w:bCs w:val="0"/>
          <w:sz w:val="24"/>
          <w:szCs w:val="24"/>
          <w:highlight w:val="none"/>
        </w:rPr>
        <w:t>拟对下表所列产品进行</w:t>
      </w:r>
      <w:r>
        <w:rPr>
          <w:rFonts w:hint="eastAsia" w:ascii="仿宋" w:hAnsi="仿宋" w:eastAsia="仿宋" w:cs="仿宋"/>
          <w:b w:val="0"/>
          <w:bCs w:val="0"/>
          <w:sz w:val="24"/>
          <w:szCs w:val="24"/>
          <w:highlight w:val="none"/>
          <w:lang w:val="en-US" w:eastAsia="zh-CN"/>
        </w:rPr>
        <w:t>投标寻源：</w:t>
      </w:r>
    </w:p>
    <w:tbl>
      <w:tblPr>
        <w:tblStyle w:val="17"/>
        <w:tblW w:w="7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826"/>
        <w:gridCol w:w="960"/>
        <w:gridCol w:w="644"/>
        <w:gridCol w:w="741"/>
        <w:gridCol w:w="741"/>
        <w:gridCol w:w="1076"/>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694"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lang w:val="en-US" w:eastAsia="zh-CN"/>
              </w:rPr>
            </w:pPr>
            <w:r>
              <w:rPr>
                <w:rFonts w:hint="eastAsia" w:ascii="仿宋" w:hAnsi="仿宋" w:eastAsia="仿宋" w:cs="仿宋"/>
                <w:i w:val="0"/>
                <w:iCs w:val="0"/>
                <w:caps w:val="0"/>
                <w:color w:val="auto"/>
                <w:spacing w:val="0"/>
                <w:sz w:val="20"/>
                <w:szCs w:val="20"/>
              </w:rPr>
              <w:t>序号</w:t>
            </w:r>
          </w:p>
        </w:tc>
        <w:tc>
          <w:tcPr>
            <w:tcW w:w="1826"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lang w:val="en-US" w:eastAsia="zh-CN"/>
              </w:rPr>
            </w:pPr>
            <w:r>
              <w:rPr>
                <w:rFonts w:hint="eastAsia" w:ascii="仿宋" w:hAnsi="仿宋" w:eastAsia="仿宋" w:cs="仿宋"/>
                <w:i w:val="0"/>
                <w:iCs w:val="0"/>
                <w:caps w:val="0"/>
                <w:color w:val="auto"/>
                <w:spacing w:val="0"/>
                <w:sz w:val="20"/>
                <w:szCs w:val="20"/>
                <w:lang w:val="en-US" w:eastAsia="zh-CN"/>
              </w:rPr>
              <w:t>标包</w:t>
            </w:r>
            <w:r>
              <w:rPr>
                <w:rFonts w:hint="eastAsia" w:ascii="仿宋" w:hAnsi="仿宋" w:eastAsia="仿宋" w:cs="仿宋"/>
                <w:i w:val="0"/>
                <w:iCs w:val="0"/>
                <w:caps w:val="0"/>
                <w:color w:val="auto"/>
                <w:spacing w:val="0"/>
                <w:sz w:val="20"/>
                <w:szCs w:val="20"/>
              </w:rPr>
              <w:t>名称</w:t>
            </w:r>
          </w:p>
        </w:tc>
        <w:tc>
          <w:tcPr>
            <w:tcW w:w="960"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lang w:val="en-US" w:eastAsia="zh-CN"/>
              </w:rPr>
              <w:t>标包寻源估算金额</w:t>
            </w:r>
          </w:p>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lang w:val="en-US" w:eastAsia="zh-CN"/>
              </w:rPr>
              <w:t>（万元）</w:t>
            </w:r>
          </w:p>
        </w:tc>
        <w:tc>
          <w:tcPr>
            <w:tcW w:w="644"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rPr>
            </w:pPr>
            <w:r>
              <w:rPr>
                <w:rFonts w:hint="eastAsia" w:ascii="仿宋" w:hAnsi="仿宋" w:eastAsia="仿宋" w:cs="仿宋"/>
                <w:i w:val="0"/>
                <w:iCs w:val="0"/>
                <w:caps w:val="0"/>
                <w:color w:val="auto"/>
                <w:spacing w:val="0"/>
                <w:sz w:val="20"/>
                <w:szCs w:val="20"/>
                <w:highlight w:val="none"/>
                <w:lang w:val="en-US" w:eastAsia="zh-CN"/>
              </w:rPr>
              <w:t>寻源物资名称</w:t>
            </w:r>
          </w:p>
        </w:tc>
        <w:tc>
          <w:tcPr>
            <w:tcW w:w="741"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rPr>
              <w:t>单位</w:t>
            </w:r>
          </w:p>
        </w:tc>
        <w:tc>
          <w:tcPr>
            <w:tcW w:w="741"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rPr>
              <w:t>数量</w:t>
            </w:r>
          </w:p>
        </w:tc>
        <w:tc>
          <w:tcPr>
            <w:tcW w:w="1076"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lang w:val="en-US" w:eastAsia="zh-CN"/>
              </w:rPr>
              <w:t>单价最高限价</w:t>
            </w:r>
          </w:p>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lang w:val="en-US" w:eastAsia="zh-CN"/>
              </w:rPr>
              <w:t>（万元）</w:t>
            </w:r>
          </w:p>
        </w:tc>
        <w:tc>
          <w:tcPr>
            <w:tcW w:w="1210"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lang w:eastAsia="zh-CN"/>
              </w:rPr>
            </w:pPr>
            <w:r>
              <w:rPr>
                <w:rFonts w:hint="eastAsia" w:ascii="仿宋" w:hAnsi="仿宋" w:eastAsia="仿宋" w:cs="仿宋"/>
                <w:i w:val="0"/>
                <w:iCs w:val="0"/>
                <w:caps w:val="0"/>
                <w:color w:val="auto"/>
                <w:spacing w:val="0"/>
                <w:sz w:val="20"/>
                <w:szCs w:val="20"/>
                <w:lang w:eastAsia="zh-CN"/>
              </w:rPr>
              <w:t>交货期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694"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lang w:val="en-US" w:eastAsia="zh-CN"/>
              </w:rPr>
            </w:pPr>
            <w:r>
              <w:rPr>
                <w:rFonts w:hint="eastAsia" w:ascii="仿宋" w:hAnsi="仿宋" w:eastAsia="仿宋" w:cs="仿宋"/>
                <w:i w:val="0"/>
                <w:iCs w:val="0"/>
                <w:caps w:val="0"/>
                <w:color w:val="auto"/>
                <w:spacing w:val="0"/>
                <w:sz w:val="20"/>
                <w:szCs w:val="20"/>
                <w:lang w:val="en-US" w:eastAsia="zh-CN"/>
              </w:rPr>
              <w:t>1</w:t>
            </w:r>
          </w:p>
        </w:tc>
        <w:tc>
          <w:tcPr>
            <w:tcW w:w="1826"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lang w:val="en-US" w:eastAsia="zh-CN"/>
              </w:rPr>
              <w:t>2026年南方电网数字电网集团（云南）有限公司AI计算服务器投标寻源项目</w:t>
            </w:r>
          </w:p>
        </w:tc>
        <w:tc>
          <w:tcPr>
            <w:tcW w:w="960" w:type="dxa"/>
            <w:vAlign w:val="center"/>
          </w:tcPr>
          <w:p>
            <w:pPr>
              <w:tabs>
                <w:tab w:val="left" w:pos="202"/>
              </w:tabs>
              <w:spacing w:line="240" w:lineRule="auto"/>
              <w:jc w:val="center"/>
              <w:rPr>
                <w:rFonts w:hint="default"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highlight w:val="none"/>
                <w:lang w:val="en-US" w:eastAsia="zh-CN"/>
              </w:rPr>
              <w:t>279.30</w:t>
            </w:r>
          </w:p>
        </w:tc>
        <w:tc>
          <w:tcPr>
            <w:tcW w:w="644"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lang w:val="en-US" w:eastAsia="zh-CN"/>
              </w:rPr>
              <w:t>AI计算服务器</w:t>
            </w:r>
          </w:p>
        </w:tc>
        <w:tc>
          <w:tcPr>
            <w:tcW w:w="741"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lang w:val="en-US" w:eastAsia="zh-CN"/>
              </w:rPr>
              <w:t>台</w:t>
            </w:r>
          </w:p>
        </w:tc>
        <w:tc>
          <w:tcPr>
            <w:tcW w:w="741"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lang w:val="en-US" w:eastAsia="zh-CN"/>
              </w:rPr>
              <w:t>1</w:t>
            </w:r>
          </w:p>
        </w:tc>
        <w:tc>
          <w:tcPr>
            <w:tcW w:w="1076" w:type="dxa"/>
            <w:shd w:val="clear" w:color="auto" w:fill="auto"/>
            <w:vAlign w:val="center"/>
          </w:tcPr>
          <w:p>
            <w:pPr>
              <w:tabs>
                <w:tab w:val="left" w:pos="202"/>
              </w:tabs>
              <w:spacing w:line="240" w:lineRule="auto"/>
              <w:jc w:val="center"/>
              <w:rPr>
                <w:rFonts w:hint="default"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highlight w:val="none"/>
                <w:lang w:val="en-US" w:eastAsia="zh-CN"/>
              </w:rPr>
              <w:t>279.30</w:t>
            </w:r>
          </w:p>
        </w:tc>
        <w:tc>
          <w:tcPr>
            <w:tcW w:w="1210" w:type="dxa"/>
            <w:vAlign w:val="center"/>
          </w:tcPr>
          <w:p>
            <w:pPr>
              <w:tabs>
                <w:tab w:val="left" w:pos="202"/>
              </w:tabs>
              <w:spacing w:line="240" w:lineRule="auto"/>
              <w:jc w:val="center"/>
              <w:rPr>
                <w:rFonts w:hint="eastAsia" w:ascii="仿宋" w:hAnsi="仿宋" w:eastAsia="仿宋" w:cs="仿宋"/>
                <w:i w:val="0"/>
                <w:iCs w:val="0"/>
                <w:caps w:val="0"/>
                <w:color w:val="auto"/>
                <w:spacing w:val="0"/>
                <w:sz w:val="20"/>
                <w:szCs w:val="20"/>
                <w:highlight w:val="none"/>
                <w:lang w:val="en-US" w:eastAsia="zh-CN"/>
              </w:rPr>
            </w:pPr>
            <w:r>
              <w:rPr>
                <w:rFonts w:hint="eastAsia" w:ascii="仿宋" w:hAnsi="仿宋" w:eastAsia="仿宋" w:cs="仿宋"/>
                <w:i w:val="0"/>
                <w:iCs w:val="0"/>
                <w:caps w:val="0"/>
                <w:color w:val="auto"/>
                <w:spacing w:val="0"/>
                <w:sz w:val="20"/>
                <w:szCs w:val="20"/>
                <w:highlight w:val="none"/>
                <w:lang w:val="en-US" w:eastAsia="zh-CN"/>
              </w:rPr>
              <w:t>合同签订后，收到寻源方供货通知后30个工作日内</w:t>
            </w:r>
          </w:p>
        </w:tc>
      </w:tr>
    </w:tbl>
    <w:p>
      <w:pPr>
        <w:tabs>
          <w:tab w:val="left" w:pos="5880"/>
        </w:tabs>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eastAsia="zh-CN"/>
        </w:rPr>
        <w:t>投标寻源</w:t>
      </w:r>
      <w:r>
        <w:rPr>
          <w:rFonts w:hint="eastAsia" w:ascii="仿宋" w:hAnsi="仿宋" w:eastAsia="仿宋" w:cs="仿宋"/>
          <w:sz w:val="24"/>
          <w:szCs w:val="24"/>
          <w:highlight w:val="none"/>
        </w:rPr>
        <w:t>为意向寻源，我公司不承诺必然发生实质性采购需求。</w:t>
      </w:r>
      <w:bookmarkEnd w:id="1"/>
    </w:p>
    <w:p>
      <w:pPr>
        <w:pStyle w:val="3"/>
        <w:numPr>
          <w:ilvl w:val="0"/>
          <w:numId w:val="1"/>
        </w:numPr>
        <w:bidi w:val="0"/>
        <w:ind w:left="0" w:leftChars="0" w:firstLine="0" w:firstLineChars="0"/>
        <w:rPr>
          <w:rFonts w:hint="eastAsia" w:ascii="仿宋" w:hAnsi="仿宋" w:eastAsia="仿宋" w:cs="仿宋"/>
          <w:b/>
          <w:sz w:val="24"/>
          <w:szCs w:val="24"/>
          <w:lang w:val="en-US" w:eastAsia="zh-CN"/>
        </w:rPr>
      </w:pPr>
      <w:bookmarkStart w:id="2" w:name="_Toc7071"/>
      <w:r>
        <w:rPr>
          <w:rFonts w:hint="eastAsia" w:ascii="仿宋" w:hAnsi="仿宋" w:eastAsia="仿宋" w:cs="仿宋"/>
          <w:b/>
          <w:sz w:val="24"/>
          <w:szCs w:val="24"/>
          <w:lang w:val="en-US" w:eastAsia="zh-CN"/>
        </w:rPr>
        <w:t>询价响应文件要求</w:t>
      </w:r>
      <w:bookmarkEnd w:id="2"/>
      <w:r>
        <w:rPr>
          <w:rFonts w:hint="eastAsia" w:ascii="仿宋" w:hAnsi="仿宋" w:eastAsia="仿宋" w:cs="仿宋"/>
          <w:b/>
          <w:sz w:val="24"/>
          <w:szCs w:val="24"/>
          <w:lang w:val="en-US" w:eastAsia="zh-CN"/>
        </w:rPr>
        <w:t>：</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询价响应文件需包含</w:t>
      </w:r>
      <w:r>
        <w:rPr>
          <w:rFonts w:hint="eastAsia" w:ascii="仿宋" w:hAnsi="仿宋" w:eastAsia="仿宋" w:cs="仿宋"/>
          <w:b/>
          <w:bCs/>
          <w:color w:val="auto"/>
          <w:sz w:val="24"/>
          <w:szCs w:val="24"/>
          <w:highlight w:val="none"/>
          <w:u w:val="single"/>
          <w:lang w:val="en-US" w:eastAsia="zh-CN"/>
        </w:rPr>
        <w:t>附件1：响应文件格式和附件2：技术偏离表，请按照模板提供</w:t>
      </w:r>
      <w:r>
        <w:rPr>
          <w:rFonts w:hint="eastAsia" w:ascii="仿宋" w:hAnsi="仿宋" w:eastAsia="仿宋" w:cs="仿宋"/>
          <w:color w:val="auto"/>
          <w:sz w:val="24"/>
          <w:szCs w:val="24"/>
          <w:highlight w:val="none"/>
        </w:rPr>
        <w:t>，</w:t>
      </w:r>
      <w:r>
        <w:rPr>
          <w:rFonts w:hint="eastAsia" w:ascii="仿宋" w:hAnsi="仿宋" w:eastAsia="仿宋" w:cs="仿宋"/>
          <w:sz w:val="24"/>
          <w:szCs w:val="24"/>
        </w:rPr>
        <w:t>详见附件（响应文件格式及其</w:t>
      </w:r>
      <w:r>
        <w:rPr>
          <w:rFonts w:hint="eastAsia" w:ascii="仿宋" w:hAnsi="仿宋" w:eastAsia="仿宋" w:cs="仿宋"/>
          <w:sz w:val="24"/>
          <w:szCs w:val="24"/>
          <w:lang w:val="en-US" w:eastAsia="zh-CN"/>
        </w:rPr>
        <w:t>相关</w:t>
      </w:r>
      <w:r>
        <w:rPr>
          <w:rFonts w:hint="eastAsia" w:ascii="仿宋" w:hAnsi="仿宋" w:eastAsia="仿宋" w:cs="仿宋"/>
          <w:sz w:val="24"/>
          <w:szCs w:val="24"/>
        </w:rPr>
        <w:t>附件）。</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rPr>
        <w:t>报价文件有效期为提交报价之日</w:t>
      </w:r>
      <w:r>
        <w:rPr>
          <w:rFonts w:hint="eastAsia" w:ascii="仿宋" w:hAnsi="仿宋" w:eastAsia="仿宋" w:cs="仿宋"/>
          <w:color w:val="auto"/>
          <w:sz w:val="24"/>
          <w:szCs w:val="24"/>
        </w:rPr>
        <w:t>起不低于</w:t>
      </w:r>
      <w:r>
        <w:rPr>
          <w:rFonts w:hint="eastAsia" w:ascii="仿宋" w:hAnsi="仿宋" w:eastAsia="仿宋" w:cs="仿宋"/>
          <w:b/>
          <w:bCs/>
          <w:color w:val="auto"/>
          <w:sz w:val="24"/>
          <w:szCs w:val="24"/>
          <w:u w:val="single"/>
          <w:lang w:val="en-US" w:eastAsia="zh-CN"/>
        </w:rPr>
        <w:t>90</w:t>
      </w:r>
      <w:r>
        <w:rPr>
          <w:rFonts w:hint="eastAsia" w:ascii="仿宋" w:hAnsi="仿宋" w:eastAsia="仿宋" w:cs="仿宋"/>
          <w:color w:val="auto"/>
          <w:sz w:val="24"/>
          <w:szCs w:val="24"/>
        </w:rPr>
        <w:t>个日历天。</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报价文件要求对货品询价单中的所有分项进行</w:t>
      </w:r>
      <w:r>
        <w:rPr>
          <w:rFonts w:hint="eastAsia" w:ascii="仿宋" w:hAnsi="仿宋" w:eastAsia="仿宋" w:cs="仿宋"/>
          <w:b/>
          <w:bCs/>
          <w:color w:val="auto"/>
          <w:sz w:val="24"/>
          <w:szCs w:val="24"/>
          <w:u w:val="single"/>
        </w:rPr>
        <w:t>报价</w:t>
      </w:r>
      <w:r>
        <w:rPr>
          <w:rFonts w:hint="eastAsia" w:ascii="仿宋" w:hAnsi="仿宋" w:eastAsia="仿宋" w:cs="仿宋"/>
          <w:b/>
          <w:bCs/>
          <w:color w:val="auto"/>
          <w:sz w:val="24"/>
          <w:szCs w:val="24"/>
          <w:u w:val="single"/>
          <w:lang w:eastAsia="zh-CN"/>
        </w:rPr>
        <w:t>（</w:t>
      </w:r>
      <w:r>
        <w:rPr>
          <w:rFonts w:hint="eastAsia" w:ascii="仿宋" w:hAnsi="仿宋" w:eastAsia="仿宋" w:cs="仿宋"/>
          <w:b/>
          <w:bCs/>
          <w:color w:val="auto"/>
          <w:sz w:val="24"/>
          <w:szCs w:val="24"/>
          <w:u w:val="single"/>
          <w:lang w:val="en-US" w:eastAsia="zh-CN"/>
        </w:rPr>
        <w:t>报价表</w:t>
      </w:r>
      <w:r>
        <w:rPr>
          <w:rFonts w:hint="eastAsia" w:ascii="仿宋" w:hAnsi="仿宋" w:eastAsia="仿宋" w:cs="仿宋"/>
          <w:b/>
          <w:bCs/>
          <w:color w:val="auto"/>
          <w:sz w:val="24"/>
          <w:szCs w:val="24"/>
          <w:u w:val="single"/>
        </w:rPr>
        <w:t>详</w:t>
      </w:r>
      <w:r>
        <w:rPr>
          <w:rFonts w:hint="eastAsia" w:ascii="仿宋" w:hAnsi="仿宋" w:eastAsia="仿宋" w:cs="仿宋"/>
          <w:b/>
          <w:bCs/>
          <w:color w:val="auto"/>
          <w:sz w:val="24"/>
          <w:szCs w:val="24"/>
          <w:u w:val="single"/>
          <w:lang w:val="en-US" w:eastAsia="zh-CN"/>
        </w:rPr>
        <w:t>见</w:t>
      </w:r>
      <w:r>
        <w:rPr>
          <w:rFonts w:hint="eastAsia" w:ascii="仿宋" w:hAnsi="仿宋" w:eastAsia="仿宋" w:cs="仿宋"/>
          <w:b/>
          <w:bCs/>
          <w:color w:val="auto"/>
          <w:sz w:val="24"/>
          <w:szCs w:val="24"/>
          <w:highlight w:val="none"/>
          <w:u w:val="single"/>
          <w:lang w:val="en-US" w:eastAsia="zh-CN"/>
        </w:rPr>
        <w:t>附件1：响应文件格式</w:t>
      </w:r>
      <w:r>
        <w:rPr>
          <w:rFonts w:hint="eastAsia" w:ascii="仿宋" w:hAnsi="仿宋" w:eastAsia="仿宋" w:cs="仿宋"/>
          <w:b/>
          <w:bCs/>
          <w:color w:val="auto"/>
          <w:sz w:val="24"/>
          <w:szCs w:val="24"/>
          <w:u w:val="single"/>
          <w:lang w:val="en-US" w:eastAsia="zh-CN"/>
        </w:rPr>
        <w:t>）</w:t>
      </w:r>
      <w:r>
        <w:rPr>
          <w:rFonts w:hint="eastAsia" w:ascii="仿宋" w:hAnsi="仿宋" w:eastAsia="仿宋" w:cs="仿宋"/>
          <w:color w:val="auto"/>
          <w:sz w:val="24"/>
          <w:szCs w:val="24"/>
        </w:rPr>
        <w:t>。</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报价应为准确、可参考的有效报价，如经评审确认为</w:t>
      </w:r>
      <w:r>
        <w:rPr>
          <w:rFonts w:hint="eastAsia" w:ascii="仿宋" w:hAnsi="仿宋" w:eastAsia="仿宋" w:cs="仿宋"/>
          <w:color w:val="auto"/>
          <w:sz w:val="24"/>
          <w:szCs w:val="24"/>
          <w:lang w:eastAsia="zh-CN"/>
        </w:rPr>
        <w:t>响应</w:t>
      </w:r>
      <w:r>
        <w:rPr>
          <w:rFonts w:hint="eastAsia" w:ascii="仿宋" w:hAnsi="仿宋" w:eastAsia="仿宋" w:cs="仿宋"/>
          <w:color w:val="auto"/>
          <w:sz w:val="24"/>
          <w:szCs w:val="24"/>
        </w:rPr>
        <w:t>合作供应商，此报价作为后续合同签订依据。</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b w:val="0"/>
          <w:bCs w:val="0"/>
          <w:color w:val="auto"/>
          <w:sz w:val="24"/>
          <w:szCs w:val="24"/>
          <w:highlight w:val="none"/>
        </w:rPr>
        <w:t>付款约定条款：具体付</w:t>
      </w:r>
      <w:r>
        <w:rPr>
          <w:rFonts w:hint="eastAsia" w:ascii="仿宋" w:hAnsi="仿宋" w:eastAsia="仿宋" w:cs="仿宋"/>
          <w:color w:val="auto"/>
          <w:sz w:val="24"/>
          <w:szCs w:val="24"/>
          <w:highlight w:val="none"/>
        </w:rPr>
        <w:t>款条款以双方签订的合同要求为准。</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rPr>
      </w:pPr>
      <w:r>
        <w:rPr>
          <w:rFonts w:hint="eastAsia" w:ascii="仿宋" w:hAnsi="仿宋" w:eastAsia="仿宋" w:cs="仿宋"/>
          <w:color w:val="auto"/>
          <w:sz w:val="24"/>
          <w:szCs w:val="24"/>
          <w:highlight w:val="none"/>
        </w:rPr>
        <w:t>本项目不收取质量保证金，不要求报价人提交质量保证保函（保险），不设立任何形式的“结清款”或类似性质的款项作为质量担保。报价人应严格按照寻源文件要求及合同约定履行质量保证义务。报价人应充分考虑采购人上述管理要求对投标报价的影响。</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报价产品</w:t>
      </w:r>
      <w:r>
        <w:rPr>
          <w:rFonts w:hint="eastAsia" w:ascii="仿宋" w:hAnsi="仿宋" w:eastAsia="仿宋" w:cs="仿宋"/>
          <w:color w:val="000000"/>
          <w:sz w:val="24"/>
          <w:szCs w:val="24"/>
          <w:highlight w:val="none"/>
        </w:rPr>
        <w:t>必须完全满足</w:t>
      </w:r>
      <w:r>
        <w:rPr>
          <w:rFonts w:hint="eastAsia" w:ascii="仿宋" w:hAnsi="仿宋" w:eastAsia="仿宋" w:cs="仿宋"/>
          <w:color w:val="000000"/>
          <w:sz w:val="24"/>
          <w:szCs w:val="24"/>
          <w:highlight w:val="none"/>
          <w:lang w:val="en-US" w:eastAsia="zh-CN"/>
        </w:rPr>
        <w:t>技术偏离表参数要求</w:t>
      </w:r>
      <w:r>
        <w:rPr>
          <w:rFonts w:hint="eastAsia" w:ascii="仿宋" w:hAnsi="仿宋" w:eastAsia="仿宋" w:cs="仿宋"/>
          <w:color w:val="000000"/>
          <w:sz w:val="24"/>
          <w:szCs w:val="24"/>
          <w:highlight w:val="none"/>
        </w:rPr>
        <w:t>或优于</w:t>
      </w:r>
      <w:r>
        <w:rPr>
          <w:rFonts w:hint="eastAsia" w:ascii="仿宋" w:hAnsi="仿宋" w:eastAsia="仿宋" w:cs="仿宋"/>
          <w:color w:val="000000"/>
          <w:sz w:val="24"/>
          <w:szCs w:val="24"/>
          <w:highlight w:val="none"/>
          <w:lang w:val="en-US" w:eastAsia="zh-CN"/>
        </w:rPr>
        <w:t>技术偏离表</w:t>
      </w:r>
      <w:r>
        <w:rPr>
          <w:rFonts w:hint="eastAsia" w:ascii="仿宋" w:hAnsi="仿宋" w:eastAsia="仿宋" w:cs="仿宋"/>
          <w:color w:val="000000"/>
          <w:sz w:val="24"/>
          <w:szCs w:val="24"/>
          <w:highlight w:val="none"/>
        </w:rPr>
        <w:t>要求</w:t>
      </w:r>
      <w:r>
        <w:rPr>
          <w:rFonts w:hint="eastAsia" w:ascii="仿宋" w:hAnsi="仿宋" w:eastAsia="仿宋" w:cs="仿宋"/>
          <w:sz w:val="24"/>
          <w:szCs w:val="24"/>
          <w:highlight w:val="none"/>
        </w:rPr>
        <w:t>,</w:t>
      </w:r>
      <w:r>
        <w:rPr>
          <w:rFonts w:hint="eastAsia" w:ascii="仿宋" w:hAnsi="仿宋" w:eastAsia="仿宋" w:cs="仿宋"/>
          <w:color w:val="000000"/>
          <w:sz w:val="24"/>
          <w:szCs w:val="24"/>
          <w:highlight w:val="none"/>
          <w:lang w:val="en-US" w:eastAsia="zh-CN"/>
        </w:rPr>
        <w:t>技术偏离表详见</w:t>
      </w:r>
      <w:r>
        <w:rPr>
          <w:rFonts w:hint="eastAsia" w:ascii="仿宋" w:hAnsi="仿宋" w:eastAsia="仿宋" w:cs="仿宋"/>
          <w:sz w:val="24"/>
          <w:szCs w:val="24"/>
          <w:highlight w:val="none"/>
        </w:rPr>
        <w:t>附件</w:t>
      </w:r>
      <w:r>
        <w:rPr>
          <w:rFonts w:hint="eastAsia" w:ascii="仿宋" w:hAnsi="仿宋" w:eastAsia="仿宋" w:cs="仿宋"/>
          <w:sz w:val="24"/>
          <w:szCs w:val="24"/>
          <w:highlight w:val="none"/>
          <w:lang w:val="en-US" w:eastAsia="zh-CN"/>
        </w:rPr>
        <w:t>2</w:t>
      </w:r>
      <w:r>
        <w:rPr>
          <w:rFonts w:hint="eastAsia" w:ascii="仿宋" w:hAnsi="仿宋" w:eastAsia="仿宋" w:cs="仿宋"/>
          <w:b w:val="0"/>
          <w:bCs w:val="0"/>
          <w:sz w:val="24"/>
          <w:szCs w:val="24"/>
          <w:highlight w:val="none"/>
          <w:lang w:eastAsia="zh-CN"/>
        </w:rPr>
        <w:t>，</w:t>
      </w:r>
      <w:r>
        <w:rPr>
          <w:rFonts w:hint="eastAsia" w:ascii="仿宋" w:hAnsi="仿宋" w:eastAsia="仿宋" w:cs="仿宋"/>
          <w:b/>
          <w:bCs/>
          <w:color w:val="auto"/>
          <w:sz w:val="24"/>
          <w:szCs w:val="24"/>
          <w:highlight w:val="none"/>
          <w:u w:val="single"/>
          <w:lang w:val="en-US" w:eastAsia="zh-CN"/>
        </w:rPr>
        <w:t>并在技术偏离表中列明每项偏差情况。</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贵司提交询价响应文件视同</w:t>
      </w:r>
      <w:r>
        <w:rPr>
          <w:rFonts w:hint="eastAsia" w:ascii="仿宋" w:hAnsi="仿宋" w:eastAsia="仿宋" w:cs="仿宋"/>
          <w:b/>
          <w:bCs/>
          <w:color w:val="auto"/>
          <w:sz w:val="24"/>
          <w:szCs w:val="24"/>
          <w:highlight w:val="none"/>
          <w:u w:val="single"/>
          <w:lang w:val="en-US" w:eastAsia="zh-CN"/>
        </w:rPr>
        <w:t>接受本项目交货期、质保期以及技术偏离表中的所有技术要求和本项目的付款约定条款。</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rPr>
      </w:pPr>
      <w:r>
        <w:rPr>
          <w:rFonts w:hint="eastAsia" w:ascii="仿宋" w:hAnsi="仿宋" w:eastAsia="仿宋" w:cs="仿宋"/>
          <w:color w:val="auto"/>
          <w:sz w:val="24"/>
          <w:szCs w:val="24"/>
          <w:highlight w:val="none"/>
        </w:rPr>
        <w:t>贵司应对收到的询价函及相关一切询价资料进行保密，不得向任何第三方透露与本询</w:t>
      </w:r>
      <w:r>
        <w:rPr>
          <w:rFonts w:hint="eastAsia" w:ascii="仿宋" w:hAnsi="仿宋" w:eastAsia="仿宋" w:cs="仿宋"/>
          <w:sz w:val="24"/>
          <w:szCs w:val="24"/>
          <w:highlight w:val="none"/>
        </w:rPr>
        <w:t>价有关的任何信息。</w:t>
      </w:r>
    </w:p>
    <w:p>
      <w:pPr>
        <w:keepNext w:val="0"/>
        <w:keepLines w:val="0"/>
        <w:pageBreakBefore w:val="0"/>
        <w:widowControl w:val="0"/>
        <w:numPr>
          <w:ilvl w:val="0"/>
          <w:numId w:val="2"/>
        </w:numPr>
        <w:tabs>
          <w:tab w:val="left" w:pos="840"/>
        </w:tabs>
        <w:kinsoku/>
        <w:wordWrap/>
        <w:overflowPunct/>
        <w:topLinePunct w:val="0"/>
        <w:autoSpaceDE/>
        <w:autoSpaceDN/>
        <w:bidi w:val="0"/>
        <w:adjustRightInd/>
        <w:snapToGrid/>
        <w:spacing w:line="360" w:lineRule="auto"/>
        <w:ind w:left="-62"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highlight w:val="none"/>
        </w:rPr>
        <w:t>供应商必须承诺保证其交付</w:t>
      </w:r>
      <w:r>
        <w:rPr>
          <w:rFonts w:hint="eastAsia" w:ascii="仿宋" w:hAnsi="仿宋" w:eastAsia="仿宋" w:cs="仿宋"/>
          <w:sz w:val="24"/>
          <w:szCs w:val="24"/>
          <w:highlight w:val="none"/>
          <w:lang w:val="en-US" w:eastAsia="zh-CN"/>
        </w:rPr>
        <w:t>物</w:t>
      </w:r>
      <w:r>
        <w:rPr>
          <w:rFonts w:hint="eastAsia" w:ascii="仿宋" w:hAnsi="仿宋" w:eastAsia="仿宋" w:cs="仿宋"/>
          <w:sz w:val="24"/>
          <w:szCs w:val="24"/>
          <w:highlight w:val="none"/>
        </w:rPr>
        <w:t>无任何质量缺陷或瑕疵，无任何著作权、商标权、专利权或其他知识产权方面的权利限制或瑕疵，不会侵犯任何自然人、法人等主体的专利、商标、企业或贸易名称、版权、肖像权、技术秘密、商业秘密或其他任何权益。若我公司因供应商</w:t>
      </w:r>
      <w:r>
        <w:rPr>
          <w:rFonts w:hint="eastAsia" w:ascii="仿宋" w:hAnsi="仿宋" w:eastAsia="仿宋" w:cs="仿宋"/>
          <w:sz w:val="24"/>
          <w:szCs w:val="24"/>
          <w:highlight w:val="none"/>
          <w:lang w:val="en-US" w:eastAsia="zh-CN"/>
        </w:rPr>
        <w:t>的交付物</w:t>
      </w:r>
      <w:r>
        <w:rPr>
          <w:rFonts w:hint="eastAsia" w:ascii="仿宋" w:hAnsi="仿宋" w:eastAsia="仿宋" w:cs="仿宋"/>
          <w:sz w:val="24"/>
          <w:szCs w:val="24"/>
          <w:highlight w:val="none"/>
        </w:rPr>
        <w:t>侵害第三方的合法权益，我</w:t>
      </w:r>
      <w:r>
        <w:rPr>
          <w:rFonts w:hint="eastAsia" w:ascii="仿宋" w:hAnsi="仿宋" w:eastAsia="仿宋" w:cs="仿宋"/>
          <w:sz w:val="24"/>
          <w:szCs w:val="24"/>
          <w:highlight w:val="none"/>
          <w:lang w:val="en-US" w:eastAsia="zh-CN"/>
        </w:rPr>
        <w:t>公</w:t>
      </w:r>
      <w:r>
        <w:rPr>
          <w:rFonts w:hint="eastAsia" w:ascii="仿宋" w:hAnsi="仿宋" w:eastAsia="仿宋" w:cs="仿宋"/>
          <w:sz w:val="24"/>
          <w:szCs w:val="24"/>
          <w:highlight w:val="none"/>
        </w:rPr>
        <w:t>司有权解除合同，追究供应商违约、赔偿等责任；若我</w:t>
      </w:r>
      <w:r>
        <w:rPr>
          <w:rFonts w:hint="eastAsia" w:ascii="仿宋" w:hAnsi="仿宋" w:eastAsia="仿宋" w:cs="仿宋"/>
          <w:sz w:val="24"/>
          <w:szCs w:val="24"/>
          <w:highlight w:val="none"/>
          <w:lang w:val="en-US" w:eastAsia="zh-CN"/>
        </w:rPr>
        <w:t>公司</w:t>
      </w:r>
      <w:r>
        <w:rPr>
          <w:rFonts w:hint="eastAsia" w:ascii="仿宋" w:hAnsi="仿宋" w:eastAsia="仿宋" w:cs="仿宋"/>
          <w:sz w:val="24"/>
          <w:szCs w:val="24"/>
          <w:highlight w:val="none"/>
        </w:rPr>
        <w:t>侵害第三方的合法权被要求向第三方承担赔偿责任的，供应商对此承担全部责任。</w:t>
      </w:r>
    </w:p>
    <w:p>
      <w:pPr>
        <w:pStyle w:val="3"/>
        <w:numPr>
          <w:ilvl w:val="0"/>
          <w:numId w:val="1"/>
        </w:numPr>
        <w:bidi w:val="0"/>
        <w:ind w:left="0" w:leftChars="0" w:firstLine="0" w:firstLineChars="0"/>
        <w:rPr>
          <w:rFonts w:hint="eastAsia" w:ascii="仿宋" w:hAnsi="仿宋" w:eastAsia="仿宋" w:cs="仿宋"/>
          <w:b/>
          <w:sz w:val="24"/>
          <w:szCs w:val="24"/>
          <w:lang w:val="en-US" w:eastAsia="zh-CN"/>
        </w:rPr>
      </w:pPr>
      <w:bookmarkStart w:id="3" w:name="_Toc20153"/>
      <w:r>
        <w:rPr>
          <w:rFonts w:hint="eastAsia" w:ascii="仿宋" w:hAnsi="仿宋" w:eastAsia="仿宋" w:cs="仿宋"/>
          <w:b/>
          <w:sz w:val="24"/>
          <w:szCs w:val="24"/>
          <w:lang w:val="en-US" w:eastAsia="zh-CN"/>
        </w:rPr>
        <w:t>特别说明</w:t>
      </w:r>
      <w:bookmarkEnd w:id="3"/>
      <w:r>
        <w:rPr>
          <w:rFonts w:hint="eastAsia" w:ascii="仿宋" w:hAnsi="仿宋" w:eastAsia="仿宋" w:cs="仿宋"/>
          <w:b/>
          <w:sz w:val="24"/>
          <w:szCs w:val="24"/>
          <w:lang w:val="en-US" w:eastAsia="zh-CN"/>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bookmarkStart w:id="4" w:name="_Toc24350"/>
      <w:r>
        <w:rPr>
          <w:rFonts w:hint="eastAsia" w:ascii="仿宋" w:hAnsi="仿宋" w:eastAsia="仿宋" w:cs="仿宋"/>
          <w:color w:val="auto"/>
          <w:sz w:val="24"/>
          <w:szCs w:val="24"/>
        </w:rPr>
        <w:t>本次</w:t>
      </w:r>
      <w:r>
        <w:rPr>
          <w:rFonts w:hint="eastAsia" w:ascii="仿宋" w:hAnsi="仿宋" w:eastAsia="仿宋" w:cs="仿宋"/>
          <w:color w:val="auto"/>
          <w:sz w:val="24"/>
          <w:szCs w:val="24"/>
          <w:lang w:eastAsia="zh-CN"/>
        </w:rPr>
        <w:t>投标寻源</w:t>
      </w:r>
      <w:r>
        <w:rPr>
          <w:rFonts w:hint="eastAsia" w:ascii="仿宋" w:hAnsi="仿宋" w:eastAsia="仿宋" w:cs="仿宋"/>
          <w:color w:val="auto"/>
          <w:sz w:val="24"/>
          <w:szCs w:val="24"/>
        </w:rPr>
        <w:t>主要为了寻源产品设备制造商授权我公司进行项目投标</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完成相应审批流程后，</w:t>
      </w:r>
      <w:r>
        <w:rPr>
          <w:rFonts w:hint="eastAsia" w:ascii="仿宋" w:hAnsi="仿宋" w:eastAsia="仿宋" w:cs="仿宋"/>
          <w:color w:val="auto"/>
          <w:sz w:val="24"/>
          <w:szCs w:val="24"/>
          <w:highlight w:val="none"/>
        </w:rPr>
        <w:t>我</w:t>
      </w:r>
      <w:r>
        <w:rPr>
          <w:rFonts w:hint="eastAsia" w:ascii="仿宋" w:hAnsi="仿宋" w:eastAsia="仿宋" w:cs="仿宋"/>
          <w:color w:val="auto"/>
          <w:sz w:val="24"/>
          <w:szCs w:val="24"/>
        </w:rPr>
        <w:t>司将通知贵司是否为合作意向公司。若贵司为我司合作意向公司，贵司需全力配合我司开展投标准备工作。我公司不承诺必然发生实质性采购需求。</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寻源响应方须为产品制造商，并以原厂企业邮箱回复。</w:t>
      </w:r>
      <w:r>
        <w:rPr>
          <w:rFonts w:hint="eastAsia" w:ascii="仿宋" w:hAnsi="仿宋" w:eastAsia="仿宋" w:cs="仿宋"/>
          <w:sz w:val="24"/>
          <w:szCs w:val="24"/>
          <w:highlight w:val="none"/>
          <w:lang w:val="en-US" w:eastAsia="zh-CN"/>
        </w:rPr>
        <w:t>我公司发生实质性需求时，如中选方需在本项目</w:t>
      </w:r>
      <w:r>
        <w:rPr>
          <w:rFonts w:hint="eastAsia" w:ascii="仿宋" w:hAnsi="仿宋" w:eastAsia="仿宋" w:cs="仿宋"/>
          <w:color w:val="auto"/>
          <w:sz w:val="24"/>
          <w:szCs w:val="24"/>
          <w:highlight w:val="none"/>
        </w:rPr>
        <w:t>负责后续合同签订、供货等事宜，可通过以下两种方式：一是由原厂直接参与寻源响应，在响应文件中出具正式授权文件；二是由原厂通过企业邮箱正式告知本次寻源的授权代理情况及代理商（经销商）基本信息，确认后可由该授权代理商（经销商）参与寻源响应。</w:t>
      </w:r>
      <w:r>
        <w:rPr>
          <w:rFonts w:hint="eastAsia" w:ascii="仿宋" w:hAnsi="仿宋" w:eastAsia="仿宋" w:cs="仿宋"/>
          <w:sz w:val="24"/>
          <w:szCs w:val="24"/>
          <w:highlight w:val="none"/>
          <w:lang w:val="en-US" w:eastAsia="zh-CN"/>
        </w:rPr>
        <w:t>并在寻源响应阶段提供针对本次投标寻源相关代理商（经销商）唯一授权文件</w:t>
      </w:r>
      <w:r>
        <w:rPr>
          <w:rFonts w:hint="eastAsia" w:ascii="仿宋" w:hAnsi="仿宋" w:eastAsia="仿宋" w:cs="仿宋"/>
          <w:b/>
          <w:bCs/>
          <w:sz w:val="24"/>
          <w:szCs w:val="24"/>
          <w:highlight w:val="none"/>
          <w:lang w:val="en-US" w:eastAsia="zh-CN"/>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sz w:val="24"/>
          <w:szCs w:val="24"/>
          <w:highlight w:val="none"/>
          <w:lang w:val="en-US" w:eastAsia="zh-CN"/>
        </w:rPr>
        <w:t>，说明授权事项，并且被授权的经销商作为本次寻源响应方，提供报价文件、经制造商确认的产品技术资料和双方（制造商和被授权经销商）的公司简介、营业执照、企业资质等文件作为寻源响应文件。</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当我公司发生实质性需求时，如出现中选方未能履行寻源响应的相关承诺，影响我公司项目开展的，我司有权对该中选单位进行违约追责。</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rPr>
        <w:t>我司将按照</w:t>
      </w:r>
      <w:r>
        <w:rPr>
          <w:rFonts w:hint="eastAsia" w:ascii="仿宋" w:hAnsi="仿宋" w:eastAsia="仿宋" w:cs="仿宋"/>
          <w:color w:val="auto"/>
          <w:sz w:val="24"/>
          <w:szCs w:val="24"/>
          <w:highlight w:val="none"/>
          <w:lang w:val="en-US" w:eastAsia="zh-CN"/>
        </w:rPr>
        <w:t>资格</w:t>
      </w:r>
      <w:r>
        <w:rPr>
          <w:rFonts w:hint="eastAsia" w:ascii="仿宋" w:hAnsi="仿宋" w:eastAsia="仿宋" w:cs="仿宋"/>
          <w:color w:val="auto"/>
          <w:sz w:val="24"/>
          <w:szCs w:val="24"/>
          <w:highlight w:val="none"/>
        </w:rPr>
        <w:t>要求及评审办法，组</w:t>
      </w:r>
      <w:r>
        <w:rPr>
          <w:rFonts w:hint="eastAsia" w:ascii="仿宋" w:hAnsi="仿宋" w:eastAsia="仿宋" w:cs="仿宋"/>
          <w:color w:val="auto"/>
          <w:sz w:val="24"/>
          <w:szCs w:val="24"/>
        </w:rPr>
        <w:t>织专家组对各供应商提交的响应文件进行评审，评审过程中专家组可讨论确定需谈判的品类，</w:t>
      </w:r>
      <w:r>
        <w:rPr>
          <w:rFonts w:hint="eastAsia" w:ascii="仿宋" w:hAnsi="仿宋" w:eastAsia="仿宋" w:cs="仿宋"/>
          <w:color w:val="auto"/>
          <w:sz w:val="24"/>
          <w:szCs w:val="24"/>
          <w:highlight w:val="none"/>
        </w:rPr>
        <w:t>并与该品类进入价格评审的寻源对象进行线上谈判。谈判时贵司可进行二次报价(放弃</w:t>
      </w:r>
      <w:r>
        <w:rPr>
          <w:rFonts w:hint="eastAsia" w:ascii="仿宋" w:hAnsi="仿宋" w:eastAsia="仿宋" w:cs="仿宋"/>
          <w:color w:val="auto"/>
          <w:sz w:val="24"/>
          <w:szCs w:val="24"/>
        </w:rPr>
        <w:t>二次报价的，以第一次报价为准)。第二次响应报价不得高于第一次响应报价。</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第二次响应报价，除</w:t>
      </w:r>
      <w:r>
        <w:rPr>
          <w:rFonts w:hint="eastAsia" w:ascii="仿宋" w:hAnsi="仿宋" w:eastAsia="仿宋" w:cs="仿宋"/>
          <w:b/>
          <w:bCs/>
          <w:color w:val="0000EE"/>
          <w:sz w:val="24"/>
          <w:szCs w:val="24"/>
          <w:highlight w:val="none"/>
          <w:u w:val="single"/>
          <w:lang w:val="en-US" w:eastAsia="zh-CN"/>
        </w:rPr>
        <w:t>拟投标项目招标方</w:t>
      </w:r>
      <w:r>
        <w:rPr>
          <w:rFonts w:hint="eastAsia" w:ascii="仿宋" w:hAnsi="仿宋" w:eastAsia="仿宋" w:cs="仿宋"/>
          <w:color w:val="auto"/>
          <w:sz w:val="24"/>
          <w:szCs w:val="24"/>
        </w:rPr>
        <w:t>对招标内容进行正式变更澄清外，不允许修改技术文件，仅需确认二次报价。</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寻源评审结束后，截止正式投标结束前，我方保留与推荐成交供应商开展二次议价的权利。</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我司有权根据投标策略调整投标价格。因此双方确定合作意向后，在投标</w:t>
      </w:r>
      <w:r>
        <w:rPr>
          <w:rFonts w:hint="eastAsia" w:ascii="仿宋" w:hAnsi="仿宋" w:eastAsia="仿宋" w:cs="仿宋"/>
          <w:color w:val="auto"/>
          <w:sz w:val="24"/>
          <w:szCs w:val="24"/>
          <w:lang w:val="en-US" w:eastAsia="zh-CN"/>
        </w:rPr>
        <w:t>拟投标项目</w:t>
      </w:r>
      <w:r>
        <w:rPr>
          <w:rFonts w:hint="eastAsia" w:ascii="仿宋" w:hAnsi="仿宋" w:eastAsia="仿宋" w:cs="仿宋"/>
          <w:color w:val="auto"/>
          <w:sz w:val="24"/>
          <w:szCs w:val="24"/>
        </w:rPr>
        <w:t>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pStyle w:val="3"/>
        <w:numPr>
          <w:ilvl w:val="0"/>
          <w:numId w:val="1"/>
        </w:numPr>
        <w:bidi w:val="0"/>
        <w:ind w:left="0" w:leftChars="0" w:firstLine="0" w:firstLineChars="0"/>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询价响应文件提交</w:t>
      </w:r>
      <w:bookmarkEnd w:id="4"/>
      <w:r>
        <w:rPr>
          <w:rFonts w:hint="eastAsia" w:ascii="仿宋" w:hAnsi="仿宋" w:eastAsia="仿宋" w:cs="仿宋"/>
          <w:b/>
          <w:sz w:val="24"/>
          <w:szCs w:val="24"/>
          <w:lang w:val="en-US" w:eastAsia="zh-CN"/>
        </w:rPr>
        <w:t>：</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b w:val="0"/>
          <w:bCs w:val="0"/>
          <w:sz w:val="24"/>
          <w:szCs w:val="24"/>
          <w14:textFill>
            <w14:gradFill>
              <w14:gsLst>
                <w14:gs w14:pos="0">
                  <w14:srgbClr w14:val="007BD3"/>
                </w14:gs>
                <w14:gs w14:pos="100000">
                  <w14:srgbClr w14:val="034373"/>
                </w14:gs>
              </w14:gsLst>
              <w14:lin w14:scaled="0"/>
            </w14:gradFill>
          </w14:textFill>
        </w:rPr>
      </w:pPr>
      <w:r>
        <w:rPr>
          <w:rFonts w:hint="eastAsia" w:ascii="仿宋" w:hAnsi="仿宋" w:eastAsia="仿宋" w:cs="仿宋"/>
          <w:b w:val="0"/>
          <w:bCs w:val="0"/>
          <w:sz w:val="24"/>
          <w:szCs w:val="24"/>
          <w:highlight w:val="none"/>
        </w:rPr>
        <w:t>请于</w:t>
      </w:r>
      <w:r>
        <w:rPr>
          <w:rFonts w:hint="eastAsia" w:ascii="仿宋" w:hAnsi="仿宋" w:eastAsia="仿宋" w:cs="仿宋"/>
          <w:b/>
          <w:bCs/>
          <w:color w:val="0000FF"/>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val="en-US" w:eastAsia="zh-CN"/>
        </w:rPr>
        <w:t>2026年9月7日 13:30</w:t>
      </w:r>
      <w:r>
        <w:rPr>
          <w:rFonts w:hint="eastAsia" w:ascii="仿宋" w:hAnsi="仿宋" w:eastAsia="仿宋" w:cs="仿宋"/>
          <w:b w:val="0"/>
          <w:bCs w:val="0"/>
          <w:sz w:val="24"/>
          <w:szCs w:val="24"/>
          <w:highlight w:val="none"/>
        </w:rPr>
        <w:t>前将电子版询价响应文件回复</w:t>
      </w:r>
      <w:r>
        <w:rPr>
          <w:rFonts w:hint="eastAsia" w:ascii="仿宋" w:hAnsi="仿宋" w:eastAsia="仿宋" w:cs="仿宋"/>
          <w:color w:val="auto"/>
          <w:sz w:val="24"/>
          <w:szCs w:val="24"/>
          <w:lang w:val="en-US" w:eastAsia="zh-CN"/>
        </w:rPr>
        <w:t>至指定邮箱：</w:t>
      </w:r>
      <w:r>
        <w:rPr>
          <w:rFonts w:hint="eastAsia" w:ascii="仿宋" w:hAnsi="仿宋" w:eastAsia="仿宋" w:cs="仿宋"/>
          <w:b/>
          <w:bCs/>
          <w:color w:val="0000FF"/>
          <w:kern w:val="0"/>
          <w:sz w:val="24"/>
          <w:szCs w:val="24"/>
          <w:u w:val="single"/>
          <w:lang w:val="en-US" w:eastAsia="zh-CN" w:bidi="ar"/>
        </w:rPr>
        <w:t>ynfgsgyl@csg.cn（邮件发送成功后，请同步致电我方是否收到），未在规定时间内回复邮件则视为该项目不授权我公司进行响应。</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仿宋" w:hAnsi="仿宋" w:eastAsia="仿宋" w:cs="仿宋"/>
          <w:b/>
          <w:bCs/>
          <w:color w:val="0000FF"/>
          <w:kern w:val="0"/>
          <w:sz w:val="24"/>
          <w:szCs w:val="24"/>
          <w:u w:val="single"/>
          <w:lang w:val="en-US" w:eastAsia="zh-CN" w:bidi="ar"/>
        </w:rPr>
      </w:pPr>
      <w:r>
        <w:rPr>
          <w:rFonts w:hint="eastAsia" w:ascii="仿宋" w:hAnsi="仿宋" w:eastAsia="仿宋" w:cs="仿宋"/>
          <w:b/>
          <w:bCs/>
          <w:color w:val="0000FF"/>
          <w:kern w:val="0"/>
          <w:sz w:val="24"/>
          <w:szCs w:val="24"/>
          <w:u w:val="single"/>
          <w:lang w:val="en-US" w:eastAsia="zh-CN" w:bidi="ar"/>
        </w:rPr>
        <w:t>电子版询价响应文件（附件 1、附件 2）需每页加盖公司公章（或电子章）的 PDF 版本文件。</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仿宋" w:hAnsi="仿宋" w:eastAsia="仿宋" w:cs="仿宋"/>
          <w:b/>
          <w:bCs/>
          <w:color w:val="0000FF"/>
          <w:kern w:val="0"/>
          <w:sz w:val="24"/>
          <w:szCs w:val="24"/>
          <w:u w:val="single"/>
          <w:lang w:val="en-US" w:eastAsia="zh-CN" w:bidi="ar"/>
        </w:rPr>
      </w:pPr>
      <w:r>
        <w:rPr>
          <w:rFonts w:hint="eastAsia" w:ascii="仿宋" w:hAnsi="仿宋" w:eastAsia="仿宋" w:cs="仿宋"/>
          <w:b/>
          <w:bCs/>
          <w:color w:val="0000FF"/>
          <w:kern w:val="0"/>
          <w:sz w:val="24"/>
          <w:szCs w:val="24"/>
          <w:u w:val="single"/>
          <w:lang w:val="en-US" w:eastAsia="zh-CN" w:bidi="ar"/>
        </w:rPr>
        <w:t>为保证寻源过程公允性，所有提交的响应文件必须加密，且评审现场电话解密。</w:t>
      </w:r>
    </w:p>
    <w:p>
      <w:pPr>
        <w:pStyle w:val="3"/>
        <w:numPr>
          <w:ilvl w:val="0"/>
          <w:numId w:val="1"/>
        </w:numPr>
        <w:bidi w:val="0"/>
        <w:ind w:left="0" w:leftChars="0" w:firstLine="0" w:firstLineChars="0"/>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联系方式：</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联 系 人：南方电网数字电网集团（云南）有限公司财务经营部</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电子邮箱：ynfgsgyl@csg.cn</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联系电话：18213916267</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地    址：云南省昆明市滇池度假区滇池路1103号B栋5层</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jc w:val="left"/>
        <w:textAlignment w:val="auto"/>
        <w:rPr>
          <w:rFonts w:hint="eastAsia" w:ascii="方正仿宋_GBK" w:hAnsi="方正仿宋_GBK" w:eastAsia="方正仿宋_GBK" w:cs="方正仿宋_GBK"/>
          <w:sz w:val="24"/>
          <w:szCs w:val="24"/>
          <w:highlight w:val="none"/>
          <w:lang w:val="en-US" w:eastAsia="zh-CN"/>
        </w:rPr>
      </w:pPr>
    </w:p>
    <w:p>
      <w:pPr>
        <w:pStyle w:val="10"/>
        <w:spacing w:line="360" w:lineRule="auto"/>
        <w:rPr>
          <w:rFonts w:hint="eastAsia" w:ascii="仿宋" w:hAnsi="仿宋" w:eastAsia="仿宋" w:cs="仿宋"/>
          <w:sz w:val="24"/>
          <w:szCs w:val="24"/>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bookmarkStart w:id="5" w:name="_Toc22276"/>
      <w:r>
        <w:rPr>
          <w:rFonts w:hint="eastAsia" w:ascii="仿宋" w:hAnsi="仿宋" w:eastAsia="仿宋" w:cs="仿宋"/>
          <w:sz w:val="24"/>
          <w:szCs w:val="24"/>
          <w:highlight w:val="none"/>
          <w:lang w:val="en-US" w:eastAsia="zh-CN"/>
        </w:rPr>
        <w:t>顺颂商祺！</w:t>
      </w:r>
      <w:bookmarkEnd w:id="5"/>
      <w:r>
        <w:rPr>
          <w:rFonts w:hint="eastAsia" w:ascii="仿宋" w:hAnsi="仿宋" w:eastAsia="仿宋" w:cs="仿宋"/>
          <w:sz w:val="24"/>
          <w:szCs w:val="24"/>
          <w:highlight w:val="none"/>
          <w:lang w:val="en-US" w:eastAsia="zh-CN"/>
        </w:rPr>
        <w:t xml:space="preserve">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eastAsia="zh-CN"/>
        </w:rPr>
      </w:pPr>
    </w:p>
    <w:p>
      <w:pPr>
        <w:snapToGrid w:val="0"/>
        <w:spacing w:line="360" w:lineRule="auto"/>
        <w:ind w:left="3840" w:right="420" w:hanging="3840" w:hangingChars="1600"/>
        <w:jc w:val="right"/>
        <w:rPr>
          <w:rFonts w:hint="eastAsia" w:ascii="仿宋" w:hAnsi="仿宋" w:eastAsia="仿宋" w:cs="仿宋"/>
          <w:sz w:val="24"/>
          <w:szCs w:val="24"/>
          <w:highlight w:val="none"/>
          <w:lang w:val="en-US" w:eastAsia="zh-CN"/>
        </w:rPr>
      </w:pP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           </w:t>
      </w:r>
      <w:r>
        <w:rPr>
          <w:rFonts w:hint="eastAsia" w:ascii="仿宋" w:hAnsi="仿宋" w:eastAsia="仿宋" w:cs="仿宋"/>
          <w:sz w:val="24"/>
          <w:szCs w:val="24"/>
          <w:highlight w:val="none"/>
          <w:lang w:val="en-US" w:eastAsia="zh-CN"/>
        </w:rPr>
        <w:t>南方电网数字电网集团（云南）有限公司</w:t>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u w:val="single"/>
          <w:lang w:val="en-US" w:eastAsia="zh-CN"/>
        </w:rPr>
        <w:t>2026</w:t>
      </w:r>
      <w:r>
        <w:rPr>
          <w:rFonts w:hint="eastAsia" w:ascii="仿宋" w:hAnsi="仿宋" w:eastAsia="仿宋" w:cs="仿宋"/>
          <w:sz w:val="24"/>
          <w:szCs w:val="24"/>
          <w:highlight w:val="none"/>
          <w:lang w:val="en-US" w:eastAsia="zh-CN"/>
        </w:rPr>
        <w:t>年</w:t>
      </w:r>
      <w:r>
        <w:rPr>
          <w:rFonts w:hint="eastAsia" w:ascii="仿宋" w:hAnsi="仿宋" w:eastAsia="仿宋" w:cs="仿宋"/>
          <w:sz w:val="24"/>
          <w:szCs w:val="24"/>
          <w:highlight w:val="none"/>
          <w:u w:val="single"/>
          <w:lang w:val="en-US" w:eastAsia="zh-CN"/>
        </w:rPr>
        <w:t>9</w:t>
      </w:r>
      <w:r>
        <w:rPr>
          <w:rFonts w:hint="eastAsia" w:ascii="仿宋" w:hAnsi="仿宋" w:eastAsia="仿宋" w:cs="仿宋"/>
          <w:sz w:val="24"/>
          <w:szCs w:val="24"/>
          <w:highlight w:val="none"/>
          <w:lang w:val="en-US" w:eastAsia="zh-CN"/>
        </w:rPr>
        <w:t>月</w:t>
      </w:r>
      <w:r>
        <w:rPr>
          <w:rFonts w:hint="eastAsia" w:ascii="仿宋" w:hAnsi="仿宋" w:eastAsia="仿宋" w:cs="仿宋"/>
          <w:sz w:val="24"/>
          <w:szCs w:val="24"/>
          <w:highlight w:val="none"/>
          <w:u w:val="single"/>
          <w:lang w:val="en-US" w:eastAsia="zh-CN"/>
        </w:rPr>
        <w:t xml:space="preserve"> 3 </w:t>
      </w:r>
      <w:r>
        <w:rPr>
          <w:rFonts w:hint="eastAsia" w:ascii="仿宋" w:hAnsi="仿宋" w:eastAsia="仿宋" w:cs="仿宋"/>
          <w:sz w:val="24"/>
          <w:szCs w:val="24"/>
          <w:highlight w:val="none"/>
          <w:lang w:val="en-US" w:eastAsia="zh-CN"/>
        </w:rPr>
        <w:t>日</w:t>
      </w:r>
    </w:p>
    <w:p>
      <w:pPr>
        <w:spacing w:line="360" w:lineRule="auto"/>
        <w:rPr>
          <w:rFonts w:hint="eastAsia" w:ascii="方正仿宋_GBK" w:hAnsi="方正仿宋_GBK" w:eastAsia="方正仿宋_GBK" w:cs="方正仿宋_GBK"/>
          <w:b/>
          <w:bCs/>
          <w:sz w:val="24"/>
          <w:szCs w:val="24"/>
          <w:lang w:val="en-US" w:eastAsia="zh-CN"/>
        </w:rPr>
      </w:pPr>
      <w:r>
        <w:rPr>
          <w:rFonts w:hint="eastAsia" w:ascii="方正仿宋_GBK" w:hAnsi="方正仿宋_GBK" w:eastAsia="方正仿宋_GBK" w:cs="方正仿宋_GBK"/>
          <w:b/>
          <w:bCs/>
          <w:sz w:val="24"/>
          <w:szCs w:val="24"/>
          <w:lang w:val="en-US" w:eastAsia="zh-CN"/>
        </w:rPr>
        <w:br w:type="page"/>
      </w:r>
      <w:bookmarkStart w:id="7" w:name="_GoBack"/>
      <w:bookmarkEnd w:id="7"/>
    </w:p>
    <w:p>
      <w:pPr>
        <w:pStyle w:val="2"/>
        <w:bidi w:val="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二、评审办法</w:t>
      </w:r>
    </w:p>
    <w:p>
      <w:pPr>
        <w:pStyle w:val="7"/>
        <w:spacing w:line="360" w:lineRule="auto"/>
        <w:jc w:val="center"/>
        <w:outlineLvl w:val="9"/>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评审办法</w:t>
      </w:r>
    </w:p>
    <w:p>
      <w:pPr>
        <w:pStyle w:val="3"/>
        <w:numPr>
          <w:ilvl w:val="0"/>
          <w:numId w:val="5"/>
        </w:numPr>
        <w:bidi w:val="0"/>
        <w:ind w:left="0" w:leftChars="0" w:firstLine="0" w:firstLineChars="0"/>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资格要求</w:t>
      </w:r>
    </w:p>
    <w:tbl>
      <w:tblPr>
        <w:tblStyle w:val="24"/>
        <w:tblW w:w="852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850"/>
        <w:gridCol w:w="6318"/>
        <w:gridCol w:w="13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通用资格要求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3"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序号</w:t>
            </w:r>
          </w:p>
        </w:tc>
        <w:tc>
          <w:tcPr>
            <w:tcW w:w="6318"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内容</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1"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w:t>
            </w:r>
          </w:p>
        </w:tc>
        <w:tc>
          <w:tcPr>
            <w:tcW w:w="6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kern w:val="2"/>
                <w:sz w:val="24"/>
                <w:szCs w:val="24"/>
                <w:lang w:val="en-US" w:eastAsia="zh-CN"/>
              </w:rPr>
            </w:pPr>
            <w:r>
              <w:rPr>
                <w:rFonts w:hint="eastAsia" w:ascii="仿宋" w:hAnsi="仿宋" w:eastAsia="仿宋" w:cs="仿宋"/>
                <w:i w:val="0"/>
                <w:color w:val="auto"/>
                <w:sz w:val="24"/>
                <w:szCs w:val="24"/>
                <w:u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i w:val="0"/>
                <w:color w:val="auto"/>
                <w:sz w:val="24"/>
                <w:szCs w:val="24"/>
                <w:u w:val="none"/>
                <w:lang w:eastAsia="zh-CN"/>
              </w:rPr>
              <w:t>。</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未提供将按照否决处理。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1"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w:t>
            </w:r>
          </w:p>
        </w:tc>
        <w:tc>
          <w:tcPr>
            <w:tcW w:w="6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具备基本的生产设备，满足基本生产条件。</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未提供将按照否决处理。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1"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w:t>
            </w:r>
          </w:p>
        </w:tc>
        <w:tc>
          <w:tcPr>
            <w:tcW w:w="6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kern w:val="2"/>
                <w:sz w:val="24"/>
                <w:szCs w:val="24"/>
                <w:lang w:val="en-US" w:eastAsia="zh-CN"/>
              </w:rPr>
            </w:pPr>
            <w:r>
              <w:rPr>
                <w:rFonts w:hint="eastAsia" w:ascii="仿宋" w:hAnsi="仿宋" w:eastAsia="仿宋" w:cs="仿宋"/>
                <w:i w:val="0"/>
                <w:color w:val="auto"/>
                <w:sz w:val="24"/>
                <w:szCs w:val="24"/>
                <w:u w:val="none"/>
                <w:lang w:val="en-US" w:eastAsia="zh-CN"/>
              </w:rPr>
              <w:t>具备本项目响应产品的资质证书，如中国强制性产品认证证书、销售许可证、第三方测试报告等（至少一项）。</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未提供将按照否决处理。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1"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w:t>
            </w:r>
          </w:p>
        </w:tc>
        <w:tc>
          <w:tcPr>
            <w:tcW w:w="6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具备本项目响应产品的知识产权（专利或软著等）。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未提供将按照否决处理。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1"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5</w:t>
            </w:r>
          </w:p>
        </w:tc>
        <w:tc>
          <w:tcPr>
            <w:tcW w:w="6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具</w:t>
            </w:r>
            <w:r>
              <w:rPr>
                <w:rFonts w:hint="eastAsia" w:ascii="仿宋" w:hAnsi="仿宋" w:eastAsia="仿宋" w:cs="仿宋"/>
                <w:i w:val="0"/>
                <w:color w:val="auto"/>
                <w:sz w:val="24"/>
                <w:szCs w:val="24"/>
                <w:highlight w:val="none"/>
                <w:u w:val="none"/>
                <w:lang w:val="en-US" w:eastAsia="zh-CN"/>
              </w:rPr>
              <w:t>备近三年</w:t>
            </w:r>
            <w:r>
              <w:rPr>
                <w:rFonts w:hint="eastAsia" w:ascii="仿宋" w:hAnsi="仿宋" w:eastAsia="仿宋" w:cs="仿宋"/>
                <w:sz w:val="24"/>
                <w:szCs w:val="24"/>
                <w:highlight w:val="none"/>
                <w:lang w:eastAsia="zh-CN"/>
              </w:rPr>
              <w:t>（202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年至今）</w:t>
            </w:r>
            <w:r>
              <w:rPr>
                <w:rFonts w:hint="eastAsia" w:ascii="仿宋" w:hAnsi="仿宋" w:eastAsia="仿宋" w:cs="仿宋"/>
                <w:i w:val="0"/>
                <w:color w:val="auto"/>
                <w:sz w:val="24"/>
                <w:szCs w:val="24"/>
                <w:highlight w:val="none"/>
                <w:u w:val="none"/>
                <w:lang w:val="en-US" w:eastAsia="zh-CN"/>
              </w:rPr>
              <w:t>本项目寻源物资同类产品的业绩合同不少于3个，且</w:t>
            </w:r>
            <w:r>
              <w:rPr>
                <w:rFonts w:hint="eastAsia" w:ascii="仿宋" w:hAnsi="仿宋" w:eastAsia="仿宋" w:cs="仿宋"/>
                <w:i w:val="0"/>
                <w:color w:val="auto"/>
                <w:sz w:val="24"/>
                <w:szCs w:val="24"/>
                <w:u w:val="none"/>
                <w:lang w:val="en-US" w:eastAsia="zh-CN"/>
              </w:rPr>
              <w:t>合同客户为不同法人主体，提供业绩佐证</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w:t>
            </w:r>
            <w:r>
              <w:rPr>
                <w:rFonts w:hint="eastAsia" w:ascii="仿宋" w:hAnsi="仿宋" w:eastAsia="仿宋" w:cs="仿宋"/>
                <w:sz w:val="24"/>
                <w:szCs w:val="24"/>
                <w:highlight w:val="none"/>
                <w:lang w:eastAsia="zh-CN"/>
              </w:rPr>
              <w:t>采购协议</w:t>
            </w:r>
            <w:r>
              <w:rPr>
                <w:rFonts w:hint="eastAsia" w:ascii="仿宋" w:hAnsi="仿宋" w:eastAsia="仿宋" w:cs="仿宋"/>
                <w:sz w:val="24"/>
                <w:szCs w:val="24"/>
                <w:highlight w:val="none"/>
                <w:lang w:val="en-US" w:eastAsia="zh-CN"/>
              </w:rPr>
              <w:t>/合同</w:t>
            </w:r>
            <w:r>
              <w:rPr>
                <w:rFonts w:hint="eastAsia" w:ascii="仿宋" w:hAnsi="仿宋" w:eastAsia="仿宋" w:cs="仿宋"/>
                <w:sz w:val="24"/>
                <w:szCs w:val="24"/>
                <w:highlight w:val="none"/>
                <w:lang w:eastAsia="zh-CN"/>
              </w:rPr>
              <w:t>等证明材料）</w:t>
            </w:r>
            <w:r>
              <w:rPr>
                <w:rFonts w:hint="eastAsia" w:ascii="仿宋" w:hAnsi="仿宋" w:eastAsia="仿宋" w:cs="仿宋"/>
                <w:i w:val="0"/>
                <w:color w:val="auto"/>
                <w:sz w:val="24"/>
                <w:szCs w:val="24"/>
                <w:u w:val="none"/>
                <w:lang w:val="en-US" w:eastAsia="zh-CN"/>
              </w:rPr>
              <w:t>。</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未提供将按照否决处理。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1"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6</w:t>
            </w:r>
          </w:p>
        </w:tc>
        <w:tc>
          <w:tcPr>
            <w:tcW w:w="6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kern w:val="2"/>
                <w:sz w:val="24"/>
                <w:szCs w:val="24"/>
                <w:lang w:val="en-US" w:eastAsia="zh-CN"/>
              </w:rPr>
            </w:pPr>
            <w:r>
              <w:rPr>
                <w:rFonts w:hint="eastAsia" w:ascii="仿宋" w:hAnsi="仿宋" w:eastAsia="仿宋" w:cs="仿宋"/>
                <w:i w:val="0"/>
                <w:color w:val="auto"/>
                <w:sz w:val="24"/>
                <w:szCs w:val="24"/>
                <w:u w:val="none"/>
                <w:lang w:val="en-US" w:eastAsia="zh-CN"/>
              </w:rPr>
              <w:t>提供制造商授权和质保期内原厂售后服务承诺函。</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未提供将按照否决处理。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1"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7</w:t>
            </w:r>
          </w:p>
        </w:tc>
        <w:tc>
          <w:tcPr>
            <w:tcW w:w="6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提供未使用美光公司产品（包括含有美光芯片的产品）承诺函。</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未提供将按照否决处理。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0" w:type="dxa"/>
            <w:bottom w:w="0" w:type="dxa"/>
            <w:right w:w="0" w:type="dxa"/>
          </w:tblCellMar>
        </w:tblPrEx>
        <w:trPr>
          <w:trHeight w:val="561" w:hRule="atLeast"/>
        </w:trPr>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center"/>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8</w:t>
            </w:r>
          </w:p>
        </w:tc>
        <w:tc>
          <w:tcPr>
            <w:tcW w:w="6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当我公司发生实质性需求时，如成交方需在本项目后续的签约和履行阶段需委托其经销商实施的，必须在寻源响应阶段提供相关经销商授权文件。所委托的经销商需与原厂为长期代理合作关系（提供本次寻源前已签订且处于有效期的代理/授权协议、或为原厂指定对外公示处于有效合作期的指定代理合作伙伴等），需明确对代理商授权代理的产品类型、代理范围、代理权责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w:t>
            </w:r>
            <w:r>
              <w:rPr>
                <w:rFonts w:hint="eastAsia" w:ascii="仿宋" w:hAnsi="仿宋" w:eastAsia="仿宋" w:cs="仿宋"/>
                <w:i w:val="0"/>
                <w:color w:val="auto"/>
                <w:sz w:val="24"/>
                <w:szCs w:val="24"/>
                <w:highlight w:val="none"/>
                <w:u w:val="none"/>
                <w:lang w:val="en-US" w:eastAsia="zh-CN"/>
              </w:rPr>
              <w:t>1】提供附件1响应文件格式中的格式六证明</w:t>
            </w:r>
            <w:r>
              <w:rPr>
                <w:rFonts w:hint="eastAsia" w:ascii="仿宋" w:hAnsi="仿宋" w:eastAsia="仿宋" w:cs="仿宋"/>
                <w:i w:val="0"/>
                <w:color w:val="auto"/>
                <w:sz w:val="24"/>
                <w:szCs w:val="24"/>
                <w:u w:val="none"/>
                <w:lang w:val="en-US" w:eastAsia="zh-CN"/>
              </w:rPr>
              <w:t>材料，未提供将按照否决处理。</w:t>
            </w:r>
          </w:p>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【2】提供长期代理合作关系的支撑材料，未提供将按照否决处理。</w:t>
            </w:r>
          </w:p>
          <w:p>
            <w:pPr>
              <w:keepNext w:val="0"/>
              <w:keepLines w:val="0"/>
              <w:widowControl w:val="0"/>
              <w:suppressLineNumbers w:val="0"/>
              <w:spacing w:before="0" w:beforeAutospacing="0" w:after="0" w:afterAutospacing="0" w:line="360" w:lineRule="auto"/>
              <w:ind w:left="0" w:leftChars="0" w:right="0" w:rightChars="0"/>
              <w:jc w:val="left"/>
              <w:rPr>
                <w:rFonts w:hint="eastAsia" w:ascii="仿宋" w:hAnsi="仿宋" w:eastAsia="仿宋" w:cs="仿宋"/>
                <w:i w:val="0"/>
                <w:color w:val="auto"/>
                <w:sz w:val="24"/>
                <w:szCs w:val="24"/>
                <w:u w:val="none"/>
                <w:lang w:val="en-US" w:eastAsia="zh-CN"/>
              </w:rPr>
            </w:pPr>
            <w:r>
              <w:rPr>
                <w:rFonts w:hint="eastAsia" w:ascii="仿宋" w:hAnsi="仿宋" w:eastAsia="仿宋" w:cs="仿宋"/>
                <w:i w:val="0"/>
                <w:color w:val="auto"/>
                <w:sz w:val="24"/>
                <w:szCs w:val="24"/>
                <w:u w:val="none"/>
                <w:lang w:val="en-US" w:eastAsia="zh-CN"/>
              </w:rPr>
              <w:t>说明：本项只涉及到后续的签约和履行阶段需委托其经销商实施的原厂商。</w:t>
            </w:r>
          </w:p>
        </w:tc>
      </w:tr>
    </w:tbl>
    <w:p>
      <w:pPr>
        <w:pStyle w:val="3"/>
        <w:numPr>
          <w:ilvl w:val="0"/>
          <w:numId w:val="5"/>
        </w:numPr>
        <w:bidi w:val="0"/>
        <w:ind w:left="0" w:leftChars="0" w:firstLine="0" w:firstLineChars="0"/>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详细评审办法</w:t>
      </w:r>
    </w:p>
    <w:p>
      <w:pPr>
        <w:pStyle w:val="14"/>
        <w:adjustRightInd w:val="0"/>
        <w:snapToGrid w:val="0"/>
        <w:spacing w:line="360" w:lineRule="auto"/>
        <w:ind w:left="0" w:leftChars="0" w:firstLine="42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寻源评审组按照以下规定的方法、评审因素、标准和程序对响应文件进行评审。</w:t>
      </w:r>
    </w:p>
    <w:p>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寻源评审组对参与供应商提交的响应文件的有效性、完整性等进行确认。</w:t>
      </w:r>
    </w:p>
    <w:p>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寻源评审组对供应商的商务条件、技术条件和报价进行确认。</w:t>
      </w:r>
    </w:p>
    <w:p>
      <w:pPr>
        <w:keepNext w:val="0"/>
        <w:keepLines w:val="0"/>
        <w:pageBreakBefore w:val="0"/>
        <w:widowControl w:val="0"/>
        <w:numPr>
          <w:ilvl w:val="0"/>
          <w:numId w:val="6"/>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寻源评审组应对报价进行详细复核，包括检查是否有计算上的错误或报价范围上的错误。如发现有错误的，将进行修正。</w:t>
      </w:r>
    </w:p>
    <w:p>
      <w:pPr>
        <w:pStyle w:val="14"/>
        <w:adjustRightInd w:val="0"/>
        <w:snapToGrid w:val="0"/>
        <w:spacing w:line="360" w:lineRule="auto"/>
        <w:ind w:firstLine="48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pStyle w:val="14"/>
        <w:numPr>
          <w:ilvl w:val="0"/>
          <w:numId w:val="7"/>
        </w:numPr>
        <w:shd w:val="clear" w:color="auto" w:fill="auto"/>
        <w:adjustRightInd w:val="0"/>
        <w:snapToGrid w:val="0"/>
        <w:spacing w:line="360" w:lineRule="auto"/>
        <w:ind w:left="1265" w:leftChars="0" w:hanging="425"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总价金额与依据单价计算出的结果不一致的，以单价金额为准修正总价，但单价金额小数点有明显错误的除外。</w:t>
      </w:r>
    </w:p>
    <w:p>
      <w:pPr>
        <w:pStyle w:val="14"/>
        <w:numPr>
          <w:ilvl w:val="0"/>
          <w:numId w:val="7"/>
        </w:numPr>
        <w:shd w:val="clear" w:color="auto" w:fill="auto"/>
        <w:adjustRightInd w:val="0"/>
        <w:snapToGrid w:val="0"/>
        <w:spacing w:line="360" w:lineRule="auto"/>
        <w:ind w:left="1265" w:leftChars="0" w:hanging="425"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如果用数字表示的金额与用文字表示的金额不一致，应以文字表示的金额为准。</w:t>
      </w:r>
    </w:p>
    <w:p>
      <w:pPr>
        <w:adjustRightInd w:val="0"/>
        <w:snapToGrid w:val="0"/>
        <w:spacing w:line="360" w:lineRule="auto"/>
        <w:ind w:firstLine="420" w:firstLineChars="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在评</w:t>
      </w:r>
      <w:r>
        <w:rPr>
          <w:rFonts w:hint="eastAsia" w:ascii="仿宋" w:hAnsi="仿宋" w:eastAsia="仿宋" w:cs="仿宋"/>
          <w:color w:val="000000"/>
          <w:kern w:val="0"/>
          <w:sz w:val="24"/>
          <w:szCs w:val="24"/>
          <w:lang w:val="en-US" w:eastAsia="zh-CN"/>
        </w:rPr>
        <w:t>审</w:t>
      </w:r>
      <w:r>
        <w:rPr>
          <w:rFonts w:hint="eastAsia" w:ascii="仿宋" w:hAnsi="仿宋" w:eastAsia="仿宋" w:cs="仿宋"/>
          <w:color w:val="000000"/>
          <w:kern w:val="0"/>
          <w:sz w:val="24"/>
          <w:szCs w:val="24"/>
        </w:rPr>
        <w:t>过程中，寻源评审组可以</w:t>
      </w:r>
      <w:r>
        <w:rPr>
          <w:rFonts w:hint="eastAsia" w:ascii="仿宋" w:hAnsi="仿宋" w:eastAsia="仿宋" w:cs="仿宋"/>
          <w:color w:val="000000"/>
          <w:kern w:val="0"/>
          <w:sz w:val="24"/>
          <w:szCs w:val="24"/>
          <w:lang w:eastAsia="zh-CN"/>
        </w:rPr>
        <w:t>对</w:t>
      </w:r>
      <w:r>
        <w:rPr>
          <w:rFonts w:hint="eastAsia" w:ascii="仿宋" w:hAnsi="仿宋" w:eastAsia="仿宋" w:cs="仿宋"/>
          <w:color w:val="000000"/>
          <w:kern w:val="0"/>
          <w:sz w:val="24"/>
          <w:szCs w:val="24"/>
        </w:rPr>
        <w:t>参与供应商所提交响应文件中不明确的内容进行书面澄清或说明，或者对细微偏差进行补正。寻源评审组要求参与供应商提供的澄清文件作为响应文件的组成部分。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初审项列表如下：</w:t>
      </w:r>
      <w:bookmarkStart w:id="6" w:name="XmInfoEntity_cbscTable_1_1"/>
    </w:p>
    <w:bookmarkEnd w:id="6"/>
    <w:tbl>
      <w:tblPr>
        <w:tblStyle w:val="16"/>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初评要素</w:t>
            </w:r>
          </w:p>
        </w:tc>
        <w:tc>
          <w:tcPr>
            <w:tcW w:w="70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初评要素1</w:t>
            </w:r>
          </w:p>
        </w:tc>
        <w:tc>
          <w:tcPr>
            <w:tcW w:w="70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报价文件格式是否满足寻源文件要求</w:t>
            </w:r>
          </w:p>
        </w:tc>
      </w:tr>
      <w:tr>
        <w:tblPrEx>
          <w:tblCellMar>
            <w:top w:w="0" w:type="dxa"/>
            <w:left w:w="0" w:type="dxa"/>
            <w:bottom w:w="0" w:type="dxa"/>
            <w:right w:w="0" w:type="dxa"/>
          </w:tblCellMar>
        </w:tblPrEx>
        <w:trPr>
          <w:trHeight w:val="420" w:hRule="atLeast"/>
          <w:jc w:val="center"/>
        </w:trPr>
        <w:tc>
          <w:tcPr>
            <w:tcW w:w="6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4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初评要素2</w:t>
            </w:r>
          </w:p>
        </w:tc>
        <w:tc>
          <w:tcPr>
            <w:tcW w:w="70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highlight w:val="none"/>
              </w:rPr>
              <w:t>质量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val="en-US" w:eastAsia="zh-CN"/>
              </w:rPr>
              <w:t>和交货时间</w:t>
            </w:r>
            <w:r>
              <w:rPr>
                <w:rFonts w:hint="eastAsia" w:ascii="仿宋" w:hAnsi="仿宋" w:eastAsia="仿宋" w:cs="仿宋"/>
                <w:sz w:val="24"/>
                <w:szCs w:val="24"/>
                <w:highlight w:val="none"/>
              </w:rPr>
              <w:t>是</w:t>
            </w:r>
            <w:r>
              <w:rPr>
                <w:rFonts w:hint="eastAsia" w:ascii="仿宋" w:hAnsi="仿宋" w:eastAsia="仿宋" w:cs="仿宋"/>
                <w:sz w:val="24"/>
                <w:szCs w:val="24"/>
              </w:rPr>
              <w:t>否满足要求</w:t>
            </w:r>
          </w:p>
        </w:tc>
      </w:tr>
      <w:tr>
        <w:tblPrEx>
          <w:tblCellMar>
            <w:top w:w="0" w:type="dxa"/>
            <w:left w:w="0" w:type="dxa"/>
            <w:bottom w:w="0" w:type="dxa"/>
            <w:right w:w="0" w:type="dxa"/>
          </w:tblCellMar>
        </w:tblPrEx>
        <w:trPr>
          <w:trHeight w:val="420" w:hRule="atLeast"/>
          <w:jc w:val="center"/>
        </w:trPr>
        <w:tc>
          <w:tcPr>
            <w:tcW w:w="6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4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初评要素3</w:t>
            </w:r>
          </w:p>
        </w:tc>
        <w:tc>
          <w:tcPr>
            <w:tcW w:w="70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只能有一个有效报价，报价不得高于设定的最高限价，有效性符合相关规定。</w:t>
            </w:r>
          </w:p>
        </w:tc>
      </w:tr>
      <w:tr>
        <w:tblPrEx>
          <w:tblCellMar>
            <w:top w:w="0" w:type="dxa"/>
            <w:left w:w="0" w:type="dxa"/>
            <w:bottom w:w="0" w:type="dxa"/>
            <w:right w:w="0" w:type="dxa"/>
          </w:tblCellMar>
        </w:tblPrEx>
        <w:trPr>
          <w:trHeight w:val="420" w:hRule="atLeast"/>
          <w:jc w:val="center"/>
        </w:trPr>
        <w:tc>
          <w:tcPr>
            <w:tcW w:w="68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44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ind w:left="170"/>
              <w:rPr>
                <w:rFonts w:hint="eastAsia" w:ascii="仿宋" w:hAnsi="仿宋" w:eastAsia="仿宋" w:cs="仿宋"/>
                <w:sz w:val="24"/>
                <w:szCs w:val="24"/>
                <w:lang w:eastAsia="zh-CN"/>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4</w:t>
            </w:r>
          </w:p>
        </w:tc>
        <w:tc>
          <w:tcPr>
            <w:tcW w:w="70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ind w:left="17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技术偏离表中标“*”条款为实质性要求，响应方</w:t>
            </w:r>
            <w:r>
              <w:rPr>
                <w:rFonts w:hint="eastAsia" w:ascii="仿宋" w:hAnsi="仿宋" w:eastAsia="仿宋" w:cs="仿宋"/>
                <w:sz w:val="24"/>
                <w:szCs w:val="24"/>
              </w:rPr>
              <w:t>必须逐条作出完全满足或优于</w:t>
            </w:r>
            <w:r>
              <w:rPr>
                <w:rFonts w:hint="eastAsia" w:ascii="仿宋" w:hAnsi="仿宋" w:eastAsia="仿宋" w:cs="仿宋"/>
                <w:sz w:val="24"/>
                <w:szCs w:val="24"/>
                <w:lang w:val="en-US" w:eastAsia="zh-CN"/>
              </w:rPr>
              <w:t>寻源</w:t>
            </w:r>
            <w:r>
              <w:rPr>
                <w:rFonts w:hint="eastAsia" w:ascii="仿宋" w:hAnsi="仿宋" w:eastAsia="仿宋" w:cs="仿宋"/>
                <w:sz w:val="24"/>
                <w:szCs w:val="24"/>
              </w:rPr>
              <w:t>要求的响应，并提供相应的证明材料。</w:t>
            </w:r>
            <w:r>
              <w:rPr>
                <w:rFonts w:hint="eastAsia" w:ascii="仿宋" w:hAnsi="仿宋" w:eastAsia="仿宋" w:cs="仿宋"/>
                <w:sz w:val="24"/>
                <w:szCs w:val="24"/>
                <w:lang w:val="en-US" w:eastAsia="zh-CN"/>
              </w:rPr>
              <w:t>不得出现标</w:t>
            </w:r>
            <w:r>
              <w:rPr>
                <w:rFonts w:hint="eastAsia" w:ascii="仿宋" w:hAnsi="仿宋" w:eastAsia="仿宋" w:cs="仿宋"/>
                <w:sz w:val="24"/>
                <w:szCs w:val="24"/>
              </w:rPr>
              <w:t>“</w:t>
            </w:r>
            <w:r>
              <w:rPr>
                <w:rFonts w:hint="eastAsia" w:ascii="仿宋" w:hAnsi="仿宋" w:eastAsia="仿宋" w:cs="仿宋"/>
                <w:sz w:val="24"/>
                <w:szCs w:val="24"/>
                <w:lang w:val="en-US" w:eastAsia="zh-CN"/>
              </w:rPr>
              <w:t>*</w:t>
            </w:r>
            <w:r>
              <w:rPr>
                <w:rFonts w:hint="eastAsia" w:ascii="仿宋" w:hAnsi="仿宋" w:eastAsia="仿宋" w:cs="仿宋"/>
                <w:sz w:val="24"/>
                <w:szCs w:val="24"/>
              </w:rPr>
              <w:t>”条款未响应、负偏离或未提供有效证明。</w:t>
            </w:r>
          </w:p>
        </w:tc>
      </w:tr>
    </w:tbl>
    <w:p>
      <w:pPr>
        <w:pStyle w:val="14"/>
        <w:adjustRightInd w:val="0"/>
        <w:snapToGrid w:val="0"/>
        <w:spacing w:before="156"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详细评审</w:t>
      </w:r>
      <w:r>
        <w:rPr>
          <w:rFonts w:hint="eastAsia" w:ascii="仿宋" w:hAnsi="仿宋" w:eastAsia="仿宋" w:cs="仿宋"/>
          <w:color w:val="000000"/>
          <w:sz w:val="24"/>
          <w:szCs w:val="24"/>
          <w:lang w:eastAsia="zh-CN"/>
        </w:rPr>
        <w:t>：</w:t>
      </w:r>
    </w:p>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寻源评审组按照寻源文件的详细评审要素，对应邀供应商提交的响应文件进行技术、商务详细评审，详见技术商务评审要素。</w:t>
      </w:r>
    </w:p>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14"/>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pStyle w:val="14"/>
        <w:numPr>
          <w:ilvl w:val="0"/>
          <w:numId w:val="9"/>
        </w:numPr>
        <w:shd w:val="clear" w:color="auto" w:fill="auto"/>
        <w:adjustRightInd w:val="0"/>
        <w:snapToGrid w:val="0"/>
        <w:spacing w:line="360" w:lineRule="auto"/>
        <w:ind w:left="1265" w:leftChars="0" w:hanging="425"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总价金额与依据单价计算出的结果不一致的，以单价金额为准修正总价，但单价金额小数点有明显错误的除外。</w:t>
      </w:r>
    </w:p>
    <w:p>
      <w:pPr>
        <w:pStyle w:val="14"/>
        <w:numPr>
          <w:ilvl w:val="0"/>
          <w:numId w:val="9"/>
        </w:numPr>
        <w:shd w:val="clear" w:color="auto" w:fill="auto"/>
        <w:adjustRightInd w:val="0"/>
        <w:snapToGrid w:val="0"/>
        <w:spacing w:line="360" w:lineRule="auto"/>
        <w:ind w:left="1265" w:leftChars="0" w:hanging="425"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如果用数字表示的金额与用文字表示的金额不一致，应以文字表示的金额为准。</w:t>
      </w:r>
    </w:p>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方正仿宋_GBK" w:hAnsi="方正仿宋_GBK" w:eastAsia="方正仿宋_GBK" w:cs="方正仿宋_GBK"/>
          <w:sz w:val="24"/>
          <w:szCs w:val="24"/>
          <w:highlight w:val="none"/>
        </w:rPr>
      </w:pPr>
      <w:r>
        <w:rPr>
          <w:rFonts w:hint="eastAsia" w:ascii="仿宋" w:hAnsi="仿宋" w:eastAsia="仿宋" w:cs="仿宋"/>
          <w:sz w:val="24"/>
          <w:szCs w:val="24"/>
          <w:highlight w:val="none"/>
        </w:rPr>
        <w:t>商务</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技术、价格评审要素</w:t>
      </w:r>
    </w:p>
    <w:p>
      <w:pPr>
        <w:pStyle w:val="14"/>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color w:val="0000FF"/>
          <w:kern w:val="2"/>
          <w:sz w:val="24"/>
          <w:szCs w:val="24"/>
          <w:highlight w:val="none"/>
          <w:u w:val="single"/>
          <w:lang w:val="en-US" w:eastAsia="zh-CN" w:bidi="ar-SA"/>
        </w:rPr>
        <w:t>评分办法名称：综合评估法</w:t>
      </w:r>
    </w:p>
    <w:tbl>
      <w:tblPr>
        <w:tblStyle w:val="16"/>
        <w:tblW w:w="60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79"/>
        <w:gridCol w:w="1712"/>
        <w:gridCol w:w="1921"/>
        <w:gridCol w:w="4345"/>
        <w:gridCol w:w="1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6" w:hRule="atLeast"/>
          <w:jc w:val="center"/>
        </w:trPr>
        <w:tc>
          <w:tcPr>
            <w:tcW w:w="5000" w:type="pct"/>
            <w:gridSpan w:val="5"/>
            <w:shd w:val="clear" w:color="auto" w:fill="FFFFFF"/>
            <w:noWrap w:val="0"/>
            <w:vAlign w:val="center"/>
          </w:tcPr>
          <w:p>
            <w:pPr>
              <w:spacing w:line="360" w:lineRule="auto"/>
              <w:jc w:val="both"/>
              <w:rPr>
                <w:rFonts w:hint="default" w:ascii="仿宋" w:hAnsi="仿宋" w:eastAsia="仿宋" w:cs="仿宋"/>
                <w:b/>
                <w:bCs/>
                <w:color w:val="auto"/>
                <w:sz w:val="24"/>
                <w:szCs w:val="24"/>
                <w:lang w:val="en-US"/>
              </w:rPr>
            </w:pPr>
            <w:r>
              <w:rPr>
                <w:rFonts w:hint="eastAsia" w:ascii="仿宋" w:hAnsi="仿宋" w:eastAsia="仿宋" w:cs="仿宋"/>
                <w:b/>
                <w:bCs/>
                <w:color w:val="auto"/>
                <w:sz w:val="24"/>
                <w:szCs w:val="24"/>
                <w:lang w:val="en-US" w:eastAsia="zh-CN"/>
              </w:rPr>
              <w:t>下列评审标准适用的标的/标包：2026年南方电网数字电网集团（云南）有限公司AI计算服务器投标寻源项目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6" w:hRule="atLeast"/>
          <w:jc w:val="center"/>
        </w:trPr>
        <w:tc>
          <w:tcPr>
            <w:tcW w:w="5000" w:type="pct"/>
            <w:gridSpan w:val="5"/>
            <w:shd w:val="clear" w:color="auto" w:fill="FFFFFF"/>
            <w:noWrap w:val="0"/>
            <w:vAlign w:val="center"/>
          </w:tcPr>
          <w:p>
            <w:pPr>
              <w:spacing w:line="360" w:lineRule="auto"/>
              <w:jc w:val="both"/>
              <w:rPr>
                <w:rFonts w:hint="eastAsia" w:ascii="仿宋" w:hAnsi="仿宋" w:eastAsia="仿宋" w:cs="仿宋"/>
                <w:b/>
                <w:color w:val="auto"/>
                <w:sz w:val="24"/>
                <w:szCs w:val="24"/>
              </w:rPr>
            </w:pPr>
            <w:r>
              <w:rPr>
                <w:rFonts w:hint="eastAsia" w:ascii="仿宋" w:hAnsi="仿宋" w:eastAsia="仿宋" w:cs="仿宋"/>
                <w:b/>
                <w:bCs/>
                <w:color w:val="auto"/>
                <w:sz w:val="24"/>
                <w:szCs w:val="24"/>
              </w:rPr>
              <w:t>（</w:t>
            </w:r>
            <w:r>
              <w:rPr>
                <w:rFonts w:hint="eastAsia" w:ascii="仿宋" w:hAnsi="仿宋" w:eastAsia="仿宋" w:cs="仿宋"/>
                <w:b/>
                <w:bCs/>
                <w:color w:val="auto"/>
                <w:sz w:val="24"/>
                <w:szCs w:val="24"/>
                <w:lang w:val="en-US" w:eastAsia="zh-CN"/>
              </w:rPr>
              <w:t>一</w:t>
            </w:r>
            <w:r>
              <w:rPr>
                <w:rFonts w:hint="eastAsia" w:ascii="仿宋" w:hAnsi="仿宋" w:eastAsia="仿宋" w:cs="仿宋"/>
                <w:b/>
                <w:bCs/>
                <w:color w:val="auto"/>
                <w:sz w:val="24"/>
                <w:szCs w:val="24"/>
              </w:rPr>
              <w:t>）、商务评审</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100分</w:t>
            </w:r>
            <w:r>
              <w:rPr>
                <w:rFonts w:hint="eastAsia" w:ascii="仿宋" w:hAnsi="仿宋" w:eastAsia="仿宋" w:cs="仿宋"/>
                <w:b/>
                <w:bCs/>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6" w:hRule="atLeast"/>
          <w:jc w:val="center"/>
        </w:trPr>
        <w:tc>
          <w:tcPr>
            <w:tcW w:w="385" w:type="pct"/>
            <w:shd w:val="clear" w:color="auto" w:fill="FFFFFF"/>
            <w:noWrap w:val="0"/>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b/>
                <w:color w:val="auto"/>
                <w:sz w:val="24"/>
                <w:szCs w:val="24"/>
              </w:rPr>
              <w:t>序号</w:t>
            </w:r>
          </w:p>
        </w:tc>
        <w:tc>
          <w:tcPr>
            <w:tcW w:w="845" w:type="pct"/>
            <w:shd w:val="clear" w:color="auto" w:fill="FFFFFF"/>
            <w:noWrap w:val="0"/>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b/>
                <w:color w:val="auto"/>
                <w:sz w:val="24"/>
                <w:szCs w:val="24"/>
              </w:rPr>
              <w:t>评审要素</w:t>
            </w:r>
          </w:p>
        </w:tc>
        <w:tc>
          <w:tcPr>
            <w:tcW w:w="949" w:type="pct"/>
            <w:shd w:val="clear" w:color="auto" w:fill="FFFFFF"/>
            <w:noWrap w:val="0"/>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b/>
                <w:color w:val="auto"/>
                <w:sz w:val="24"/>
                <w:szCs w:val="24"/>
              </w:rPr>
              <w:t>详细评审项</w:t>
            </w:r>
          </w:p>
        </w:tc>
        <w:tc>
          <w:tcPr>
            <w:tcW w:w="2147" w:type="pct"/>
            <w:shd w:val="clear" w:color="auto" w:fill="FFFFFF"/>
            <w:noWrap w:val="0"/>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b/>
                <w:color w:val="auto"/>
                <w:sz w:val="24"/>
                <w:szCs w:val="24"/>
              </w:rPr>
              <w:t>详细评审分项要素</w:t>
            </w:r>
          </w:p>
        </w:tc>
        <w:tc>
          <w:tcPr>
            <w:tcW w:w="671" w:type="pct"/>
            <w:shd w:val="clear" w:color="auto" w:fill="FFFFFF"/>
            <w:noWrap w:val="0"/>
            <w:vAlign w:val="center"/>
          </w:tcPr>
          <w:p>
            <w:pPr>
              <w:spacing w:line="360" w:lineRule="auto"/>
              <w:jc w:val="center"/>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385" w:type="pct"/>
            <w:shd w:val="clear" w:color="auto" w:fill="FFFFFF"/>
            <w:noWrap w:val="0"/>
            <w:vAlign w:val="center"/>
          </w:tcPr>
          <w:p>
            <w:pPr>
              <w:numPr>
                <w:ilvl w:val="0"/>
                <w:numId w:val="10"/>
              </w:numPr>
              <w:spacing w:line="360" w:lineRule="auto"/>
              <w:ind w:left="425" w:leftChars="0" w:hanging="425" w:firstLineChars="0"/>
              <w:jc w:val="center"/>
              <w:rPr>
                <w:rFonts w:hint="eastAsia" w:ascii="仿宋" w:hAnsi="仿宋" w:eastAsia="仿宋" w:cs="仿宋"/>
                <w:color w:val="auto"/>
                <w:sz w:val="24"/>
                <w:szCs w:val="24"/>
                <w:lang w:val="en-US" w:eastAsia="zh-CN"/>
              </w:rPr>
            </w:pPr>
          </w:p>
        </w:tc>
        <w:tc>
          <w:tcPr>
            <w:tcW w:w="845" w:type="pct"/>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企业信息</w:t>
            </w:r>
          </w:p>
        </w:tc>
        <w:tc>
          <w:tcPr>
            <w:tcW w:w="949" w:type="pct"/>
            <w:shd w:val="clear" w:color="auto" w:fill="FFFFFF"/>
            <w:noWrap w:val="0"/>
            <w:vAlign w:val="center"/>
          </w:tcPr>
          <w:p>
            <w:pPr>
              <w:ind w:left="113" w:leftChars="0"/>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企业简介和基本情况</w:t>
            </w:r>
          </w:p>
        </w:tc>
        <w:tc>
          <w:tcPr>
            <w:tcW w:w="2147" w:type="pct"/>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按要求提供制造商简介和基本情况信息表，若为代理商响应还须同步提供代理商简介和基本情况信息表。</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lang w:val="en-US" w:eastAsia="zh-CN"/>
              </w:rPr>
            </w:pPr>
            <w:r>
              <w:rPr>
                <w:rFonts w:hint="eastAsia" w:ascii="仿宋" w:hAnsi="仿宋" w:eastAsia="仿宋" w:cs="仿宋"/>
                <w:sz w:val="24"/>
                <w:szCs w:val="24"/>
                <w:lang w:val="en-US" w:eastAsia="zh-CN"/>
              </w:rPr>
              <w:t>是得满分，否或未提供相关佐证材料得0分。</w:t>
            </w:r>
          </w:p>
        </w:tc>
        <w:tc>
          <w:tcPr>
            <w:tcW w:w="671" w:type="pct"/>
            <w:shd w:val="clear" w:color="auto" w:fill="FFFFFF"/>
            <w:noWrap w:val="0"/>
            <w:vAlign w:val="center"/>
          </w:tcPr>
          <w:p>
            <w:pPr>
              <w:keepNext w:val="0"/>
              <w:keepLines w:val="0"/>
              <w:widowControl/>
              <w:suppressLineNumbers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385" w:type="pct"/>
            <w:shd w:val="clear" w:color="auto" w:fill="FFFFFF"/>
            <w:noWrap w:val="0"/>
            <w:vAlign w:val="center"/>
          </w:tcPr>
          <w:p>
            <w:pPr>
              <w:numPr>
                <w:ilvl w:val="0"/>
                <w:numId w:val="10"/>
              </w:numPr>
              <w:spacing w:line="360" w:lineRule="auto"/>
              <w:ind w:left="425" w:leftChars="0" w:hanging="425" w:firstLineChars="0"/>
              <w:jc w:val="center"/>
              <w:rPr>
                <w:rFonts w:hint="eastAsia" w:ascii="仿宋" w:hAnsi="仿宋" w:eastAsia="仿宋" w:cs="仿宋"/>
                <w:color w:val="auto"/>
                <w:sz w:val="24"/>
                <w:szCs w:val="24"/>
                <w:lang w:val="en-US" w:eastAsia="zh-CN"/>
              </w:rPr>
            </w:pPr>
          </w:p>
        </w:tc>
        <w:tc>
          <w:tcPr>
            <w:tcW w:w="845" w:type="pct"/>
            <w:shd w:val="clear" w:color="auto" w:fill="FFFFFF"/>
            <w:noWrap w:val="0"/>
            <w:vAlign w:val="center"/>
          </w:tcPr>
          <w:p>
            <w:pPr>
              <w:keepNext w:val="0"/>
              <w:keepLines w:val="0"/>
              <w:pageBreakBefore w:val="0"/>
              <w:widowControl/>
              <w:suppressLineNumbers w:val="0"/>
              <w:kinsoku/>
              <w:wordWrap/>
              <w:overflowPunct/>
              <w:topLinePunct w:val="0"/>
              <w:autoSpaceDE/>
              <w:autoSpaceDN/>
              <w:bidi w:val="0"/>
              <w:jc w:val="center"/>
              <w:textAlignment w:val="center"/>
              <w:rPr>
                <w:rFonts w:hint="eastAsia" w:ascii="仿宋" w:hAnsi="仿宋" w:eastAsia="仿宋" w:cs="仿宋"/>
                <w:color w:val="auto"/>
                <w:sz w:val="24"/>
                <w:szCs w:val="24"/>
                <w:lang w:eastAsia="zh-CN"/>
              </w:rPr>
            </w:pPr>
            <w:r>
              <w:rPr>
                <w:rFonts w:hint="eastAsia" w:ascii="仿宋" w:hAnsi="仿宋" w:eastAsia="仿宋" w:cs="仿宋"/>
                <w:sz w:val="24"/>
                <w:szCs w:val="24"/>
                <w:highlight w:val="none"/>
              </w:rPr>
              <w:t>诚信经营</w:t>
            </w:r>
          </w:p>
        </w:tc>
        <w:tc>
          <w:tcPr>
            <w:tcW w:w="949" w:type="pct"/>
            <w:shd w:val="clear" w:color="auto" w:fill="FFFFFF"/>
            <w:noWrap w:val="0"/>
            <w:vAlign w:val="center"/>
          </w:tcPr>
          <w:p>
            <w:pPr>
              <w:ind w:left="113" w:leftChars="0"/>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诚信经营</w:t>
            </w:r>
          </w:p>
        </w:tc>
        <w:tc>
          <w:tcPr>
            <w:tcW w:w="2147" w:type="pct"/>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近三年均获得税务机关“A级纳税人”评价得20分；</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近三年内有两年获得过税务机关“A级纳税人”评价得14分；</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近三年内有1年获得过税务机关“A级纳税人”评价得8分；</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lang w:val="en-US" w:eastAsia="zh-CN"/>
              </w:rPr>
              <w:t>注：提供税务机关出具的近三年纳税等级证明材料。税务总局每年4月确定上一年度纳税评价结果（www.chinatax.gov.cn），若在响应前仍未公布上一年的评价结果，则将前一年度结果作为最近一年度的查询结果，以此类推。未按要求提供佐证材料相关年度不得分。非营利法人且未能提供纳税等级的取通过初评的响应人得分平均值。</w:t>
            </w:r>
          </w:p>
        </w:tc>
        <w:tc>
          <w:tcPr>
            <w:tcW w:w="671" w:type="pct"/>
            <w:shd w:val="clear" w:color="auto" w:fill="FFFFFF"/>
            <w:noWrap w:val="0"/>
            <w:vAlign w:val="center"/>
          </w:tcPr>
          <w:p>
            <w:pPr>
              <w:keepNext w:val="0"/>
              <w:keepLines w:val="0"/>
              <w:widowControl/>
              <w:suppressLineNumbers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385" w:type="pct"/>
            <w:shd w:val="clear" w:color="auto" w:fill="FFFFFF"/>
            <w:noWrap w:val="0"/>
            <w:vAlign w:val="center"/>
          </w:tcPr>
          <w:p>
            <w:pPr>
              <w:numPr>
                <w:ilvl w:val="0"/>
                <w:numId w:val="10"/>
              </w:numPr>
              <w:spacing w:line="360" w:lineRule="auto"/>
              <w:ind w:left="425" w:leftChars="0" w:hanging="425" w:firstLineChars="0"/>
              <w:jc w:val="center"/>
              <w:rPr>
                <w:rFonts w:hint="eastAsia" w:ascii="仿宋" w:hAnsi="仿宋" w:eastAsia="仿宋" w:cs="仿宋"/>
                <w:color w:val="auto"/>
                <w:sz w:val="24"/>
                <w:szCs w:val="24"/>
                <w:lang w:val="en-US" w:eastAsia="zh-CN"/>
              </w:rPr>
            </w:pPr>
          </w:p>
        </w:tc>
        <w:tc>
          <w:tcPr>
            <w:tcW w:w="845" w:type="pct"/>
            <w:shd w:val="clear" w:color="auto" w:fill="FFFFFF"/>
            <w:noWrap w:val="0"/>
            <w:vAlign w:val="center"/>
          </w:tcPr>
          <w:p>
            <w:pPr>
              <w:spacing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企业资质</w:t>
            </w:r>
          </w:p>
        </w:tc>
        <w:tc>
          <w:tcPr>
            <w:tcW w:w="949" w:type="pct"/>
            <w:shd w:val="clear" w:color="auto" w:fill="FFFFFF"/>
            <w:noWrap w:val="0"/>
            <w:vAlign w:val="center"/>
          </w:tcPr>
          <w:p>
            <w:pPr>
              <w:keepNext w:val="0"/>
              <w:keepLines w:val="0"/>
              <w:widowControl/>
              <w:suppressLineNumbers w:val="0"/>
              <w:spacing w:line="360" w:lineRule="auto"/>
              <w:jc w:val="center"/>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质量管理体系</w:t>
            </w:r>
          </w:p>
        </w:tc>
        <w:tc>
          <w:tcPr>
            <w:tcW w:w="2147" w:type="pct"/>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产品原厂商</w:t>
            </w:r>
            <w:r>
              <w:rPr>
                <w:rFonts w:hint="eastAsia" w:ascii="仿宋" w:hAnsi="仿宋" w:eastAsia="仿宋" w:cs="仿宋"/>
                <w:sz w:val="24"/>
                <w:szCs w:val="24"/>
              </w:rPr>
              <w:t>具备质量管理体系认证</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环境管理体系认证、职业健康安全管理体系认证，要求认证范围覆盖寻源物资，证书在有效期内。</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是得满分，否或未提供相关佐证材料得0分。</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佐证材料说明:提供相关证书的扫描件或照片。</w:t>
            </w:r>
          </w:p>
        </w:tc>
        <w:tc>
          <w:tcPr>
            <w:tcW w:w="671" w:type="pct"/>
            <w:shd w:val="clear" w:color="auto" w:fill="FFFFFF"/>
            <w:noWrap w:val="0"/>
            <w:vAlign w:val="center"/>
          </w:tcPr>
          <w:p>
            <w:pPr>
              <w:keepNext w:val="0"/>
              <w:keepLines w:val="0"/>
              <w:widowControl/>
              <w:suppressLineNumbers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385" w:type="pct"/>
            <w:shd w:val="clear" w:color="auto" w:fill="FFFFFF"/>
            <w:noWrap w:val="0"/>
            <w:vAlign w:val="center"/>
          </w:tcPr>
          <w:p>
            <w:pPr>
              <w:numPr>
                <w:ilvl w:val="0"/>
                <w:numId w:val="10"/>
              </w:numPr>
              <w:spacing w:line="360" w:lineRule="auto"/>
              <w:ind w:left="425" w:leftChars="0" w:hanging="425" w:firstLineChars="0"/>
              <w:jc w:val="center"/>
              <w:rPr>
                <w:rFonts w:hint="eastAsia" w:ascii="仿宋" w:hAnsi="仿宋" w:eastAsia="仿宋" w:cs="仿宋"/>
                <w:color w:val="auto"/>
                <w:sz w:val="24"/>
                <w:szCs w:val="24"/>
                <w:lang w:val="en-US" w:eastAsia="zh-CN"/>
              </w:rPr>
            </w:pPr>
          </w:p>
        </w:tc>
        <w:tc>
          <w:tcPr>
            <w:tcW w:w="845" w:type="pct"/>
            <w:shd w:val="clear" w:color="auto" w:fill="FFFFFF"/>
            <w:noWrap w:val="0"/>
            <w:vAlign w:val="center"/>
          </w:tcPr>
          <w:p>
            <w:pPr>
              <w:spacing w:line="360" w:lineRule="auto"/>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供应稳定</w:t>
            </w:r>
          </w:p>
        </w:tc>
        <w:tc>
          <w:tcPr>
            <w:tcW w:w="949" w:type="pct"/>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供应稳定</w:t>
            </w:r>
          </w:p>
        </w:tc>
        <w:tc>
          <w:tcPr>
            <w:tcW w:w="2147" w:type="pct"/>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（1）承诺设备全生命周期备品备件、零部件稳定供应。是得10分，否得0分。</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因改扩建等后期建设要求保证功能配套而需要继续从原响应方处单一来源采购的，承诺以不高于同期成交价格（同期无成交记录的取最近一次成交价格）提供同型号（或替代型号）设备整机、备品备件或零部件。是得10分，否得0分。</w:t>
            </w:r>
          </w:p>
        </w:tc>
        <w:tc>
          <w:tcPr>
            <w:tcW w:w="671" w:type="pct"/>
            <w:shd w:val="clear" w:color="auto" w:fill="FFFFFF"/>
            <w:noWrap w:val="0"/>
            <w:vAlign w:val="center"/>
          </w:tcPr>
          <w:p>
            <w:pPr>
              <w:numPr>
                <w:ilvl w:val="0"/>
                <w:numId w:val="0"/>
              </w:num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385" w:type="pct"/>
            <w:shd w:val="clear" w:color="auto" w:fill="FFFFFF"/>
            <w:noWrap w:val="0"/>
            <w:vAlign w:val="center"/>
          </w:tcPr>
          <w:p>
            <w:pPr>
              <w:numPr>
                <w:ilvl w:val="0"/>
                <w:numId w:val="10"/>
              </w:numPr>
              <w:spacing w:line="360" w:lineRule="auto"/>
              <w:ind w:left="425" w:leftChars="0" w:hanging="425" w:firstLineChars="0"/>
              <w:jc w:val="center"/>
              <w:rPr>
                <w:rFonts w:hint="eastAsia" w:ascii="仿宋" w:hAnsi="仿宋" w:eastAsia="仿宋" w:cs="仿宋"/>
                <w:color w:val="auto"/>
                <w:sz w:val="24"/>
                <w:szCs w:val="24"/>
                <w:lang w:val="en-US" w:eastAsia="zh-CN"/>
              </w:rPr>
            </w:pPr>
          </w:p>
        </w:tc>
        <w:tc>
          <w:tcPr>
            <w:tcW w:w="845" w:type="pct"/>
            <w:shd w:val="clear" w:color="auto" w:fill="FFFFFF"/>
            <w:noWrap w:val="0"/>
            <w:vAlign w:val="center"/>
          </w:tcPr>
          <w:p>
            <w:pPr>
              <w:spacing w:line="360" w:lineRule="auto"/>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响应文件质量</w:t>
            </w:r>
          </w:p>
        </w:tc>
        <w:tc>
          <w:tcPr>
            <w:tcW w:w="949" w:type="pct"/>
            <w:shd w:val="clear" w:color="auto" w:fill="FFFFFF"/>
            <w:noWrap w:val="0"/>
            <w:vAlign w:val="center"/>
          </w:tcPr>
          <w:p>
            <w:pPr>
              <w:keepNext w:val="0"/>
              <w:keepLines w:val="0"/>
              <w:widowControl/>
              <w:suppressLineNumbers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响应文件质量</w:t>
            </w:r>
          </w:p>
        </w:tc>
        <w:tc>
          <w:tcPr>
            <w:tcW w:w="2147" w:type="pct"/>
            <w:shd w:val="clear" w:color="auto" w:fill="FFFFFF"/>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响应文件有序、规范、完整、详实，得7-10分；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响应文件有序、规范、完整，得4-6分；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响应文件一般，得0-3分。</w:t>
            </w:r>
          </w:p>
        </w:tc>
        <w:tc>
          <w:tcPr>
            <w:tcW w:w="671" w:type="pct"/>
            <w:shd w:val="clear" w:color="auto" w:fill="FFFFFF"/>
            <w:noWrap w:val="0"/>
            <w:vAlign w:val="center"/>
          </w:tcPr>
          <w:p>
            <w:pPr>
              <w:numPr>
                <w:ilvl w:val="0"/>
                <w:numId w:val="0"/>
              </w:num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5000" w:type="pct"/>
            <w:gridSpan w:val="5"/>
            <w:shd w:val="clear" w:color="auto" w:fill="FFFFFF"/>
            <w:noWrap w:val="0"/>
            <w:vAlign w:val="center"/>
          </w:tcPr>
          <w:p>
            <w:pPr>
              <w:numPr>
                <w:ilvl w:val="0"/>
                <w:numId w:val="0"/>
              </w:numPr>
              <w:spacing w:line="360" w:lineRule="auto"/>
              <w:jc w:val="left"/>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（二）技术评审（100分）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385" w:type="pct"/>
            <w:shd w:val="clear" w:color="auto" w:fill="FFFFFF"/>
            <w:noWrap w:val="0"/>
            <w:vAlign w:val="center"/>
          </w:tcPr>
          <w:p>
            <w:pPr>
              <w:numPr>
                <w:ilvl w:val="0"/>
                <w:numId w:val="11"/>
              </w:numPr>
              <w:spacing w:line="360" w:lineRule="auto"/>
              <w:ind w:left="425" w:leftChars="0" w:hanging="425" w:firstLineChars="0"/>
              <w:jc w:val="center"/>
              <w:rPr>
                <w:rFonts w:hint="eastAsia" w:ascii="仿宋" w:hAnsi="仿宋" w:eastAsia="仿宋" w:cs="仿宋"/>
                <w:color w:val="auto"/>
                <w:sz w:val="24"/>
                <w:szCs w:val="24"/>
                <w:lang w:val="en-US" w:eastAsia="zh-CN"/>
              </w:rPr>
            </w:pPr>
          </w:p>
        </w:tc>
        <w:tc>
          <w:tcPr>
            <w:tcW w:w="845" w:type="pct"/>
            <w:shd w:val="clear" w:color="auto" w:fill="FFFFFF"/>
            <w:noWrap w:val="0"/>
            <w:vAlign w:val="center"/>
          </w:tcPr>
          <w:p>
            <w:p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产品技术参数</w:t>
            </w:r>
          </w:p>
        </w:tc>
        <w:tc>
          <w:tcPr>
            <w:tcW w:w="949" w:type="pct"/>
            <w:shd w:val="clear" w:color="auto" w:fill="FFFFFF"/>
            <w:noWrap w:val="0"/>
            <w:vAlign w:val="center"/>
          </w:tcPr>
          <w:p>
            <w:p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产品参数优异性</w:t>
            </w:r>
          </w:p>
        </w:tc>
        <w:tc>
          <w:tcPr>
            <w:tcW w:w="2147" w:type="pct"/>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对产品参数进行横向对比，响应产品满足技术偏离表要求的，得基础分40分。</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存在正/负偏离的按照以下规则加分或扣分，累计加分不超过1</w:t>
            </w:r>
            <w:r>
              <w:rPr>
                <w:rFonts w:hint="default" w:ascii="仿宋" w:hAnsi="仿宋" w:eastAsia="仿宋" w:cs="仿宋"/>
                <w:color w:val="auto"/>
                <w:kern w:val="2"/>
                <w:sz w:val="24"/>
                <w:szCs w:val="24"/>
                <w:highlight w:val="none"/>
                <w:lang w:val="en-US" w:eastAsia="zh-CN" w:bidi="ar-SA"/>
              </w:rPr>
              <w:t>0</w:t>
            </w:r>
            <w:r>
              <w:rPr>
                <w:rFonts w:hint="eastAsia" w:ascii="仿宋" w:hAnsi="仿宋" w:eastAsia="仿宋" w:cs="仿宋"/>
                <w:color w:val="auto"/>
                <w:kern w:val="2"/>
                <w:sz w:val="24"/>
                <w:szCs w:val="24"/>
                <w:highlight w:val="none"/>
                <w:lang w:val="en-US" w:eastAsia="zh-CN" w:bidi="ar-SA"/>
              </w:rPr>
              <w:t>分，累计扣分不超过4</w:t>
            </w:r>
            <w:r>
              <w:rPr>
                <w:rFonts w:hint="default" w:ascii="仿宋" w:hAnsi="仿宋" w:eastAsia="仿宋" w:cs="仿宋"/>
                <w:color w:val="auto"/>
                <w:kern w:val="2"/>
                <w:sz w:val="24"/>
                <w:szCs w:val="24"/>
                <w:highlight w:val="none"/>
                <w:lang w:val="en-US" w:eastAsia="zh-CN" w:bidi="ar-SA"/>
              </w:rPr>
              <w:t>0</w:t>
            </w:r>
            <w:r>
              <w:rPr>
                <w:rFonts w:hint="eastAsia" w:ascii="仿宋" w:hAnsi="仿宋" w:eastAsia="仿宋" w:cs="仿宋"/>
                <w:color w:val="auto"/>
                <w:kern w:val="2"/>
                <w:sz w:val="24"/>
                <w:szCs w:val="24"/>
                <w:highlight w:val="none"/>
                <w:lang w:val="en-US" w:eastAsia="zh-CN" w:bidi="ar-SA"/>
              </w:rPr>
              <w:t>分。</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r>
              <w:rPr>
                <w:rFonts w:hint="default" w:ascii="仿宋" w:hAnsi="仿宋" w:eastAsia="仿宋" w:cs="仿宋"/>
                <w:color w:val="auto"/>
                <w:kern w:val="2"/>
                <w:sz w:val="24"/>
                <w:szCs w:val="24"/>
                <w:highlight w:val="none"/>
                <w:lang w:val="en-US" w:eastAsia="zh-CN" w:bidi="ar-SA"/>
              </w:rPr>
              <w:t>AI</w:t>
            </w:r>
            <w:r>
              <w:rPr>
                <w:rFonts w:hint="eastAsia" w:ascii="仿宋" w:hAnsi="仿宋" w:eastAsia="仿宋" w:cs="仿宋"/>
                <w:color w:val="auto"/>
                <w:kern w:val="2"/>
                <w:sz w:val="24"/>
                <w:szCs w:val="24"/>
                <w:highlight w:val="none"/>
                <w:lang w:val="en-US" w:eastAsia="zh-CN" w:bidi="ar-SA"/>
              </w:rPr>
              <w:t>计算芯片总体内存容量＞</w:t>
            </w:r>
            <w:r>
              <w:rPr>
                <w:rFonts w:hint="default" w:ascii="仿宋" w:hAnsi="仿宋" w:eastAsia="仿宋" w:cs="仿宋"/>
                <w:color w:val="auto"/>
                <w:kern w:val="2"/>
                <w:sz w:val="24"/>
                <w:szCs w:val="24"/>
                <w:highlight w:val="none"/>
                <w:lang w:val="en-US" w:eastAsia="zh-CN" w:bidi="ar-SA"/>
              </w:rPr>
              <w:t>1024GB</w:t>
            </w:r>
            <w:r>
              <w:rPr>
                <w:rFonts w:hint="eastAsia" w:ascii="仿宋" w:hAnsi="仿宋" w:eastAsia="仿宋" w:cs="仿宋"/>
                <w:color w:val="auto"/>
                <w:kern w:val="2"/>
                <w:sz w:val="24"/>
                <w:szCs w:val="24"/>
                <w:highlight w:val="none"/>
                <w:lang w:val="en-US" w:eastAsia="zh-CN" w:bidi="ar-SA"/>
              </w:rPr>
              <w:t>的，每增加</w:t>
            </w:r>
            <w:r>
              <w:rPr>
                <w:rFonts w:hint="default" w:ascii="仿宋" w:hAnsi="仿宋" w:eastAsia="仿宋" w:cs="仿宋"/>
                <w:color w:val="auto"/>
                <w:kern w:val="2"/>
                <w:sz w:val="24"/>
                <w:szCs w:val="24"/>
                <w:highlight w:val="none"/>
                <w:lang w:val="en-US" w:eastAsia="zh-CN" w:bidi="ar-SA"/>
              </w:rPr>
              <w:t>20GB</w:t>
            </w:r>
            <w:r>
              <w:rPr>
                <w:rFonts w:hint="eastAsia" w:ascii="仿宋" w:hAnsi="仿宋" w:eastAsia="仿宋" w:cs="仿宋"/>
                <w:color w:val="auto"/>
                <w:kern w:val="2"/>
                <w:sz w:val="24"/>
                <w:szCs w:val="24"/>
                <w:highlight w:val="none"/>
                <w:lang w:val="en-US" w:eastAsia="zh-CN" w:bidi="ar-SA"/>
              </w:rPr>
              <w:t>，加</w:t>
            </w:r>
            <w:r>
              <w:rPr>
                <w:rFonts w:hint="default" w:ascii="仿宋" w:hAnsi="仿宋" w:eastAsia="仿宋" w:cs="仿宋"/>
                <w:color w:val="auto"/>
                <w:kern w:val="2"/>
                <w:sz w:val="24"/>
                <w:szCs w:val="24"/>
                <w:highlight w:val="none"/>
                <w:lang w:val="en-US" w:eastAsia="zh-CN" w:bidi="ar-SA"/>
              </w:rPr>
              <w:t>5</w:t>
            </w:r>
            <w:r>
              <w:rPr>
                <w:rFonts w:hint="eastAsia" w:ascii="仿宋" w:hAnsi="仿宋" w:eastAsia="仿宋" w:cs="仿宋"/>
                <w:color w:val="auto"/>
                <w:kern w:val="2"/>
                <w:sz w:val="24"/>
                <w:szCs w:val="24"/>
                <w:highlight w:val="none"/>
                <w:lang w:val="en-US" w:eastAsia="zh-CN" w:bidi="ar-SA"/>
              </w:rPr>
              <w:t>分；</w:t>
            </w:r>
            <w:r>
              <w:rPr>
                <w:rFonts w:hint="default" w:ascii="仿宋" w:hAnsi="仿宋" w:eastAsia="仿宋" w:cs="仿宋"/>
                <w:color w:val="auto"/>
                <w:kern w:val="2"/>
                <w:sz w:val="24"/>
                <w:szCs w:val="24"/>
                <w:highlight w:val="none"/>
                <w:lang w:val="en-US" w:eastAsia="zh-CN" w:bidi="ar-SA"/>
              </w:rPr>
              <w:t>AI</w:t>
            </w:r>
            <w:r>
              <w:rPr>
                <w:rFonts w:hint="eastAsia" w:ascii="仿宋" w:hAnsi="仿宋" w:eastAsia="仿宋" w:cs="仿宋"/>
                <w:color w:val="auto"/>
                <w:kern w:val="2"/>
                <w:sz w:val="24"/>
                <w:szCs w:val="24"/>
                <w:highlight w:val="none"/>
                <w:lang w:val="en-US" w:eastAsia="zh-CN" w:bidi="ar-SA"/>
              </w:rPr>
              <w:t>计算芯片总体内存容量＜</w:t>
            </w:r>
            <w:r>
              <w:rPr>
                <w:rFonts w:hint="default" w:ascii="仿宋" w:hAnsi="仿宋" w:eastAsia="仿宋" w:cs="仿宋"/>
                <w:color w:val="auto"/>
                <w:kern w:val="2"/>
                <w:sz w:val="24"/>
                <w:szCs w:val="24"/>
                <w:highlight w:val="none"/>
                <w:lang w:val="en-US" w:eastAsia="zh-CN" w:bidi="ar-SA"/>
              </w:rPr>
              <w:t>1024GB</w:t>
            </w:r>
            <w:r>
              <w:rPr>
                <w:rFonts w:hint="eastAsia" w:ascii="仿宋" w:hAnsi="仿宋" w:eastAsia="仿宋" w:cs="仿宋"/>
                <w:color w:val="auto"/>
                <w:kern w:val="2"/>
                <w:sz w:val="24"/>
                <w:szCs w:val="24"/>
                <w:highlight w:val="none"/>
                <w:lang w:val="en-US" w:eastAsia="zh-CN" w:bidi="ar-SA"/>
              </w:rPr>
              <w:t>的，每降低</w:t>
            </w:r>
            <w:r>
              <w:rPr>
                <w:rFonts w:hint="default" w:ascii="仿宋" w:hAnsi="仿宋" w:eastAsia="仿宋" w:cs="仿宋"/>
                <w:color w:val="auto"/>
                <w:kern w:val="2"/>
                <w:sz w:val="24"/>
                <w:szCs w:val="24"/>
                <w:highlight w:val="none"/>
                <w:lang w:val="en-US" w:eastAsia="zh-CN" w:bidi="ar-SA"/>
              </w:rPr>
              <w:t>10GB</w:t>
            </w:r>
            <w:r>
              <w:rPr>
                <w:rFonts w:hint="eastAsia" w:ascii="仿宋" w:hAnsi="仿宋" w:eastAsia="仿宋" w:cs="仿宋"/>
                <w:color w:val="auto"/>
                <w:kern w:val="2"/>
                <w:sz w:val="24"/>
                <w:szCs w:val="24"/>
                <w:highlight w:val="none"/>
                <w:lang w:val="en-US" w:eastAsia="zh-CN" w:bidi="ar-SA"/>
              </w:rPr>
              <w:t>，扣</w:t>
            </w:r>
            <w:r>
              <w:rPr>
                <w:rFonts w:hint="default" w:ascii="仿宋" w:hAnsi="仿宋" w:eastAsia="仿宋" w:cs="仿宋"/>
                <w:color w:val="auto"/>
                <w:kern w:val="2"/>
                <w:sz w:val="24"/>
                <w:szCs w:val="24"/>
                <w:highlight w:val="none"/>
                <w:lang w:val="en-US" w:eastAsia="zh-CN" w:bidi="ar-SA"/>
              </w:rPr>
              <w:t>20</w:t>
            </w:r>
            <w:r>
              <w:rPr>
                <w:rFonts w:hint="eastAsia" w:ascii="仿宋" w:hAnsi="仿宋" w:eastAsia="仿宋" w:cs="仿宋"/>
                <w:color w:val="auto"/>
                <w:kern w:val="2"/>
                <w:sz w:val="24"/>
                <w:szCs w:val="24"/>
                <w:highlight w:val="none"/>
                <w:lang w:val="en-US" w:eastAsia="zh-CN" w:bidi="ar-SA"/>
              </w:rPr>
              <w:t>分。</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（2）带★标参数优于技术偏离表要求的，每项加2分；不满足技术偏离表要求的，每项扣</w:t>
            </w:r>
            <w:r>
              <w:rPr>
                <w:rFonts w:hint="default" w:ascii="仿宋" w:hAnsi="仿宋" w:eastAsia="仿宋" w:cs="仿宋"/>
                <w:color w:val="auto"/>
                <w:kern w:val="2"/>
                <w:sz w:val="24"/>
                <w:szCs w:val="24"/>
                <w:highlight w:val="none"/>
                <w:lang w:val="en-US" w:eastAsia="zh-CN" w:bidi="ar-SA"/>
              </w:rPr>
              <w:t>10</w:t>
            </w:r>
            <w:r>
              <w:rPr>
                <w:rFonts w:hint="eastAsia" w:ascii="仿宋" w:hAnsi="仿宋" w:eastAsia="仿宋" w:cs="仿宋"/>
                <w:color w:val="auto"/>
                <w:kern w:val="2"/>
                <w:sz w:val="24"/>
                <w:szCs w:val="24"/>
                <w:highlight w:val="none"/>
                <w:lang w:val="en-US" w:eastAsia="zh-CN" w:bidi="ar-SA"/>
              </w:rPr>
              <w:t>分。</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w:t>
            </w:r>
            <w:r>
              <w:rPr>
                <w:rFonts w:hint="default" w:ascii="仿宋" w:hAnsi="仿宋" w:eastAsia="仿宋" w:cs="仿宋"/>
                <w:color w:val="auto"/>
                <w:kern w:val="2"/>
                <w:sz w:val="24"/>
                <w:szCs w:val="24"/>
                <w:highlight w:val="none"/>
                <w:lang w:val="en-US" w:eastAsia="zh-CN" w:bidi="ar-SA"/>
              </w:rPr>
              <w:t>3</w:t>
            </w:r>
            <w:r>
              <w:rPr>
                <w:rFonts w:hint="eastAsia" w:ascii="仿宋" w:hAnsi="仿宋" w:eastAsia="仿宋" w:cs="仿宋"/>
                <w:color w:val="auto"/>
                <w:kern w:val="2"/>
                <w:sz w:val="24"/>
                <w:szCs w:val="24"/>
                <w:highlight w:val="none"/>
                <w:lang w:val="en-US" w:eastAsia="zh-CN" w:bidi="ar-SA"/>
              </w:rPr>
              <w:t>）带</w:t>
            </w:r>
            <w:r>
              <w:rPr>
                <w:rFonts w:hint="default" w:ascii="仿宋" w:hAnsi="仿宋" w:eastAsia="仿宋" w:cs="仿宋"/>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SA"/>
              </w:rPr>
              <w:t>标参数优于技术偏离表要求的，每项加</w:t>
            </w:r>
            <w:r>
              <w:rPr>
                <w:rFonts w:hint="default" w:ascii="仿宋" w:hAnsi="仿宋" w:eastAsia="仿宋" w:cs="仿宋"/>
                <w:color w:val="auto"/>
                <w:kern w:val="2"/>
                <w:sz w:val="24"/>
                <w:szCs w:val="24"/>
                <w:highlight w:val="none"/>
                <w:lang w:val="en-US" w:eastAsia="zh-CN" w:bidi="ar-SA"/>
              </w:rPr>
              <w:t>1</w:t>
            </w:r>
            <w:r>
              <w:rPr>
                <w:rFonts w:hint="eastAsia" w:ascii="仿宋" w:hAnsi="仿宋" w:eastAsia="仿宋" w:cs="仿宋"/>
                <w:color w:val="auto"/>
                <w:kern w:val="2"/>
                <w:sz w:val="24"/>
                <w:szCs w:val="24"/>
                <w:highlight w:val="none"/>
                <w:lang w:val="en-US" w:eastAsia="zh-CN" w:bidi="ar-SA"/>
              </w:rPr>
              <w:t>分；不满足技术偏离表要求的，每项扣</w:t>
            </w:r>
            <w:r>
              <w:rPr>
                <w:rFonts w:hint="default" w:ascii="仿宋" w:hAnsi="仿宋" w:eastAsia="仿宋" w:cs="仿宋"/>
                <w:color w:val="auto"/>
                <w:kern w:val="2"/>
                <w:sz w:val="24"/>
                <w:szCs w:val="24"/>
                <w:highlight w:val="none"/>
                <w:lang w:val="en-US" w:eastAsia="zh-CN" w:bidi="ar-SA"/>
              </w:rPr>
              <w:t>5</w:t>
            </w:r>
            <w:r>
              <w:rPr>
                <w:rFonts w:hint="eastAsia" w:ascii="仿宋" w:hAnsi="仿宋" w:eastAsia="仿宋" w:cs="仿宋"/>
                <w:color w:val="auto"/>
                <w:kern w:val="2"/>
                <w:sz w:val="24"/>
                <w:szCs w:val="24"/>
                <w:highlight w:val="none"/>
                <w:lang w:val="en-US" w:eastAsia="zh-CN" w:bidi="ar-SA"/>
              </w:rPr>
              <w:t>分。</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响应方需提供证明材料及承诺函，否则视为不满足。</w:t>
            </w:r>
          </w:p>
        </w:tc>
        <w:tc>
          <w:tcPr>
            <w:tcW w:w="671" w:type="pct"/>
            <w:shd w:val="clear" w:color="auto" w:fill="FFFFFF"/>
            <w:noWrap w:val="0"/>
            <w:vAlign w:val="center"/>
          </w:tcPr>
          <w:p>
            <w:p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385" w:type="pct"/>
            <w:shd w:val="clear" w:color="auto" w:fill="FFFFFF"/>
            <w:noWrap w:val="0"/>
            <w:vAlign w:val="center"/>
          </w:tcPr>
          <w:p>
            <w:pPr>
              <w:numPr>
                <w:ilvl w:val="0"/>
                <w:numId w:val="11"/>
              </w:numPr>
              <w:spacing w:line="360" w:lineRule="auto"/>
              <w:ind w:left="425" w:leftChars="0" w:hanging="425" w:firstLineChars="0"/>
              <w:jc w:val="center"/>
              <w:rPr>
                <w:rFonts w:hint="eastAsia" w:ascii="仿宋" w:hAnsi="仿宋" w:eastAsia="仿宋" w:cs="仿宋"/>
                <w:color w:val="auto"/>
                <w:sz w:val="24"/>
                <w:szCs w:val="24"/>
                <w:lang w:val="en-US" w:eastAsia="zh-CN"/>
              </w:rPr>
            </w:pPr>
          </w:p>
        </w:tc>
        <w:tc>
          <w:tcPr>
            <w:tcW w:w="845" w:type="pct"/>
            <w:shd w:val="clear" w:color="auto" w:fill="FFFFFF"/>
            <w:noWrap w:val="0"/>
            <w:vAlign w:val="center"/>
          </w:tcPr>
          <w:p>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lang w:val="en-US" w:eastAsia="zh-CN"/>
              </w:rPr>
              <w:t>质量保证</w:t>
            </w:r>
          </w:p>
        </w:tc>
        <w:tc>
          <w:tcPr>
            <w:tcW w:w="949" w:type="pct"/>
            <w:shd w:val="clear" w:color="auto" w:fill="FFFFFF"/>
            <w:noWrap w:val="0"/>
            <w:vAlign w:val="center"/>
          </w:tcPr>
          <w:p>
            <w:pPr>
              <w:bidi w:val="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质量保证期</w:t>
            </w:r>
          </w:p>
        </w:tc>
        <w:tc>
          <w:tcPr>
            <w:tcW w:w="2147" w:type="pct"/>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质保期5年及以上得满分10分；不足5年得0分。</w:t>
            </w:r>
          </w:p>
        </w:tc>
        <w:tc>
          <w:tcPr>
            <w:tcW w:w="671" w:type="pct"/>
            <w:shd w:val="clear" w:color="auto" w:fill="FFFFFF"/>
            <w:noWrap w:val="0"/>
            <w:vAlign w:val="center"/>
          </w:tcPr>
          <w:p>
            <w:pPr>
              <w:numPr>
                <w:ilvl w:val="0"/>
                <w:numId w:val="0"/>
              </w:numPr>
              <w:spacing w:line="360" w:lineRule="auto"/>
              <w:ind w:left="0" w:leftChars="0" w:firstLine="0" w:firstLineChars="0"/>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8" w:hRule="atLeast"/>
          <w:jc w:val="center"/>
        </w:trPr>
        <w:tc>
          <w:tcPr>
            <w:tcW w:w="385" w:type="pct"/>
            <w:shd w:val="clear" w:color="auto" w:fill="FFFFFF"/>
            <w:noWrap w:val="0"/>
            <w:vAlign w:val="center"/>
          </w:tcPr>
          <w:p>
            <w:pPr>
              <w:numPr>
                <w:ilvl w:val="0"/>
                <w:numId w:val="11"/>
              </w:numPr>
              <w:spacing w:line="360" w:lineRule="auto"/>
              <w:ind w:left="425" w:leftChars="0" w:hanging="425" w:firstLineChars="0"/>
              <w:jc w:val="center"/>
              <w:rPr>
                <w:rFonts w:hint="eastAsia" w:ascii="仿宋" w:hAnsi="仿宋" w:eastAsia="仿宋" w:cs="仿宋"/>
                <w:color w:val="auto"/>
                <w:kern w:val="2"/>
                <w:sz w:val="24"/>
                <w:szCs w:val="24"/>
                <w:lang w:val="en-US" w:eastAsia="zh-CN" w:bidi="ar-SA"/>
              </w:rPr>
            </w:pPr>
          </w:p>
        </w:tc>
        <w:tc>
          <w:tcPr>
            <w:tcW w:w="845" w:type="pct"/>
            <w:vMerge w:val="restart"/>
            <w:shd w:val="clear" w:color="auto" w:fill="FFFFFF"/>
            <w:noWrap w:val="0"/>
            <w:vAlign w:val="center"/>
          </w:tcPr>
          <w:p>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产品的先进性</w:t>
            </w:r>
          </w:p>
        </w:tc>
        <w:tc>
          <w:tcPr>
            <w:tcW w:w="949" w:type="pct"/>
            <w:shd w:val="clear" w:color="auto" w:fill="FFFFFF"/>
            <w:noWrap w:val="0"/>
            <w:vAlign w:val="center"/>
          </w:tcPr>
          <w:p>
            <w:p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产品供货业绩</w:t>
            </w:r>
          </w:p>
        </w:tc>
        <w:tc>
          <w:tcPr>
            <w:tcW w:w="2147" w:type="pct"/>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响应人提供有效供货合同业绩，单项合同金额300万元（含）以上为核心有效业绩，累计达到5份及以上，得本项满分20分。每缺少1份300万元（含）以上有效业绩扣4分，本项分值扣至0分为止。</w:t>
            </w:r>
          </w:p>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kern w:val="2"/>
                <w:sz w:val="21"/>
                <w:szCs w:val="24"/>
                <w:lang w:val="en-US" w:eastAsia="zh-CN" w:bidi="ar-SA"/>
              </w:rPr>
            </w:pPr>
            <w:r>
              <w:rPr>
                <w:rFonts w:hint="eastAsia" w:ascii="仿宋" w:hAnsi="仿宋" w:eastAsia="仿宋" w:cs="仿宋"/>
                <w:color w:val="auto"/>
                <w:kern w:val="2"/>
                <w:sz w:val="24"/>
                <w:szCs w:val="24"/>
                <w:highlight w:val="none"/>
                <w:lang w:val="en-US" w:eastAsia="zh-CN" w:bidi="ar-SA"/>
              </w:rPr>
              <w:t>单项合同金额200万元（含）‑300万元的供货业绩，每2份折算为1份300万元（含）以上业绩参与业绩份数核算（不足2份的不纳入核算）。每份业绩证明材料包括中标公告或中标通知书（如有），合同首页、采购内容页、盖章签字页和发票（每份合同附金额最大的1-3张发票）等。</w:t>
            </w:r>
          </w:p>
        </w:tc>
        <w:tc>
          <w:tcPr>
            <w:tcW w:w="671" w:type="pct"/>
            <w:shd w:val="clear" w:color="auto" w:fill="FFFFFF"/>
            <w:noWrap w:val="0"/>
            <w:vAlign w:val="center"/>
          </w:tcPr>
          <w:p>
            <w:p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8" w:hRule="atLeast"/>
          <w:jc w:val="center"/>
        </w:trPr>
        <w:tc>
          <w:tcPr>
            <w:tcW w:w="385" w:type="pct"/>
            <w:shd w:val="clear" w:color="auto" w:fill="FFFFFF"/>
            <w:noWrap w:val="0"/>
            <w:vAlign w:val="center"/>
          </w:tcPr>
          <w:p>
            <w:pPr>
              <w:numPr>
                <w:ilvl w:val="0"/>
                <w:numId w:val="11"/>
              </w:numPr>
              <w:spacing w:line="360" w:lineRule="auto"/>
              <w:ind w:left="425" w:leftChars="0" w:hanging="425" w:firstLineChars="0"/>
              <w:jc w:val="center"/>
              <w:rPr>
                <w:rFonts w:hint="eastAsia" w:ascii="仿宋" w:hAnsi="仿宋" w:eastAsia="仿宋" w:cs="仿宋"/>
                <w:color w:val="auto"/>
                <w:kern w:val="2"/>
                <w:sz w:val="24"/>
                <w:szCs w:val="24"/>
                <w:lang w:val="en-US" w:eastAsia="zh-CN" w:bidi="ar-SA"/>
              </w:rPr>
            </w:pPr>
          </w:p>
        </w:tc>
        <w:tc>
          <w:tcPr>
            <w:tcW w:w="845" w:type="pct"/>
            <w:vMerge w:val="continue"/>
            <w:shd w:val="clear" w:color="auto" w:fill="FFFFFF"/>
            <w:noWrap w:val="0"/>
            <w:vAlign w:val="center"/>
          </w:tcPr>
          <w:p>
            <w:pPr>
              <w:spacing w:line="360" w:lineRule="auto"/>
              <w:jc w:val="center"/>
              <w:rPr>
                <w:rFonts w:hint="eastAsia" w:ascii="仿宋" w:hAnsi="仿宋" w:eastAsia="仿宋" w:cs="仿宋"/>
                <w:color w:val="auto"/>
                <w:kern w:val="2"/>
                <w:sz w:val="24"/>
                <w:szCs w:val="24"/>
                <w:highlight w:val="none"/>
                <w:lang w:val="en-US" w:eastAsia="zh-CN" w:bidi="ar-SA"/>
              </w:rPr>
            </w:pPr>
          </w:p>
        </w:tc>
        <w:tc>
          <w:tcPr>
            <w:tcW w:w="949" w:type="pct"/>
            <w:shd w:val="clear" w:color="auto" w:fill="FFFFFF"/>
            <w:noWrap w:val="0"/>
            <w:vAlign w:val="center"/>
          </w:tcPr>
          <w:p>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产品研发实力</w:t>
            </w:r>
          </w:p>
        </w:tc>
        <w:tc>
          <w:tcPr>
            <w:tcW w:w="2147" w:type="pct"/>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提供设备相关的产品专利，根据产品专利数量进行排名，第一名得10分，每往后一名扣</w:t>
            </w:r>
            <w:r>
              <w:rPr>
                <w:rFonts w:hint="default" w:ascii="仿宋" w:hAnsi="仿宋" w:eastAsia="仿宋" w:cs="仿宋"/>
                <w:color w:val="auto"/>
                <w:kern w:val="2"/>
                <w:sz w:val="24"/>
                <w:szCs w:val="24"/>
                <w:highlight w:val="none"/>
                <w:lang w:val="en-US" w:eastAsia="zh-CN" w:bidi="ar-SA"/>
              </w:rPr>
              <w:t>2</w:t>
            </w:r>
            <w:r>
              <w:rPr>
                <w:rFonts w:hint="eastAsia" w:ascii="仿宋" w:hAnsi="仿宋" w:eastAsia="仿宋" w:cs="仿宋"/>
                <w:color w:val="auto"/>
                <w:kern w:val="2"/>
                <w:sz w:val="24"/>
                <w:szCs w:val="24"/>
                <w:highlight w:val="none"/>
                <w:lang w:val="en-US" w:eastAsia="zh-CN" w:bidi="ar-SA"/>
              </w:rPr>
              <w:t>分，最多扣</w:t>
            </w:r>
            <w:r>
              <w:rPr>
                <w:rFonts w:hint="default" w:ascii="仿宋" w:hAnsi="仿宋" w:eastAsia="仿宋" w:cs="仿宋"/>
                <w:color w:val="auto"/>
                <w:kern w:val="2"/>
                <w:sz w:val="24"/>
                <w:szCs w:val="24"/>
                <w:highlight w:val="none"/>
                <w:lang w:val="en-US" w:eastAsia="zh-CN" w:bidi="ar-SA"/>
              </w:rPr>
              <w:t>10</w:t>
            </w:r>
            <w:r>
              <w:rPr>
                <w:rFonts w:hint="eastAsia" w:ascii="仿宋" w:hAnsi="仿宋" w:eastAsia="仿宋" w:cs="仿宋"/>
                <w:color w:val="auto"/>
                <w:kern w:val="2"/>
                <w:sz w:val="24"/>
                <w:szCs w:val="24"/>
                <w:highlight w:val="none"/>
                <w:lang w:val="en-US" w:eastAsia="zh-CN" w:bidi="ar-SA"/>
              </w:rPr>
              <w:t>分（相同数值排名一致，之后排名依次增加，如排名第一者有</w:t>
            </w:r>
            <w:r>
              <w:rPr>
                <w:rFonts w:hint="default" w:ascii="仿宋" w:hAnsi="仿宋" w:eastAsia="仿宋" w:cs="仿宋"/>
                <w:color w:val="auto"/>
                <w:kern w:val="2"/>
                <w:sz w:val="24"/>
                <w:szCs w:val="24"/>
                <w:highlight w:val="none"/>
                <w:lang w:val="en-US" w:eastAsia="zh-CN" w:bidi="ar-SA"/>
              </w:rPr>
              <w:t>2</w:t>
            </w:r>
            <w:r>
              <w:rPr>
                <w:rFonts w:hint="eastAsia" w:ascii="仿宋" w:hAnsi="仿宋" w:eastAsia="仿宋" w:cs="仿宋"/>
                <w:color w:val="auto"/>
                <w:kern w:val="2"/>
                <w:sz w:val="24"/>
                <w:szCs w:val="24"/>
                <w:highlight w:val="none"/>
                <w:lang w:val="en-US" w:eastAsia="zh-CN" w:bidi="ar-SA"/>
              </w:rPr>
              <w:t>家，则之后一家按排名第二处理）；未提供产品专利的得</w:t>
            </w:r>
            <w:r>
              <w:rPr>
                <w:rFonts w:hint="default" w:ascii="仿宋" w:hAnsi="仿宋" w:eastAsia="仿宋" w:cs="仿宋"/>
                <w:color w:val="auto"/>
                <w:kern w:val="2"/>
                <w:sz w:val="24"/>
                <w:szCs w:val="24"/>
                <w:highlight w:val="none"/>
                <w:lang w:val="en-US" w:eastAsia="zh-CN" w:bidi="ar-SA"/>
              </w:rPr>
              <w:t>0</w:t>
            </w:r>
            <w:r>
              <w:rPr>
                <w:rFonts w:hint="eastAsia" w:ascii="仿宋" w:hAnsi="仿宋" w:eastAsia="仿宋" w:cs="仿宋"/>
                <w:color w:val="auto"/>
                <w:kern w:val="2"/>
                <w:sz w:val="24"/>
                <w:szCs w:val="24"/>
                <w:highlight w:val="none"/>
                <w:lang w:val="en-US" w:eastAsia="zh-CN" w:bidi="ar-SA"/>
              </w:rPr>
              <w:t>分。</w:t>
            </w:r>
          </w:p>
        </w:tc>
        <w:tc>
          <w:tcPr>
            <w:tcW w:w="671" w:type="pct"/>
            <w:shd w:val="clear" w:color="auto" w:fill="FFFFFF"/>
            <w:noWrap w:val="0"/>
            <w:vAlign w:val="center"/>
          </w:tcPr>
          <w:p>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8" w:hRule="atLeast"/>
          <w:jc w:val="center"/>
        </w:trPr>
        <w:tc>
          <w:tcPr>
            <w:tcW w:w="385" w:type="pct"/>
            <w:shd w:val="clear" w:color="auto" w:fill="FFFFFF"/>
            <w:noWrap w:val="0"/>
            <w:vAlign w:val="center"/>
          </w:tcPr>
          <w:p>
            <w:pPr>
              <w:numPr>
                <w:ilvl w:val="0"/>
                <w:numId w:val="11"/>
              </w:numPr>
              <w:spacing w:line="360" w:lineRule="auto"/>
              <w:ind w:left="425" w:leftChars="0" w:hanging="425" w:firstLineChars="0"/>
              <w:jc w:val="center"/>
              <w:rPr>
                <w:rFonts w:hint="eastAsia" w:ascii="仿宋" w:hAnsi="仿宋" w:eastAsia="仿宋" w:cs="仿宋"/>
                <w:color w:val="auto"/>
                <w:sz w:val="24"/>
                <w:szCs w:val="24"/>
                <w:lang w:val="en-US" w:eastAsia="zh-CN"/>
              </w:rPr>
            </w:pPr>
          </w:p>
        </w:tc>
        <w:tc>
          <w:tcPr>
            <w:tcW w:w="845" w:type="pct"/>
            <w:shd w:val="clear" w:color="auto" w:fill="FFFFFF"/>
            <w:noWrap w:val="0"/>
            <w:vAlign w:val="center"/>
          </w:tcPr>
          <w:p>
            <w:pPr>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质量水平及运行可靠性</w:t>
            </w:r>
          </w:p>
        </w:tc>
        <w:tc>
          <w:tcPr>
            <w:tcW w:w="949" w:type="pct"/>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质量水平及运行可靠性</w:t>
            </w:r>
          </w:p>
        </w:tc>
        <w:tc>
          <w:tcPr>
            <w:tcW w:w="2147" w:type="pct"/>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产品质量优异，产品测试报告、许可证齐全，响应产品运行稳定、质量优秀，提供包括第三方测评结果、各行业用户产品运行报告等材料，综合横向对比，优秀得7-10分；较好得4-6分；一般得0-3分；未提供相关材料得</w:t>
            </w:r>
            <w:r>
              <w:rPr>
                <w:rFonts w:hint="default" w:ascii="仿宋" w:hAnsi="仿宋" w:eastAsia="仿宋" w:cs="仿宋"/>
                <w:color w:val="auto"/>
                <w:kern w:val="2"/>
                <w:sz w:val="24"/>
                <w:szCs w:val="24"/>
                <w:highlight w:val="none"/>
                <w:lang w:val="en-US" w:eastAsia="zh-CN" w:bidi="ar-SA"/>
              </w:rPr>
              <w:t>0</w:t>
            </w:r>
            <w:r>
              <w:rPr>
                <w:rFonts w:hint="eastAsia" w:ascii="仿宋" w:hAnsi="仿宋" w:eastAsia="仿宋" w:cs="仿宋"/>
                <w:color w:val="auto"/>
                <w:kern w:val="2"/>
                <w:sz w:val="24"/>
                <w:szCs w:val="24"/>
                <w:highlight w:val="none"/>
                <w:lang w:val="en-US" w:eastAsia="zh-CN" w:bidi="ar-SA"/>
              </w:rPr>
              <w:t>分。</w:t>
            </w:r>
          </w:p>
        </w:tc>
        <w:tc>
          <w:tcPr>
            <w:tcW w:w="671" w:type="pct"/>
            <w:shd w:val="clear" w:color="auto" w:fill="FFFFFF"/>
            <w:noWrap w:val="0"/>
            <w:vAlign w:val="center"/>
          </w:tcPr>
          <w:p>
            <w:pPr>
              <w:numPr>
                <w:ilvl w:val="0"/>
                <w:numId w:val="0"/>
              </w:numPr>
              <w:spacing w:line="360" w:lineRule="auto"/>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0" w:hRule="atLeast"/>
          <w:jc w:val="center"/>
        </w:trPr>
        <w:tc>
          <w:tcPr>
            <w:tcW w:w="1231" w:type="pct"/>
            <w:gridSpan w:val="2"/>
            <w:shd w:val="clear" w:color="auto" w:fill="FFFFFF"/>
            <w:noWrap w:val="0"/>
            <w:vAlign w:val="center"/>
          </w:tcPr>
          <w:p>
            <w:pPr>
              <w:spacing w:line="360" w:lineRule="auto"/>
              <w:jc w:val="both"/>
              <w:rPr>
                <w:rFonts w:hint="eastAsia" w:ascii="仿宋" w:hAnsi="仿宋" w:eastAsia="仿宋" w:cs="仿宋"/>
                <w:color w:val="auto"/>
                <w:sz w:val="24"/>
                <w:szCs w:val="24"/>
              </w:rPr>
            </w:pPr>
            <w:r>
              <w:rPr>
                <w:rFonts w:hint="eastAsia" w:ascii="仿宋" w:hAnsi="仿宋" w:eastAsia="仿宋" w:cs="仿宋"/>
                <w:b/>
                <w:color w:val="auto"/>
                <w:sz w:val="24"/>
                <w:szCs w:val="24"/>
              </w:rPr>
              <w:t>技术、商务评审方法</w:t>
            </w:r>
          </w:p>
        </w:tc>
        <w:tc>
          <w:tcPr>
            <w:tcW w:w="3768" w:type="pct"/>
            <w:gridSpan w:val="3"/>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highlight w:val="none"/>
                <w:lang w:val="en-US" w:eastAsia="zh-CN" w:bidi="ar-SA"/>
              </w:rPr>
              <w:t>寻源评审专家打分完毕后，计算各标的响应供应商的技术和商务分时，所有专家打分的平均分作为该供应商的技术和商务得分。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000" w:type="pct"/>
            <w:gridSpan w:val="5"/>
            <w:shd w:val="clear" w:color="auto" w:fill="FFFFFF"/>
            <w:noWrap w:val="0"/>
            <w:vAlign w:val="top"/>
          </w:tcPr>
          <w:p>
            <w:pPr>
              <w:spacing w:line="360" w:lineRule="auto"/>
              <w:ind w:left="113"/>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三</w:t>
            </w:r>
            <w:r>
              <w:rPr>
                <w:rFonts w:hint="eastAsia" w:ascii="仿宋" w:hAnsi="仿宋" w:eastAsia="仿宋" w:cs="仿宋"/>
                <w:b/>
                <w:color w:val="auto"/>
                <w:sz w:val="24"/>
                <w:szCs w:val="24"/>
              </w:rPr>
              <w:t>）、价格评审</w:t>
            </w:r>
            <w:r>
              <w:rPr>
                <w:rFonts w:hint="eastAsia" w:ascii="仿宋" w:hAnsi="仿宋" w:eastAsia="仿宋" w:cs="仿宋"/>
                <w:b/>
                <w:color w:val="auto"/>
                <w:sz w:val="24"/>
                <w:szCs w:val="24"/>
                <w:lang w:eastAsia="zh-CN"/>
              </w:rPr>
              <w:t>（</w:t>
            </w:r>
            <w:r>
              <w:rPr>
                <w:rFonts w:hint="eastAsia" w:ascii="仿宋" w:hAnsi="仿宋" w:eastAsia="仿宋" w:cs="仿宋"/>
                <w:b/>
                <w:color w:val="auto"/>
                <w:sz w:val="24"/>
                <w:szCs w:val="24"/>
                <w:lang w:val="en-US" w:eastAsia="zh-CN"/>
              </w:rPr>
              <w:t>100分</w:t>
            </w:r>
            <w:r>
              <w:rPr>
                <w:rFonts w:hint="eastAsia" w:ascii="仿宋" w:hAnsi="仿宋" w:eastAsia="仿宋" w:cs="仿宋"/>
                <w:b/>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0" w:hRule="atLeast"/>
          <w:jc w:val="center"/>
        </w:trPr>
        <w:tc>
          <w:tcPr>
            <w:tcW w:w="1231" w:type="pct"/>
            <w:gridSpan w:val="2"/>
            <w:shd w:val="clear" w:color="auto" w:fill="FFFFFF"/>
            <w:noWrap w:val="0"/>
            <w:vAlign w:val="center"/>
          </w:tcPr>
          <w:p>
            <w:pPr>
              <w:spacing w:line="360" w:lineRule="auto"/>
              <w:ind w:left="113"/>
              <w:rPr>
                <w:rFonts w:hint="eastAsia" w:ascii="仿宋" w:hAnsi="仿宋" w:eastAsia="仿宋" w:cs="仿宋"/>
                <w:color w:val="auto"/>
                <w:sz w:val="24"/>
                <w:szCs w:val="24"/>
              </w:rPr>
            </w:pPr>
            <w:r>
              <w:rPr>
                <w:rFonts w:hint="eastAsia" w:ascii="仿宋" w:hAnsi="仿宋" w:eastAsia="仿宋" w:cs="仿宋"/>
                <w:b/>
                <w:color w:val="auto"/>
                <w:sz w:val="24"/>
                <w:szCs w:val="24"/>
              </w:rPr>
              <w:t>价格</w:t>
            </w:r>
            <w:r>
              <w:rPr>
                <w:rFonts w:hint="eastAsia" w:ascii="仿宋" w:hAnsi="仿宋" w:eastAsia="仿宋" w:cs="仿宋"/>
                <w:b/>
                <w:color w:val="auto"/>
                <w:sz w:val="24"/>
                <w:szCs w:val="24"/>
                <w:lang w:val="en-US" w:eastAsia="zh-CN"/>
              </w:rPr>
              <w:t>分计算方法</w:t>
            </w:r>
            <w:r>
              <w:rPr>
                <w:rFonts w:hint="eastAsia" w:ascii="仿宋" w:hAnsi="仿宋" w:eastAsia="仿宋" w:cs="仿宋"/>
                <w:b/>
                <w:color w:val="auto"/>
                <w:sz w:val="24"/>
                <w:szCs w:val="24"/>
              </w:rPr>
              <w:t>名称</w:t>
            </w:r>
          </w:p>
        </w:tc>
        <w:tc>
          <w:tcPr>
            <w:tcW w:w="3768" w:type="pct"/>
            <w:gridSpan w:val="3"/>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最低有效报价法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3" w:hRule="atLeast"/>
          <w:jc w:val="center"/>
        </w:trPr>
        <w:tc>
          <w:tcPr>
            <w:tcW w:w="1231" w:type="pct"/>
            <w:gridSpan w:val="2"/>
            <w:shd w:val="clear" w:color="auto" w:fill="FFFFFF"/>
            <w:noWrap w:val="0"/>
            <w:vAlign w:val="center"/>
          </w:tcPr>
          <w:p>
            <w:pPr>
              <w:pageBreakBefore w:val="0"/>
              <w:kinsoku/>
              <w:wordWrap/>
              <w:overflowPunct/>
              <w:topLinePunct w:val="0"/>
              <w:autoSpaceDE/>
              <w:autoSpaceDN/>
              <w:bidi w:val="0"/>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rPr>
              <w:t>评标基准价计算方法</w:t>
            </w:r>
          </w:p>
        </w:tc>
        <w:tc>
          <w:tcPr>
            <w:tcW w:w="3768" w:type="pct"/>
            <w:gridSpan w:val="3"/>
            <w:shd w:val="clear" w:color="auto" w:fill="FFFFFF"/>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1、X基准＝最低有效报价金额，即各响应人有效报价金额中的最低值。2、X基准按四舍五入法保留两位小数。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3" w:hRule="atLeast"/>
          <w:jc w:val="center"/>
        </w:trPr>
        <w:tc>
          <w:tcPr>
            <w:tcW w:w="1231" w:type="pct"/>
            <w:gridSpan w:val="2"/>
            <w:shd w:val="clear" w:color="auto" w:fill="FFFFFF"/>
            <w:vAlign w:val="center"/>
          </w:tcPr>
          <w:p>
            <w:pPr>
              <w:pageBreakBefore w:val="0"/>
              <w:kinsoku/>
              <w:wordWrap/>
              <w:overflowPunct/>
              <w:topLinePunct w:val="0"/>
              <w:autoSpaceDE/>
              <w:autoSpaceDN/>
              <w:bidi w:val="0"/>
              <w:jc w:val="center"/>
              <w:rPr>
                <w:rFonts w:hint="eastAsia" w:ascii="仿宋" w:hAnsi="仿宋" w:eastAsia="仿宋" w:cs="仿宋"/>
                <w:b/>
                <w:kern w:val="2"/>
                <w:sz w:val="24"/>
                <w:szCs w:val="24"/>
                <w:lang w:val="en-US" w:eastAsia="zh-CN" w:bidi="ar-SA"/>
              </w:rPr>
            </w:pPr>
            <w:r>
              <w:rPr>
                <w:rFonts w:hint="eastAsia" w:ascii="仿宋" w:hAnsi="仿宋" w:eastAsia="仿宋" w:cs="仿宋"/>
                <w:b/>
                <w:sz w:val="24"/>
                <w:szCs w:val="24"/>
              </w:rPr>
              <w:t>价格分计算公式</w:t>
            </w:r>
          </w:p>
        </w:tc>
        <w:tc>
          <w:tcPr>
            <w:tcW w:w="3768" w:type="pct"/>
            <w:gridSpan w:val="3"/>
            <w:shd w:val="clear" w:color="auto" w:fill="FFFFFF"/>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1、Xi为某响应人的报价金额；Qi为计算得分，按四舍五入法保留两位小数。</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2、当Xi＝X基准，Qi＝报价满分。</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lang w:val="en-US" w:eastAsia="zh-CN"/>
              </w:rPr>
            </w:pPr>
            <w:r>
              <w:rPr>
                <w:rFonts w:hint="eastAsia" w:ascii="仿宋" w:hAnsi="仿宋" w:eastAsia="仿宋" w:cs="仿宋"/>
                <w:color w:val="auto"/>
                <w:kern w:val="2"/>
                <w:sz w:val="24"/>
                <w:szCs w:val="24"/>
                <w:highlight w:val="none"/>
                <w:lang w:val="en-US" w:eastAsia="zh-CN" w:bidi="ar-SA"/>
              </w:rPr>
              <w:t>3、当Xi＞X基准，Qi＝R×X基准÷Xi×报价满分。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3" w:hRule="atLeast"/>
          <w:jc w:val="center"/>
        </w:trPr>
        <w:tc>
          <w:tcPr>
            <w:tcW w:w="1231" w:type="pct"/>
            <w:gridSpan w:val="2"/>
            <w:shd w:val="clear" w:color="auto" w:fill="FFFFFF"/>
            <w:vAlign w:val="center"/>
          </w:tcPr>
          <w:p>
            <w:pPr>
              <w:pageBreakBefore w:val="0"/>
              <w:kinsoku/>
              <w:wordWrap/>
              <w:overflowPunct/>
              <w:topLinePunct w:val="0"/>
              <w:autoSpaceDE/>
              <w:autoSpaceDN/>
              <w:bidi w:val="0"/>
              <w:jc w:val="center"/>
              <w:rPr>
                <w:rFonts w:hint="eastAsia" w:ascii="仿宋" w:hAnsi="仿宋" w:eastAsia="仿宋" w:cs="仿宋"/>
                <w:b/>
                <w:kern w:val="2"/>
                <w:sz w:val="24"/>
                <w:szCs w:val="24"/>
                <w:lang w:val="en-US" w:eastAsia="zh-CN" w:bidi="ar-SA"/>
              </w:rPr>
            </w:pPr>
            <w:r>
              <w:rPr>
                <w:rFonts w:hint="eastAsia" w:ascii="仿宋" w:hAnsi="仿宋" w:eastAsia="仿宋" w:cs="仿宋"/>
                <w:b/>
                <w:sz w:val="24"/>
                <w:szCs w:val="24"/>
              </w:rPr>
              <w:t>有效报价范围</w:t>
            </w:r>
          </w:p>
        </w:tc>
        <w:tc>
          <w:tcPr>
            <w:tcW w:w="3768" w:type="pct"/>
            <w:gridSpan w:val="3"/>
            <w:shd w:val="clear" w:color="auto" w:fill="FFFFFF"/>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1、报价金额不得超过最高限价，超过最高限价的作否决（废标）处理。</w:t>
            </w:r>
          </w:p>
          <w:p>
            <w:pPr>
              <w:keepNext w:val="0"/>
              <w:keepLines w:val="0"/>
              <w:pageBreakBefore w:val="0"/>
              <w:numPr>
                <w:ilvl w:val="0"/>
                <w:numId w:val="0"/>
              </w:numPr>
              <w:kinsoku/>
              <w:wordWrap/>
              <w:overflowPunct/>
              <w:topLinePunct w:val="0"/>
              <w:autoSpaceDE/>
              <w:autoSpaceDN/>
              <w:bidi w:val="0"/>
              <w:adjustRightInd/>
              <w:snapToGrid/>
              <w:spacing w:line="240" w:lineRule="auto"/>
              <w:jc w:val="left"/>
              <w:textAlignment w:val="auto"/>
              <w:rPr>
                <w:rFonts w:hint="eastAsia"/>
                <w:lang w:val="en-US" w:eastAsia="zh-CN"/>
              </w:rPr>
            </w:pPr>
            <w:r>
              <w:rPr>
                <w:rFonts w:hint="eastAsia" w:ascii="仿宋" w:hAnsi="仿宋" w:eastAsia="仿宋" w:cs="仿宋"/>
                <w:color w:val="auto"/>
                <w:kern w:val="2"/>
                <w:sz w:val="24"/>
                <w:szCs w:val="24"/>
                <w:highlight w:val="none"/>
                <w:lang w:val="en-US" w:eastAsia="zh-CN" w:bidi="ar-SA"/>
              </w:rPr>
              <w:t>2、报价金额不得低于合理低价（成本价），低于的视为无效报价。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4" w:hRule="atLeast"/>
          <w:jc w:val="center"/>
        </w:trPr>
        <w:tc>
          <w:tcPr>
            <w:tcW w:w="1231" w:type="pct"/>
            <w:gridSpan w:val="2"/>
            <w:shd w:val="clear" w:color="auto" w:fill="FFFFFF"/>
            <w:vAlign w:val="center"/>
          </w:tcPr>
          <w:p>
            <w:pPr>
              <w:pageBreakBefore w:val="0"/>
              <w:kinsoku/>
              <w:wordWrap/>
              <w:overflowPunct/>
              <w:topLinePunct w:val="0"/>
              <w:autoSpaceDE/>
              <w:autoSpaceDN/>
              <w:bidi w:val="0"/>
              <w:jc w:val="center"/>
              <w:rPr>
                <w:rFonts w:hint="eastAsia" w:ascii="仿宋" w:hAnsi="仿宋" w:eastAsia="仿宋" w:cs="仿宋"/>
                <w:b/>
                <w:kern w:val="2"/>
                <w:sz w:val="24"/>
                <w:szCs w:val="24"/>
                <w:lang w:val="en-US" w:eastAsia="zh-CN" w:bidi="ar-SA"/>
              </w:rPr>
            </w:pPr>
            <w:r>
              <w:rPr>
                <w:rFonts w:hint="eastAsia" w:ascii="仿宋" w:hAnsi="仿宋" w:eastAsia="仿宋" w:cs="仿宋"/>
                <w:b/>
                <w:sz w:val="24"/>
                <w:szCs w:val="24"/>
              </w:rPr>
              <w:t>进入价格评分厂家数量</w:t>
            </w:r>
          </w:p>
        </w:tc>
        <w:tc>
          <w:tcPr>
            <w:tcW w:w="3768" w:type="pct"/>
            <w:gridSpan w:val="3"/>
            <w:shd w:val="clear" w:color="auto" w:fill="FFFFFF"/>
            <w:vAlign w:val="center"/>
          </w:tcPr>
          <w:p>
            <w:pPr>
              <w:keepNext w:val="0"/>
              <w:keepLines w:val="0"/>
              <w:widowControl/>
              <w:suppressLineNumbers w:val="0"/>
              <w:jc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本次评标不设置技术商务末位淘汰。进入技术商务评分范围的响应人全部进入价格评分。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4" w:hRule="atLeast"/>
          <w:jc w:val="center"/>
        </w:trPr>
        <w:tc>
          <w:tcPr>
            <w:tcW w:w="1231" w:type="pct"/>
            <w:gridSpan w:val="2"/>
            <w:shd w:val="clear" w:color="auto" w:fill="FFFFFF"/>
            <w:vAlign w:val="center"/>
          </w:tcPr>
          <w:p>
            <w:pPr>
              <w:pageBreakBefore w:val="0"/>
              <w:kinsoku/>
              <w:wordWrap/>
              <w:overflowPunct/>
              <w:topLinePunct w:val="0"/>
              <w:autoSpaceDE/>
              <w:autoSpaceDN/>
              <w:bidi w:val="0"/>
              <w:jc w:val="center"/>
              <w:rPr>
                <w:rFonts w:hint="eastAsia" w:ascii="仿宋" w:hAnsi="仿宋" w:eastAsia="仿宋" w:cs="仿宋"/>
                <w:b/>
                <w:sz w:val="24"/>
                <w:szCs w:val="24"/>
              </w:rPr>
            </w:pPr>
            <w:r>
              <w:rPr>
                <w:rFonts w:hint="eastAsia" w:ascii="仿宋" w:hAnsi="仿宋" w:eastAsia="仿宋" w:cs="仿宋"/>
                <w:b/>
                <w:sz w:val="24"/>
                <w:szCs w:val="24"/>
              </w:rPr>
              <w:t>报价满分</w:t>
            </w:r>
          </w:p>
        </w:tc>
        <w:tc>
          <w:tcPr>
            <w:tcW w:w="3768" w:type="pct"/>
            <w:gridSpan w:val="3"/>
            <w:shd w:val="clear" w:color="auto" w:fill="FFFFFF"/>
            <w:vAlign w:val="center"/>
          </w:tcPr>
          <w:p>
            <w:pPr>
              <w:keepNext w:val="0"/>
              <w:keepLines w:val="0"/>
              <w:widowControl/>
              <w:suppressLineNumbers w:val="0"/>
              <w:jc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4" w:hRule="atLeast"/>
          <w:jc w:val="center"/>
        </w:trPr>
        <w:tc>
          <w:tcPr>
            <w:tcW w:w="1231" w:type="pct"/>
            <w:gridSpan w:val="2"/>
            <w:shd w:val="clear" w:color="auto" w:fill="FFFFFF"/>
            <w:vAlign w:val="center"/>
          </w:tcPr>
          <w:p>
            <w:pPr>
              <w:pageBreakBefore w:val="0"/>
              <w:kinsoku/>
              <w:wordWrap/>
              <w:overflowPunct/>
              <w:topLinePunct w:val="0"/>
              <w:autoSpaceDE/>
              <w:autoSpaceDN/>
              <w:bidi w:val="0"/>
              <w:jc w:val="center"/>
              <w:rPr>
                <w:rFonts w:hint="eastAsia" w:ascii="仿宋" w:hAnsi="仿宋" w:eastAsia="仿宋" w:cs="仿宋"/>
                <w:b/>
                <w:sz w:val="24"/>
                <w:szCs w:val="24"/>
              </w:rPr>
            </w:pPr>
            <w:r>
              <w:rPr>
                <w:rFonts w:hint="eastAsia" w:ascii="仿宋" w:hAnsi="仿宋" w:eastAsia="仿宋" w:cs="仿宋"/>
                <w:b/>
                <w:sz w:val="24"/>
                <w:szCs w:val="24"/>
              </w:rPr>
              <w:t>R</w:t>
            </w:r>
          </w:p>
        </w:tc>
        <w:tc>
          <w:tcPr>
            <w:tcW w:w="3768" w:type="pct"/>
            <w:gridSpan w:val="3"/>
            <w:shd w:val="clear" w:color="auto" w:fill="FFFFFF"/>
            <w:vAlign w:val="center"/>
          </w:tcPr>
          <w:p>
            <w:pPr>
              <w:keepNext w:val="0"/>
              <w:keepLines w:val="0"/>
              <w:widowControl/>
              <w:suppressLineNumbers w:val="0"/>
              <w:jc w:val="center"/>
              <w:rPr>
                <w:rFonts w:hint="default"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1</w:t>
            </w:r>
          </w:p>
        </w:tc>
      </w:tr>
    </w:tbl>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rPr>
      </w:pPr>
      <w:r>
        <w:rPr>
          <w:rFonts w:hint="eastAsia" w:ascii="仿宋" w:hAnsi="仿宋" w:eastAsia="仿宋" w:cs="仿宋"/>
          <w:b w:val="0"/>
          <w:bCs w:val="0"/>
          <w:sz w:val="24"/>
          <w:szCs w:val="24"/>
          <w:lang w:val="en-US" w:eastAsia="zh-CN"/>
        </w:rPr>
        <w:t>分值构成</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4496"/>
        <w:gridCol w:w="757"/>
        <w:gridCol w:w="757"/>
        <w:gridCol w:w="757"/>
        <w:gridCol w:w="1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bidi w:val="0"/>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序号</w:t>
            </w:r>
          </w:p>
        </w:tc>
        <w:tc>
          <w:tcPr>
            <w:tcW w:w="0" w:type="auto"/>
            <w:vAlign w:val="center"/>
          </w:tcPr>
          <w:p>
            <w:pPr>
              <w:bidi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标包</w:t>
            </w:r>
          </w:p>
        </w:tc>
        <w:tc>
          <w:tcPr>
            <w:tcW w:w="0" w:type="auto"/>
            <w:vAlign w:val="center"/>
          </w:tcPr>
          <w:p>
            <w:pPr>
              <w:bidi w:val="0"/>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商务分</w:t>
            </w:r>
          </w:p>
        </w:tc>
        <w:tc>
          <w:tcPr>
            <w:tcW w:w="0" w:type="auto"/>
            <w:vAlign w:val="center"/>
          </w:tcPr>
          <w:p>
            <w:pPr>
              <w:bidi w:val="0"/>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技术分</w:t>
            </w:r>
          </w:p>
        </w:tc>
        <w:tc>
          <w:tcPr>
            <w:tcW w:w="0" w:type="auto"/>
            <w:vAlign w:val="center"/>
          </w:tcPr>
          <w:p>
            <w:pPr>
              <w:bidi w:val="0"/>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价格分</w:t>
            </w:r>
          </w:p>
        </w:tc>
        <w:tc>
          <w:tcPr>
            <w:tcW w:w="0" w:type="auto"/>
            <w:vAlign w:val="center"/>
          </w:tcPr>
          <w:p>
            <w:pPr>
              <w:bidi w:val="0"/>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价格分计算方法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bidi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0" w:type="auto"/>
            <w:vAlign w:val="center"/>
          </w:tcPr>
          <w:p>
            <w:pPr>
              <w:bidi w:val="0"/>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t>2026年南方电网数字电网集团（云南）有限公司AI计算服务器投标寻源项目</w:t>
            </w:r>
          </w:p>
        </w:tc>
        <w:tc>
          <w:tcPr>
            <w:tcW w:w="0" w:type="auto"/>
            <w:vAlign w:val="center"/>
          </w:tcPr>
          <w:p>
            <w:pPr>
              <w:bidi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w:t>
            </w:r>
          </w:p>
        </w:tc>
        <w:tc>
          <w:tcPr>
            <w:tcW w:w="0" w:type="auto"/>
            <w:vAlign w:val="center"/>
          </w:tcPr>
          <w:p>
            <w:pPr>
              <w:bidi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50%</w:t>
            </w:r>
          </w:p>
        </w:tc>
        <w:tc>
          <w:tcPr>
            <w:tcW w:w="0" w:type="auto"/>
            <w:vAlign w:val="center"/>
          </w:tcPr>
          <w:p>
            <w:pPr>
              <w:bidi w:val="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40%</w:t>
            </w:r>
          </w:p>
        </w:tc>
        <w:tc>
          <w:tcPr>
            <w:tcW w:w="0" w:type="auto"/>
            <w:vAlign w:val="center"/>
          </w:tcPr>
          <w:p>
            <w:pPr>
              <w:bidi w:val="0"/>
              <w:jc w:val="center"/>
              <w:rPr>
                <w:rFonts w:hint="eastAsia" w:ascii="仿宋" w:hAnsi="仿宋" w:eastAsia="仿宋" w:cs="仿宋"/>
                <w:sz w:val="24"/>
                <w:szCs w:val="24"/>
                <w:vertAlign w:val="baseline"/>
              </w:rPr>
            </w:pPr>
            <w:r>
              <w:rPr>
                <w:rFonts w:hint="eastAsia" w:ascii="仿宋" w:hAnsi="仿宋" w:eastAsia="仿宋" w:cs="仿宋"/>
                <w:color w:val="auto"/>
                <w:kern w:val="2"/>
                <w:sz w:val="24"/>
                <w:szCs w:val="24"/>
                <w:highlight w:val="none"/>
                <w:lang w:val="en-US" w:eastAsia="zh-CN" w:bidi="ar-SA"/>
              </w:rPr>
              <w:t>最低有效报价法</w:t>
            </w:r>
          </w:p>
        </w:tc>
      </w:tr>
    </w:tbl>
    <w:p>
      <w:pPr>
        <w:keepNext w:val="0"/>
        <w:keepLines w:val="0"/>
        <w:pageBreakBefore w:val="0"/>
        <w:widowControl w:val="0"/>
        <w:numPr>
          <w:ilvl w:val="0"/>
          <w:numId w:val="8"/>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成交推荐原则</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547"/>
        <w:gridCol w:w="7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bidi w:val="0"/>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序号</w:t>
            </w:r>
          </w:p>
        </w:tc>
        <w:tc>
          <w:tcPr>
            <w:tcW w:w="0" w:type="auto"/>
            <w:vAlign w:val="center"/>
          </w:tcPr>
          <w:p>
            <w:pPr>
              <w:bidi w:val="0"/>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标的</w:t>
            </w:r>
          </w:p>
        </w:tc>
        <w:tc>
          <w:tcPr>
            <w:tcW w:w="0" w:type="auto"/>
            <w:vAlign w:val="center"/>
          </w:tcPr>
          <w:p>
            <w:pPr>
              <w:bidi w:val="0"/>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成交推荐原则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pPr>
              <w:bidi w:val="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0" w:type="auto"/>
            <w:vAlign w:val="center"/>
          </w:tcPr>
          <w:p>
            <w:pPr>
              <w:bidi w:val="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全部</w:t>
            </w:r>
          </w:p>
        </w:tc>
        <w:tc>
          <w:tcPr>
            <w:tcW w:w="0" w:type="auto"/>
            <w:vAlign w:val="center"/>
          </w:tcPr>
          <w:p>
            <w:pPr>
              <w:bidi w:val="0"/>
              <w:rPr>
                <w:rFonts w:hint="eastAsia" w:ascii="仿宋" w:hAnsi="仿宋" w:eastAsia="仿宋" w:cs="仿宋"/>
                <w:sz w:val="24"/>
                <w:szCs w:val="24"/>
                <w:vertAlign w:val="baseline"/>
              </w:rPr>
            </w:pPr>
            <w:r>
              <w:rPr>
                <w:rFonts w:hint="eastAsia" w:ascii="仿宋" w:hAnsi="仿宋" w:eastAsia="仿宋" w:cs="仿宋"/>
                <w:sz w:val="24"/>
                <w:szCs w:val="24"/>
                <w:vertAlign w:val="baseline"/>
                <w:lang w:eastAsia="zh-CN"/>
              </w:rPr>
              <w:t>（</w:t>
            </w:r>
            <w:r>
              <w:rPr>
                <w:rFonts w:hint="eastAsia" w:ascii="仿宋" w:hAnsi="仿宋" w:eastAsia="仿宋" w:cs="仿宋"/>
                <w:sz w:val="24"/>
                <w:szCs w:val="24"/>
                <w:vertAlign w:val="baseline"/>
                <w:lang w:val="en-US" w:eastAsia="zh-CN"/>
              </w:rPr>
              <w:t>1</w:t>
            </w:r>
            <w:r>
              <w:rPr>
                <w:rFonts w:hint="eastAsia" w:ascii="仿宋" w:hAnsi="仿宋" w:eastAsia="仿宋" w:cs="仿宋"/>
                <w:sz w:val="24"/>
                <w:szCs w:val="24"/>
                <w:vertAlign w:val="baseline"/>
                <w:lang w:eastAsia="zh-CN"/>
              </w:rPr>
              <w:t>）</w:t>
            </w:r>
            <w:r>
              <w:rPr>
                <w:rFonts w:hint="eastAsia" w:ascii="仿宋" w:hAnsi="仿宋" w:eastAsia="仿宋" w:cs="仿宋"/>
                <w:sz w:val="24"/>
                <w:szCs w:val="24"/>
                <w:vertAlign w:val="baseline"/>
              </w:rPr>
              <w:t>评审委员会提出评审报告，本项目按综合得分由高到低进行排序，向采购人推荐1名成交候选人，综合得分最高者为成交候选人。</w:t>
            </w:r>
          </w:p>
          <w:p>
            <w:pPr>
              <w:bidi w:val="0"/>
              <w:rPr>
                <w:rFonts w:hint="eastAsia" w:ascii="仿宋" w:hAnsi="仿宋" w:eastAsia="仿宋" w:cs="仿宋"/>
                <w:sz w:val="24"/>
                <w:szCs w:val="24"/>
                <w:vertAlign w:val="baseline"/>
              </w:rPr>
            </w:pPr>
            <w:r>
              <w:rPr>
                <w:rFonts w:hint="eastAsia" w:ascii="仿宋" w:hAnsi="仿宋" w:eastAsia="仿宋" w:cs="仿宋"/>
                <w:sz w:val="24"/>
                <w:szCs w:val="24"/>
                <w:vertAlign w:val="baseline"/>
                <w:lang w:eastAsia="zh-CN"/>
              </w:rPr>
              <w:t>（</w:t>
            </w:r>
            <w:r>
              <w:rPr>
                <w:rFonts w:hint="eastAsia" w:ascii="仿宋" w:hAnsi="仿宋" w:eastAsia="仿宋" w:cs="仿宋"/>
                <w:sz w:val="24"/>
                <w:szCs w:val="24"/>
                <w:vertAlign w:val="baseline"/>
                <w:lang w:val="en-US" w:eastAsia="zh-CN"/>
              </w:rPr>
              <w:t>2</w:t>
            </w:r>
            <w:r>
              <w:rPr>
                <w:rFonts w:hint="eastAsia" w:ascii="仿宋" w:hAnsi="仿宋" w:eastAsia="仿宋" w:cs="仿宋"/>
                <w:sz w:val="24"/>
                <w:szCs w:val="24"/>
                <w:vertAlign w:val="baseline"/>
                <w:lang w:eastAsia="zh-CN"/>
              </w:rPr>
              <w:t>）</w:t>
            </w:r>
            <w:r>
              <w:rPr>
                <w:rFonts w:hint="eastAsia" w:ascii="仿宋" w:hAnsi="仿宋" w:eastAsia="仿宋" w:cs="仿宋"/>
                <w:sz w:val="24"/>
                <w:szCs w:val="24"/>
                <w:vertAlign w:val="baseline"/>
              </w:rPr>
              <w:t>当出现综合得分相同的存在两个或以上响应供应商的，以报价低者优先，如果报价也相同，以技术得分高者优先，如果仍然相同，则由评审委员会投票，票数多者优先。</w:t>
            </w:r>
          </w:p>
        </w:tc>
      </w:tr>
    </w:tbl>
    <w:p>
      <w:pPr>
        <w:pStyle w:val="2"/>
        <w:numPr>
          <w:ilvl w:val="0"/>
          <w:numId w:val="12"/>
        </w:numPr>
        <w:bidi w:val="0"/>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t>技术偏离表</w:t>
      </w:r>
    </w:p>
    <w:p>
      <w:pPr>
        <w:spacing w:line="360" w:lineRule="auto"/>
        <w:ind w:left="113"/>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详见附件2：技术偏离表</w:t>
      </w:r>
    </w:p>
    <w:p>
      <w:pPr>
        <w:pStyle w:val="2"/>
        <w:numPr>
          <w:ilvl w:val="0"/>
          <w:numId w:val="12"/>
        </w:numPr>
        <w:bidi w:val="0"/>
        <w:rPr>
          <w:rFonts w:hint="eastAsia" w:ascii="仿宋" w:hAnsi="仿宋" w:eastAsia="仿宋" w:cs="仿宋"/>
          <w:b/>
          <w:sz w:val="32"/>
          <w:szCs w:val="32"/>
          <w:highlight w:val="none"/>
          <w:lang w:val="en-US" w:eastAsia="zh-CN"/>
        </w:rPr>
      </w:pPr>
      <w:r>
        <w:rPr>
          <w:rFonts w:hint="eastAsia" w:ascii="仿宋" w:hAnsi="仿宋" w:eastAsia="仿宋" w:cs="仿宋"/>
          <w:b/>
          <w:sz w:val="32"/>
          <w:szCs w:val="32"/>
          <w:highlight w:val="none"/>
          <w:lang w:val="en-US" w:eastAsia="zh-CN"/>
        </w:rPr>
        <w:t>响应文件附件</w:t>
      </w:r>
    </w:p>
    <w:p>
      <w:pPr>
        <w:spacing w:line="360" w:lineRule="auto"/>
        <w:ind w:left="113"/>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详见附件1：响应文件格式</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34"/>
    <w:family w:val="roman"/>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文鼎CS大黑">
    <w:altName w:val="方正黑体_GBK"/>
    <w:panose1 w:val="00000000000000000000"/>
    <w:charset w:val="86"/>
    <w:family w:val="decorative"/>
    <w:pitch w:val="default"/>
    <w:sig w:usb0="00000000" w:usb1="00000000" w:usb2="00000010" w:usb3="00000000" w:csb0="00040000" w:csb1="00000000"/>
  </w:font>
  <w:font w:name="方正粗宋简体">
    <w:altName w:val="方正书宋_GBK"/>
    <w:panose1 w:val="00000000000000000000"/>
    <w:charset w:val="86"/>
    <w:family w:val="swiss"/>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57E1AB"/>
    <w:multiLevelType w:val="singleLevel"/>
    <w:tmpl w:val="8757E1AB"/>
    <w:lvl w:ilvl="0" w:tentative="0">
      <w:start w:val="1"/>
      <w:numFmt w:val="decimal"/>
      <w:lvlText w:val="%1)"/>
      <w:lvlJc w:val="left"/>
      <w:pPr>
        <w:tabs>
          <w:tab w:val="left" w:pos="840"/>
        </w:tabs>
        <w:ind w:left="1265" w:hanging="425"/>
      </w:pPr>
      <w:rPr>
        <w:rFonts w:hint="default"/>
      </w:rPr>
    </w:lvl>
  </w:abstractNum>
  <w:abstractNum w:abstractNumId="1">
    <w:nsid w:val="94B30766"/>
    <w:multiLevelType w:val="singleLevel"/>
    <w:tmpl w:val="94B30766"/>
    <w:lvl w:ilvl="0" w:tentative="0">
      <w:start w:val="1"/>
      <w:numFmt w:val="decimal"/>
      <w:suff w:val="nothing"/>
      <w:lvlText w:val="%1、"/>
      <w:lvlJc w:val="left"/>
      <w:pPr>
        <w:ind w:left="-62" w:leftChars="0" w:firstLine="482" w:firstLineChars="0"/>
      </w:pPr>
      <w:rPr>
        <w:rFonts w:hint="default" w:ascii="宋体" w:hAnsi="宋体" w:eastAsia="宋体" w:cs="宋体"/>
        <w:sz w:val="22"/>
        <w:szCs w:val="22"/>
      </w:rPr>
    </w:lvl>
  </w:abstractNum>
  <w:abstractNum w:abstractNumId="2">
    <w:nsid w:val="BDE70CA7"/>
    <w:multiLevelType w:val="singleLevel"/>
    <w:tmpl w:val="BDE70CA7"/>
    <w:lvl w:ilvl="0" w:tentative="0">
      <w:start w:val="1"/>
      <w:numFmt w:val="decimal"/>
      <w:lvlText w:val="%1."/>
      <w:lvlJc w:val="left"/>
      <w:pPr>
        <w:ind w:left="425" w:hanging="425"/>
      </w:pPr>
      <w:rPr>
        <w:rFonts w:hint="default"/>
      </w:rPr>
    </w:lvl>
  </w:abstractNum>
  <w:abstractNum w:abstractNumId="3">
    <w:nsid w:val="BE860F3A"/>
    <w:multiLevelType w:val="singleLevel"/>
    <w:tmpl w:val="BE860F3A"/>
    <w:lvl w:ilvl="0" w:tentative="0">
      <w:start w:val="1"/>
      <w:numFmt w:val="decimal"/>
      <w:lvlText w:val="%1."/>
      <w:lvlJc w:val="left"/>
      <w:pPr>
        <w:ind w:left="425" w:hanging="425"/>
      </w:pPr>
      <w:rPr>
        <w:rFonts w:hint="default"/>
      </w:rPr>
    </w:lvl>
  </w:abstractNum>
  <w:abstractNum w:abstractNumId="4">
    <w:nsid w:val="C5805DD6"/>
    <w:multiLevelType w:val="singleLevel"/>
    <w:tmpl w:val="C5805DD6"/>
    <w:lvl w:ilvl="0" w:tentative="0">
      <w:start w:val="1"/>
      <w:numFmt w:val="chineseCounting"/>
      <w:suff w:val="nothing"/>
      <w:lvlText w:val="（%1）"/>
      <w:lvlJc w:val="left"/>
      <w:pPr>
        <w:ind w:left="0" w:firstLine="420"/>
      </w:pPr>
      <w:rPr>
        <w:rFonts w:hint="eastAsia"/>
      </w:rPr>
    </w:lvl>
  </w:abstractNum>
  <w:abstractNum w:abstractNumId="5">
    <w:nsid w:val="D5669694"/>
    <w:multiLevelType w:val="singleLevel"/>
    <w:tmpl w:val="D5669694"/>
    <w:lvl w:ilvl="0" w:tentative="0">
      <w:start w:val="1"/>
      <w:numFmt w:val="decimal"/>
      <w:suff w:val="nothing"/>
      <w:lvlText w:val="%1、"/>
      <w:lvlJc w:val="left"/>
      <w:pPr>
        <w:ind w:left="1350" w:hanging="450"/>
      </w:pPr>
      <w:rPr>
        <w:rFonts w:hint="default"/>
        <w:sz w:val="22"/>
        <w:szCs w:val="22"/>
      </w:rPr>
    </w:lvl>
  </w:abstractNum>
  <w:abstractNum w:abstractNumId="6">
    <w:nsid w:val="DCD655E9"/>
    <w:multiLevelType w:val="singleLevel"/>
    <w:tmpl w:val="DCD655E9"/>
    <w:lvl w:ilvl="0" w:tentative="0">
      <w:start w:val="1"/>
      <w:numFmt w:val="decimal"/>
      <w:suff w:val="nothing"/>
      <w:lvlText w:val="%1、"/>
      <w:lvlJc w:val="left"/>
      <w:pPr>
        <w:ind w:left="1350" w:hanging="450"/>
      </w:pPr>
      <w:rPr>
        <w:rFonts w:hint="default" w:ascii="仿宋" w:hAnsi="仿宋" w:eastAsia="仿宋" w:cs="仿宋"/>
        <w:sz w:val="22"/>
        <w:szCs w:val="22"/>
      </w:rPr>
    </w:lvl>
  </w:abstractNum>
  <w:abstractNum w:abstractNumId="7">
    <w:nsid w:val="DD1A376B"/>
    <w:multiLevelType w:val="singleLevel"/>
    <w:tmpl w:val="DD1A376B"/>
    <w:lvl w:ilvl="0" w:tentative="0">
      <w:start w:val="1"/>
      <w:numFmt w:val="decimal"/>
      <w:lvlText w:val="%1)"/>
      <w:lvlJc w:val="left"/>
      <w:pPr>
        <w:tabs>
          <w:tab w:val="left" w:pos="840"/>
        </w:tabs>
        <w:ind w:left="1265" w:hanging="425"/>
      </w:pPr>
      <w:rPr>
        <w:rFonts w:hint="default"/>
      </w:rPr>
    </w:lvl>
  </w:abstractNum>
  <w:abstractNum w:abstractNumId="8">
    <w:nsid w:val="15F1D197"/>
    <w:multiLevelType w:val="singleLevel"/>
    <w:tmpl w:val="15F1D197"/>
    <w:lvl w:ilvl="0" w:tentative="0">
      <w:start w:val="1"/>
      <w:numFmt w:val="decimal"/>
      <w:suff w:val="nothing"/>
      <w:lvlText w:val="%1、"/>
      <w:lvlJc w:val="left"/>
      <w:pPr>
        <w:ind w:left="1350" w:hanging="450"/>
      </w:pPr>
      <w:rPr>
        <w:rFonts w:hint="default"/>
        <w:color w:val="auto"/>
        <w:sz w:val="22"/>
        <w:szCs w:val="22"/>
      </w:rPr>
    </w:lvl>
  </w:abstractNum>
  <w:abstractNum w:abstractNumId="9">
    <w:nsid w:val="39783CE9"/>
    <w:multiLevelType w:val="singleLevel"/>
    <w:tmpl w:val="39783CE9"/>
    <w:lvl w:ilvl="0" w:tentative="0">
      <w:start w:val="1"/>
      <w:numFmt w:val="chineseCounting"/>
      <w:suff w:val="nothing"/>
      <w:lvlText w:val="（%1）"/>
      <w:lvlJc w:val="left"/>
      <w:pPr>
        <w:ind w:left="0" w:firstLine="420"/>
      </w:pPr>
      <w:rPr>
        <w:rFonts w:hint="eastAsia"/>
      </w:rPr>
    </w:lvl>
  </w:abstractNum>
  <w:abstractNum w:abstractNumId="10">
    <w:nsid w:val="480EB99F"/>
    <w:multiLevelType w:val="singleLevel"/>
    <w:tmpl w:val="480EB99F"/>
    <w:lvl w:ilvl="0" w:tentative="0">
      <w:start w:val="3"/>
      <w:numFmt w:val="chineseCounting"/>
      <w:suff w:val="nothing"/>
      <w:lvlText w:val="%1、"/>
      <w:lvlJc w:val="left"/>
      <w:rPr>
        <w:rFonts w:hint="eastAsia"/>
      </w:rPr>
    </w:lvl>
  </w:abstractNum>
  <w:abstractNum w:abstractNumId="11">
    <w:nsid w:val="74C5B661"/>
    <w:multiLevelType w:val="singleLevel"/>
    <w:tmpl w:val="74C5B661"/>
    <w:lvl w:ilvl="0" w:tentative="0">
      <w:start w:val="1"/>
      <w:numFmt w:val="decimal"/>
      <w:suff w:val="nothing"/>
      <w:lvlText w:val="%1、"/>
      <w:lvlJc w:val="left"/>
      <w:pPr>
        <w:ind w:left="0" w:leftChars="0" w:firstLine="482" w:firstLineChars="0"/>
      </w:pPr>
      <w:rPr>
        <w:rFonts w:hint="default" w:ascii="仿宋_GB2312" w:hAnsi="仿宋_GB2312" w:eastAsia="仿宋_GB2312" w:cs="仿宋_GB2312"/>
        <w:sz w:val="22"/>
        <w:szCs w:val="22"/>
      </w:rPr>
    </w:lvl>
  </w:abstractNum>
  <w:num w:numId="1">
    <w:abstractNumId w:val="4"/>
  </w:num>
  <w:num w:numId="2">
    <w:abstractNumId w:val="1"/>
  </w:num>
  <w:num w:numId="3">
    <w:abstractNumId w:val="11"/>
  </w:num>
  <w:num w:numId="4">
    <w:abstractNumId w:val="8"/>
  </w:num>
  <w:num w:numId="5">
    <w:abstractNumId w:val="9"/>
  </w:num>
  <w:num w:numId="6">
    <w:abstractNumId w:val="5"/>
  </w:num>
  <w:num w:numId="7">
    <w:abstractNumId w:val="7"/>
  </w:num>
  <w:num w:numId="8">
    <w:abstractNumId w:val="6"/>
  </w:num>
  <w:num w:numId="9">
    <w:abstractNumId w:val="0"/>
  </w:num>
  <w:num w:numId="10">
    <w:abstractNumId w:val="2"/>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3YTFmYThlYjJkZmYzNDFmODJkMjM0YjdhZTYyNzQifQ=="/>
  </w:docVars>
  <w:rsids>
    <w:rsidRoot w:val="73CB49E0"/>
    <w:rsid w:val="00020092"/>
    <w:rsid w:val="00537C28"/>
    <w:rsid w:val="0062392F"/>
    <w:rsid w:val="00784712"/>
    <w:rsid w:val="007B1862"/>
    <w:rsid w:val="00802E78"/>
    <w:rsid w:val="00876D3A"/>
    <w:rsid w:val="009269A2"/>
    <w:rsid w:val="00B24998"/>
    <w:rsid w:val="00B633B9"/>
    <w:rsid w:val="00BF7E82"/>
    <w:rsid w:val="00C528D4"/>
    <w:rsid w:val="00C60F31"/>
    <w:rsid w:val="00F036C9"/>
    <w:rsid w:val="00FB2B5A"/>
    <w:rsid w:val="01027C35"/>
    <w:rsid w:val="011D1716"/>
    <w:rsid w:val="011F2B4C"/>
    <w:rsid w:val="014B2A57"/>
    <w:rsid w:val="014C5CB1"/>
    <w:rsid w:val="014C6B51"/>
    <w:rsid w:val="01763BCE"/>
    <w:rsid w:val="017B65FA"/>
    <w:rsid w:val="018A7679"/>
    <w:rsid w:val="019C6557"/>
    <w:rsid w:val="01C225F2"/>
    <w:rsid w:val="01EC20E2"/>
    <w:rsid w:val="01F9035B"/>
    <w:rsid w:val="023B31B5"/>
    <w:rsid w:val="024314DF"/>
    <w:rsid w:val="024910FD"/>
    <w:rsid w:val="0251255D"/>
    <w:rsid w:val="0273010D"/>
    <w:rsid w:val="027A3AE6"/>
    <w:rsid w:val="02921645"/>
    <w:rsid w:val="033E3038"/>
    <w:rsid w:val="03433A17"/>
    <w:rsid w:val="036841C2"/>
    <w:rsid w:val="03853EF6"/>
    <w:rsid w:val="038D72DF"/>
    <w:rsid w:val="039C1FCF"/>
    <w:rsid w:val="03B46C2F"/>
    <w:rsid w:val="03C2759E"/>
    <w:rsid w:val="03D35307"/>
    <w:rsid w:val="03D418F0"/>
    <w:rsid w:val="03D42E2E"/>
    <w:rsid w:val="040A5811"/>
    <w:rsid w:val="040F012A"/>
    <w:rsid w:val="04163446"/>
    <w:rsid w:val="043A35D9"/>
    <w:rsid w:val="043F0EB6"/>
    <w:rsid w:val="04651CD8"/>
    <w:rsid w:val="04664A43"/>
    <w:rsid w:val="046B474E"/>
    <w:rsid w:val="04A15406"/>
    <w:rsid w:val="04AB3B8E"/>
    <w:rsid w:val="04B3245B"/>
    <w:rsid w:val="04B80181"/>
    <w:rsid w:val="04B8484E"/>
    <w:rsid w:val="04C82992"/>
    <w:rsid w:val="04D330E5"/>
    <w:rsid w:val="04D43387"/>
    <w:rsid w:val="052B53BF"/>
    <w:rsid w:val="053242B0"/>
    <w:rsid w:val="05344197"/>
    <w:rsid w:val="05353DA0"/>
    <w:rsid w:val="054B2562"/>
    <w:rsid w:val="055406CA"/>
    <w:rsid w:val="056A1C9B"/>
    <w:rsid w:val="056A3A4A"/>
    <w:rsid w:val="057A4A8F"/>
    <w:rsid w:val="058102E9"/>
    <w:rsid w:val="05A97997"/>
    <w:rsid w:val="05F220D0"/>
    <w:rsid w:val="05F41C2F"/>
    <w:rsid w:val="06565D7C"/>
    <w:rsid w:val="06646A88"/>
    <w:rsid w:val="06652463"/>
    <w:rsid w:val="06691F53"/>
    <w:rsid w:val="066B1C96"/>
    <w:rsid w:val="066E27C6"/>
    <w:rsid w:val="068D7488"/>
    <w:rsid w:val="06936FD0"/>
    <w:rsid w:val="06ED2799"/>
    <w:rsid w:val="071F6AB6"/>
    <w:rsid w:val="075B48E7"/>
    <w:rsid w:val="078A2181"/>
    <w:rsid w:val="07945AAC"/>
    <w:rsid w:val="079923C4"/>
    <w:rsid w:val="07D17DB0"/>
    <w:rsid w:val="07E476BE"/>
    <w:rsid w:val="07EB5E1F"/>
    <w:rsid w:val="08031F33"/>
    <w:rsid w:val="086707D7"/>
    <w:rsid w:val="087234E3"/>
    <w:rsid w:val="088152C8"/>
    <w:rsid w:val="08A355E8"/>
    <w:rsid w:val="08B60D54"/>
    <w:rsid w:val="08BD6586"/>
    <w:rsid w:val="08EE6740"/>
    <w:rsid w:val="08FF094D"/>
    <w:rsid w:val="09187C60"/>
    <w:rsid w:val="09202F5A"/>
    <w:rsid w:val="092E1232"/>
    <w:rsid w:val="094D41F6"/>
    <w:rsid w:val="0954227F"/>
    <w:rsid w:val="095D1C96"/>
    <w:rsid w:val="098147A7"/>
    <w:rsid w:val="09992B4F"/>
    <w:rsid w:val="09C77C99"/>
    <w:rsid w:val="09D107D3"/>
    <w:rsid w:val="09DF6D3E"/>
    <w:rsid w:val="09EE49E3"/>
    <w:rsid w:val="0A0311E7"/>
    <w:rsid w:val="0A094F53"/>
    <w:rsid w:val="0A452585"/>
    <w:rsid w:val="0A7377DA"/>
    <w:rsid w:val="0A747118"/>
    <w:rsid w:val="0A917A7B"/>
    <w:rsid w:val="0AA55977"/>
    <w:rsid w:val="0AA71119"/>
    <w:rsid w:val="0AB35D19"/>
    <w:rsid w:val="0AC21C32"/>
    <w:rsid w:val="0AC550EB"/>
    <w:rsid w:val="0AE05F00"/>
    <w:rsid w:val="0AF838A6"/>
    <w:rsid w:val="0B05175F"/>
    <w:rsid w:val="0B2F5EE6"/>
    <w:rsid w:val="0B5C2086"/>
    <w:rsid w:val="0B774EE9"/>
    <w:rsid w:val="0B8876F0"/>
    <w:rsid w:val="0B8F6344"/>
    <w:rsid w:val="0BA23811"/>
    <w:rsid w:val="0BA67BFA"/>
    <w:rsid w:val="0BC820E2"/>
    <w:rsid w:val="0BCB2A5E"/>
    <w:rsid w:val="0BD53BE7"/>
    <w:rsid w:val="0C0F0C3E"/>
    <w:rsid w:val="0C0F0EA7"/>
    <w:rsid w:val="0C1069CD"/>
    <w:rsid w:val="0C534244"/>
    <w:rsid w:val="0C6531BD"/>
    <w:rsid w:val="0C963376"/>
    <w:rsid w:val="0C985340"/>
    <w:rsid w:val="0CA85745"/>
    <w:rsid w:val="0CAC0156"/>
    <w:rsid w:val="0CBF43C2"/>
    <w:rsid w:val="0CC0267A"/>
    <w:rsid w:val="0CC93E3D"/>
    <w:rsid w:val="0CFB142B"/>
    <w:rsid w:val="0D18464C"/>
    <w:rsid w:val="0D301714"/>
    <w:rsid w:val="0D354BD2"/>
    <w:rsid w:val="0D4234FE"/>
    <w:rsid w:val="0D4A48FD"/>
    <w:rsid w:val="0D701199"/>
    <w:rsid w:val="0D837D9E"/>
    <w:rsid w:val="0D904269"/>
    <w:rsid w:val="0D913B3D"/>
    <w:rsid w:val="0DAC3311"/>
    <w:rsid w:val="0DB96584"/>
    <w:rsid w:val="0DBA12E6"/>
    <w:rsid w:val="0DDC74AE"/>
    <w:rsid w:val="0DE34399"/>
    <w:rsid w:val="0DE95727"/>
    <w:rsid w:val="0E130D43"/>
    <w:rsid w:val="0E2C2973"/>
    <w:rsid w:val="0E436F73"/>
    <w:rsid w:val="0E453D74"/>
    <w:rsid w:val="0E5C239D"/>
    <w:rsid w:val="0E6F20D1"/>
    <w:rsid w:val="0E8042DE"/>
    <w:rsid w:val="0E855783"/>
    <w:rsid w:val="0EB21FBD"/>
    <w:rsid w:val="0EC51CF1"/>
    <w:rsid w:val="0EF70990"/>
    <w:rsid w:val="0F072309"/>
    <w:rsid w:val="0F222FFA"/>
    <w:rsid w:val="0F626428"/>
    <w:rsid w:val="0F87169C"/>
    <w:rsid w:val="0FA364D6"/>
    <w:rsid w:val="0FB91C40"/>
    <w:rsid w:val="0FCA5A2E"/>
    <w:rsid w:val="0FEA5585"/>
    <w:rsid w:val="0FF8241F"/>
    <w:rsid w:val="10023500"/>
    <w:rsid w:val="100D394F"/>
    <w:rsid w:val="102F7D69"/>
    <w:rsid w:val="10352EA6"/>
    <w:rsid w:val="103B4960"/>
    <w:rsid w:val="103C4234"/>
    <w:rsid w:val="10583751"/>
    <w:rsid w:val="108252A3"/>
    <w:rsid w:val="10944070"/>
    <w:rsid w:val="109E4EEF"/>
    <w:rsid w:val="10C81F6C"/>
    <w:rsid w:val="10D4446D"/>
    <w:rsid w:val="10D64689"/>
    <w:rsid w:val="10E64789"/>
    <w:rsid w:val="10EB3234"/>
    <w:rsid w:val="111F5A73"/>
    <w:rsid w:val="11515ABE"/>
    <w:rsid w:val="11755C50"/>
    <w:rsid w:val="11845E93"/>
    <w:rsid w:val="11922EE2"/>
    <w:rsid w:val="119E6FB4"/>
    <w:rsid w:val="11A947F4"/>
    <w:rsid w:val="11B5429E"/>
    <w:rsid w:val="11BD13A5"/>
    <w:rsid w:val="11DF756D"/>
    <w:rsid w:val="11E179DF"/>
    <w:rsid w:val="11E20E0C"/>
    <w:rsid w:val="11EC3A38"/>
    <w:rsid w:val="11F0547A"/>
    <w:rsid w:val="12156D7E"/>
    <w:rsid w:val="12257ED3"/>
    <w:rsid w:val="124318AA"/>
    <w:rsid w:val="12495049"/>
    <w:rsid w:val="12580E22"/>
    <w:rsid w:val="12616998"/>
    <w:rsid w:val="12706417"/>
    <w:rsid w:val="128035A6"/>
    <w:rsid w:val="12883761"/>
    <w:rsid w:val="12C624DB"/>
    <w:rsid w:val="12D76496"/>
    <w:rsid w:val="12E3308D"/>
    <w:rsid w:val="12E54381"/>
    <w:rsid w:val="12E8201C"/>
    <w:rsid w:val="12F34DE9"/>
    <w:rsid w:val="12FC7CAB"/>
    <w:rsid w:val="12FD414F"/>
    <w:rsid w:val="1324038E"/>
    <w:rsid w:val="133C549C"/>
    <w:rsid w:val="13914897"/>
    <w:rsid w:val="139D4FEA"/>
    <w:rsid w:val="13A24CF6"/>
    <w:rsid w:val="13B518E3"/>
    <w:rsid w:val="13B804FB"/>
    <w:rsid w:val="13C22D04"/>
    <w:rsid w:val="13C44C6D"/>
    <w:rsid w:val="13DA4490"/>
    <w:rsid w:val="13E02727"/>
    <w:rsid w:val="13FC61B5"/>
    <w:rsid w:val="141B23B3"/>
    <w:rsid w:val="14226FC4"/>
    <w:rsid w:val="14263231"/>
    <w:rsid w:val="142C0628"/>
    <w:rsid w:val="144C07BE"/>
    <w:rsid w:val="146B333A"/>
    <w:rsid w:val="149C1746"/>
    <w:rsid w:val="14AC0625"/>
    <w:rsid w:val="14AD74AF"/>
    <w:rsid w:val="14CF5677"/>
    <w:rsid w:val="14D07641"/>
    <w:rsid w:val="150D43F1"/>
    <w:rsid w:val="15190FE8"/>
    <w:rsid w:val="151D55BB"/>
    <w:rsid w:val="15583A1B"/>
    <w:rsid w:val="15595889"/>
    <w:rsid w:val="156F567A"/>
    <w:rsid w:val="157E0E4B"/>
    <w:rsid w:val="157E4752"/>
    <w:rsid w:val="15862656"/>
    <w:rsid w:val="159E329B"/>
    <w:rsid w:val="15A80551"/>
    <w:rsid w:val="15B7224B"/>
    <w:rsid w:val="15D20959"/>
    <w:rsid w:val="15DA15E8"/>
    <w:rsid w:val="15E45152"/>
    <w:rsid w:val="15F413D6"/>
    <w:rsid w:val="15FA4976"/>
    <w:rsid w:val="16007AB2"/>
    <w:rsid w:val="1606156C"/>
    <w:rsid w:val="165F0C7D"/>
    <w:rsid w:val="1662251B"/>
    <w:rsid w:val="16A20B69"/>
    <w:rsid w:val="16B56AEF"/>
    <w:rsid w:val="16B8213B"/>
    <w:rsid w:val="16BF7F4C"/>
    <w:rsid w:val="16D26743"/>
    <w:rsid w:val="16D44AE5"/>
    <w:rsid w:val="16E15B36"/>
    <w:rsid w:val="16E65167"/>
    <w:rsid w:val="16E8374B"/>
    <w:rsid w:val="1719707D"/>
    <w:rsid w:val="171D41E4"/>
    <w:rsid w:val="1723614E"/>
    <w:rsid w:val="17451C21"/>
    <w:rsid w:val="174B0D9F"/>
    <w:rsid w:val="17654071"/>
    <w:rsid w:val="17914E66"/>
    <w:rsid w:val="17C17895"/>
    <w:rsid w:val="17CD1C16"/>
    <w:rsid w:val="17D2722C"/>
    <w:rsid w:val="17D86320"/>
    <w:rsid w:val="17E74537"/>
    <w:rsid w:val="17F11DA8"/>
    <w:rsid w:val="18011839"/>
    <w:rsid w:val="18190834"/>
    <w:rsid w:val="183879D7"/>
    <w:rsid w:val="18607876"/>
    <w:rsid w:val="18860743"/>
    <w:rsid w:val="188B564C"/>
    <w:rsid w:val="18BE7690"/>
    <w:rsid w:val="18BF5A03"/>
    <w:rsid w:val="18DB5A75"/>
    <w:rsid w:val="18F9485F"/>
    <w:rsid w:val="18FF4051"/>
    <w:rsid w:val="19081158"/>
    <w:rsid w:val="19193C38"/>
    <w:rsid w:val="193463F1"/>
    <w:rsid w:val="193A152D"/>
    <w:rsid w:val="194D0C0F"/>
    <w:rsid w:val="19E82D37"/>
    <w:rsid w:val="1A3B37AF"/>
    <w:rsid w:val="1A46462D"/>
    <w:rsid w:val="1A495ECC"/>
    <w:rsid w:val="1A504ADA"/>
    <w:rsid w:val="1A5A3C35"/>
    <w:rsid w:val="1A8E1B30"/>
    <w:rsid w:val="1A8F664A"/>
    <w:rsid w:val="1A976C37"/>
    <w:rsid w:val="1A9E2B3B"/>
    <w:rsid w:val="1AA749A0"/>
    <w:rsid w:val="1AAA1F45"/>
    <w:rsid w:val="1AE856E5"/>
    <w:rsid w:val="1B26620D"/>
    <w:rsid w:val="1B276664"/>
    <w:rsid w:val="1B2D0F23"/>
    <w:rsid w:val="1B316447"/>
    <w:rsid w:val="1B3C158C"/>
    <w:rsid w:val="1B6F3710"/>
    <w:rsid w:val="1B723200"/>
    <w:rsid w:val="1BA7663C"/>
    <w:rsid w:val="1BB42683"/>
    <w:rsid w:val="1BB6133F"/>
    <w:rsid w:val="1BBF2C12"/>
    <w:rsid w:val="1BCF29E2"/>
    <w:rsid w:val="1C05706A"/>
    <w:rsid w:val="1C1804EA"/>
    <w:rsid w:val="1C1918CE"/>
    <w:rsid w:val="1C406E5A"/>
    <w:rsid w:val="1C6F14EE"/>
    <w:rsid w:val="1C980AEC"/>
    <w:rsid w:val="1CA90EA4"/>
    <w:rsid w:val="1CBD66FD"/>
    <w:rsid w:val="1CDA19BD"/>
    <w:rsid w:val="1D110939"/>
    <w:rsid w:val="1D1162EC"/>
    <w:rsid w:val="1D13456F"/>
    <w:rsid w:val="1D232A04"/>
    <w:rsid w:val="1D24052A"/>
    <w:rsid w:val="1D320E99"/>
    <w:rsid w:val="1D37025D"/>
    <w:rsid w:val="1D5A3F4C"/>
    <w:rsid w:val="1D832528"/>
    <w:rsid w:val="1D840FC9"/>
    <w:rsid w:val="1D8A4831"/>
    <w:rsid w:val="1D9B6A3E"/>
    <w:rsid w:val="1DA476B9"/>
    <w:rsid w:val="1DAD243E"/>
    <w:rsid w:val="1DE01993"/>
    <w:rsid w:val="1DE1641B"/>
    <w:rsid w:val="1DF919B7"/>
    <w:rsid w:val="1E0839A8"/>
    <w:rsid w:val="1E0D5462"/>
    <w:rsid w:val="1E186DCF"/>
    <w:rsid w:val="1E214A6A"/>
    <w:rsid w:val="1E4A0464"/>
    <w:rsid w:val="1E5906A7"/>
    <w:rsid w:val="1E7728EB"/>
    <w:rsid w:val="1E9F1303"/>
    <w:rsid w:val="1E9F430C"/>
    <w:rsid w:val="1EA01E32"/>
    <w:rsid w:val="1EA4354E"/>
    <w:rsid w:val="1EAB0F03"/>
    <w:rsid w:val="1EB53B30"/>
    <w:rsid w:val="1ED1023E"/>
    <w:rsid w:val="1ED32208"/>
    <w:rsid w:val="1F05089E"/>
    <w:rsid w:val="1F1545CE"/>
    <w:rsid w:val="1F234F3D"/>
    <w:rsid w:val="1F417171"/>
    <w:rsid w:val="1F4A5FC5"/>
    <w:rsid w:val="1F4E1E6D"/>
    <w:rsid w:val="1F574BE7"/>
    <w:rsid w:val="1F5A11FF"/>
    <w:rsid w:val="1F5B3927"/>
    <w:rsid w:val="1F7C71B6"/>
    <w:rsid w:val="1F841754"/>
    <w:rsid w:val="1F861028"/>
    <w:rsid w:val="1FA67FFA"/>
    <w:rsid w:val="1FCB27B8"/>
    <w:rsid w:val="1FEC17D3"/>
    <w:rsid w:val="1FF02946"/>
    <w:rsid w:val="200A35A2"/>
    <w:rsid w:val="2011123A"/>
    <w:rsid w:val="2014753F"/>
    <w:rsid w:val="202F346E"/>
    <w:rsid w:val="207D0E70"/>
    <w:rsid w:val="208F7B8F"/>
    <w:rsid w:val="20BB20C0"/>
    <w:rsid w:val="20D9162C"/>
    <w:rsid w:val="20DA7947"/>
    <w:rsid w:val="20E52F05"/>
    <w:rsid w:val="20EB28F3"/>
    <w:rsid w:val="20F85F56"/>
    <w:rsid w:val="21134B3E"/>
    <w:rsid w:val="211720D7"/>
    <w:rsid w:val="211865F8"/>
    <w:rsid w:val="2134376C"/>
    <w:rsid w:val="213827F6"/>
    <w:rsid w:val="215025B4"/>
    <w:rsid w:val="21515666"/>
    <w:rsid w:val="215F4227"/>
    <w:rsid w:val="21696E53"/>
    <w:rsid w:val="217D79BF"/>
    <w:rsid w:val="21940070"/>
    <w:rsid w:val="21A53343"/>
    <w:rsid w:val="21AA36F4"/>
    <w:rsid w:val="21AE2AB8"/>
    <w:rsid w:val="21B005DE"/>
    <w:rsid w:val="21B0587C"/>
    <w:rsid w:val="21B75E11"/>
    <w:rsid w:val="21D818E3"/>
    <w:rsid w:val="21F726B1"/>
    <w:rsid w:val="21FF0F4E"/>
    <w:rsid w:val="223236E9"/>
    <w:rsid w:val="224014D9"/>
    <w:rsid w:val="224376A4"/>
    <w:rsid w:val="225361F3"/>
    <w:rsid w:val="22561186"/>
    <w:rsid w:val="22617B2B"/>
    <w:rsid w:val="22697363"/>
    <w:rsid w:val="229939E0"/>
    <w:rsid w:val="229B4DEB"/>
    <w:rsid w:val="22A4320A"/>
    <w:rsid w:val="22A763E9"/>
    <w:rsid w:val="22C97BAA"/>
    <w:rsid w:val="22CF2CE6"/>
    <w:rsid w:val="22D17316"/>
    <w:rsid w:val="22DD3655"/>
    <w:rsid w:val="22E73BCC"/>
    <w:rsid w:val="22E744D4"/>
    <w:rsid w:val="22E90157"/>
    <w:rsid w:val="233459A8"/>
    <w:rsid w:val="234867D9"/>
    <w:rsid w:val="23880F5A"/>
    <w:rsid w:val="23915FA1"/>
    <w:rsid w:val="239C7BFA"/>
    <w:rsid w:val="239E2368"/>
    <w:rsid w:val="23A07B3C"/>
    <w:rsid w:val="23A128D5"/>
    <w:rsid w:val="23C245F9"/>
    <w:rsid w:val="23E10F23"/>
    <w:rsid w:val="24082954"/>
    <w:rsid w:val="240A0463"/>
    <w:rsid w:val="2446522A"/>
    <w:rsid w:val="244A6AC8"/>
    <w:rsid w:val="248F4E23"/>
    <w:rsid w:val="24951237"/>
    <w:rsid w:val="24A35682"/>
    <w:rsid w:val="24DB1E16"/>
    <w:rsid w:val="24E20D41"/>
    <w:rsid w:val="24E46F1D"/>
    <w:rsid w:val="251315B0"/>
    <w:rsid w:val="251A0B90"/>
    <w:rsid w:val="25246224"/>
    <w:rsid w:val="25251C80"/>
    <w:rsid w:val="25875AFA"/>
    <w:rsid w:val="25893F23"/>
    <w:rsid w:val="25987D07"/>
    <w:rsid w:val="25AC730F"/>
    <w:rsid w:val="25C72C7D"/>
    <w:rsid w:val="25D16C36"/>
    <w:rsid w:val="25DC4098"/>
    <w:rsid w:val="25EA25D6"/>
    <w:rsid w:val="25EF714A"/>
    <w:rsid w:val="25FF38E2"/>
    <w:rsid w:val="26064C71"/>
    <w:rsid w:val="260C44FC"/>
    <w:rsid w:val="2617288D"/>
    <w:rsid w:val="261C26E6"/>
    <w:rsid w:val="2622325B"/>
    <w:rsid w:val="26236300"/>
    <w:rsid w:val="263A491A"/>
    <w:rsid w:val="263E440B"/>
    <w:rsid w:val="264439EB"/>
    <w:rsid w:val="264958FE"/>
    <w:rsid w:val="26657727"/>
    <w:rsid w:val="26B26802"/>
    <w:rsid w:val="26CA2142"/>
    <w:rsid w:val="26CF65FE"/>
    <w:rsid w:val="26D3488A"/>
    <w:rsid w:val="26F15A73"/>
    <w:rsid w:val="26F62F37"/>
    <w:rsid w:val="27373B49"/>
    <w:rsid w:val="273E1940"/>
    <w:rsid w:val="274176DD"/>
    <w:rsid w:val="27993315"/>
    <w:rsid w:val="27B23302"/>
    <w:rsid w:val="27C43035"/>
    <w:rsid w:val="27FE5D0D"/>
    <w:rsid w:val="28137B19"/>
    <w:rsid w:val="28266033"/>
    <w:rsid w:val="282E58E6"/>
    <w:rsid w:val="28370307"/>
    <w:rsid w:val="28555C7C"/>
    <w:rsid w:val="287D51FA"/>
    <w:rsid w:val="28F306BC"/>
    <w:rsid w:val="291B4343"/>
    <w:rsid w:val="29226443"/>
    <w:rsid w:val="29301DFA"/>
    <w:rsid w:val="29325D7D"/>
    <w:rsid w:val="29564161"/>
    <w:rsid w:val="2975797B"/>
    <w:rsid w:val="297E0FC2"/>
    <w:rsid w:val="298A556C"/>
    <w:rsid w:val="298A5BB9"/>
    <w:rsid w:val="29A05EB5"/>
    <w:rsid w:val="29A22DDE"/>
    <w:rsid w:val="29BF3AB4"/>
    <w:rsid w:val="29C83614"/>
    <w:rsid w:val="29E74DB9"/>
    <w:rsid w:val="29F72FB2"/>
    <w:rsid w:val="29FD282F"/>
    <w:rsid w:val="2A021BF3"/>
    <w:rsid w:val="2A314286"/>
    <w:rsid w:val="2A36089B"/>
    <w:rsid w:val="2A497822"/>
    <w:rsid w:val="2A4E308A"/>
    <w:rsid w:val="2A5266D7"/>
    <w:rsid w:val="2A6A6147"/>
    <w:rsid w:val="2A742AF1"/>
    <w:rsid w:val="2A814634"/>
    <w:rsid w:val="2A985EBF"/>
    <w:rsid w:val="2AB3069D"/>
    <w:rsid w:val="2AC46EA9"/>
    <w:rsid w:val="2AF5213F"/>
    <w:rsid w:val="2AF7727E"/>
    <w:rsid w:val="2B0051CA"/>
    <w:rsid w:val="2B0760E4"/>
    <w:rsid w:val="2B0A0D5F"/>
    <w:rsid w:val="2B0F45C8"/>
    <w:rsid w:val="2B164EBE"/>
    <w:rsid w:val="2B1971F4"/>
    <w:rsid w:val="2B3B360F"/>
    <w:rsid w:val="2B785E5C"/>
    <w:rsid w:val="2BA36003"/>
    <w:rsid w:val="2BA50A88"/>
    <w:rsid w:val="2BB45CC1"/>
    <w:rsid w:val="2BE55328"/>
    <w:rsid w:val="2BEF61A7"/>
    <w:rsid w:val="2BF13CCD"/>
    <w:rsid w:val="2BFF4E3C"/>
    <w:rsid w:val="2C066AE0"/>
    <w:rsid w:val="2C0954BB"/>
    <w:rsid w:val="2C1E07A6"/>
    <w:rsid w:val="2C1F6A8C"/>
    <w:rsid w:val="2C2F340C"/>
    <w:rsid w:val="2C363CAB"/>
    <w:rsid w:val="2C6B7F24"/>
    <w:rsid w:val="2C8D7E9A"/>
    <w:rsid w:val="2CA07E85"/>
    <w:rsid w:val="2CA751A1"/>
    <w:rsid w:val="2CAE0906"/>
    <w:rsid w:val="2CB25B52"/>
    <w:rsid w:val="2CB73169"/>
    <w:rsid w:val="2CEE6E45"/>
    <w:rsid w:val="2CF134CA"/>
    <w:rsid w:val="2CF972DD"/>
    <w:rsid w:val="2D005CE3"/>
    <w:rsid w:val="2D182972"/>
    <w:rsid w:val="2D216834"/>
    <w:rsid w:val="2D2C76B3"/>
    <w:rsid w:val="2D380715"/>
    <w:rsid w:val="2D3B78F6"/>
    <w:rsid w:val="2D3E7D46"/>
    <w:rsid w:val="2D46629B"/>
    <w:rsid w:val="2D480265"/>
    <w:rsid w:val="2D544A77"/>
    <w:rsid w:val="2D572256"/>
    <w:rsid w:val="2D8748E9"/>
    <w:rsid w:val="2D946557"/>
    <w:rsid w:val="2D952AA5"/>
    <w:rsid w:val="2DA437FC"/>
    <w:rsid w:val="2DA7653E"/>
    <w:rsid w:val="2DB256DE"/>
    <w:rsid w:val="2DBB42ED"/>
    <w:rsid w:val="2DCA2A28"/>
    <w:rsid w:val="2DE81100"/>
    <w:rsid w:val="2DF61A6F"/>
    <w:rsid w:val="2E1341D4"/>
    <w:rsid w:val="2E167A29"/>
    <w:rsid w:val="2E2507DF"/>
    <w:rsid w:val="2E3E6240"/>
    <w:rsid w:val="2E552C39"/>
    <w:rsid w:val="2E654D4D"/>
    <w:rsid w:val="2E6B74EC"/>
    <w:rsid w:val="2E8B21B7"/>
    <w:rsid w:val="2EB66E3D"/>
    <w:rsid w:val="2ED06D9F"/>
    <w:rsid w:val="2EDC0C65"/>
    <w:rsid w:val="2EE2477F"/>
    <w:rsid w:val="2EF04710"/>
    <w:rsid w:val="2EF951BC"/>
    <w:rsid w:val="2F3E547B"/>
    <w:rsid w:val="2F5C7FF7"/>
    <w:rsid w:val="2F6078FA"/>
    <w:rsid w:val="2F666452"/>
    <w:rsid w:val="2F7C41F6"/>
    <w:rsid w:val="2F8C5676"/>
    <w:rsid w:val="2FBD4E6D"/>
    <w:rsid w:val="2FDD4C94"/>
    <w:rsid w:val="300B5572"/>
    <w:rsid w:val="301D1535"/>
    <w:rsid w:val="306814F8"/>
    <w:rsid w:val="3075080D"/>
    <w:rsid w:val="30766E97"/>
    <w:rsid w:val="30896BCA"/>
    <w:rsid w:val="308A649E"/>
    <w:rsid w:val="30D140CD"/>
    <w:rsid w:val="30F4495F"/>
    <w:rsid w:val="30F60111"/>
    <w:rsid w:val="314F3970"/>
    <w:rsid w:val="3150593A"/>
    <w:rsid w:val="31C0486E"/>
    <w:rsid w:val="323A4620"/>
    <w:rsid w:val="324234D5"/>
    <w:rsid w:val="324A05DB"/>
    <w:rsid w:val="32652F78"/>
    <w:rsid w:val="327B34E1"/>
    <w:rsid w:val="32807B59"/>
    <w:rsid w:val="328827F7"/>
    <w:rsid w:val="32917FB8"/>
    <w:rsid w:val="32C835E0"/>
    <w:rsid w:val="32CC0FF0"/>
    <w:rsid w:val="32D373F3"/>
    <w:rsid w:val="32DB75FB"/>
    <w:rsid w:val="32EA372C"/>
    <w:rsid w:val="331E4333"/>
    <w:rsid w:val="334873B2"/>
    <w:rsid w:val="335039CF"/>
    <w:rsid w:val="337820FF"/>
    <w:rsid w:val="338A4A39"/>
    <w:rsid w:val="33CF7CBE"/>
    <w:rsid w:val="33D87EC3"/>
    <w:rsid w:val="33FB45B4"/>
    <w:rsid w:val="33FE78CF"/>
    <w:rsid w:val="340772C6"/>
    <w:rsid w:val="34117602"/>
    <w:rsid w:val="344835C0"/>
    <w:rsid w:val="345D3677"/>
    <w:rsid w:val="346F4329"/>
    <w:rsid w:val="348E0C53"/>
    <w:rsid w:val="34A2025B"/>
    <w:rsid w:val="34A246FE"/>
    <w:rsid w:val="34C44675"/>
    <w:rsid w:val="350D65F0"/>
    <w:rsid w:val="351D1FD7"/>
    <w:rsid w:val="351D3D85"/>
    <w:rsid w:val="354D675A"/>
    <w:rsid w:val="35842CE6"/>
    <w:rsid w:val="359B2AE0"/>
    <w:rsid w:val="35A61FCC"/>
    <w:rsid w:val="35B27FDD"/>
    <w:rsid w:val="35BE10C4"/>
    <w:rsid w:val="35C00828"/>
    <w:rsid w:val="35D70AF0"/>
    <w:rsid w:val="35ED6CDF"/>
    <w:rsid w:val="36116540"/>
    <w:rsid w:val="361E2AEF"/>
    <w:rsid w:val="362611B6"/>
    <w:rsid w:val="362C24D2"/>
    <w:rsid w:val="362F5B1E"/>
    <w:rsid w:val="36405F7D"/>
    <w:rsid w:val="36453517"/>
    <w:rsid w:val="36483084"/>
    <w:rsid w:val="36590DED"/>
    <w:rsid w:val="3699661F"/>
    <w:rsid w:val="36AC41C0"/>
    <w:rsid w:val="36CB2CF1"/>
    <w:rsid w:val="36F5492C"/>
    <w:rsid w:val="371D1E1A"/>
    <w:rsid w:val="37227431"/>
    <w:rsid w:val="372B33F7"/>
    <w:rsid w:val="372C4753"/>
    <w:rsid w:val="374B2E2B"/>
    <w:rsid w:val="378B00EE"/>
    <w:rsid w:val="379540A7"/>
    <w:rsid w:val="379E634E"/>
    <w:rsid w:val="37BC7885"/>
    <w:rsid w:val="37BF3B4C"/>
    <w:rsid w:val="37D83F93"/>
    <w:rsid w:val="37D87A19"/>
    <w:rsid w:val="37F648B5"/>
    <w:rsid w:val="383342ED"/>
    <w:rsid w:val="38BB2AC2"/>
    <w:rsid w:val="38C44830"/>
    <w:rsid w:val="38CC54BF"/>
    <w:rsid w:val="38D04F99"/>
    <w:rsid w:val="38EC5F48"/>
    <w:rsid w:val="38EF3C8A"/>
    <w:rsid w:val="39124D4B"/>
    <w:rsid w:val="3914512A"/>
    <w:rsid w:val="3922196A"/>
    <w:rsid w:val="3925145A"/>
    <w:rsid w:val="392B404E"/>
    <w:rsid w:val="3934169D"/>
    <w:rsid w:val="393D49F6"/>
    <w:rsid w:val="3973697B"/>
    <w:rsid w:val="39785A2E"/>
    <w:rsid w:val="39822409"/>
    <w:rsid w:val="39924D42"/>
    <w:rsid w:val="399A6E11"/>
    <w:rsid w:val="399B34CA"/>
    <w:rsid w:val="39E11825"/>
    <w:rsid w:val="39FA7FBA"/>
    <w:rsid w:val="3A2D6818"/>
    <w:rsid w:val="3A3064FE"/>
    <w:rsid w:val="3A4A026E"/>
    <w:rsid w:val="3A824DB6"/>
    <w:rsid w:val="3A8A3559"/>
    <w:rsid w:val="3A9A0ADE"/>
    <w:rsid w:val="3AA14BD5"/>
    <w:rsid w:val="3AA651A8"/>
    <w:rsid w:val="3AC0768C"/>
    <w:rsid w:val="3AD268EA"/>
    <w:rsid w:val="3AEA64B7"/>
    <w:rsid w:val="3AF26C45"/>
    <w:rsid w:val="3B0B2E1E"/>
    <w:rsid w:val="3B0F5F1E"/>
    <w:rsid w:val="3B133C60"/>
    <w:rsid w:val="3B1479D8"/>
    <w:rsid w:val="3B3A5239"/>
    <w:rsid w:val="3B4E6A46"/>
    <w:rsid w:val="3B653D90"/>
    <w:rsid w:val="3B82113C"/>
    <w:rsid w:val="3BBA100A"/>
    <w:rsid w:val="3BD56BBC"/>
    <w:rsid w:val="3BF74F1D"/>
    <w:rsid w:val="3C055CF8"/>
    <w:rsid w:val="3C1058F4"/>
    <w:rsid w:val="3C454EAF"/>
    <w:rsid w:val="3C797AF3"/>
    <w:rsid w:val="3C9C37C3"/>
    <w:rsid w:val="3C9D5708"/>
    <w:rsid w:val="3CBE539F"/>
    <w:rsid w:val="3CD11E57"/>
    <w:rsid w:val="3CFE3C20"/>
    <w:rsid w:val="3D0300A8"/>
    <w:rsid w:val="3D1D0DC6"/>
    <w:rsid w:val="3D346110"/>
    <w:rsid w:val="3D3D6D72"/>
    <w:rsid w:val="3D7D3159"/>
    <w:rsid w:val="3D820C29"/>
    <w:rsid w:val="3DB334D8"/>
    <w:rsid w:val="3DE44963"/>
    <w:rsid w:val="3DF80EEB"/>
    <w:rsid w:val="3E0419F9"/>
    <w:rsid w:val="3E204FFC"/>
    <w:rsid w:val="3E7172FD"/>
    <w:rsid w:val="3E7B1CAF"/>
    <w:rsid w:val="3E936E4F"/>
    <w:rsid w:val="3E9C21BE"/>
    <w:rsid w:val="3EA7510F"/>
    <w:rsid w:val="3EAA48DB"/>
    <w:rsid w:val="3EAB568D"/>
    <w:rsid w:val="3ED3210D"/>
    <w:rsid w:val="3EF85333"/>
    <w:rsid w:val="3EFD65C9"/>
    <w:rsid w:val="3F19736B"/>
    <w:rsid w:val="3F221A4C"/>
    <w:rsid w:val="3F6902F3"/>
    <w:rsid w:val="3F6CCBC7"/>
    <w:rsid w:val="3F7FAE0B"/>
    <w:rsid w:val="3F8F3AD1"/>
    <w:rsid w:val="3F9614BE"/>
    <w:rsid w:val="3F981D9E"/>
    <w:rsid w:val="3F9B5FD2"/>
    <w:rsid w:val="3F9BD38F"/>
    <w:rsid w:val="3FAE412E"/>
    <w:rsid w:val="3FB45427"/>
    <w:rsid w:val="3FF2288E"/>
    <w:rsid w:val="40095632"/>
    <w:rsid w:val="40181D19"/>
    <w:rsid w:val="40271F5C"/>
    <w:rsid w:val="40677AAE"/>
    <w:rsid w:val="40890521"/>
    <w:rsid w:val="409A4975"/>
    <w:rsid w:val="40AA4844"/>
    <w:rsid w:val="40AD562A"/>
    <w:rsid w:val="40BB2DD0"/>
    <w:rsid w:val="40C50AD3"/>
    <w:rsid w:val="40D83A44"/>
    <w:rsid w:val="40DE261A"/>
    <w:rsid w:val="40EA1C0C"/>
    <w:rsid w:val="40F77B80"/>
    <w:rsid w:val="40F87666"/>
    <w:rsid w:val="410D172D"/>
    <w:rsid w:val="41432F6C"/>
    <w:rsid w:val="41566655"/>
    <w:rsid w:val="41581F02"/>
    <w:rsid w:val="41742F7F"/>
    <w:rsid w:val="41A67DC1"/>
    <w:rsid w:val="41A75102"/>
    <w:rsid w:val="41C04416"/>
    <w:rsid w:val="41C660F7"/>
    <w:rsid w:val="41D81760"/>
    <w:rsid w:val="41EE0932"/>
    <w:rsid w:val="41FC3205"/>
    <w:rsid w:val="42087E65"/>
    <w:rsid w:val="420E33D3"/>
    <w:rsid w:val="422704F3"/>
    <w:rsid w:val="42294B17"/>
    <w:rsid w:val="422C5607"/>
    <w:rsid w:val="422F6EA6"/>
    <w:rsid w:val="42311F92"/>
    <w:rsid w:val="424D23EF"/>
    <w:rsid w:val="425A03C6"/>
    <w:rsid w:val="42702D0D"/>
    <w:rsid w:val="42895BDD"/>
    <w:rsid w:val="428B2688"/>
    <w:rsid w:val="428D419F"/>
    <w:rsid w:val="42905B96"/>
    <w:rsid w:val="429C3520"/>
    <w:rsid w:val="429E2606"/>
    <w:rsid w:val="42A15FF5"/>
    <w:rsid w:val="42B86C39"/>
    <w:rsid w:val="42BD2E0C"/>
    <w:rsid w:val="42C47AD1"/>
    <w:rsid w:val="42C972FA"/>
    <w:rsid w:val="42EB0859"/>
    <w:rsid w:val="430345BA"/>
    <w:rsid w:val="432F53AF"/>
    <w:rsid w:val="435650B1"/>
    <w:rsid w:val="435E7EED"/>
    <w:rsid w:val="43675823"/>
    <w:rsid w:val="43C81360"/>
    <w:rsid w:val="43C95804"/>
    <w:rsid w:val="43F8578A"/>
    <w:rsid w:val="43FB7987"/>
    <w:rsid w:val="444F35A2"/>
    <w:rsid w:val="445C6678"/>
    <w:rsid w:val="446A2417"/>
    <w:rsid w:val="447109DD"/>
    <w:rsid w:val="44735802"/>
    <w:rsid w:val="448B0D0B"/>
    <w:rsid w:val="448C5AFF"/>
    <w:rsid w:val="44913E48"/>
    <w:rsid w:val="449F0313"/>
    <w:rsid w:val="44C62FEB"/>
    <w:rsid w:val="44D9618A"/>
    <w:rsid w:val="44DC50C3"/>
    <w:rsid w:val="44F20122"/>
    <w:rsid w:val="44F32A2B"/>
    <w:rsid w:val="44FE753E"/>
    <w:rsid w:val="45022D33"/>
    <w:rsid w:val="450D7972"/>
    <w:rsid w:val="451F1453"/>
    <w:rsid w:val="4522602E"/>
    <w:rsid w:val="4525559E"/>
    <w:rsid w:val="452F4E0F"/>
    <w:rsid w:val="454D1DF7"/>
    <w:rsid w:val="454D3BBD"/>
    <w:rsid w:val="4561381A"/>
    <w:rsid w:val="4585676E"/>
    <w:rsid w:val="45A32BCF"/>
    <w:rsid w:val="45A560D2"/>
    <w:rsid w:val="45A831F7"/>
    <w:rsid w:val="45B5063B"/>
    <w:rsid w:val="45B54E7A"/>
    <w:rsid w:val="45CB0510"/>
    <w:rsid w:val="45E02E0E"/>
    <w:rsid w:val="45F14B9E"/>
    <w:rsid w:val="460A6915"/>
    <w:rsid w:val="462008E0"/>
    <w:rsid w:val="462045E4"/>
    <w:rsid w:val="46304E6E"/>
    <w:rsid w:val="46307D84"/>
    <w:rsid w:val="46565349"/>
    <w:rsid w:val="4668391F"/>
    <w:rsid w:val="466E61EE"/>
    <w:rsid w:val="46761547"/>
    <w:rsid w:val="468C48C7"/>
    <w:rsid w:val="469561A1"/>
    <w:rsid w:val="46957BD9"/>
    <w:rsid w:val="46BD0F24"/>
    <w:rsid w:val="46C95B1B"/>
    <w:rsid w:val="46CC5A5D"/>
    <w:rsid w:val="46E841F3"/>
    <w:rsid w:val="46F02871"/>
    <w:rsid w:val="46FD7572"/>
    <w:rsid w:val="470D1EAB"/>
    <w:rsid w:val="473236C0"/>
    <w:rsid w:val="473A2575"/>
    <w:rsid w:val="474F068C"/>
    <w:rsid w:val="475950F1"/>
    <w:rsid w:val="47655843"/>
    <w:rsid w:val="47841A42"/>
    <w:rsid w:val="479C322F"/>
    <w:rsid w:val="47A824CD"/>
    <w:rsid w:val="47AB7859"/>
    <w:rsid w:val="47F5689C"/>
    <w:rsid w:val="48097462"/>
    <w:rsid w:val="48567443"/>
    <w:rsid w:val="48624C7F"/>
    <w:rsid w:val="486C49B0"/>
    <w:rsid w:val="48790E7B"/>
    <w:rsid w:val="48877A3B"/>
    <w:rsid w:val="489B5295"/>
    <w:rsid w:val="48BC5937"/>
    <w:rsid w:val="48CC564D"/>
    <w:rsid w:val="48D10CB7"/>
    <w:rsid w:val="48E362E2"/>
    <w:rsid w:val="48E82D4D"/>
    <w:rsid w:val="48EA2F86"/>
    <w:rsid w:val="48EA3B26"/>
    <w:rsid w:val="49035F39"/>
    <w:rsid w:val="490C1CEF"/>
    <w:rsid w:val="492139EC"/>
    <w:rsid w:val="49213B85"/>
    <w:rsid w:val="49504F8A"/>
    <w:rsid w:val="49553F3B"/>
    <w:rsid w:val="495A5459"/>
    <w:rsid w:val="499B5CD3"/>
    <w:rsid w:val="49BE310A"/>
    <w:rsid w:val="49BF4FB3"/>
    <w:rsid w:val="49FB248F"/>
    <w:rsid w:val="49FC4E53"/>
    <w:rsid w:val="4A071323"/>
    <w:rsid w:val="4A0A0824"/>
    <w:rsid w:val="4A371147"/>
    <w:rsid w:val="4A5E47CC"/>
    <w:rsid w:val="4A7E62C5"/>
    <w:rsid w:val="4AA743C5"/>
    <w:rsid w:val="4AAA61F4"/>
    <w:rsid w:val="4AC705C3"/>
    <w:rsid w:val="4AC97E97"/>
    <w:rsid w:val="4ACE0368"/>
    <w:rsid w:val="4AF56EDE"/>
    <w:rsid w:val="4B007631"/>
    <w:rsid w:val="4B0111C5"/>
    <w:rsid w:val="4B08432A"/>
    <w:rsid w:val="4B0E7FA0"/>
    <w:rsid w:val="4B225EDD"/>
    <w:rsid w:val="4B5856BF"/>
    <w:rsid w:val="4B6202EC"/>
    <w:rsid w:val="4B6C4CC7"/>
    <w:rsid w:val="4BAD1567"/>
    <w:rsid w:val="4BE17463"/>
    <w:rsid w:val="4C066EC9"/>
    <w:rsid w:val="4C1437B1"/>
    <w:rsid w:val="4C3677AE"/>
    <w:rsid w:val="4C3746B5"/>
    <w:rsid w:val="4C431ECB"/>
    <w:rsid w:val="4C577725"/>
    <w:rsid w:val="4C7317D0"/>
    <w:rsid w:val="4C83051A"/>
    <w:rsid w:val="4C8B2099"/>
    <w:rsid w:val="4C9444D5"/>
    <w:rsid w:val="4CBB10F3"/>
    <w:rsid w:val="4CBF2A10"/>
    <w:rsid w:val="4CD314A1"/>
    <w:rsid w:val="4CEA0599"/>
    <w:rsid w:val="4CEB0AE5"/>
    <w:rsid w:val="4CF44D53"/>
    <w:rsid w:val="4D09474F"/>
    <w:rsid w:val="4D183358"/>
    <w:rsid w:val="4D227D33"/>
    <w:rsid w:val="4D241CFD"/>
    <w:rsid w:val="4D552378"/>
    <w:rsid w:val="4D5A6673"/>
    <w:rsid w:val="4D6D5452"/>
    <w:rsid w:val="4D720CBA"/>
    <w:rsid w:val="4D8409ED"/>
    <w:rsid w:val="4D845BEF"/>
    <w:rsid w:val="4D9A3C2A"/>
    <w:rsid w:val="4DC55E83"/>
    <w:rsid w:val="4E0B4C6B"/>
    <w:rsid w:val="4E2A3343"/>
    <w:rsid w:val="4E305547"/>
    <w:rsid w:val="4E30647F"/>
    <w:rsid w:val="4E47547C"/>
    <w:rsid w:val="4E4D6006"/>
    <w:rsid w:val="4E4F4B57"/>
    <w:rsid w:val="4E5B79A0"/>
    <w:rsid w:val="4E712D20"/>
    <w:rsid w:val="4E802F63"/>
    <w:rsid w:val="4E9E163B"/>
    <w:rsid w:val="4EB909E9"/>
    <w:rsid w:val="4EBE6421"/>
    <w:rsid w:val="4ED54C66"/>
    <w:rsid w:val="4EE130C3"/>
    <w:rsid w:val="4EEA3906"/>
    <w:rsid w:val="4F1B0EDE"/>
    <w:rsid w:val="4F1D4C56"/>
    <w:rsid w:val="4F3154F9"/>
    <w:rsid w:val="4F4B5C9C"/>
    <w:rsid w:val="4F5F0DCA"/>
    <w:rsid w:val="4F63289F"/>
    <w:rsid w:val="4F637D7D"/>
    <w:rsid w:val="4F8E7901"/>
    <w:rsid w:val="4F9A2425"/>
    <w:rsid w:val="4FA2515B"/>
    <w:rsid w:val="4FAE10EC"/>
    <w:rsid w:val="4FCB6477"/>
    <w:rsid w:val="4FCC21D8"/>
    <w:rsid w:val="4FCE41A2"/>
    <w:rsid w:val="4FE37C4D"/>
    <w:rsid w:val="4FEB08B0"/>
    <w:rsid w:val="4FED6404"/>
    <w:rsid w:val="4FFD05E3"/>
    <w:rsid w:val="50197233"/>
    <w:rsid w:val="501E2432"/>
    <w:rsid w:val="5027550C"/>
    <w:rsid w:val="504238DC"/>
    <w:rsid w:val="505A5A36"/>
    <w:rsid w:val="506D7517"/>
    <w:rsid w:val="50CC3A9C"/>
    <w:rsid w:val="50DE21C3"/>
    <w:rsid w:val="50EA0B67"/>
    <w:rsid w:val="50ED0754"/>
    <w:rsid w:val="51066C45"/>
    <w:rsid w:val="510E0CFA"/>
    <w:rsid w:val="512E3738"/>
    <w:rsid w:val="51385D77"/>
    <w:rsid w:val="517B5C63"/>
    <w:rsid w:val="518C7E71"/>
    <w:rsid w:val="51AB479B"/>
    <w:rsid w:val="51AC698D"/>
    <w:rsid w:val="51BD2EC4"/>
    <w:rsid w:val="51C904BB"/>
    <w:rsid w:val="51E333FD"/>
    <w:rsid w:val="521A547C"/>
    <w:rsid w:val="522307D5"/>
    <w:rsid w:val="525F5FF3"/>
    <w:rsid w:val="526770C0"/>
    <w:rsid w:val="527D69BB"/>
    <w:rsid w:val="528A0854"/>
    <w:rsid w:val="52B633F7"/>
    <w:rsid w:val="52B663D7"/>
    <w:rsid w:val="52B97D23"/>
    <w:rsid w:val="52BB0A0D"/>
    <w:rsid w:val="52C04276"/>
    <w:rsid w:val="52DD7B03"/>
    <w:rsid w:val="52E139CD"/>
    <w:rsid w:val="52EE40C7"/>
    <w:rsid w:val="531A413B"/>
    <w:rsid w:val="532540D9"/>
    <w:rsid w:val="532C5B84"/>
    <w:rsid w:val="532E5804"/>
    <w:rsid w:val="537B1F4B"/>
    <w:rsid w:val="539206EA"/>
    <w:rsid w:val="53A21BCD"/>
    <w:rsid w:val="53A72D40"/>
    <w:rsid w:val="53AB6CD4"/>
    <w:rsid w:val="53AF7E46"/>
    <w:rsid w:val="53D940E2"/>
    <w:rsid w:val="53DB1569"/>
    <w:rsid w:val="53F87899"/>
    <w:rsid w:val="54297BF9"/>
    <w:rsid w:val="543D70E4"/>
    <w:rsid w:val="543F520E"/>
    <w:rsid w:val="54462559"/>
    <w:rsid w:val="54952EDD"/>
    <w:rsid w:val="54981455"/>
    <w:rsid w:val="54A631F0"/>
    <w:rsid w:val="54C067AF"/>
    <w:rsid w:val="54C618EB"/>
    <w:rsid w:val="54DC4C04"/>
    <w:rsid w:val="55254496"/>
    <w:rsid w:val="553625CD"/>
    <w:rsid w:val="553C395C"/>
    <w:rsid w:val="55612C13"/>
    <w:rsid w:val="55653051"/>
    <w:rsid w:val="558B6968"/>
    <w:rsid w:val="559439F4"/>
    <w:rsid w:val="55BB0D24"/>
    <w:rsid w:val="55BE263A"/>
    <w:rsid w:val="55FB4EAE"/>
    <w:rsid w:val="55FC7F21"/>
    <w:rsid w:val="56024BA5"/>
    <w:rsid w:val="561609D8"/>
    <w:rsid w:val="561D19DF"/>
    <w:rsid w:val="5654076D"/>
    <w:rsid w:val="566F1681"/>
    <w:rsid w:val="5696489C"/>
    <w:rsid w:val="56AD7D44"/>
    <w:rsid w:val="56B57E6A"/>
    <w:rsid w:val="56C440E6"/>
    <w:rsid w:val="56EF29AC"/>
    <w:rsid w:val="56F34C36"/>
    <w:rsid w:val="57077F37"/>
    <w:rsid w:val="57151371"/>
    <w:rsid w:val="57340D8E"/>
    <w:rsid w:val="57361164"/>
    <w:rsid w:val="575329D5"/>
    <w:rsid w:val="575E6C7E"/>
    <w:rsid w:val="576553EC"/>
    <w:rsid w:val="57711FE2"/>
    <w:rsid w:val="578515EA"/>
    <w:rsid w:val="57A557E8"/>
    <w:rsid w:val="57D60097"/>
    <w:rsid w:val="57E207EA"/>
    <w:rsid w:val="57F95B34"/>
    <w:rsid w:val="57FA06C0"/>
    <w:rsid w:val="58022C3B"/>
    <w:rsid w:val="580531F2"/>
    <w:rsid w:val="582B14E8"/>
    <w:rsid w:val="58354DBE"/>
    <w:rsid w:val="58773629"/>
    <w:rsid w:val="588549CF"/>
    <w:rsid w:val="58C61EBA"/>
    <w:rsid w:val="58CB44FD"/>
    <w:rsid w:val="58D81BED"/>
    <w:rsid w:val="58E93DFA"/>
    <w:rsid w:val="58E95BA9"/>
    <w:rsid w:val="58FC269E"/>
    <w:rsid w:val="59060509"/>
    <w:rsid w:val="59084281"/>
    <w:rsid w:val="5911563C"/>
    <w:rsid w:val="592009DB"/>
    <w:rsid w:val="594F1EAF"/>
    <w:rsid w:val="595E3A1C"/>
    <w:rsid w:val="596E5AF2"/>
    <w:rsid w:val="597C42CE"/>
    <w:rsid w:val="597C685E"/>
    <w:rsid w:val="59803066"/>
    <w:rsid w:val="59837DAB"/>
    <w:rsid w:val="59A04C8D"/>
    <w:rsid w:val="59A23C51"/>
    <w:rsid w:val="59A26483"/>
    <w:rsid w:val="59A57A22"/>
    <w:rsid w:val="59A57D21"/>
    <w:rsid w:val="59AE4278"/>
    <w:rsid w:val="59B30690"/>
    <w:rsid w:val="59CA3C2C"/>
    <w:rsid w:val="59CF2FF0"/>
    <w:rsid w:val="59E00D5A"/>
    <w:rsid w:val="59E9158F"/>
    <w:rsid w:val="59E940B2"/>
    <w:rsid w:val="5A093EC3"/>
    <w:rsid w:val="5A186745"/>
    <w:rsid w:val="5A1A070F"/>
    <w:rsid w:val="5A2A47B7"/>
    <w:rsid w:val="5A4243F6"/>
    <w:rsid w:val="5A497025"/>
    <w:rsid w:val="5A6574B1"/>
    <w:rsid w:val="5A7871E4"/>
    <w:rsid w:val="5A7A2F5C"/>
    <w:rsid w:val="5A971D60"/>
    <w:rsid w:val="5AB126F6"/>
    <w:rsid w:val="5AEE74A6"/>
    <w:rsid w:val="5AF96577"/>
    <w:rsid w:val="5B0B0058"/>
    <w:rsid w:val="5B266C19"/>
    <w:rsid w:val="5B2A2BD4"/>
    <w:rsid w:val="5B4E6197"/>
    <w:rsid w:val="5B501F0F"/>
    <w:rsid w:val="5B527A35"/>
    <w:rsid w:val="5B595267"/>
    <w:rsid w:val="5B5A2D8E"/>
    <w:rsid w:val="5B7612E6"/>
    <w:rsid w:val="5B771CA8"/>
    <w:rsid w:val="5B9412D0"/>
    <w:rsid w:val="5B9A3355"/>
    <w:rsid w:val="5B9E0ECC"/>
    <w:rsid w:val="5BA3470D"/>
    <w:rsid w:val="5BB8B601"/>
    <w:rsid w:val="5BC87CF7"/>
    <w:rsid w:val="5C200409"/>
    <w:rsid w:val="5C2B595C"/>
    <w:rsid w:val="5C2E3DD3"/>
    <w:rsid w:val="5C344729"/>
    <w:rsid w:val="5C545A2F"/>
    <w:rsid w:val="5C657C3C"/>
    <w:rsid w:val="5C763BF7"/>
    <w:rsid w:val="5C8A1451"/>
    <w:rsid w:val="5C8A31FF"/>
    <w:rsid w:val="5C8C51C9"/>
    <w:rsid w:val="5CA85C42"/>
    <w:rsid w:val="5CAE75C8"/>
    <w:rsid w:val="5CBC2246"/>
    <w:rsid w:val="5CBE1814"/>
    <w:rsid w:val="5CCC1A69"/>
    <w:rsid w:val="5CD01559"/>
    <w:rsid w:val="5CE964FA"/>
    <w:rsid w:val="5CF55043"/>
    <w:rsid w:val="5D041203"/>
    <w:rsid w:val="5D0905C7"/>
    <w:rsid w:val="5D2B2C34"/>
    <w:rsid w:val="5D3E4715"/>
    <w:rsid w:val="5D436660"/>
    <w:rsid w:val="5D5E2D2E"/>
    <w:rsid w:val="5D6323CD"/>
    <w:rsid w:val="5D845EA0"/>
    <w:rsid w:val="5D8D744A"/>
    <w:rsid w:val="5D9A56C3"/>
    <w:rsid w:val="5DA86032"/>
    <w:rsid w:val="5DB1394D"/>
    <w:rsid w:val="5DC3061B"/>
    <w:rsid w:val="5DDE94A8"/>
    <w:rsid w:val="5DE36EB8"/>
    <w:rsid w:val="5DF11787"/>
    <w:rsid w:val="5DF85FA1"/>
    <w:rsid w:val="5E1F6577"/>
    <w:rsid w:val="5E290FA3"/>
    <w:rsid w:val="5E430A56"/>
    <w:rsid w:val="5E4D589F"/>
    <w:rsid w:val="5E6E2DD8"/>
    <w:rsid w:val="5E734892"/>
    <w:rsid w:val="5E745606"/>
    <w:rsid w:val="5E85179E"/>
    <w:rsid w:val="5E9B3E13"/>
    <w:rsid w:val="5EAD4431"/>
    <w:rsid w:val="5EB809CA"/>
    <w:rsid w:val="5EF53676"/>
    <w:rsid w:val="5EF70108"/>
    <w:rsid w:val="5F0B0627"/>
    <w:rsid w:val="5F274A6C"/>
    <w:rsid w:val="5F2D36F5"/>
    <w:rsid w:val="5F332BBC"/>
    <w:rsid w:val="5F3673C4"/>
    <w:rsid w:val="5F5F6CCB"/>
    <w:rsid w:val="5F6366B5"/>
    <w:rsid w:val="5F791132"/>
    <w:rsid w:val="5F8513F4"/>
    <w:rsid w:val="5F8959EF"/>
    <w:rsid w:val="5F9F7CD7"/>
    <w:rsid w:val="5FAB1E0A"/>
    <w:rsid w:val="5FE813E6"/>
    <w:rsid w:val="5FEF45F4"/>
    <w:rsid w:val="5FF13CC0"/>
    <w:rsid w:val="6024168D"/>
    <w:rsid w:val="6030505D"/>
    <w:rsid w:val="604F6C39"/>
    <w:rsid w:val="60600E46"/>
    <w:rsid w:val="607C76DB"/>
    <w:rsid w:val="607D5554"/>
    <w:rsid w:val="608763D3"/>
    <w:rsid w:val="608F405C"/>
    <w:rsid w:val="60AB49A7"/>
    <w:rsid w:val="60B06CDD"/>
    <w:rsid w:val="60DD4245"/>
    <w:rsid w:val="611107BE"/>
    <w:rsid w:val="613A51F3"/>
    <w:rsid w:val="61497B2C"/>
    <w:rsid w:val="61986620"/>
    <w:rsid w:val="61B74A96"/>
    <w:rsid w:val="61B82FA8"/>
    <w:rsid w:val="61C566A5"/>
    <w:rsid w:val="61D03DA9"/>
    <w:rsid w:val="61D35A5E"/>
    <w:rsid w:val="61D75138"/>
    <w:rsid w:val="61DF138E"/>
    <w:rsid w:val="61E15FB7"/>
    <w:rsid w:val="61F53810"/>
    <w:rsid w:val="62045801"/>
    <w:rsid w:val="623E51B7"/>
    <w:rsid w:val="624215C5"/>
    <w:rsid w:val="625911EA"/>
    <w:rsid w:val="625D7BF0"/>
    <w:rsid w:val="626D15F8"/>
    <w:rsid w:val="627E2D12"/>
    <w:rsid w:val="6291178B"/>
    <w:rsid w:val="6292105F"/>
    <w:rsid w:val="62C21944"/>
    <w:rsid w:val="62CA6A4B"/>
    <w:rsid w:val="62D77CB4"/>
    <w:rsid w:val="62E278F0"/>
    <w:rsid w:val="62FE3EF7"/>
    <w:rsid w:val="63091321"/>
    <w:rsid w:val="63310878"/>
    <w:rsid w:val="63491372"/>
    <w:rsid w:val="63495BC1"/>
    <w:rsid w:val="6361115D"/>
    <w:rsid w:val="636E22FB"/>
    <w:rsid w:val="637F15E3"/>
    <w:rsid w:val="638135AD"/>
    <w:rsid w:val="63B23767"/>
    <w:rsid w:val="63BF10B8"/>
    <w:rsid w:val="63C96D02"/>
    <w:rsid w:val="63CE2C85"/>
    <w:rsid w:val="63CF2051"/>
    <w:rsid w:val="63D21E3D"/>
    <w:rsid w:val="63FC70D8"/>
    <w:rsid w:val="64191A38"/>
    <w:rsid w:val="642C31A4"/>
    <w:rsid w:val="642D103F"/>
    <w:rsid w:val="645A5BAC"/>
    <w:rsid w:val="645F063B"/>
    <w:rsid w:val="64690A98"/>
    <w:rsid w:val="64814073"/>
    <w:rsid w:val="648275DD"/>
    <w:rsid w:val="64C4248D"/>
    <w:rsid w:val="64D92503"/>
    <w:rsid w:val="65015C46"/>
    <w:rsid w:val="650A193B"/>
    <w:rsid w:val="650B18BA"/>
    <w:rsid w:val="653E102A"/>
    <w:rsid w:val="655B398A"/>
    <w:rsid w:val="657F3D1A"/>
    <w:rsid w:val="65921346"/>
    <w:rsid w:val="65931376"/>
    <w:rsid w:val="65A13A93"/>
    <w:rsid w:val="65A45331"/>
    <w:rsid w:val="65A73073"/>
    <w:rsid w:val="65F04A1A"/>
    <w:rsid w:val="660541EF"/>
    <w:rsid w:val="660B4ABD"/>
    <w:rsid w:val="666D627A"/>
    <w:rsid w:val="668533B4"/>
    <w:rsid w:val="66B623A9"/>
    <w:rsid w:val="66B71094"/>
    <w:rsid w:val="66D51044"/>
    <w:rsid w:val="66DB1226"/>
    <w:rsid w:val="66DC6D4D"/>
    <w:rsid w:val="66EC6F90"/>
    <w:rsid w:val="67191D4F"/>
    <w:rsid w:val="672C55DE"/>
    <w:rsid w:val="673007DE"/>
    <w:rsid w:val="67717495"/>
    <w:rsid w:val="677D5E3A"/>
    <w:rsid w:val="67883263"/>
    <w:rsid w:val="67891DEC"/>
    <w:rsid w:val="67B1018E"/>
    <w:rsid w:val="67B11F87"/>
    <w:rsid w:val="67BA0E3C"/>
    <w:rsid w:val="67C049E6"/>
    <w:rsid w:val="67D64A49"/>
    <w:rsid w:val="67F307F2"/>
    <w:rsid w:val="684A6664"/>
    <w:rsid w:val="685E30C9"/>
    <w:rsid w:val="686E1C26"/>
    <w:rsid w:val="687B6DF6"/>
    <w:rsid w:val="688F22C8"/>
    <w:rsid w:val="689A7E71"/>
    <w:rsid w:val="68AF64C7"/>
    <w:rsid w:val="68B25FB7"/>
    <w:rsid w:val="68BC2510"/>
    <w:rsid w:val="68CE4682"/>
    <w:rsid w:val="68D20407"/>
    <w:rsid w:val="69034A64"/>
    <w:rsid w:val="69074555"/>
    <w:rsid w:val="6949691B"/>
    <w:rsid w:val="6974326C"/>
    <w:rsid w:val="69760F69"/>
    <w:rsid w:val="699456BD"/>
    <w:rsid w:val="699833FF"/>
    <w:rsid w:val="69C77840"/>
    <w:rsid w:val="69DA7573"/>
    <w:rsid w:val="6A0F7894"/>
    <w:rsid w:val="6A220844"/>
    <w:rsid w:val="6A346ECD"/>
    <w:rsid w:val="6A3A44B6"/>
    <w:rsid w:val="6A5135AE"/>
    <w:rsid w:val="6A641533"/>
    <w:rsid w:val="6A6E5F0E"/>
    <w:rsid w:val="6A7F011B"/>
    <w:rsid w:val="6AA10091"/>
    <w:rsid w:val="6AB42D5D"/>
    <w:rsid w:val="6AE301E8"/>
    <w:rsid w:val="6B132A01"/>
    <w:rsid w:val="6B182A49"/>
    <w:rsid w:val="6B290FDE"/>
    <w:rsid w:val="6B3C600C"/>
    <w:rsid w:val="6B4C26F3"/>
    <w:rsid w:val="6B7B2FD8"/>
    <w:rsid w:val="6BAA2831"/>
    <w:rsid w:val="6BBE5AD0"/>
    <w:rsid w:val="6BC930E6"/>
    <w:rsid w:val="6BD34BC2"/>
    <w:rsid w:val="6BDA5F51"/>
    <w:rsid w:val="6BFF530D"/>
    <w:rsid w:val="6C0778EE"/>
    <w:rsid w:val="6C2A0FC2"/>
    <w:rsid w:val="6C2C10E9"/>
    <w:rsid w:val="6C382C77"/>
    <w:rsid w:val="6C53360D"/>
    <w:rsid w:val="6C5E35D9"/>
    <w:rsid w:val="6C6554A7"/>
    <w:rsid w:val="6C6A134C"/>
    <w:rsid w:val="6CA75A8E"/>
    <w:rsid w:val="6CB0280D"/>
    <w:rsid w:val="6CB829EE"/>
    <w:rsid w:val="6CDF3F86"/>
    <w:rsid w:val="6CE54BAD"/>
    <w:rsid w:val="6CFF5543"/>
    <w:rsid w:val="6D194857"/>
    <w:rsid w:val="6D3C22F3"/>
    <w:rsid w:val="6D3E250F"/>
    <w:rsid w:val="6D433682"/>
    <w:rsid w:val="6D561607"/>
    <w:rsid w:val="6D6F4477"/>
    <w:rsid w:val="6D8E6FF3"/>
    <w:rsid w:val="6D9B34BE"/>
    <w:rsid w:val="6D9E3567"/>
    <w:rsid w:val="6DAB5655"/>
    <w:rsid w:val="6DDB7D5E"/>
    <w:rsid w:val="6DE27FA2"/>
    <w:rsid w:val="6DF05F6E"/>
    <w:rsid w:val="6E00442C"/>
    <w:rsid w:val="6E1216A5"/>
    <w:rsid w:val="6E1C0ECB"/>
    <w:rsid w:val="6E26547D"/>
    <w:rsid w:val="6E2E7FD1"/>
    <w:rsid w:val="6E31797E"/>
    <w:rsid w:val="6E366170"/>
    <w:rsid w:val="6E421B8B"/>
    <w:rsid w:val="6E526F0C"/>
    <w:rsid w:val="6E612B03"/>
    <w:rsid w:val="6E802812"/>
    <w:rsid w:val="6E9A3775"/>
    <w:rsid w:val="6EC7300D"/>
    <w:rsid w:val="6EDB75B7"/>
    <w:rsid w:val="6EE83DD3"/>
    <w:rsid w:val="6EF410D7"/>
    <w:rsid w:val="6EF908E0"/>
    <w:rsid w:val="6F064323"/>
    <w:rsid w:val="6F084994"/>
    <w:rsid w:val="6F2D46D7"/>
    <w:rsid w:val="6F320C08"/>
    <w:rsid w:val="6F360CBA"/>
    <w:rsid w:val="6F3843F0"/>
    <w:rsid w:val="6F577FA0"/>
    <w:rsid w:val="6F713E3E"/>
    <w:rsid w:val="6F944668"/>
    <w:rsid w:val="6F9C01A8"/>
    <w:rsid w:val="6FB534BB"/>
    <w:rsid w:val="6FB92BD5"/>
    <w:rsid w:val="6FC700F2"/>
    <w:rsid w:val="6FCC331F"/>
    <w:rsid w:val="6FDC6A13"/>
    <w:rsid w:val="6FE93243"/>
    <w:rsid w:val="6FF46638"/>
    <w:rsid w:val="704F7C81"/>
    <w:rsid w:val="70614A6E"/>
    <w:rsid w:val="7079020D"/>
    <w:rsid w:val="708F6BDE"/>
    <w:rsid w:val="70A065AC"/>
    <w:rsid w:val="70B2124A"/>
    <w:rsid w:val="70CA7BEB"/>
    <w:rsid w:val="70DF2E13"/>
    <w:rsid w:val="70F03B20"/>
    <w:rsid w:val="70F51137"/>
    <w:rsid w:val="70FB773A"/>
    <w:rsid w:val="71017ADB"/>
    <w:rsid w:val="710245F7"/>
    <w:rsid w:val="712224E2"/>
    <w:rsid w:val="712E4649"/>
    <w:rsid w:val="71386173"/>
    <w:rsid w:val="713F6856"/>
    <w:rsid w:val="71476A4D"/>
    <w:rsid w:val="71AB1005"/>
    <w:rsid w:val="71CC46B3"/>
    <w:rsid w:val="71D23226"/>
    <w:rsid w:val="71F708A3"/>
    <w:rsid w:val="71F92EA9"/>
    <w:rsid w:val="722F0678"/>
    <w:rsid w:val="723C6602"/>
    <w:rsid w:val="726A345E"/>
    <w:rsid w:val="72CA3BE3"/>
    <w:rsid w:val="72CB03A1"/>
    <w:rsid w:val="72D5767E"/>
    <w:rsid w:val="730D6C0C"/>
    <w:rsid w:val="73104006"/>
    <w:rsid w:val="735F0AE9"/>
    <w:rsid w:val="73623B25"/>
    <w:rsid w:val="736507F6"/>
    <w:rsid w:val="73917324"/>
    <w:rsid w:val="73A45BAA"/>
    <w:rsid w:val="73CB49E0"/>
    <w:rsid w:val="73D02B91"/>
    <w:rsid w:val="7419338E"/>
    <w:rsid w:val="74320A52"/>
    <w:rsid w:val="74375DA0"/>
    <w:rsid w:val="743D52CE"/>
    <w:rsid w:val="7476433D"/>
    <w:rsid w:val="747D1A13"/>
    <w:rsid w:val="74800F63"/>
    <w:rsid w:val="749679D6"/>
    <w:rsid w:val="74AE7F7A"/>
    <w:rsid w:val="74B66E2F"/>
    <w:rsid w:val="74BD640F"/>
    <w:rsid w:val="74EB1800"/>
    <w:rsid w:val="74FF4332"/>
    <w:rsid w:val="756B5EFA"/>
    <w:rsid w:val="757765BE"/>
    <w:rsid w:val="7589009F"/>
    <w:rsid w:val="758C2398"/>
    <w:rsid w:val="759D1102"/>
    <w:rsid w:val="75B275F6"/>
    <w:rsid w:val="75D03F20"/>
    <w:rsid w:val="75DF1F4C"/>
    <w:rsid w:val="75F60207"/>
    <w:rsid w:val="75FE45EA"/>
    <w:rsid w:val="760320FA"/>
    <w:rsid w:val="76037E52"/>
    <w:rsid w:val="7621652A"/>
    <w:rsid w:val="76777A9B"/>
    <w:rsid w:val="76783E7E"/>
    <w:rsid w:val="768A40CF"/>
    <w:rsid w:val="76921C1B"/>
    <w:rsid w:val="76942037"/>
    <w:rsid w:val="76A43AFB"/>
    <w:rsid w:val="76A70784"/>
    <w:rsid w:val="76B92C06"/>
    <w:rsid w:val="76EC2FDC"/>
    <w:rsid w:val="76F34C01"/>
    <w:rsid w:val="770A0E57"/>
    <w:rsid w:val="770A593D"/>
    <w:rsid w:val="770E4D00"/>
    <w:rsid w:val="771D13E7"/>
    <w:rsid w:val="77253DF8"/>
    <w:rsid w:val="773504DF"/>
    <w:rsid w:val="773F310C"/>
    <w:rsid w:val="776677F4"/>
    <w:rsid w:val="77811976"/>
    <w:rsid w:val="77850A82"/>
    <w:rsid w:val="77A86F03"/>
    <w:rsid w:val="77AD276B"/>
    <w:rsid w:val="78175E36"/>
    <w:rsid w:val="78240EAC"/>
    <w:rsid w:val="78340796"/>
    <w:rsid w:val="783C36E0"/>
    <w:rsid w:val="783E1615"/>
    <w:rsid w:val="78440406"/>
    <w:rsid w:val="7863107C"/>
    <w:rsid w:val="787D038F"/>
    <w:rsid w:val="78886D34"/>
    <w:rsid w:val="789B6A68"/>
    <w:rsid w:val="78A376CA"/>
    <w:rsid w:val="78BB101F"/>
    <w:rsid w:val="78BD69DE"/>
    <w:rsid w:val="78C31B1A"/>
    <w:rsid w:val="79295E21"/>
    <w:rsid w:val="79595894"/>
    <w:rsid w:val="79817E76"/>
    <w:rsid w:val="798968C0"/>
    <w:rsid w:val="79B576B5"/>
    <w:rsid w:val="79BC4EE7"/>
    <w:rsid w:val="79BF6786"/>
    <w:rsid w:val="79CD0EA3"/>
    <w:rsid w:val="79DF2984"/>
    <w:rsid w:val="79E24222"/>
    <w:rsid w:val="79EE56A4"/>
    <w:rsid w:val="7A0016B7"/>
    <w:rsid w:val="7A1268B5"/>
    <w:rsid w:val="7A2D36EF"/>
    <w:rsid w:val="7A2F391C"/>
    <w:rsid w:val="7A6B246A"/>
    <w:rsid w:val="7A7255A6"/>
    <w:rsid w:val="7A7455FB"/>
    <w:rsid w:val="7A750E83"/>
    <w:rsid w:val="7A94551C"/>
    <w:rsid w:val="7AAB3356"/>
    <w:rsid w:val="7AB14320"/>
    <w:rsid w:val="7AC5017B"/>
    <w:rsid w:val="7ACC0CD4"/>
    <w:rsid w:val="7ACD6C80"/>
    <w:rsid w:val="7AFD7566"/>
    <w:rsid w:val="7B1B798E"/>
    <w:rsid w:val="7B2E0C41"/>
    <w:rsid w:val="7B3D3E06"/>
    <w:rsid w:val="7B42540E"/>
    <w:rsid w:val="7B632886"/>
    <w:rsid w:val="7B9926F8"/>
    <w:rsid w:val="7BBF721F"/>
    <w:rsid w:val="7BD141FB"/>
    <w:rsid w:val="7C142DB9"/>
    <w:rsid w:val="7C2D79D7"/>
    <w:rsid w:val="7C2E19A1"/>
    <w:rsid w:val="7C45606D"/>
    <w:rsid w:val="7C743857"/>
    <w:rsid w:val="7C8F599D"/>
    <w:rsid w:val="7CA91615"/>
    <w:rsid w:val="7CAB4B18"/>
    <w:rsid w:val="7CC06A9D"/>
    <w:rsid w:val="7CCF3A53"/>
    <w:rsid w:val="7CCF4F32"/>
    <w:rsid w:val="7CF44998"/>
    <w:rsid w:val="7CFC55FB"/>
    <w:rsid w:val="7D083FA0"/>
    <w:rsid w:val="7D0F3586"/>
    <w:rsid w:val="7D20578D"/>
    <w:rsid w:val="7D263E1C"/>
    <w:rsid w:val="7D313D5C"/>
    <w:rsid w:val="7D482418"/>
    <w:rsid w:val="7D534670"/>
    <w:rsid w:val="7D5471E5"/>
    <w:rsid w:val="7D652812"/>
    <w:rsid w:val="7D733B0F"/>
    <w:rsid w:val="7DB66CF6"/>
    <w:rsid w:val="7DC5250D"/>
    <w:rsid w:val="7DFB573F"/>
    <w:rsid w:val="7E124EF2"/>
    <w:rsid w:val="7E223400"/>
    <w:rsid w:val="7E254385"/>
    <w:rsid w:val="7E490D14"/>
    <w:rsid w:val="7E4E00D8"/>
    <w:rsid w:val="7E582D05"/>
    <w:rsid w:val="7E617E0B"/>
    <w:rsid w:val="7E851D4C"/>
    <w:rsid w:val="7EA36676"/>
    <w:rsid w:val="7EAF2C62"/>
    <w:rsid w:val="7EB81375"/>
    <w:rsid w:val="7ECA3C03"/>
    <w:rsid w:val="7EED169F"/>
    <w:rsid w:val="7F0709B3"/>
    <w:rsid w:val="7F2A644F"/>
    <w:rsid w:val="7F4B1BAE"/>
    <w:rsid w:val="7F4C0ABC"/>
    <w:rsid w:val="7F74591C"/>
    <w:rsid w:val="7F7F7AB9"/>
    <w:rsid w:val="7F7FC659"/>
    <w:rsid w:val="7F8216A9"/>
    <w:rsid w:val="7F9B327E"/>
    <w:rsid w:val="7FC32B2C"/>
    <w:rsid w:val="7FC73101"/>
    <w:rsid w:val="7FD25345"/>
    <w:rsid w:val="7FFF6D53"/>
    <w:rsid w:val="95DE84DA"/>
    <w:rsid w:val="9F67ABC5"/>
    <w:rsid w:val="9FDD4F5A"/>
    <w:rsid w:val="BBC7FCDA"/>
    <w:rsid w:val="BF35982C"/>
    <w:rsid w:val="D2FD476E"/>
    <w:rsid w:val="DF26ADF3"/>
    <w:rsid w:val="EB9EE5FA"/>
    <w:rsid w:val="EEBF1A65"/>
    <w:rsid w:val="EF4E545F"/>
    <w:rsid w:val="EF6DA244"/>
    <w:rsid w:val="F3FC45D1"/>
    <w:rsid w:val="F6FBA3DE"/>
    <w:rsid w:val="FAB5C705"/>
    <w:rsid w:val="FDAE8D64"/>
    <w:rsid w:val="FF654CBB"/>
    <w:rsid w:val="FF6F3CCB"/>
    <w:rsid w:val="FFB7F3F2"/>
    <w:rsid w:val="FFE73A07"/>
    <w:rsid w:val="FFFC642E"/>
    <w:rsid w:val="FFFFCB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4">
    <w:name w:val="Normal Indent"/>
    <w:basedOn w:val="1"/>
    <w:next w:val="5"/>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customStyle="1" w:styleId="5">
    <w:name w:val="正文（绿盟科技）"/>
    <w:qFormat/>
    <w:uiPriority w:val="0"/>
    <w:pPr>
      <w:spacing w:line="300" w:lineRule="auto"/>
    </w:pPr>
    <w:rPr>
      <w:rFonts w:ascii="Arial" w:hAnsi="Arial" w:eastAsia="宋体" w:cs="Times New Roman"/>
      <w:szCs w:val="21"/>
      <w:lang w:val="en-US" w:eastAsia="zh-CN" w:bidi="ar-SA"/>
    </w:rPr>
  </w:style>
  <w:style w:type="paragraph" w:styleId="6">
    <w:name w:val="annotation text"/>
    <w:basedOn w:val="1"/>
    <w:qFormat/>
    <w:uiPriority w:val="0"/>
    <w:pPr>
      <w:jc w:val="left"/>
    </w:pPr>
  </w:style>
  <w:style w:type="paragraph" w:styleId="7">
    <w:name w:val="Body Text"/>
    <w:basedOn w:val="1"/>
    <w:next w:val="8"/>
    <w:qFormat/>
    <w:uiPriority w:val="0"/>
    <w:pPr>
      <w:widowControl w:val="0"/>
      <w:spacing w:after="120"/>
      <w:jc w:val="both"/>
    </w:pPr>
    <w:rPr>
      <w:kern w:val="2"/>
      <w:sz w:val="21"/>
    </w:r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0">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3">
    <w:name w:val="Normal (Web)"/>
    <w:basedOn w:val="1"/>
    <w:qFormat/>
    <w:uiPriority w:val="0"/>
    <w:pPr>
      <w:spacing w:beforeAutospacing="1" w:afterAutospacing="1"/>
      <w:jc w:val="left"/>
    </w:pPr>
    <w:rPr>
      <w:kern w:val="0"/>
      <w:sz w:val="24"/>
    </w:rPr>
  </w:style>
  <w:style w:type="paragraph" w:styleId="14">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15">
    <w:name w:val="Body Text First Indent 2"/>
    <w:basedOn w:val="9"/>
    <w:next w:val="1"/>
    <w:qFormat/>
    <w:uiPriority w:val="0"/>
    <w:pPr>
      <w:spacing w:before="0" w:after="120" w:line="240" w:lineRule="auto"/>
      <w:ind w:left="420" w:firstLine="0" w:firstLineChars="0"/>
    </w:pPr>
    <w:rPr>
      <w:rFonts w:ascii="Times New Roman" w:hAnsi="Times New Roman"/>
      <w:szCs w:val="20"/>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page number"/>
    <w:qFormat/>
    <w:uiPriority w:val="0"/>
    <w:rPr>
      <w:rFonts w:ascii="Times New Roman" w:hAnsi="Times New Roman" w:eastAsia="宋体"/>
      <w:sz w:val="18"/>
    </w:rPr>
  </w:style>
  <w:style w:type="paragraph" w:customStyle="1" w:styleId="21">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2">
    <w:name w:val="南网格式"/>
    <w:basedOn w:val="1"/>
    <w:qFormat/>
    <w:uiPriority w:val="0"/>
    <w:pPr>
      <w:widowControl/>
      <w:spacing w:before="120" w:line="360" w:lineRule="auto"/>
      <w:jc w:val="left"/>
    </w:pPr>
    <w:rPr>
      <w:rFonts w:ascii="宋体" w:hAnsi="宋体"/>
      <w:kern w:val="0"/>
      <w:sz w:val="24"/>
      <w:szCs w:val="28"/>
    </w:rPr>
  </w:style>
  <w:style w:type="paragraph" w:customStyle="1" w:styleId="23">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table" w:customStyle="1" w:styleId="24">
    <w:name w:val="Table Normal"/>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宋体" w:hAnsi="宋体" w:eastAsia="宋体" w:cs="宋体"/>
      <w:sz w:val="21"/>
      <w:szCs w:val="21"/>
      <w:lang w:val="en-US" w:eastAsia="en-US" w:bidi="ar-SA"/>
    </w:rPr>
  </w:style>
  <w:style w:type="paragraph" w:customStyle="1" w:styleId="26">
    <w:name w:val="内容正文"/>
    <w:basedOn w:val="1"/>
    <w:qFormat/>
    <w:uiPriority w:val="0"/>
    <w:pPr>
      <w:spacing w:beforeLines="50" w:afterLines="50"/>
    </w:pPr>
    <w:rPr>
      <w:rFonts w:ascii="Arial" w:hAnsi="Arial"/>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5905</Words>
  <Characters>6101</Characters>
  <Lines>0</Lines>
  <Paragraphs>0</Paragraphs>
  <TotalTime>6</TotalTime>
  <ScaleCrop>false</ScaleCrop>
  <LinksUpToDate>false</LinksUpToDate>
  <CharactersWithSpaces>6192</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2023-10-25T09:32:00Z</dcterms:created>
  <dc:creator>风影</dc:creator>
  <cp:lastModifiedBy>administrator_20</cp:lastModifiedBy>
  <cp:lastPrinted>2025-06-20T15:35:00Z</cp:lastPrinted>
  <dcterms:modified xsi:type="dcterms:W3CDTF">2026-09-03T14:23:43Z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2D638090E6C142FC919C1C1E68E069CA_13</vt:lpwstr>
  </property>
  <property fmtid="{D5CDD505-2E9C-101B-9397-08002B2CF9AE}" pid="4" name="KSOTemplateDocerSaveRecord">
    <vt:lpwstr>eyJoZGlkIjoiOTk1ZmJlYmQwMTllNWFmZDhmNmUyZjA2NTJmMGQ5NmMiLCJ1c2VySWQiOiIzNDg3MTU3MDcifQ==</vt:lpwstr>
  </property>
</Properties>
</file>