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4EC802">
      <w:pPr>
        <w:autoSpaceDE w:val="0"/>
        <w:autoSpaceDN w:val="0"/>
        <w:adjustRightInd w:val="0"/>
        <w:ind w:firstLine="480"/>
        <w:jc w:val="left"/>
        <w:rPr>
          <w:rFonts w:ascii="SimHei,Bold" w:eastAsia="SimHei,Bold" w:cs="SimHei,Bold"/>
          <w:b/>
          <w:bCs/>
          <w:color w:val="auto"/>
          <w:kern w:val="0"/>
          <w:sz w:val="56"/>
          <w:szCs w:val="56"/>
          <w:highlight w:val="none"/>
        </w:rPr>
      </w:pPr>
      <w:r>
        <w:rPr>
          <w:rFonts w:hint="eastAsia" w:ascii="黑体" w:hAnsi="黑体" w:eastAsia="黑体" w:cs="黑体"/>
          <w:b w:val="0"/>
          <w:bCs w:val="0"/>
          <w:color w:val="auto"/>
          <w:sz w:val="32"/>
          <w:szCs w:val="32"/>
          <w:highlight w:val="none"/>
          <w:lang w:val="en-US" w:eastAsia="zh-CN"/>
        </w:rPr>
        <w:drawing>
          <wp:anchor distT="0" distB="0" distL="114300" distR="114300" simplePos="0" relativeHeight="251660288" behindDoc="1" locked="0" layoutInCell="1" allowOverlap="1">
            <wp:simplePos x="0" y="0"/>
            <wp:positionH relativeFrom="column">
              <wp:posOffset>-1156335</wp:posOffset>
            </wp:positionH>
            <wp:positionV relativeFrom="paragraph">
              <wp:posOffset>-914400</wp:posOffset>
            </wp:positionV>
            <wp:extent cx="7765415" cy="10979150"/>
            <wp:effectExtent l="0" t="0" r="6985" b="0"/>
            <wp:wrapNone/>
            <wp:docPr id="5"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1"/>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32DF6CC7">
      <w:pPr>
        <w:autoSpaceDE w:val="0"/>
        <w:autoSpaceDN w:val="0"/>
        <w:adjustRightInd w:val="0"/>
        <w:ind w:firstLine="0" w:firstLineChars="0"/>
        <w:rPr>
          <w:rFonts w:ascii="SimHei,Bold" w:eastAsia="SimHei,Bold" w:cs="SimHei,Bold"/>
          <w:b/>
          <w:bCs/>
          <w:color w:val="auto"/>
          <w:kern w:val="0"/>
          <w:sz w:val="56"/>
          <w:szCs w:val="56"/>
          <w:highlight w:val="none"/>
        </w:rPr>
      </w:pPr>
    </w:p>
    <w:p w14:paraId="3B52DFA8">
      <w:pPr>
        <w:spacing w:before="624" w:beforeLines="200" w:line="480" w:lineRule="auto"/>
        <w:ind w:firstLine="0" w:firstLineChars="0"/>
        <w:jc w:val="center"/>
        <w:rPr>
          <w:rFonts w:hint="eastAsia" w:ascii="黑体" w:hAnsi="黑体" w:eastAsia="黑体"/>
          <w:b/>
          <w:color w:val="auto"/>
          <w:sz w:val="44"/>
          <w:szCs w:val="44"/>
          <w:highlight w:val="none"/>
        </w:rPr>
      </w:pPr>
      <w:r>
        <w:rPr>
          <w:rFonts w:hint="eastAsia" w:ascii="黑体" w:hAnsi="黑体" w:eastAsia="黑体"/>
          <w:b/>
          <w:color w:val="auto"/>
          <w:sz w:val="44"/>
          <w:szCs w:val="44"/>
          <w:highlight w:val="none"/>
        </w:rPr>
        <w:t>2026年南方电网数据平台与安全(广东)有限公司</w:t>
      </w:r>
      <w:r>
        <w:rPr>
          <w:rFonts w:hint="eastAsia" w:ascii="黑体" w:hAnsi="黑体" w:eastAsia="黑体"/>
          <w:b/>
          <w:color w:val="auto"/>
          <w:sz w:val="44"/>
          <w:szCs w:val="44"/>
          <w:highlight w:val="none"/>
          <w:lang w:val="en-US" w:eastAsia="zh-CN"/>
        </w:rPr>
        <w:t>空间能力提升</w:t>
      </w:r>
      <w:r>
        <w:rPr>
          <w:rFonts w:hint="eastAsia" w:ascii="黑体" w:hAnsi="黑体" w:eastAsia="黑体"/>
          <w:b/>
          <w:color w:val="auto"/>
          <w:sz w:val="44"/>
          <w:szCs w:val="44"/>
          <w:highlight w:val="none"/>
        </w:rPr>
        <w:t>技术服务采购项目</w:t>
      </w:r>
    </w:p>
    <w:p w14:paraId="3189E3E4">
      <w:pPr>
        <w:spacing w:before="624" w:beforeLines="200" w:line="0" w:lineRule="atLeast"/>
        <w:ind w:firstLine="0" w:firstLineChars="0"/>
        <w:jc w:val="center"/>
        <w:rPr>
          <w:rFonts w:ascii="黑体" w:hAnsi="黑体" w:eastAsia="黑体"/>
          <w:b/>
          <w:color w:val="auto"/>
          <w:sz w:val="44"/>
          <w:szCs w:val="44"/>
          <w:highlight w:val="none"/>
        </w:rPr>
      </w:pPr>
      <w:r>
        <w:rPr>
          <w:rFonts w:hint="eastAsia" w:ascii="黑体" w:hAnsi="黑体" w:eastAsia="黑体"/>
          <w:b/>
          <w:color w:val="auto"/>
          <w:sz w:val="44"/>
          <w:szCs w:val="44"/>
          <w:highlight w:val="none"/>
        </w:rPr>
        <w:t>技术规范书</w:t>
      </w:r>
    </w:p>
    <w:p w14:paraId="6854FD59">
      <w:pPr>
        <w:spacing w:before="624" w:beforeLines="200" w:line="0" w:lineRule="atLeast"/>
        <w:ind w:firstLine="2168" w:firstLineChars="600"/>
        <w:rPr>
          <w:rFonts w:ascii="黑体" w:hAnsi="黑体" w:eastAsia="黑体"/>
          <w:b/>
          <w:color w:val="auto"/>
          <w:sz w:val="36"/>
          <w:highlight w:val="none"/>
        </w:rPr>
      </w:pPr>
    </w:p>
    <w:p w14:paraId="50B29ABA">
      <w:pPr>
        <w:spacing w:before="624" w:beforeLines="200" w:line="0" w:lineRule="atLeast"/>
        <w:ind w:firstLine="2168" w:firstLineChars="600"/>
        <w:rPr>
          <w:rFonts w:ascii="黑体" w:hAnsi="黑体" w:eastAsia="黑体"/>
          <w:b/>
          <w:color w:val="auto"/>
          <w:sz w:val="36"/>
          <w:highlight w:val="none"/>
        </w:rPr>
      </w:pPr>
      <w:r>
        <w:rPr>
          <w:rFonts w:hint="eastAsia" w:ascii="黑体" w:hAnsi="黑体" w:eastAsia="黑体"/>
          <w:b/>
          <w:color w:val="auto"/>
          <w:sz w:val="36"/>
          <w:highlight w:val="none"/>
        </w:rPr>
        <w:t>批准：</w:t>
      </w:r>
    </w:p>
    <w:p w14:paraId="5AE48958">
      <w:pPr>
        <w:spacing w:before="624" w:beforeLines="200" w:line="0" w:lineRule="atLeast"/>
        <w:ind w:firstLine="2168" w:firstLineChars="600"/>
        <w:jc w:val="left"/>
        <w:rPr>
          <w:rFonts w:ascii="黑体" w:hAnsi="黑体" w:eastAsia="黑体"/>
          <w:b/>
          <w:color w:val="auto"/>
          <w:sz w:val="36"/>
          <w:highlight w:val="none"/>
        </w:rPr>
      </w:pPr>
      <w:r>
        <w:rPr>
          <w:rFonts w:hint="eastAsia" w:ascii="黑体" w:hAnsi="黑体" w:eastAsia="黑体"/>
          <w:b/>
          <w:color w:val="auto"/>
          <w:sz w:val="36"/>
          <w:highlight w:val="none"/>
        </w:rPr>
        <w:t>审核：</w:t>
      </w:r>
    </w:p>
    <w:p w14:paraId="680C82A9">
      <w:pPr>
        <w:spacing w:before="624" w:beforeLines="200" w:line="0" w:lineRule="atLeast"/>
        <w:ind w:firstLine="2168" w:firstLineChars="600"/>
        <w:jc w:val="left"/>
        <w:rPr>
          <w:rFonts w:ascii="黑体" w:hAnsi="黑体" w:eastAsia="黑体"/>
          <w:b/>
          <w:color w:val="auto"/>
          <w:sz w:val="36"/>
          <w:highlight w:val="none"/>
        </w:rPr>
      </w:pPr>
      <w:r>
        <w:rPr>
          <w:rFonts w:hint="eastAsia" w:ascii="黑体" w:hAnsi="黑体" w:eastAsia="黑体"/>
          <w:b/>
          <w:color w:val="auto"/>
          <w:sz w:val="36"/>
          <w:highlight w:val="none"/>
        </w:rPr>
        <w:t>编制：</w:t>
      </w:r>
    </w:p>
    <w:p w14:paraId="05033C85">
      <w:pPr>
        <w:spacing w:before="624" w:beforeLines="200" w:line="0" w:lineRule="atLeast"/>
        <w:ind w:firstLine="0" w:firstLineChars="0"/>
        <w:jc w:val="left"/>
        <w:rPr>
          <w:rFonts w:ascii="黑体" w:hAnsi="黑体" w:eastAsia="黑体"/>
          <w:b/>
          <w:color w:val="auto"/>
          <w:sz w:val="36"/>
          <w:highlight w:val="none"/>
        </w:rPr>
      </w:pPr>
    </w:p>
    <w:p w14:paraId="2C6ECBBB">
      <w:pPr>
        <w:pStyle w:val="23"/>
        <w:widowControl/>
        <w:spacing w:after="225"/>
        <w:ind w:firstLine="723"/>
        <w:rPr>
          <w:rFonts w:ascii="黑体" w:hAnsi="黑体" w:eastAsia="黑体" w:cstheme="minorBidi"/>
          <w:b/>
          <w:color w:val="auto"/>
          <w:kern w:val="2"/>
          <w:sz w:val="36"/>
          <w:highlight w:val="none"/>
        </w:rPr>
      </w:pPr>
      <w:r>
        <w:rPr>
          <w:rFonts w:hint="eastAsia" w:ascii="黑体" w:hAnsi="黑体" w:eastAsia="黑体" w:cstheme="minorBidi"/>
          <w:b/>
          <w:color w:val="auto"/>
          <w:kern w:val="2"/>
          <w:sz w:val="36"/>
          <w:highlight w:val="none"/>
        </w:rPr>
        <w:t>南方电网数据平台与安全（广东）有限公司</w:t>
      </w:r>
    </w:p>
    <w:p w14:paraId="7271EF5D">
      <w:pPr>
        <w:spacing w:line="240" w:lineRule="auto"/>
        <w:ind w:firstLine="0" w:firstLineChars="0"/>
        <w:jc w:val="center"/>
        <w:rPr>
          <w:rFonts w:ascii="黑体" w:hAnsi="黑体" w:eastAsia="黑体"/>
          <w:b/>
          <w:color w:val="auto"/>
          <w:sz w:val="36"/>
          <w:highlight w:val="none"/>
        </w:rPr>
      </w:pPr>
      <w:r>
        <w:rPr>
          <w:rFonts w:hint="eastAsia" w:ascii="黑体" w:hAnsi="黑体" w:eastAsia="黑体"/>
          <w:b/>
          <w:color w:val="auto"/>
          <w:sz w:val="36"/>
          <w:highlight w:val="none"/>
        </w:rPr>
        <w:t>202</w:t>
      </w:r>
      <w:r>
        <w:rPr>
          <w:rFonts w:hint="eastAsia" w:ascii="黑体" w:hAnsi="黑体" w:eastAsia="黑体"/>
          <w:b/>
          <w:color w:val="auto"/>
          <w:sz w:val="36"/>
          <w:highlight w:val="none"/>
          <w:lang w:val="en-US" w:eastAsia="zh-CN"/>
        </w:rPr>
        <w:t>6</w:t>
      </w:r>
      <w:r>
        <w:rPr>
          <w:rFonts w:hint="eastAsia" w:ascii="黑体" w:hAnsi="黑体" w:eastAsia="黑体"/>
          <w:b/>
          <w:color w:val="auto"/>
          <w:sz w:val="36"/>
          <w:highlight w:val="none"/>
        </w:rPr>
        <w:t>年</w:t>
      </w:r>
      <w:r>
        <w:rPr>
          <w:rFonts w:hint="eastAsia" w:ascii="黑体" w:hAnsi="黑体" w:eastAsia="黑体"/>
          <w:b/>
          <w:color w:val="auto"/>
          <w:sz w:val="36"/>
          <w:highlight w:val="none"/>
          <w:lang w:val="en-US" w:eastAsia="zh-CN"/>
        </w:rPr>
        <w:t>7</w:t>
      </w:r>
      <w:r>
        <w:rPr>
          <w:rFonts w:hint="eastAsia" w:ascii="黑体" w:hAnsi="黑体" w:eastAsia="黑体"/>
          <w:b/>
          <w:color w:val="auto"/>
          <w:sz w:val="36"/>
          <w:highlight w:val="none"/>
        </w:rPr>
        <w:t xml:space="preserve">月  </w:t>
      </w:r>
    </w:p>
    <w:p w14:paraId="649478A5">
      <w:pPr>
        <w:pStyle w:val="2"/>
        <w:ind w:firstLine="480"/>
        <w:rPr>
          <w:color w:val="auto"/>
          <w:highlight w:val="none"/>
        </w:rPr>
        <w:sectPr>
          <w:headerReference r:id="rId6" w:type="first"/>
          <w:headerReference r:id="rId5" w:type="default"/>
          <w:footerReference r:id="rId7" w:type="default"/>
          <w:pgSz w:w="11906" w:h="16838"/>
          <w:pgMar w:top="1440" w:right="1800" w:bottom="1440" w:left="1800" w:header="851" w:footer="992" w:gutter="0"/>
          <w:pgNumType w:fmt="decimal"/>
          <w:cols w:space="425" w:num="1"/>
          <w:titlePg/>
          <w:docGrid w:type="lines" w:linePitch="312" w:charSpace="0"/>
        </w:sectPr>
      </w:pPr>
    </w:p>
    <w:p w14:paraId="61892312">
      <w:pPr>
        <w:spacing w:line="240" w:lineRule="auto"/>
        <w:ind w:firstLine="0" w:firstLineChars="0"/>
        <w:jc w:val="center"/>
        <w:rPr>
          <w:color w:val="auto"/>
          <w:sz w:val="44"/>
          <w:szCs w:val="44"/>
          <w:highlight w:val="none"/>
        </w:rPr>
      </w:pPr>
      <w:r>
        <w:rPr>
          <w:rFonts w:ascii="宋体" w:hAnsi="宋体" w:eastAsia="宋体"/>
          <w:color w:val="auto"/>
          <w:sz w:val="44"/>
          <w:szCs w:val="44"/>
          <w:highlight w:val="none"/>
        </w:rPr>
        <w:t>目录</w:t>
      </w:r>
    </w:p>
    <w:p w14:paraId="22EFB6BA">
      <w:pPr>
        <w:pStyle w:val="17"/>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bookmarkStart w:id="0" w:name="_Toc8200"/>
      <w:bookmarkStart w:id="1" w:name="_Toc1955590424"/>
      <w:bookmarkStart w:id="2" w:name="_Toc16443"/>
      <w:bookmarkStart w:id="3" w:name="_Toc25674"/>
      <w:r>
        <w:rPr>
          <w:rFonts w:hint="eastAsia"/>
          <w:highlight w:val="none"/>
        </w:rPr>
        <w:fldChar w:fldCharType="begin"/>
      </w:r>
      <w:r>
        <w:rPr>
          <w:rFonts w:hint="eastAsia"/>
          <w:highlight w:val="none"/>
        </w:rPr>
        <w:instrText xml:space="preserve">TOC \o "1-3"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_Toc29871 </w:instrText>
      </w:r>
      <w:r>
        <w:rPr>
          <w:rFonts w:hint="eastAsia"/>
          <w:highlight w:val="none"/>
        </w:rPr>
        <w:fldChar w:fldCharType="separate"/>
      </w:r>
      <w:r>
        <w:rPr>
          <w:rFonts w:hint="default" w:ascii="黑体" w:hAnsi="黑体" w:eastAsia="黑体" w:cs="黑体"/>
          <w:szCs w:val="30"/>
        </w:rPr>
        <w:t xml:space="preserve">1. </w:t>
      </w:r>
      <w:r>
        <w:rPr>
          <w:rFonts w:hint="eastAsia" w:ascii="黑体" w:hAnsi="黑体" w:eastAsia="黑体" w:cs="黑体"/>
          <w:szCs w:val="30"/>
          <w:highlight w:val="none"/>
        </w:rPr>
        <w:t>项目概述</w:t>
      </w:r>
      <w:r>
        <w:tab/>
      </w:r>
      <w:r>
        <w:fldChar w:fldCharType="begin"/>
      </w:r>
      <w:r>
        <w:instrText xml:space="preserve"> PAGEREF _Toc29871 \h </w:instrText>
      </w:r>
      <w:r>
        <w:fldChar w:fldCharType="separate"/>
      </w:r>
      <w:r>
        <w:t>3</w:t>
      </w:r>
      <w:r>
        <w:fldChar w:fldCharType="end"/>
      </w:r>
      <w:r>
        <w:rPr>
          <w:rFonts w:hint="eastAsia"/>
          <w:highlight w:val="none"/>
        </w:rPr>
        <w:fldChar w:fldCharType="end"/>
      </w:r>
    </w:p>
    <w:p w14:paraId="54FC5A8E">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_Toc13396 </w:instrText>
      </w:r>
      <w:r>
        <w:rPr>
          <w:rFonts w:hint="eastAsia"/>
          <w:highlight w:val="none"/>
        </w:rPr>
        <w:fldChar w:fldCharType="separate"/>
      </w:r>
      <w:r>
        <w:rPr>
          <w:rFonts w:hint="default" w:ascii="黑体" w:hAnsi="黑体" w:eastAsia="黑体" w:cs="黑体"/>
          <w:bCs/>
          <w:szCs w:val="28"/>
          <w:lang w:val="en-US" w:eastAsia="zh-CN" w:bidi="ar-SA"/>
        </w:rPr>
        <w:t xml:space="preserve">1.1. </w:t>
      </w:r>
      <w:r>
        <w:rPr>
          <w:rFonts w:hint="eastAsia" w:cstheme="majorBidi"/>
          <w:bCs/>
          <w:szCs w:val="32"/>
          <w:highlight w:val="none"/>
          <w:lang w:val="en-US" w:eastAsia="zh-CN" w:bidi="ar-SA"/>
        </w:rPr>
        <w:t>遵循标准</w:t>
      </w:r>
      <w:r>
        <w:tab/>
      </w:r>
      <w:r>
        <w:fldChar w:fldCharType="begin"/>
      </w:r>
      <w:r>
        <w:instrText xml:space="preserve"> PAGEREF _Toc13396 \h </w:instrText>
      </w:r>
      <w:r>
        <w:fldChar w:fldCharType="separate"/>
      </w:r>
      <w:r>
        <w:t>3</w:t>
      </w:r>
      <w:r>
        <w:fldChar w:fldCharType="end"/>
      </w:r>
      <w:r>
        <w:rPr>
          <w:rFonts w:hint="eastAsia"/>
          <w:highlight w:val="none"/>
        </w:rPr>
        <w:fldChar w:fldCharType="end"/>
      </w:r>
    </w:p>
    <w:p w14:paraId="54B4A2A2">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_Toc27825 </w:instrText>
      </w:r>
      <w:r>
        <w:rPr>
          <w:rFonts w:hint="eastAsia"/>
          <w:highlight w:val="none"/>
        </w:rPr>
        <w:fldChar w:fldCharType="separate"/>
      </w:r>
      <w:r>
        <w:rPr>
          <w:rFonts w:hint="default" w:ascii="黑体" w:hAnsi="黑体" w:eastAsia="黑体" w:cs="黑体"/>
          <w:szCs w:val="28"/>
        </w:rPr>
        <w:t xml:space="preserve">1.2. </w:t>
      </w:r>
      <w:r>
        <w:rPr>
          <w:rFonts w:hint="eastAsia"/>
          <w:highlight w:val="none"/>
          <w:lang w:val="en-US" w:eastAsia="zh-CN"/>
        </w:rPr>
        <w:t>项目背景</w:t>
      </w:r>
      <w:r>
        <w:tab/>
      </w:r>
      <w:r>
        <w:fldChar w:fldCharType="begin"/>
      </w:r>
      <w:r>
        <w:instrText xml:space="preserve"> PAGEREF _Toc27825 \h </w:instrText>
      </w:r>
      <w:r>
        <w:fldChar w:fldCharType="separate"/>
      </w:r>
      <w:r>
        <w:t>4</w:t>
      </w:r>
      <w:r>
        <w:fldChar w:fldCharType="end"/>
      </w:r>
      <w:r>
        <w:rPr>
          <w:rFonts w:hint="eastAsia"/>
          <w:highlight w:val="none"/>
        </w:rPr>
        <w:fldChar w:fldCharType="end"/>
      </w:r>
    </w:p>
    <w:p w14:paraId="08A102FE">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_Toc167 </w:instrText>
      </w:r>
      <w:r>
        <w:rPr>
          <w:rFonts w:hint="eastAsia"/>
          <w:highlight w:val="none"/>
        </w:rPr>
        <w:fldChar w:fldCharType="separate"/>
      </w:r>
      <w:r>
        <w:rPr>
          <w:rFonts w:hint="default" w:ascii="黑体" w:hAnsi="黑体" w:eastAsia="黑体" w:cs="黑体"/>
          <w:szCs w:val="28"/>
        </w:rPr>
        <w:t xml:space="preserve">1.3. </w:t>
      </w:r>
      <w:r>
        <w:rPr>
          <w:rFonts w:hint="eastAsia"/>
          <w:highlight w:val="none"/>
        </w:rPr>
        <w:t>建设目标</w:t>
      </w:r>
      <w:r>
        <w:tab/>
      </w:r>
      <w:r>
        <w:fldChar w:fldCharType="begin"/>
      </w:r>
      <w:r>
        <w:instrText xml:space="preserve"> PAGEREF _Toc167 \h </w:instrText>
      </w:r>
      <w:r>
        <w:fldChar w:fldCharType="separate"/>
      </w:r>
      <w:r>
        <w:t>5</w:t>
      </w:r>
      <w:r>
        <w:fldChar w:fldCharType="end"/>
      </w:r>
      <w:r>
        <w:rPr>
          <w:rFonts w:hint="eastAsia"/>
          <w:highlight w:val="none"/>
        </w:rPr>
        <w:fldChar w:fldCharType="end"/>
      </w:r>
    </w:p>
    <w:p w14:paraId="39E216F1">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_Toc25810 </w:instrText>
      </w:r>
      <w:r>
        <w:rPr>
          <w:rFonts w:hint="eastAsia"/>
          <w:highlight w:val="none"/>
        </w:rPr>
        <w:fldChar w:fldCharType="separate"/>
      </w:r>
      <w:r>
        <w:rPr>
          <w:rFonts w:hint="default" w:ascii="黑体" w:hAnsi="黑体" w:eastAsia="黑体" w:cs="黑体"/>
          <w:szCs w:val="28"/>
        </w:rPr>
        <w:t xml:space="preserve">1.4. </w:t>
      </w:r>
      <w:r>
        <w:rPr>
          <w:rFonts w:hint="eastAsia"/>
          <w:highlight w:val="none"/>
        </w:rPr>
        <w:t>项目范围</w:t>
      </w:r>
      <w:r>
        <w:tab/>
      </w:r>
      <w:r>
        <w:fldChar w:fldCharType="begin"/>
      </w:r>
      <w:r>
        <w:instrText xml:space="preserve"> PAGEREF _Toc25810 \h </w:instrText>
      </w:r>
      <w:r>
        <w:fldChar w:fldCharType="separate"/>
      </w:r>
      <w:r>
        <w:t>6</w:t>
      </w:r>
      <w:r>
        <w:fldChar w:fldCharType="end"/>
      </w:r>
      <w:r>
        <w:rPr>
          <w:rFonts w:hint="eastAsia"/>
          <w:highlight w:val="none"/>
        </w:rPr>
        <w:fldChar w:fldCharType="end"/>
      </w:r>
    </w:p>
    <w:p w14:paraId="33D15A7B">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_Toc4764 </w:instrText>
      </w:r>
      <w:r>
        <w:rPr>
          <w:rFonts w:hint="eastAsia"/>
          <w:highlight w:val="none"/>
        </w:rPr>
        <w:fldChar w:fldCharType="separate"/>
      </w:r>
      <w:r>
        <w:rPr>
          <w:rFonts w:hint="default" w:ascii="黑体" w:hAnsi="黑体" w:eastAsia="黑体" w:cs="黑体"/>
          <w:szCs w:val="28"/>
        </w:rPr>
        <w:t xml:space="preserve">1.5. </w:t>
      </w:r>
      <w:r>
        <w:rPr>
          <w:rFonts w:hint="eastAsia"/>
          <w:highlight w:val="none"/>
        </w:rPr>
        <w:t>项目地点</w:t>
      </w:r>
      <w:r>
        <w:tab/>
      </w:r>
      <w:r>
        <w:fldChar w:fldCharType="begin"/>
      </w:r>
      <w:r>
        <w:instrText xml:space="preserve"> PAGEREF _Toc4764 \h </w:instrText>
      </w:r>
      <w:r>
        <w:fldChar w:fldCharType="separate"/>
      </w:r>
      <w:r>
        <w:t>6</w:t>
      </w:r>
      <w:r>
        <w:fldChar w:fldCharType="end"/>
      </w:r>
      <w:r>
        <w:rPr>
          <w:rFonts w:hint="eastAsia"/>
          <w:highlight w:val="none"/>
        </w:rPr>
        <w:fldChar w:fldCharType="end"/>
      </w:r>
    </w:p>
    <w:p w14:paraId="0CAD51FE">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_Toc2825 </w:instrText>
      </w:r>
      <w:r>
        <w:rPr>
          <w:rFonts w:hint="eastAsia"/>
          <w:highlight w:val="none"/>
        </w:rPr>
        <w:fldChar w:fldCharType="separate"/>
      </w:r>
      <w:r>
        <w:rPr>
          <w:rFonts w:hint="default" w:ascii="黑体" w:hAnsi="黑体" w:eastAsia="黑体" w:cs="黑体"/>
          <w:szCs w:val="28"/>
        </w:rPr>
        <w:t xml:space="preserve">1.6. </w:t>
      </w:r>
      <w:r>
        <w:rPr>
          <w:rFonts w:hint="eastAsia"/>
          <w:highlight w:val="none"/>
        </w:rPr>
        <w:t>建设内容</w:t>
      </w:r>
      <w:r>
        <w:tab/>
      </w:r>
      <w:r>
        <w:fldChar w:fldCharType="begin"/>
      </w:r>
      <w:r>
        <w:instrText xml:space="preserve"> PAGEREF _Toc2825 \h </w:instrText>
      </w:r>
      <w:r>
        <w:fldChar w:fldCharType="separate"/>
      </w:r>
      <w:r>
        <w:t>6</w:t>
      </w:r>
      <w:r>
        <w:fldChar w:fldCharType="end"/>
      </w:r>
      <w:r>
        <w:rPr>
          <w:rFonts w:hint="eastAsia"/>
          <w:highlight w:val="none"/>
        </w:rPr>
        <w:fldChar w:fldCharType="end"/>
      </w:r>
    </w:p>
    <w:p w14:paraId="03575B1E">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_Toc10835 </w:instrText>
      </w:r>
      <w:r>
        <w:rPr>
          <w:rFonts w:hint="eastAsia"/>
          <w:highlight w:val="none"/>
        </w:rPr>
        <w:fldChar w:fldCharType="separate"/>
      </w:r>
      <w:r>
        <w:rPr>
          <w:rFonts w:hint="default" w:ascii="黑体" w:hAnsi="黑体" w:eastAsia="黑体" w:cs="黑体"/>
          <w:szCs w:val="28"/>
        </w:rPr>
        <w:t xml:space="preserve">1.6.1. </w:t>
      </w:r>
      <w:r>
        <w:rPr>
          <w:rFonts w:hint="eastAsia"/>
          <w:highlight w:val="none"/>
        </w:rPr>
        <w:t>系统功能</w:t>
      </w:r>
      <w:r>
        <w:tab/>
      </w:r>
      <w:r>
        <w:fldChar w:fldCharType="begin"/>
      </w:r>
      <w:r>
        <w:instrText xml:space="preserve"> PAGEREF _Toc10835 \h </w:instrText>
      </w:r>
      <w:r>
        <w:fldChar w:fldCharType="separate"/>
      </w:r>
      <w:r>
        <w:t>7</w:t>
      </w:r>
      <w:r>
        <w:fldChar w:fldCharType="end"/>
      </w:r>
      <w:r>
        <w:rPr>
          <w:rFonts w:hint="eastAsia"/>
          <w:highlight w:val="none"/>
        </w:rPr>
        <w:fldChar w:fldCharType="end"/>
      </w:r>
    </w:p>
    <w:p w14:paraId="7FDA5E22">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_Toc18676 </w:instrText>
      </w:r>
      <w:r>
        <w:rPr>
          <w:rFonts w:hint="eastAsia"/>
          <w:highlight w:val="none"/>
        </w:rPr>
        <w:fldChar w:fldCharType="separate"/>
      </w:r>
      <w:r>
        <w:rPr>
          <w:rFonts w:hint="default" w:ascii="黑体" w:hAnsi="黑体" w:eastAsia="黑体" w:cs="黑体"/>
          <w:szCs w:val="28"/>
          <w:lang w:val="en-US" w:eastAsia="zh-CN"/>
        </w:rPr>
        <w:t xml:space="preserve">1.6.2. </w:t>
      </w:r>
      <w:r>
        <w:rPr>
          <w:rFonts w:hint="eastAsia" w:asciiTheme="minorEastAsia" w:hAnsiTheme="minorEastAsia" w:eastAsiaTheme="minorEastAsia" w:cstheme="minorEastAsia"/>
          <w:highlight w:val="none"/>
          <w:lang w:val="en-US" w:eastAsia="zh-CN"/>
        </w:rPr>
        <w:t>系统高可用要求</w:t>
      </w:r>
      <w:r>
        <w:tab/>
      </w:r>
      <w:r>
        <w:fldChar w:fldCharType="begin"/>
      </w:r>
      <w:r>
        <w:instrText xml:space="preserve"> PAGEREF _Toc18676 \h </w:instrText>
      </w:r>
      <w:r>
        <w:fldChar w:fldCharType="separate"/>
      </w:r>
      <w:r>
        <w:t>22</w:t>
      </w:r>
      <w:r>
        <w:fldChar w:fldCharType="end"/>
      </w:r>
      <w:r>
        <w:rPr>
          <w:rFonts w:hint="eastAsia"/>
          <w:highlight w:val="none"/>
        </w:rPr>
        <w:fldChar w:fldCharType="end"/>
      </w:r>
    </w:p>
    <w:p w14:paraId="4836A0C4">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_Toc29952 </w:instrText>
      </w:r>
      <w:r>
        <w:rPr>
          <w:rFonts w:hint="eastAsia"/>
          <w:highlight w:val="none"/>
        </w:rPr>
        <w:fldChar w:fldCharType="separate"/>
      </w:r>
      <w:r>
        <w:rPr>
          <w:rFonts w:hint="default" w:ascii="黑体" w:hAnsi="黑体" w:eastAsia="黑体" w:cs="黑体"/>
          <w:szCs w:val="28"/>
        </w:rPr>
        <w:t xml:space="preserve">1.6.3. </w:t>
      </w:r>
      <w:r>
        <w:rPr>
          <w:rFonts w:hint="eastAsia" w:asciiTheme="minorEastAsia" w:hAnsiTheme="minorEastAsia" w:eastAsiaTheme="minorEastAsia" w:cstheme="minorEastAsia"/>
          <w:highlight w:val="none"/>
          <w:lang w:val="en-US" w:eastAsia="zh-CN"/>
        </w:rPr>
        <w:t>系统关键参数要求</w:t>
      </w:r>
      <w:r>
        <w:tab/>
      </w:r>
      <w:r>
        <w:fldChar w:fldCharType="begin"/>
      </w:r>
      <w:r>
        <w:instrText xml:space="preserve"> PAGEREF _Toc29952 \h </w:instrText>
      </w:r>
      <w:r>
        <w:fldChar w:fldCharType="separate"/>
      </w:r>
      <w:r>
        <w:t>22</w:t>
      </w:r>
      <w:r>
        <w:fldChar w:fldCharType="end"/>
      </w:r>
      <w:r>
        <w:rPr>
          <w:rFonts w:hint="eastAsia"/>
          <w:highlight w:val="none"/>
        </w:rPr>
        <w:fldChar w:fldCharType="end"/>
      </w:r>
    </w:p>
    <w:p w14:paraId="335D3DC5">
      <w:pPr>
        <w:pStyle w:val="17"/>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_Toc8387 </w:instrText>
      </w:r>
      <w:r>
        <w:rPr>
          <w:rFonts w:hint="eastAsia"/>
          <w:highlight w:val="none"/>
        </w:rPr>
        <w:fldChar w:fldCharType="separate"/>
      </w:r>
      <w:r>
        <w:rPr>
          <w:rFonts w:hint="default" w:ascii="黑体" w:hAnsi="黑体" w:eastAsia="黑体" w:cs="黑体"/>
          <w:szCs w:val="30"/>
        </w:rPr>
        <w:t xml:space="preserve">2. </w:t>
      </w:r>
      <w:r>
        <w:rPr>
          <w:rFonts w:hint="eastAsia"/>
          <w:highlight w:val="none"/>
          <w:lang w:val="en-US" w:eastAsia="zh-CN"/>
        </w:rPr>
        <w:t>项目技术要求</w:t>
      </w:r>
      <w:r>
        <w:tab/>
      </w:r>
      <w:r>
        <w:fldChar w:fldCharType="begin"/>
      </w:r>
      <w:r>
        <w:instrText xml:space="preserve"> PAGEREF _Toc8387 \h </w:instrText>
      </w:r>
      <w:r>
        <w:fldChar w:fldCharType="separate"/>
      </w:r>
      <w:r>
        <w:t>22</w:t>
      </w:r>
      <w:r>
        <w:fldChar w:fldCharType="end"/>
      </w:r>
      <w:r>
        <w:rPr>
          <w:rFonts w:hint="eastAsia"/>
          <w:highlight w:val="none"/>
        </w:rPr>
        <w:fldChar w:fldCharType="end"/>
      </w:r>
    </w:p>
    <w:p w14:paraId="057A137A">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_Toc30393 </w:instrText>
      </w:r>
      <w:r>
        <w:rPr>
          <w:rFonts w:hint="eastAsia"/>
          <w:highlight w:val="none"/>
        </w:rPr>
        <w:fldChar w:fldCharType="separate"/>
      </w:r>
      <w:r>
        <w:rPr>
          <w:rFonts w:hint="default" w:ascii="黑体" w:hAnsi="黑体" w:eastAsia="黑体" w:cs="黑体"/>
          <w:szCs w:val="28"/>
        </w:rPr>
        <w:t xml:space="preserve">2.1. </w:t>
      </w:r>
      <w:r>
        <w:rPr>
          <w:rFonts w:hint="eastAsia"/>
          <w:highlight w:val="none"/>
          <w:lang w:val="en-US" w:eastAsia="zh-CN"/>
        </w:rPr>
        <w:t>架构技术要求</w:t>
      </w:r>
      <w:r>
        <w:tab/>
      </w:r>
      <w:r>
        <w:fldChar w:fldCharType="begin"/>
      </w:r>
      <w:r>
        <w:instrText xml:space="preserve"> PAGEREF _Toc30393 \h </w:instrText>
      </w:r>
      <w:r>
        <w:fldChar w:fldCharType="separate"/>
      </w:r>
      <w:r>
        <w:t>23</w:t>
      </w:r>
      <w:r>
        <w:fldChar w:fldCharType="end"/>
      </w:r>
      <w:r>
        <w:rPr>
          <w:rFonts w:hint="eastAsia"/>
          <w:highlight w:val="none"/>
        </w:rPr>
        <w:fldChar w:fldCharType="end"/>
      </w:r>
    </w:p>
    <w:p w14:paraId="14E737ED">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_Toc28233 </w:instrText>
      </w:r>
      <w:r>
        <w:rPr>
          <w:rFonts w:hint="eastAsia"/>
          <w:highlight w:val="none"/>
        </w:rPr>
        <w:fldChar w:fldCharType="separate"/>
      </w:r>
      <w:r>
        <w:rPr>
          <w:rFonts w:hint="default" w:ascii="黑体" w:hAnsi="黑体" w:eastAsia="黑体" w:cs="黑体"/>
          <w:szCs w:val="28"/>
        </w:rPr>
        <w:t xml:space="preserve">2.1.1. </w:t>
      </w:r>
      <w:r>
        <w:rPr>
          <w:rFonts w:hint="eastAsia"/>
          <w:highlight w:val="none"/>
          <w:lang w:val="en-US" w:eastAsia="zh-CN"/>
        </w:rPr>
        <w:t>技术架构要求</w:t>
      </w:r>
      <w:r>
        <w:tab/>
      </w:r>
      <w:r>
        <w:fldChar w:fldCharType="begin"/>
      </w:r>
      <w:r>
        <w:instrText xml:space="preserve"> PAGEREF _Toc28233 \h </w:instrText>
      </w:r>
      <w:r>
        <w:fldChar w:fldCharType="separate"/>
      </w:r>
      <w:r>
        <w:t>23</w:t>
      </w:r>
      <w:r>
        <w:fldChar w:fldCharType="end"/>
      </w:r>
      <w:r>
        <w:rPr>
          <w:rFonts w:hint="eastAsia"/>
          <w:highlight w:val="none"/>
        </w:rPr>
        <w:fldChar w:fldCharType="end"/>
      </w:r>
    </w:p>
    <w:p w14:paraId="381CD6A3">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_Toc19379 </w:instrText>
      </w:r>
      <w:r>
        <w:rPr>
          <w:rFonts w:hint="eastAsia"/>
          <w:highlight w:val="none"/>
        </w:rPr>
        <w:fldChar w:fldCharType="separate"/>
      </w:r>
      <w:r>
        <w:rPr>
          <w:rFonts w:hint="default" w:ascii="黑体" w:hAnsi="黑体" w:eastAsia="黑体" w:cs="黑体"/>
          <w:szCs w:val="28"/>
        </w:rPr>
        <w:t xml:space="preserve">2.1.2. </w:t>
      </w:r>
      <w:r>
        <w:rPr>
          <w:rFonts w:hint="eastAsia"/>
          <w:highlight w:val="none"/>
          <w:lang w:val="en-US" w:eastAsia="zh-CN"/>
        </w:rPr>
        <w:t>数据架构</w:t>
      </w:r>
      <w:r>
        <w:rPr>
          <w:rFonts w:hint="eastAsia"/>
          <w:highlight w:val="none"/>
        </w:rPr>
        <w:t>要</w:t>
      </w:r>
      <w:r>
        <w:rPr>
          <w:rFonts w:hint="eastAsia"/>
          <w:highlight w:val="none"/>
          <w:lang w:val="en-US" w:eastAsia="zh-CN"/>
        </w:rPr>
        <w:t>求</w:t>
      </w:r>
      <w:r>
        <w:tab/>
      </w:r>
      <w:r>
        <w:fldChar w:fldCharType="begin"/>
      </w:r>
      <w:r>
        <w:instrText xml:space="preserve"> PAGEREF _Toc19379 \h </w:instrText>
      </w:r>
      <w:r>
        <w:fldChar w:fldCharType="separate"/>
      </w:r>
      <w:r>
        <w:t>23</w:t>
      </w:r>
      <w:r>
        <w:fldChar w:fldCharType="end"/>
      </w:r>
      <w:r>
        <w:rPr>
          <w:rFonts w:hint="eastAsia"/>
          <w:highlight w:val="none"/>
        </w:rPr>
        <w:fldChar w:fldCharType="end"/>
      </w:r>
    </w:p>
    <w:p w14:paraId="2A30033B">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_Toc5585 </w:instrText>
      </w:r>
      <w:r>
        <w:rPr>
          <w:rFonts w:hint="eastAsia"/>
          <w:highlight w:val="none"/>
        </w:rPr>
        <w:fldChar w:fldCharType="separate"/>
      </w:r>
      <w:r>
        <w:rPr>
          <w:rFonts w:hint="default" w:ascii="黑体" w:hAnsi="黑体" w:eastAsia="黑体" w:cs="黑体"/>
          <w:szCs w:val="28"/>
        </w:rPr>
        <w:t xml:space="preserve">2.1.3. </w:t>
      </w:r>
      <w:r>
        <w:rPr>
          <w:rFonts w:hint="eastAsia"/>
          <w:highlight w:val="none"/>
          <w:lang w:val="en-US" w:eastAsia="zh-CN"/>
        </w:rPr>
        <w:t>部署架构</w:t>
      </w:r>
      <w:r>
        <w:rPr>
          <w:rFonts w:hint="eastAsia"/>
          <w:highlight w:val="none"/>
        </w:rPr>
        <w:t>要求</w:t>
      </w:r>
      <w:r>
        <w:tab/>
      </w:r>
      <w:r>
        <w:fldChar w:fldCharType="begin"/>
      </w:r>
      <w:r>
        <w:instrText xml:space="preserve"> PAGEREF _Toc5585 \h </w:instrText>
      </w:r>
      <w:r>
        <w:fldChar w:fldCharType="separate"/>
      </w:r>
      <w:r>
        <w:t>23</w:t>
      </w:r>
      <w:r>
        <w:fldChar w:fldCharType="end"/>
      </w:r>
      <w:r>
        <w:rPr>
          <w:rFonts w:hint="eastAsia"/>
          <w:highlight w:val="none"/>
        </w:rPr>
        <w:fldChar w:fldCharType="end"/>
      </w:r>
    </w:p>
    <w:p w14:paraId="2B54570E">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_Toc17490 </w:instrText>
      </w:r>
      <w:r>
        <w:rPr>
          <w:rFonts w:hint="eastAsia"/>
          <w:highlight w:val="none"/>
        </w:rPr>
        <w:fldChar w:fldCharType="separate"/>
      </w:r>
      <w:r>
        <w:rPr>
          <w:rFonts w:hint="default" w:ascii="黑体" w:hAnsi="黑体" w:eastAsia="黑体" w:cs="黑体"/>
          <w:szCs w:val="28"/>
        </w:rPr>
        <w:t xml:space="preserve">2.1.4. </w:t>
      </w:r>
      <w:r>
        <w:rPr>
          <w:rFonts w:hint="eastAsia"/>
          <w:highlight w:val="none"/>
          <w:lang w:val="en-US" w:eastAsia="zh-CN"/>
        </w:rPr>
        <w:t>集成架构</w:t>
      </w:r>
      <w:r>
        <w:rPr>
          <w:rFonts w:hint="eastAsia"/>
          <w:highlight w:val="none"/>
        </w:rPr>
        <w:t>要求</w:t>
      </w:r>
      <w:r>
        <w:tab/>
      </w:r>
      <w:r>
        <w:fldChar w:fldCharType="begin"/>
      </w:r>
      <w:r>
        <w:instrText xml:space="preserve"> PAGEREF _Toc17490 \h </w:instrText>
      </w:r>
      <w:r>
        <w:fldChar w:fldCharType="separate"/>
      </w:r>
      <w:r>
        <w:t>23</w:t>
      </w:r>
      <w:r>
        <w:fldChar w:fldCharType="end"/>
      </w:r>
      <w:r>
        <w:rPr>
          <w:rFonts w:hint="eastAsia"/>
          <w:highlight w:val="none"/>
        </w:rPr>
        <w:fldChar w:fldCharType="end"/>
      </w:r>
    </w:p>
    <w:p w14:paraId="5C1BFE0A">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_Toc13933 </w:instrText>
      </w:r>
      <w:r>
        <w:rPr>
          <w:rFonts w:hint="eastAsia"/>
          <w:highlight w:val="none"/>
        </w:rPr>
        <w:fldChar w:fldCharType="separate"/>
      </w:r>
      <w:r>
        <w:rPr>
          <w:rFonts w:hint="default" w:ascii="黑体" w:hAnsi="黑体" w:eastAsia="黑体" w:cs="黑体"/>
          <w:szCs w:val="28"/>
        </w:rPr>
        <w:t xml:space="preserve">2.1.5. </w:t>
      </w:r>
      <w:r>
        <w:rPr>
          <w:rFonts w:hint="eastAsia"/>
          <w:highlight w:val="none"/>
          <w:lang w:val="en-US" w:eastAsia="zh-CN"/>
        </w:rPr>
        <w:t>安全架构</w:t>
      </w:r>
      <w:r>
        <w:rPr>
          <w:rFonts w:hint="eastAsia"/>
          <w:highlight w:val="none"/>
        </w:rPr>
        <w:t>要求</w:t>
      </w:r>
      <w:r>
        <w:tab/>
      </w:r>
      <w:r>
        <w:fldChar w:fldCharType="begin"/>
      </w:r>
      <w:r>
        <w:instrText xml:space="preserve"> PAGEREF _Toc13933 \h </w:instrText>
      </w:r>
      <w:r>
        <w:fldChar w:fldCharType="separate"/>
      </w:r>
      <w:r>
        <w:t>23</w:t>
      </w:r>
      <w:r>
        <w:fldChar w:fldCharType="end"/>
      </w:r>
      <w:r>
        <w:rPr>
          <w:rFonts w:hint="eastAsia"/>
          <w:highlight w:val="none"/>
        </w:rPr>
        <w:fldChar w:fldCharType="end"/>
      </w:r>
    </w:p>
    <w:p w14:paraId="7C9B3E48">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_Toc15027 </w:instrText>
      </w:r>
      <w:r>
        <w:rPr>
          <w:rFonts w:hint="eastAsia"/>
          <w:highlight w:val="none"/>
        </w:rPr>
        <w:fldChar w:fldCharType="separate"/>
      </w:r>
      <w:r>
        <w:rPr>
          <w:rFonts w:hint="default" w:ascii="黑体" w:hAnsi="黑体" w:eastAsia="黑体" w:cs="黑体"/>
          <w:szCs w:val="28"/>
        </w:rPr>
        <w:t xml:space="preserve">2.2. </w:t>
      </w:r>
      <w:r>
        <w:rPr>
          <w:rFonts w:hint="eastAsia"/>
          <w:highlight w:val="none"/>
          <w:lang w:val="en-US" w:eastAsia="zh-CN"/>
        </w:rPr>
        <w:t>性能指标</w:t>
      </w:r>
      <w:r>
        <w:tab/>
      </w:r>
      <w:r>
        <w:fldChar w:fldCharType="begin"/>
      </w:r>
      <w:r>
        <w:instrText xml:space="preserve"> PAGEREF _Toc15027 \h </w:instrText>
      </w:r>
      <w:r>
        <w:fldChar w:fldCharType="separate"/>
      </w:r>
      <w:r>
        <w:t>23</w:t>
      </w:r>
      <w:r>
        <w:fldChar w:fldCharType="end"/>
      </w:r>
      <w:r>
        <w:rPr>
          <w:rFonts w:hint="eastAsia"/>
          <w:highlight w:val="none"/>
        </w:rPr>
        <w:fldChar w:fldCharType="end"/>
      </w:r>
    </w:p>
    <w:p w14:paraId="6A7EC232">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_Toc25551 </w:instrText>
      </w:r>
      <w:r>
        <w:rPr>
          <w:rFonts w:hint="eastAsia"/>
          <w:highlight w:val="none"/>
        </w:rPr>
        <w:fldChar w:fldCharType="separate"/>
      </w:r>
      <w:r>
        <w:rPr>
          <w:rFonts w:hint="default" w:ascii="黑体" w:hAnsi="黑体" w:eastAsia="黑体" w:cs="黑体"/>
          <w:szCs w:val="28"/>
          <w:lang w:val="en-US" w:eastAsia="zh-CN"/>
        </w:rPr>
        <w:t xml:space="preserve">2.3. </w:t>
      </w:r>
      <w:r>
        <w:rPr>
          <w:rFonts w:hint="eastAsia"/>
          <w:highlight w:val="none"/>
          <w:lang w:val="en-US" w:eastAsia="zh-CN"/>
        </w:rPr>
        <w:t>开发和测试要求</w:t>
      </w:r>
      <w:r>
        <w:tab/>
      </w:r>
      <w:r>
        <w:fldChar w:fldCharType="begin"/>
      </w:r>
      <w:r>
        <w:instrText xml:space="preserve"> PAGEREF _Toc25551 \h </w:instrText>
      </w:r>
      <w:r>
        <w:fldChar w:fldCharType="separate"/>
      </w:r>
      <w:r>
        <w:t>24</w:t>
      </w:r>
      <w:r>
        <w:fldChar w:fldCharType="end"/>
      </w:r>
      <w:r>
        <w:rPr>
          <w:rFonts w:hint="eastAsia"/>
          <w:highlight w:val="none"/>
        </w:rPr>
        <w:fldChar w:fldCharType="end"/>
      </w:r>
    </w:p>
    <w:p w14:paraId="3351691B">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_Toc13726 </w:instrText>
      </w:r>
      <w:r>
        <w:rPr>
          <w:rFonts w:hint="eastAsia"/>
          <w:highlight w:val="none"/>
        </w:rPr>
        <w:fldChar w:fldCharType="separate"/>
      </w:r>
      <w:r>
        <w:rPr>
          <w:rFonts w:hint="default" w:ascii="黑体" w:hAnsi="黑体" w:eastAsia="黑体" w:cs="黑体"/>
          <w:szCs w:val="28"/>
        </w:rPr>
        <w:t xml:space="preserve">2.3.1. </w:t>
      </w:r>
      <w:r>
        <w:rPr>
          <w:rFonts w:hint="eastAsia"/>
          <w:highlight w:val="none"/>
        </w:rPr>
        <w:t>应用软件测试及程序：</w:t>
      </w:r>
      <w:r>
        <w:tab/>
      </w:r>
      <w:r>
        <w:fldChar w:fldCharType="begin"/>
      </w:r>
      <w:r>
        <w:instrText xml:space="preserve"> PAGEREF _Toc13726 \h </w:instrText>
      </w:r>
      <w:r>
        <w:fldChar w:fldCharType="separate"/>
      </w:r>
      <w:r>
        <w:t>25</w:t>
      </w:r>
      <w:r>
        <w:fldChar w:fldCharType="end"/>
      </w:r>
      <w:r>
        <w:rPr>
          <w:rFonts w:hint="eastAsia"/>
          <w:highlight w:val="none"/>
        </w:rPr>
        <w:fldChar w:fldCharType="end"/>
      </w:r>
    </w:p>
    <w:p w14:paraId="1C97C1FD">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_Toc19448 </w:instrText>
      </w:r>
      <w:r>
        <w:rPr>
          <w:rFonts w:hint="eastAsia"/>
          <w:highlight w:val="none"/>
        </w:rPr>
        <w:fldChar w:fldCharType="separate"/>
      </w:r>
      <w:r>
        <w:rPr>
          <w:rFonts w:hint="default" w:ascii="黑体" w:hAnsi="黑体" w:eastAsia="黑体" w:cs="黑体"/>
          <w:szCs w:val="28"/>
        </w:rPr>
        <w:t xml:space="preserve">2.4. </w:t>
      </w:r>
      <w:r>
        <w:rPr>
          <w:rFonts w:hint="eastAsia"/>
          <w:highlight w:val="none"/>
        </w:rPr>
        <w:t>可靠性要求</w:t>
      </w:r>
      <w:r>
        <w:tab/>
      </w:r>
      <w:r>
        <w:fldChar w:fldCharType="begin"/>
      </w:r>
      <w:r>
        <w:instrText xml:space="preserve"> PAGEREF _Toc19448 \h </w:instrText>
      </w:r>
      <w:r>
        <w:fldChar w:fldCharType="separate"/>
      </w:r>
      <w:r>
        <w:t>25</w:t>
      </w:r>
      <w:r>
        <w:fldChar w:fldCharType="end"/>
      </w:r>
      <w:r>
        <w:rPr>
          <w:rFonts w:hint="eastAsia"/>
          <w:highlight w:val="none"/>
        </w:rPr>
        <w:fldChar w:fldCharType="end"/>
      </w:r>
    </w:p>
    <w:p w14:paraId="60C8EAB4">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_Toc19463 </w:instrText>
      </w:r>
      <w:r>
        <w:rPr>
          <w:rFonts w:hint="eastAsia"/>
          <w:highlight w:val="none"/>
        </w:rPr>
        <w:fldChar w:fldCharType="separate"/>
      </w:r>
      <w:r>
        <w:rPr>
          <w:rFonts w:hint="default" w:ascii="黑体" w:hAnsi="黑体" w:eastAsia="黑体" w:cs="黑体"/>
          <w:szCs w:val="28"/>
        </w:rPr>
        <w:t xml:space="preserve">2.5. </w:t>
      </w:r>
      <w:r>
        <w:rPr>
          <w:rFonts w:hint="eastAsia"/>
          <w:highlight w:val="none"/>
          <w:lang w:val="en-US" w:eastAsia="zh-CN"/>
        </w:rPr>
        <w:t>★</w:t>
      </w:r>
      <w:r>
        <w:rPr>
          <w:rFonts w:hint="eastAsia"/>
          <w:highlight w:val="none"/>
        </w:rPr>
        <w:t>安全要求</w:t>
      </w:r>
      <w:r>
        <w:tab/>
      </w:r>
      <w:r>
        <w:fldChar w:fldCharType="begin"/>
      </w:r>
      <w:r>
        <w:instrText xml:space="preserve"> PAGEREF _Toc19463 \h </w:instrText>
      </w:r>
      <w:r>
        <w:fldChar w:fldCharType="separate"/>
      </w:r>
      <w:r>
        <w:t>25</w:t>
      </w:r>
      <w:r>
        <w:fldChar w:fldCharType="end"/>
      </w:r>
      <w:r>
        <w:rPr>
          <w:rFonts w:hint="eastAsia"/>
          <w:highlight w:val="none"/>
        </w:rPr>
        <w:fldChar w:fldCharType="end"/>
      </w:r>
    </w:p>
    <w:p w14:paraId="535D5343">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_Toc3895 </w:instrText>
      </w:r>
      <w:r>
        <w:rPr>
          <w:rFonts w:hint="eastAsia"/>
          <w:highlight w:val="none"/>
        </w:rPr>
        <w:fldChar w:fldCharType="separate"/>
      </w:r>
      <w:r>
        <w:rPr>
          <w:rFonts w:hint="default" w:ascii="黑体" w:hAnsi="黑体" w:eastAsia="黑体" w:cs="黑体"/>
          <w:szCs w:val="28"/>
        </w:rPr>
        <w:t xml:space="preserve">2.6. </w:t>
      </w:r>
      <w:r>
        <w:rPr>
          <w:rFonts w:hint="eastAsia"/>
          <w:highlight w:val="none"/>
        </w:rPr>
        <w:t>兼容性要求</w:t>
      </w:r>
      <w:r>
        <w:tab/>
      </w:r>
      <w:r>
        <w:fldChar w:fldCharType="begin"/>
      </w:r>
      <w:r>
        <w:instrText xml:space="preserve"> PAGEREF _Toc3895 \h </w:instrText>
      </w:r>
      <w:r>
        <w:fldChar w:fldCharType="separate"/>
      </w:r>
      <w:r>
        <w:t>26</w:t>
      </w:r>
      <w:r>
        <w:fldChar w:fldCharType="end"/>
      </w:r>
      <w:r>
        <w:rPr>
          <w:rFonts w:hint="eastAsia"/>
          <w:highlight w:val="none"/>
        </w:rPr>
        <w:fldChar w:fldCharType="end"/>
      </w:r>
    </w:p>
    <w:p w14:paraId="4656E08B">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_Toc5503 </w:instrText>
      </w:r>
      <w:r>
        <w:rPr>
          <w:rFonts w:hint="eastAsia"/>
          <w:highlight w:val="none"/>
        </w:rPr>
        <w:fldChar w:fldCharType="separate"/>
      </w:r>
      <w:r>
        <w:rPr>
          <w:rFonts w:hint="default" w:ascii="黑体" w:hAnsi="黑体" w:eastAsia="黑体" w:cs="黑体"/>
          <w:szCs w:val="28"/>
          <w:lang w:val="en-US" w:eastAsia="zh-CN"/>
        </w:rPr>
        <w:t xml:space="preserve">2.7. </w:t>
      </w:r>
      <w:r>
        <w:rPr>
          <w:rFonts w:hint="eastAsia"/>
          <w:highlight w:val="none"/>
          <w:lang w:val="en-US" w:eastAsia="zh-CN"/>
        </w:rPr>
        <w:t>★自主可控要求</w:t>
      </w:r>
      <w:r>
        <w:tab/>
      </w:r>
      <w:r>
        <w:fldChar w:fldCharType="begin"/>
      </w:r>
      <w:r>
        <w:instrText xml:space="preserve"> PAGEREF _Toc5503 \h </w:instrText>
      </w:r>
      <w:r>
        <w:fldChar w:fldCharType="separate"/>
      </w:r>
      <w:r>
        <w:t>27</w:t>
      </w:r>
      <w:r>
        <w:fldChar w:fldCharType="end"/>
      </w:r>
      <w:r>
        <w:rPr>
          <w:rFonts w:hint="eastAsia"/>
          <w:highlight w:val="none"/>
        </w:rPr>
        <w:fldChar w:fldCharType="end"/>
      </w:r>
    </w:p>
    <w:p w14:paraId="6CEA55DD">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_Toc1362 </w:instrText>
      </w:r>
      <w:r>
        <w:rPr>
          <w:rFonts w:hint="eastAsia"/>
          <w:highlight w:val="none"/>
        </w:rPr>
        <w:fldChar w:fldCharType="separate"/>
      </w:r>
      <w:r>
        <w:rPr>
          <w:rFonts w:hint="default" w:ascii="黑体" w:hAnsi="黑体" w:eastAsia="黑体" w:cs="黑体"/>
          <w:szCs w:val="28"/>
          <w:lang w:val="en-US" w:eastAsia="zh-CN"/>
        </w:rPr>
        <w:t xml:space="preserve">2.8. </w:t>
      </w:r>
      <w:r>
        <w:rPr>
          <w:rFonts w:hint="eastAsia"/>
          <w:highlight w:val="none"/>
          <w:lang w:val="en-US" w:eastAsia="zh-CN"/>
        </w:rPr>
        <w:t>系统运维要求</w:t>
      </w:r>
      <w:r>
        <w:tab/>
      </w:r>
      <w:r>
        <w:fldChar w:fldCharType="begin"/>
      </w:r>
      <w:r>
        <w:instrText xml:space="preserve"> PAGEREF _Toc1362 \h </w:instrText>
      </w:r>
      <w:r>
        <w:fldChar w:fldCharType="separate"/>
      </w:r>
      <w:r>
        <w:t>27</w:t>
      </w:r>
      <w:r>
        <w:fldChar w:fldCharType="end"/>
      </w:r>
      <w:r>
        <w:rPr>
          <w:rFonts w:hint="eastAsia"/>
          <w:highlight w:val="none"/>
        </w:rPr>
        <w:fldChar w:fldCharType="end"/>
      </w:r>
    </w:p>
    <w:p w14:paraId="72174B83">
      <w:pPr>
        <w:pStyle w:val="17"/>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_Toc5957 </w:instrText>
      </w:r>
      <w:r>
        <w:rPr>
          <w:rFonts w:hint="eastAsia"/>
          <w:highlight w:val="none"/>
        </w:rPr>
        <w:fldChar w:fldCharType="separate"/>
      </w:r>
      <w:r>
        <w:rPr>
          <w:rFonts w:hint="default" w:ascii="黑体" w:hAnsi="黑体" w:eastAsia="黑体" w:cs="黑体"/>
          <w:szCs w:val="30"/>
        </w:rPr>
        <w:t xml:space="preserve">3. </w:t>
      </w:r>
      <w:r>
        <w:rPr>
          <w:rFonts w:hint="eastAsia"/>
          <w:highlight w:val="none"/>
        </w:rPr>
        <w:t>项目</w:t>
      </w:r>
      <w:r>
        <w:rPr>
          <w:rFonts w:hint="eastAsia"/>
          <w:highlight w:val="none"/>
          <w:lang w:val="en-US" w:eastAsia="zh-CN"/>
        </w:rPr>
        <w:t>工作</w:t>
      </w:r>
      <w:r>
        <w:rPr>
          <w:rFonts w:hint="eastAsia"/>
          <w:highlight w:val="none"/>
        </w:rPr>
        <w:t>要</w:t>
      </w:r>
      <w:r>
        <w:rPr>
          <w:highlight w:val="none"/>
        </w:rPr>
        <w:t>求</w:t>
      </w:r>
      <w:r>
        <w:tab/>
      </w:r>
      <w:r>
        <w:fldChar w:fldCharType="begin"/>
      </w:r>
      <w:r>
        <w:instrText xml:space="preserve"> PAGEREF _Toc5957 \h </w:instrText>
      </w:r>
      <w:r>
        <w:fldChar w:fldCharType="separate"/>
      </w:r>
      <w:r>
        <w:t>28</w:t>
      </w:r>
      <w:r>
        <w:fldChar w:fldCharType="end"/>
      </w:r>
      <w:r>
        <w:rPr>
          <w:rFonts w:hint="eastAsia"/>
          <w:highlight w:val="none"/>
        </w:rPr>
        <w:fldChar w:fldCharType="end"/>
      </w:r>
    </w:p>
    <w:p w14:paraId="2BF28893">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_Toc16596 </w:instrText>
      </w:r>
      <w:r>
        <w:rPr>
          <w:rFonts w:hint="eastAsia"/>
          <w:highlight w:val="none"/>
        </w:rPr>
        <w:fldChar w:fldCharType="separate"/>
      </w:r>
      <w:r>
        <w:rPr>
          <w:rFonts w:hint="default" w:ascii="黑体" w:hAnsi="黑体" w:eastAsia="黑体" w:cs="黑体"/>
          <w:szCs w:val="28"/>
        </w:rPr>
        <w:t xml:space="preserve">3.1. </w:t>
      </w:r>
      <w:r>
        <w:rPr>
          <w:rFonts w:hint="eastAsia"/>
          <w:highlight w:val="none"/>
          <w:lang w:val="en-US" w:eastAsia="zh-CN"/>
        </w:rPr>
        <w:t>项目组织人员要求</w:t>
      </w:r>
      <w:r>
        <w:tab/>
      </w:r>
      <w:r>
        <w:fldChar w:fldCharType="begin"/>
      </w:r>
      <w:r>
        <w:instrText xml:space="preserve"> PAGEREF _Toc16596 \h </w:instrText>
      </w:r>
      <w:r>
        <w:fldChar w:fldCharType="separate"/>
      </w:r>
      <w:r>
        <w:t>28</w:t>
      </w:r>
      <w:r>
        <w:fldChar w:fldCharType="end"/>
      </w:r>
      <w:r>
        <w:rPr>
          <w:rFonts w:hint="eastAsia"/>
          <w:highlight w:val="none"/>
        </w:rPr>
        <w:fldChar w:fldCharType="end"/>
      </w:r>
    </w:p>
    <w:p w14:paraId="0126D7F6">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_Toc23263 </w:instrText>
      </w:r>
      <w:r>
        <w:rPr>
          <w:rFonts w:hint="eastAsia"/>
          <w:highlight w:val="none"/>
        </w:rPr>
        <w:fldChar w:fldCharType="separate"/>
      </w:r>
      <w:r>
        <w:rPr>
          <w:rFonts w:hint="default" w:ascii="黑体" w:hAnsi="黑体" w:eastAsia="黑体" w:cs="黑体"/>
          <w:szCs w:val="28"/>
        </w:rPr>
        <w:t xml:space="preserve">3.1.1. </w:t>
      </w:r>
      <w:r>
        <w:rPr>
          <w:rFonts w:hint="eastAsia"/>
          <w:highlight w:val="none"/>
        </w:rPr>
        <w:t>组织</w:t>
      </w:r>
      <w:r>
        <w:rPr>
          <w:rFonts w:hint="eastAsia"/>
          <w:highlight w:val="none"/>
          <w:lang w:val="en-US" w:eastAsia="zh-CN"/>
        </w:rPr>
        <w:t>保障</w:t>
      </w:r>
      <w:r>
        <w:tab/>
      </w:r>
      <w:r>
        <w:fldChar w:fldCharType="begin"/>
      </w:r>
      <w:r>
        <w:instrText xml:space="preserve"> PAGEREF _Toc23263 \h </w:instrText>
      </w:r>
      <w:r>
        <w:fldChar w:fldCharType="separate"/>
      </w:r>
      <w:r>
        <w:t>28</w:t>
      </w:r>
      <w:r>
        <w:fldChar w:fldCharType="end"/>
      </w:r>
      <w:r>
        <w:rPr>
          <w:rFonts w:hint="eastAsia"/>
          <w:highlight w:val="none"/>
        </w:rPr>
        <w:fldChar w:fldCharType="end"/>
      </w:r>
    </w:p>
    <w:p w14:paraId="1D0D0AE6">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_Toc27081 </w:instrText>
      </w:r>
      <w:r>
        <w:rPr>
          <w:rFonts w:hint="eastAsia"/>
          <w:highlight w:val="none"/>
        </w:rPr>
        <w:fldChar w:fldCharType="separate"/>
      </w:r>
      <w:r>
        <w:rPr>
          <w:rFonts w:hint="default" w:ascii="黑体" w:hAnsi="黑体" w:eastAsia="黑体" w:cs="黑体"/>
          <w:szCs w:val="28"/>
        </w:rPr>
        <w:t xml:space="preserve">3.1.2. </w:t>
      </w:r>
      <w:r>
        <w:rPr>
          <w:rFonts w:hint="eastAsia"/>
          <w:highlight w:val="none"/>
        </w:rPr>
        <w:t>质量</w:t>
      </w:r>
      <w:r>
        <w:rPr>
          <w:rFonts w:hint="eastAsia"/>
          <w:highlight w:val="none"/>
          <w:lang w:val="en-US" w:eastAsia="zh-CN"/>
        </w:rPr>
        <w:t>保障</w:t>
      </w:r>
      <w:r>
        <w:tab/>
      </w:r>
      <w:r>
        <w:fldChar w:fldCharType="begin"/>
      </w:r>
      <w:r>
        <w:instrText xml:space="preserve"> PAGEREF _Toc27081 \h </w:instrText>
      </w:r>
      <w:r>
        <w:fldChar w:fldCharType="separate"/>
      </w:r>
      <w:r>
        <w:t>28</w:t>
      </w:r>
      <w:r>
        <w:fldChar w:fldCharType="end"/>
      </w:r>
      <w:r>
        <w:rPr>
          <w:rFonts w:hint="eastAsia"/>
          <w:highlight w:val="none"/>
        </w:rPr>
        <w:fldChar w:fldCharType="end"/>
      </w:r>
    </w:p>
    <w:p w14:paraId="32780BC5">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_Toc600 </w:instrText>
      </w:r>
      <w:r>
        <w:rPr>
          <w:rFonts w:hint="eastAsia"/>
          <w:highlight w:val="none"/>
        </w:rPr>
        <w:fldChar w:fldCharType="separate"/>
      </w:r>
      <w:r>
        <w:rPr>
          <w:rFonts w:hint="default" w:ascii="黑体" w:hAnsi="黑体" w:eastAsia="黑体" w:cs="黑体"/>
          <w:szCs w:val="28"/>
        </w:rPr>
        <w:t xml:space="preserve">3.1.3. </w:t>
      </w:r>
      <w:r>
        <w:rPr>
          <w:rFonts w:hint="eastAsia"/>
          <w:highlight w:val="none"/>
        </w:rPr>
        <w:t>工期</w:t>
      </w:r>
      <w:r>
        <w:rPr>
          <w:rFonts w:hint="eastAsia"/>
          <w:highlight w:val="none"/>
          <w:lang w:val="en-US" w:eastAsia="zh-CN"/>
        </w:rPr>
        <w:t>保障</w:t>
      </w:r>
      <w:r>
        <w:tab/>
      </w:r>
      <w:r>
        <w:fldChar w:fldCharType="begin"/>
      </w:r>
      <w:r>
        <w:instrText xml:space="preserve"> PAGEREF _Toc600 \h </w:instrText>
      </w:r>
      <w:r>
        <w:fldChar w:fldCharType="separate"/>
      </w:r>
      <w:r>
        <w:t>30</w:t>
      </w:r>
      <w:r>
        <w:fldChar w:fldCharType="end"/>
      </w:r>
      <w:r>
        <w:rPr>
          <w:rFonts w:hint="eastAsia"/>
          <w:highlight w:val="none"/>
        </w:rPr>
        <w:fldChar w:fldCharType="end"/>
      </w:r>
    </w:p>
    <w:p w14:paraId="4DD66B54">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_Toc4985 </w:instrText>
      </w:r>
      <w:r>
        <w:rPr>
          <w:rFonts w:hint="eastAsia"/>
          <w:highlight w:val="none"/>
        </w:rPr>
        <w:fldChar w:fldCharType="separate"/>
      </w:r>
      <w:r>
        <w:rPr>
          <w:rFonts w:hint="default" w:ascii="黑体" w:hAnsi="黑体" w:eastAsia="黑体" w:cs="黑体"/>
          <w:szCs w:val="28"/>
        </w:rPr>
        <w:t xml:space="preserve">3.1.4. </w:t>
      </w:r>
      <w:r>
        <w:rPr>
          <w:rFonts w:hint="eastAsia"/>
          <w:highlight w:val="none"/>
        </w:rPr>
        <w:t>合规</w:t>
      </w:r>
      <w:r>
        <w:rPr>
          <w:rFonts w:hint="eastAsia"/>
          <w:highlight w:val="none"/>
          <w:lang w:val="en-US" w:eastAsia="zh-CN"/>
        </w:rPr>
        <w:t>保障</w:t>
      </w:r>
      <w:r>
        <w:tab/>
      </w:r>
      <w:r>
        <w:fldChar w:fldCharType="begin"/>
      </w:r>
      <w:r>
        <w:instrText xml:space="preserve"> PAGEREF _Toc4985 \h </w:instrText>
      </w:r>
      <w:r>
        <w:fldChar w:fldCharType="separate"/>
      </w:r>
      <w:r>
        <w:t>30</w:t>
      </w:r>
      <w:r>
        <w:fldChar w:fldCharType="end"/>
      </w:r>
      <w:r>
        <w:rPr>
          <w:rFonts w:hint="eastAsia"/>
          <w:highlight w:val="none"/>
        </w:rPr>
        <w:fldChar w:fldCharType="end"/>
      </w:r>
    </w:p>
    <w:p w14:paraId="14372CBF">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_Toc3993 </w:instrText>
      </w:r>
      <w:r>
        <w:rPr>
          <w:rFonts w:hint="eastAsia"/>
          <w:highlight w:val="none"/>
        </w:rPr>
        <w:fldChar w:fldCharType="separate"/>
      </w:r>
      <w:r>
        <w:rPr>
          <w:rFonts w:hint="default" w:ascii="黑体" w:hAnsi="黑体" w:eastAsia="黑体" w:cs="黑体"/>
          <w:szCs w:val="28"/>
        </w:rPr>
        <w:t xml:space="preserve">3.1.5. </w:t>
      </w:r>
      <w:r>
        <w:rPr>
          <w:rFonts w:hint="eastAsia"/>
          <w:highlight w:val="none"/>
        </w:rPr>
        <w:t>风险</w:t>
      </w:r>
      <w:r>
        <w:rPr>
          <w:rFonts w:hint="eastAsia"/>
          <w:highlight w:val="none"/>
          <w:lang w:val="en-US" w:eastAsia="zh-CN"/>
        </w:rPr>
        <w:t>保障</w:t>
      </w:r>
      <w:r>
        <w:tab/>
      </w:r>
      <w:r>
        <w:fldChar w:fldCharType="begin"/>
      </w:r>
      <w:r>
        <w:instrText xml:space="preserve"> PAGEREF _Toc3993 \h </w:instrText>
      </w:r>
      <w:r>
        <w:fldChar w:fldCharType="separate"/>
      </w:r>
      <w:r>
        <w:t>30</w:t>
      </w:r>
      <w:r>
        <w:fldChar w:fldCharType="end"/>
      </w:r>
      <w:r>
        <w:rPr>
          <w:rFonts w:hint="eastAsia"/>
          <w:highlight w:val="none"/>
        </w:rPr>
        <w:fldChar w:fldCharType="end"/>
      </w:r>
    </w:p>
    <w:p w14:paraId="2E7758CB">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_Toc3296 </w:instrText>
      </w:r>
      <w:r>
        <w:rPr>
          <w:rFonts w:hint="eastAsia"/>
          <w:highlight w:val="none"/>
        </w:rPr>
        <w:fldChar w:fldCharType="separate"/>
      </w:r>
      <w:r>
        <w:rPr>
          <w:rFonts w:hint="default" w:ascii="黑体" w:hAnsi="黑体" w:eastAsia="黑体" w:cs="黑体"/>
          <w:szCs w:val="28"/>
        </w:rPr>
        <w:t xml:space="preserve">3.2. </w:t>
      </w:r>
      <w:r>
        <w:rPr>
          <w:rFonts w:hint="eastAsia"/>
          <w:highlight w:val="none"/>
          <w:lang w:val="en-US" w:eastAsia="zh-CN"/>
        </w:rPr>
        <w:t>技术管控要求</w:t>
      </w:r>
      <w:r>
        <w:tab/>
      </w:r>
      <w:r>
        <w:fldChar w:fldCharType="begin"/>
      </w:r>
      <w:r>
        <w:instrText xml:space="preserve"> PAGEREF _Toc3296 \h </w:instrText>
      </w:r>
      <w:r>
        <w:fldChar w:fldCharType="separate"/>
      </w:r>
      <w:r>
        <w:t>31</w:t>
      </w:r>
      <w:r>
        <w:fldChar w:fldCharType="end"/>
      </w:r>
      <w:r>
        <w:rPr>
          <w:rFonts w:hint="eastAsia"/>
          <w:highlight w:val="none"/>
        </w:rPr>
        <w:fldChar w:fldCharType="end"/>
      </w:r>
    </w:p>
    <w:p w14:paraId="18CE0979">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_Toc32640 </w:instrText>
      </w:r>
      <w:r>
        <w:rPr>
          <w:rFonts w:hint="eastAsia"/>
          <w:highlight w:val="none"/>
        </w:rPr>
        <w:fldChar w:fldCharType="separate"/>
      </w:r>
      <w:r>
        <w:rPr>
          <w:rFonts w:hint="default" w:ascii="黑体" w:hAnsi="黑体" w:eastAsia="黑体" w:cs="黑体"/>
          <w:szCs w:val="28"/>
          <w:lang w:val="en-US" w:eastAsia="zh-CN"/>
        </w:rPr>
        <w:t xml:space="preserve">3.2.1. </w:t>
      </w:r>
      <w:r>
        <w:rPr>
          <w:rFonts w:hint="default"/>
          <w:highlight w:val="none"/>
          <w:lang w:val="en-US" w:eastAsia="zh-CN"/>
        </w:rPr>
        <w:t>技术</w:t>
      </w:r>
      <w:r>
        <w:rPr>
          <w:rFonts w:hint="eastAsia"/>
          <w:highlight w:val="none"/>
          <w:lang w:val="en-US" w:eastAsia="zh-CN"/>
        </w:rPr>
        <w:t>平台标准管控</w:t>
      </w:r>
      <w:r>
        <w:rPr>
          <w:rFonts w:hint="default"/>
          <w:highlight w:val="none"/>
          <w:lang w:val="en-US" w:eastAsia="zh-CN"/>
        </w:rPr>
        <w:t>要求</w:t>
      </w:r>
      <w:r>
        <w:tab/>
      </w:r>
      <w:r>
        <w:fldChar w:fldCharType="begin"/>
      </w:r>
      <w:r>
        <w:instrText xml:space="preserve"> PAGEREF _Toc32640 \h </w:instrText>
      </w:r>
      <w:r>
        <w:fldChar w:fldCharType="separate"/>
      </w:r>
      <w:r>
        <w:t>31</w:t>
      </w:r>
      <w:r>
        <w:fldChar w:fldCharType="end"/>
      </w:r>
      <w:r>
        <w:rPr>
          <w:rFonts w:hint="eastAsia"/>
          <w:highlight w:val="none"/>
        </w:rPr>
        <w:fldChar w:fldCharType="end"/>
      </w:r>
    </w:p>
    <w:p w14:paraId="040A7160">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_Toc27122 </w:instrText>
      </w:r>
      <w:r>
        <w:rPr>
          <w:rFonts w:hint="eastAsia"/>
          <w:highlight w:val="none"/>
        </w:rPr>
        <w:fldChar w:fldCharType="separate"/>
      </w:r>
      <w:r>
        <w:rPr>
          <w:rFonts w:hint="default" w:ascii="黑体" w:hAnsi="黑体" w:eastAsia="黑体" w:cs="黑体"/>
          <w:szCs w:val="28"/>
          <w:lang w:val="en-US" w:eastAsia="zh-CN"/>
        </w:rPr>
        <w:t xml:space="preserve">3.2.2. </w:t>
      </w:r>
      <w:r>
        <w:rPr>
          <w:rFonts w:hint="default"/>
          <w:highlight w:val="none"/>
          <w:lang w:val="en-US" w:eastAsia="zh-CN"/>
        </w:rPr>
        <w:t>数据</w:t>
      </w:r>
      <w:r>
        <w:rPr>
          <w:rFonts w:hint="eastAsia"/>
          <w:highlight w:val="none"/>
          <w:lang w:val="en-US" w:eastAsia="zh-CN"/>
        </w:rPr>
        <w:t>标准管控</w:t>
      </w:r>
      <w:r>
        <w:rPr>
          <w:rFonts w:hint="default"/>
          <w:highlight w:val="none"/>
          <w:lang w:val="en-US" w:eastAsia="zh-CN"/>
        </w:rPr>
        <w:t>要求</w:t>
      </w:r>
      <w:r>
        <w:tab/>
      </w:r>
      <w:r>
        <w:fldChar w:fldCharType="begin"/>
      </w:r>
      <w:r>
        <w:instrText xml:space="preserve"> PAGEREF _Toc27122 \h </w:instrText>
      </w:r>
      <w:r>
        <w:fldChar w:fldCharType="separate"/>
      </w:r>
      <w:r>
        <w:t>31</w:t>
      </w:r>
      <w:r>
        <w:fldChar w:fldCharType="end"/>
      </w:r>
      <w:r>
        <w:rPr>
          <w:rFonts w:hint="eastAsia"/>
          <w:highlight w:val="none"/>
        </w:rPr>
        <w:fldChar w:fldCharType="end"/>
      </w:r>
    </w:p>
    <w:p w14:paraId="76930E08">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_Toc7831 </w:instrText>
      </w:r>
      <w:r>
        <w:rPr>
          <w:rFonts w:hint="eastAsia"/>
          <w:highlight w:val="none"/>
        </w:rPr>
        <w:fldChar w:fldCharType="separate"/>
      </w:r>
      <w:r>
        <w:rPr>
          <w:rFonts w:hint="default" w:ascii="黑体" w:hAnsi="黑体" w:eastAsia="黑体" w:cs="黑体"/>
          <w:szCs w:val="28"/>
          <w:lang w:val="en-US" w:eastAsia="zh-CN"/>
        </w:rPr>
        <w:t xml:space="preserve">3.2.3. </w:t>
      </w:r>
      <w:r>
        <w:rPr>
          <w:rFonts w:hint="eastAsia"/>
          <w:highlight w:val="none"/>
          <w:lang w:val="en-US" w:eastAsia="zh-CN"/>
        </w:rPr>
        <w:t>网络安全技术标准管控</w:t>
      </w:r>
      <w:r>
        <w:rPr>
          <w:rFonts w:hint="default"/>
          <w:highlight w:val="none"/>
          <w:lang w:val="en-US" w:eastAsia="zh-CN"/>
        </w:rPr>
        <w:t>要求</w:t>
      </w:r>
      <w:r>
        <w:tab/>
      </w:r>
      <w:r>
        <w:fldChar w:fldCharType="begin"/>
      </w:r>
      <w:r>
        <w:instrText xml:space="preserve"> PAGEREF _Toc7831 \h </w:instrText>
      </w:r>
      <w:r>
        <w:fldChar w:fldCharType="separate"/>
      </w:r>
      <w:r>
        <w:t>31</w:t>
      </w:r>
      <w:r>
        <w:fldChar w:fldCharType="end"/>
      </w:r>
      <w:r>
        <w:rPr>
          <w:rFonts w:hint="eastAsia"/>
          <w:highlight w:val="none"/>
        </w:rPr>
        <w:fldChar w:fldCharType="end"/>
      </w:r>
    </w:p>
    <w:p w14:paraId="02411DA4">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_Toc13290 </w:instrText>
      </w:r>
      <w:r>
        <w:rPr>
          <w:rFonts w:hint="eastAsia"/>
          <w:highlight w:val="none"/>
        </w:rPr>
        <w:fldChar w:fldCharType="separate"/>
      </w:r>
      <w:r>
        <w:rPr>
          <w:rFonts w:hint="default" w:ascii="黑体" w:hAnsi="黑体" w:eastAsia="黑体" w:cs="黑体"/>
          <w:szCs w:val="28"/>
        </w:rPr>
        <w:t xml:space="preserve">3.3. </w:t>
      </w:r>
      <w:r>
        <w:rPr>
          <w:rFonts w:hint="eastAsia"/>
          <w:highlight w:val="none"/>
          <w:lang w:val="en-US" w:eastAsia="zh-CN"/>
        </w:rPr>
        <w:t>安全保障</w:t>
      </w:r>
      <w:r>
        <w:tab/>
      </w:r>
      <w:r>
        <w:fldChar w:fldCharType="begin"/>
      </w:r>
      <w:r>
        <w:instrText xml:space="preserve"> PAGEREF _Toc13290 \h </w:instrText>
      </w:r>
      <w:r>
        <w:fldChar w:fldCharType="separate"/>
      </w:r>
      <w:r>
        <w:t>31</w:t>
      </w:r>
      <w:r>
        <w:fldChar w:fldCharType="end"/>
      </w:r>
      <w:r>
        <w:rPr>
          <w:rFonts w:hint="eastAsia"/>
          <w:highlight w:val="none"/>
        </w:rPr>
        <w:fldChar w:fldCharType="end"/>
      </w:r>
    </w:p>
    <w:p w14:paraId="7187F99D">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_Toc27802 </w:instrText>
      </w:r>
      <w:r>
        <w:rPr>
          <w:rFonts w:hint="eastAsia"/>
          <w:highlight w:val="none"/>
        </w:rPr>
        <w:fldChar w:fldCharType="separate"/>
      </w:r>
      <w:r>
        <w:rPr>
          <w:rFonts w:hint="default" w:ascii="黑体" w:hAnsi="黑体" w:eastAsia="黑体" w:cs="黑体"/>
          <w:szCs w:val="28"/>
        </w:rPr>
        <w:t xml:space="preserve">3.4. </w:t>
      </w:r>
      <w:r>
        <w:rPr>
          <w:rFonts w:hint="eastAsia"/>
          <w:highlight w:val="none"/>
        </w:rPr>
        <w:t>保密要求</w:t>
      </w:r>
      <w:r>
        <w:tab/>
      </w:r>
      <w:r>
        <w:fldChar w:fldCharType="begin"/>
      </w:r>
      <w:r>
        <w:instrText xml:space="preserve"> PAGEREF _Toc27802 \h </w:instrText>
      </w:r>
      <w:r>
        <w:fldChar w:fldCharType="separate"/>
      </w:r>
      <w:r>
        <w:t>32</w:t>
      </w:r>
      <w:r>
        <w:fldChar w:fldCharType="end"/>
      </w:r>
      <w:r>
        <w:rPr>
          <w:rFonts w:hint="eastAsia"/>
          <w:highlight w:val="none"/>
        </w:rPr>
        <w:fldChar w:fldCharType="end"/>
      </w:r>
    </w:p>
    <w:p w14:paraId="45E666C1">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_Toc24891 </w:instrText>
      </w:r>
      <w:r>
        <w:rPr>
          <w:rFonts w:hint="eastAsia"/>
          <w:highlight w:val="none"/>
        </w:rPr>
        <w:fldChar w:fldCharType="separate"/>
      </w:r>
      <w:r>
        <w:rPr>
          <w:rFonts w:hint="default" w:ascii="黑体" w:hAnsi="黑体" w:eastAsia="黑体" w:cs="黑体"/>
          <w:bCs/>
          <w:szCs w:val="28"/>
          <w:lang w:val="en-US" w:eastAsia="zh-CN"/>
        </w:rPr>
        <w:t xml:space="preserve">3.4.1. </w:t>
      </w:r>
      <w:r>
        <w:rPr>
          <w:rFonts w:hint="default"/>
          <w:bCs/>
          <w:highlight w:val="none"/>
          <w:lang w:val="en-US" w:eastAsia="zh-CN"/>
        </w:rPr>
        <w:t>个人信息提供</w:t>
      </w:r>
      <w:r>
        <w:tab/>
      </w:r>
      <w:r>
        <w:fldChar w:fldCharType="begin"/>
      </w:r>
      <w:r>
        <w:instrText xml:space="preserve"> PAGEREF _Toc24891 \h </w:instrText>
      </w:r>
      <w:r>
        <w:fldChar w:fldCharType="separate"/>
      </w:r>
      <w:r>
        <w:t>32</w:t>
      </w:r>
      <w:r>
        <w:fldChar w:fldCharType="end"/>
      </w:r>
      <w:r>
        <w:rPr>
          <w:rFonts w:hint="eastAsia"/>
          <w:highlight w:val="none"/>
        </w:rPr>
        <w:fldChar w:fldCharType="end"/>
      </w:r>
    </w:p>
    <w:p w14:paraId="5A9D0F5C">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_Toc19768 </w:instrText>
      </w:r>
      <w:r>
        <w:rPr>
          <w:rFonts w:hint="eastAsia"/>
          <w:highlight w:val="none"/>
        </w:rPr>
        <w:fldChar w:fldCharType="separate"/>
      </w:r>
      <w:r>
        <w:rPr>
          <w:rFonts w:hint="default" w:ascii="黑体" w:hAnsi="黑体" w:eastAsia="黑体" w:cs="黑体"/>
          <w:bCs/>
          <w:szCs w:val="28"/>
          <w:lang w:val="en-US" w:eastAsia="zh-CN"/>
        </w:rPr>
        <w:t xml:space="preserve">3.4.2. </w:t>
      </w:r>
      <w:r>
        <w:rPr>
          <w:rFonts w:hint="default"/>
          <w:bCs/>
          <w:highlight w:val="none"/>
          <w:lang w:val="en-US" w:eastAsia="zh-CN"/>
        </w:rPr>
        <w:t>行为规范</w:t>
      </w:r>
      <w:r>
        <w:tab/>
      </w:r>
      <w:r>
        <w:fldChar w:fldCharType="begin"/>
      </w:r>
      <w:r>
        <w:instrText xml:space="preserve"> PAGEREF _Toc19768 \h </w:instrText>
      </w:r>
      <w:r>
        <w:fldChar w:fldCharType="separate"/>
      </w:r>
      <w:r>
        <w:t>32</w:t>
      </w:r>
      <w:r>
        <w:fldChar w:fldCharType="end"/>
      </w:r>
      <w:r>
        <w:rPr>
          <w:rFonts w:hint="eastAsia"/>
          <w:highlight w:val="none"/>
        </w:rPr>
        <w:fldChar w:fldCharType="end"/>
      </w:r>
    </w:p>
    <w:p w14:paraId="39A6E451">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_Toc31192 </w:instrText>
      </w:r>
      <w:r>
        <w:rPr>
          <w:rFonts w:hint="eastAsia"/>
          <w:highlight w:val="none"/>
        </w:rPr>
        <w:fldChar w:fldCharType="separate"/>
      </w:r>
      <w:r>
        <w:rPr>
          <w:rFonts w:hint="default" w:ascii="黑体" w:hAnsi="黑体" w:eastAsia="黑体" w:cs="黑体"/>
          <w:szCs w:val="28"/>
          <w:lang w:eastAsia="zh-CN"/>
        </w:rPr>
        <w:t xml:space="preserve">3.5. </w:t>
      </w:r>
      <w:r>
        <w:rPr>
          <w:rFonts w:hint="eastAsia"/>
          <w:highlight w:val="none"/>
          <w:lang w:val="en-US" w:eastAsia="zh-CN"/>
        </w:rPr>
        <w:t>项目进度要求</w:t>
      </w:r>
      <w:r>
        <w:tab/>
      </w:r>
      <w:r>
        <w:fldChar w:fldCharType="begin"/>
      </w:r>
      <w:r>
        <w:instrText xml:space="preserve"> PAGEREF _Toc31192 \h </w:instrText>
      </w:r>
      <w:r>
        <w:fldChar w:fldCharType="separate"/>
      </w:r>
      <w:r>
        <w:t>33</w:t>
      </w:r>
      <w:r>
        <w:fldChar w:fldCharType="end"/>
      </w:r>
      <w:r>
        <w:rPr>
          <w:rFonts w:hint="eastAsia"/>
          <w:highlight w:val="none"/>
        </w:rPr>
        <w:fldChar w:fldCharType="end"/>
      </w:r>
    </w:p>
    <w:p w14:paraId="6958E473">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_Toc30626 </w:instrText>
      </w:r>
      <w:r>
        <w:rPr>
          <w:rFonts w:hint="eastAsia"/>
          <w:highlight w:val="none"/>
        </w:rPr>
        <w:fldChar w:fldCharType="separate"/>
      </w:r>
      <w:r>
        <w:rPr>
          <w:rFonts w:hint="default" w:ascii="黑体" w:hAnsi="黑体" w:eastAsia="黑体" w:cs="黑体"/>
          <w:szCs w:val="28"/>
          <w:lang w:eastAsia="zh-CN"/>
        </w:rPr>
        <w:t xml:space="preserve">3.5.1. </w:t>
      </w:r>
      <w:r>
        <w:rPr>
          <w:rFonts w:hint="eastAsia"/>
          <w:highlight w:val="none"/>
          <w:lang w:eastAsia="zh-CN"/>
        </w:rPr>
        <w:t>项目启动</w:t>
      </w:r>
      <w:r>
        <w:tab/>
      </w:r>
      <w:r>
        <w:fldChar w:fldCharType="begin"/>
      </w:r>
      <w:r>
        <w:instrText xml:space="preserve"> PAGEREF _Toc30626 \h </w:instrText>
      </w:r>
      <w:r>
        <w:fldChar w:fldCharType="separate"/>
      </w:r>
      <w:r>
        <w:t>33</w:t>
      </w:r>
      <w:r>
        <w:fldChar w:fldCharType="end"/>
      </w:r>
      <w:r>
        <w:rPr>
          <w:rFonts w:hint="eastAsia"/>
          <w:highlight w:val="none"/>
        </w:rPr>
        <w:fldChar w:fldCharType="end"/>
      </w:r>
    </w:p>
    <w:p w14:paraId="7ED7061D">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_Toc13040 </w:instrText>
      </w:r>
      <w:r>
        <w:rPr>
          <w:rFonts w:hint="eastAsia"/>
          <w:highlight w:val="none"/>
        </w:rPr>
        <w:fldChar w:fldCharType="separate"/>
      </w:r>
      <w:r>
        <w:rPr>
          <w:rFonts w:hint="default" w:ascii="黑体" w:hAnsi="黑体" w:eastAsia="黑体" w:cs="黑体"/>
          <w:szCs w:val="28"/>
          <w:lang w:eastAsia="zh-CN"/>
        </w:rPr>
        <w:t xml:space="preserve">3.5.2. </w:t>
      </w:r>
      <w:r>
        <w:rPr>
          <w:rFonts w:hint="eastAsia"/>
          <w:highlight w:val="none"/>
          <w:lang w:eastAsia="zh-CN"/>
        </w:rPr>
        <w:t>环境准备</w:t>
      </w:r>
      <w:r>
        <w:tab/>
      </w:r>
      <w:r>
        <w:fldChar w:fldCharType="begin"/>
      </w:r>
      <w:r>
        <w:instrText xml:space="preserve"> PAGEREF _Toc13040 \h </w:instrText>
      </w:r>
      <w:r>
        <w:fldChar w:fldCharType="separate"/>
      </w:r>
      <w:r>
        <w:t>34</w:t>
      </w:r>
      <w:r>
        <w:fldChar w:fldCharType="end"/>
      </w:r>
      <w:r>
        <w:rPr>
          <w:rFonts w:hint="eastAsia"/>
          <w:highlight w:val="none"/>
        </w:rPr>
        <w:fldChar w:fldCharType="end"/>
      </w:r>
    </w:p>
    <w:p w14:paraId="19D92BE0">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_Toc25588 </w:instrText>
      </w:r>
      <w:r>
        <w:rPr>
          <w:rFonts w:hint="eastAsia"/>
          <w:highlight w:val="none"/>
        </w:rPr>
        <w:fldChar w:fldCharType="separate"/>
      </w:r>
      <w:r>
        <w:rPr>
          <w:rFonts w:hint="default" w:ascii="黑体" w:hAnsi="黑体" w:eastAsia="黑体" w:cs="黑体"/>
          <w:szCs w:val="28"/>
          <w:lang w:eastAsia="zh-CN"/>
        </w:rPr>
        <w:t xml:space="preserve">3.5.3. </w:t>
      </w:r>
      <w:r>
        <w:rPr>
          <w:rFonts w:hint="eastAsia"/>
          <w:highlight w:val="none"/>
          <w:lang w:eastAsia="zh-CN"/>
        </w:rPr>
        <w:t>系统初始化</w:t>
      </w:r>
      <w:r>
        <w:tab/>
      </w:r>
      <w:r>
        <w:fldChar w:fldCharType="begin"/>
      </w:r>
      <w:r>
        <w:instrText xml:space="preserve"> PAGEREF _Toc25588 \h </w:instrText>
      </w:r>
      <w:r>
        <w:fldChar w:fldCharType="separate"/>
      </w:r>
      <w:r>
        <w:t>34</w:t>
      </w:r>
      <w:r>
        <w:fldChar w:fldCharType="end"/>
      </w:r>
      <w:r>
        <w:rPr>
          <w:rFonts w:hint="eastAsia"/>
          <w:highlight w:val="none"/>
        </w:rPr>
        <w:fldChar w:fldCharType="end"/>
      </w:r>
    </w:p>
    <w:p w14:paraId="5A1D6015">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_Toc25936 </w:instrText>
      </w:r>
      <w:r>
        <w:rPr>
          <w:rFonts w:hint="eastAsia"/>
          <w:highlight w:val="none"/>
        </w:rPr>
        <w:fldChar w:fldCharType="separate"/>
      </w:r>
      <w:r>
        <w:rPr>
          <w:rFonts w:hint="default" w:ascii="黑体" w:hAnsi="黑体" w:eastAsia="黑体" w:cs="黑体"/>
          <w:szCs w:val="28"/>
          <w:lang w:eastAsia="zh-CN"/>
        </w:rPr>
        <w:t xml:space="preserve">3.5.4. </w:t>
      </w:r>
      <w:r>
        <w:rPr>
          <w:rFonts w:hint="eastAsia"/>
          <w:highlight w:val="none"/>
          <w:lang w:eastAsia="zh-CN"/>
        </w:rPr>
        <w:t>集成调试</w:t>
      </w:r>
      <w:r>
        <w:tab/>
      </w:r>
      <w:r>
        <w:fldChar w:fldCharType="begin"/>
      </w:r>
      <w:r>
        <w:instrText xml:space="preserve"> PAGEREF _Toc25936 \h </w:instrText>
      </w:r>
      <w:r>
        <w:fldChar w:fldCharType="separate"/>
      </w:r>
      <w:r>
        <w:t>34</w:t>
      </w:r>
      <w:r>
        <w:fldChar w:fldCharType="end"/>
      </w:r>
      <w:r>
        <w:rPr>
          <w:rFonts w:hint="eastAsia"/>
          <w:highlight w:val="none"/>
        </w:rPr>
        <w:fldChar w:fldCharType="end"/>
      </w:r>
    </w:p>
    <w:p w14:paraId="30586ED8">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_Toc11382 </w:instrText>
      </w:r>
      <w:r>
        <w:rPr>
          <w:rFonts w:hint="eastAsia"/>
          <w:highlight w:val="none"/>
        </w:rPr>
        <w:fldChar w:fldCharType="separate"/>
      </w:r>
      <w:r>
        <w:rPr>
          <w:rFonts w:hint="default" w:ascii="黑体" w:hAnsi="黑体" w:eastAsia="黑体" w:cs="黑体"/>
          <w:szCs w:val="28"/>
          <w:lang w:val="en-US" w:eastAsia="zh-CN"/>
        </w:rPr>
        <w:t xml:space="preserve">3.5.5. </w:t>
      </w:r>
      <w:r>
        <w:rPr>
          <w:rFonts w:hint="eastAsia"/>
          <w:highlight w:val="none"/>
          <w:lang w:val="en-US" w:eastAsia="zh-CN"/>
        </w:rPr>
        <w:t>初验验收</w:t>
      </w:r>
      <w:r>
        <w:tab/>
      </w:r>
      <w:r>
        <w:fldChar w:fldCharType="begin"/>
      </w:r>
      <w:r>
        <w:instrText xml:space="preserve"> PAGEREF _Toc11382 \h </w:instrText>
      </w:r>
      <w:r>
        <w:fldChar w:fldCharType="separate"/>
      </w:r>
      <w:r>
        <w:t>34</w:t>
      </w:r>
      <w:r>
        <w:fldChar w:fldCharType="end"/>
      </w:r>
      <w:r>
        <w:rPr>
          <w:rFonts w:hint="eastAsia"/>
          <w:highlight w:val="none"/>
        </w:rPr>
        <w:fldChar w:fldCharType="end"/>
      </w:r>
    </w:p>
    <w:p w14:paraId="3673ED2D">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_Toc7173 </w:instrText>
      </w:r>
      <w:r>
        <w:rPr>
          <w:rFonts w:hint="eastAsia"/>
          <w:highlight w:val="none"/>
        </w:rPr>
        <w:fldChar w:fldCharType="separate"/>
      </w:r>
      <w:r>
        <w:rPr>
          <w:rFonts w:hint="default" w:ascii="黑体" w:hAnsi="黑体" w:eastAsia="黑体" w:cs="黑体"/>
          <w:szCs w:val="28"/>
          <w:lang w:eastAsia="zh-CN"/>
        </w:rPr>
        <w:t xml:space="preserve">3.5.6. </w:t>
      </w:r>
      <w:r>
        <w:rPr>
          <w:rFonts w:hint="eastAsia"/>
          <w:highlight w:val="none"/>
          <w:lang w:eastAsia="zh-CN"/>
        </w:rPr>
        <w:t>试运行</w:t>
      </w:r>
      <w:r>
        <w:tab/>
      </w:r>
      <w:r>
        <w:fldChar w:fldCharType="begin"/>
      </w:r>
      <w:r>
        <w:instrText xml:space="preserve"> PAGEREF _Toc7173 \h </w:instrText>
      </w:r>
      <w:r>
        <w:fldChar w:fldCharType="separate"/>
      </w:r>
      <w:r>
        <w:t>34</w:t>
      </w:r>
      <w:r>
        <w:fldChar w:fldCharType="end"/>
      </w:r>
      <w:r>
        <w:rPr>
          <w:rFonts w:hint="eastAsia"/>
          <w:highlight w:val="none"/>
        </w:rPr>
        <w:fldChar w:fldCharType="end"/>
      </w:r>
    </w:p>
    <w:p w14:paraId="604D0553">
      <w:pPr>
        <w:pStyle w:val="14"/>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_Toc19010 </w:instrText>
      </w:r>
      <w:r>
        <w:rPr>
          <w:rFonts w:hint="eastAsia"/>
          <w:highlight w:val="none"/>
        </w:rPr>
        <w:fldChar w:fldCharType="separate"/>
      </w:r>
      <w:r>
        <w:rPr>
          <w:rFonts w:hint="default" w:ascii="黑体" w:hAnsi="黑体" w:eastAsia="黑体" w:cs="黑体"/>
          <w:szCs w:val="28"/>
          <w:lang w:val="en-US" w:eastAsia="zh-CN"/>
        </w:rPr>
        <w:t xml:space="preserve">3.5.7. </w:t>
      </w:r>
      <w:r>
        <w:rPr>
          <w:rFonts w:hint="eastAsia"/>
          <w:highlight w:val="none"/>
          <w:lang w:val="en-US" w:eastAsia="zh-CN"/>
        </w:rPr>
        <w:t>竣工验收</w:t>
      </w:r>
      <w:r>
        <w:tab/>
      </w:r>
      <w:r>
        <w:fldChar w:fldCharType="begin"/>
      </w:r>
      <w:r>
        <w:instrText xml:space="preserve"> PAGEREF _Toc19010 \h </w:instrText>
      </w:r>
      <w:r>
        <w:fldChar w:fldCharType="separate"/>
      </w:r>
      <w:r>
        <w:t>34</w:t>
      </w:r>
      <w:r>
        <w:fldChar w:fldCharType="end"/>
      </w:r>
      <w:r>
        <w:rPr>
          <w:rFonts w:hint="eastAsia"/>
          <w:highlight w:val="none"/>
        </w:rPr>
        <w:fldChar w:fldCharType="end"/>
      </w:r>
    </w:p>
    <w:p w14:paraId="64D30ADB">
      <w:pPr>
        <w:pStyle w:val="17"/>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_Toc9471 </w:instrText>
      </w:r>
      <w:r>
        <w:rPr>
          <w:rFonts w:hint="eastAsia"/>
          <w:highlight w:val="none"/>
        </w:rPr>
        <w:fldChar w:fldCharType="separate"/>
      </w:r>
      <w:r>
        <w:rPr>
          <w:rFonts w:hint="default" w:ascii="黑体" w:hAnsi="黑体" w:eastAsia="黑体" w:cs="黑体"/>
          <w:szCs w:val="30"/>
        </w:rPr>
        <w:t xml:space="preserve">4. </w:t>
      </w:r>
      <w:r>
        <w:rPr>
          <w:rFonts w:hint="eastAsia"/>
          <w:highlight w:val="none"/>
          <w:lang w:val="en-US" w:eastAsia="zh-CN"/>
        </w:rPr>
        <w:t>工作成果交付</w:t>
      </w:r>
      <w:r>
        <w:tab/>
      </w:r>
      <w:r>
        <w:fldChar w:fldCharType="begin"/>
      </w:r>
      <w:r>
        <w:instrText xml:space="preserve"> PAGEREF _Toc9471 \h </w:instrText>
      </w:r>
      <w:r>
        <w:fldChar w:fldCharType="separate"/>
      </w:r>
      <w:r>
        <w:t>34</w:t>
      </w:r>
      <w:r>
        <w:fldChar w:fldCharType="end"/>
      </w:r>
      <w:r>
        <w:rPr>
          <w:rFonts w:hint="eastAsia"/>
          <w:highlight w:val="none"/>
        </w:rPr>
        <w:fldChar w:fldCharType="end"/>
      </w:r>
    </w:p>
    <w:p w14:paraId="6FBD55CA">
      <w:pPr>
        <w:pStyle w:val="17"/>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_Toc4061 </w:instrText>
      </w:r>
      <w:r>
        <w:rPr>
          <w:rFonts w:hint="eastAsia"/>
          <w:highlight w:val="none"/>
        </w:rPr>
        <w:fldChar w:fldCharType="separate"/>
      </w:r>
      <w:r>
        <w:rPr>
          <w:rFonts w:hint="default" w:ascii="黑体" w:hAnsi="黑体" w:eastAsia="黑体" w:cs="黑体"/>
          <w:szCs w:val="30"/>
        </w:rPr>
        <w:t xml:space="preserve">5. </w:t>
      </w:r>
      <w:r>
        <w:rPr>
          <w:rFonts w:hint="eastAsia"/>
          <w:highlight w:val="none"/>
        </w:rPr>
        <w:t>项目售后服务</w:t>
      </w:r>
      <w:r>
        <w:rPr>
          <w:highlight w:val="none"/>
        </w:rPr>
        <w:t>要求</w:t>
      </w:r>
      <w:r>
        <w:tab/>
      </w:r>
      <w:r>
        <w:fldChar w:fldCharType="begin"/>
      </w:r>
      <w:r>
        <w:instrText xml:space="preserve"> PAGEREF _Toc4061 \h </w:instrText>
      </w:r>
      <w:r>
        <w:fldChar w:fldCharType="separate"/>
      </w:r>
      <w:r>
        <w:t>35</w:t>
      </w:r>
      <w:r>
        <w:fldChar w:fldCharType="end"/>
      </w:r>
      <w:r>
        <w:rPr>
          <w:rFonts w:hint="eastAsia"/>
          <w:highlight w:val="none"/>
        </w:rPr>
        <w:fldChar w:fldCharType="end"/>
      </w:r>
    </w:p>
    <w:p w14:paraId="56CE4038">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_Toc7095 </w:instrText>
      </w:r>
      <w:r>
        <w:rPr>
          <w:rFonts w:hint="eastAsia"/>
          <w:highlight w:val="none"/>
        </w:rPr>
        <w:fldChar w:fldCharType="separate"/>
      </w:r>
      <w:r>
        <w:rPr>
          <w:rFonts w:hint="default" w:ascii="黑体" w:hAnsi="黑体" w:eastAsia="黑体" w:cs="黑体"/>
          <w:szCs w:val="28"/>
        </w:rPr>
        <w:t xml:space="preserve">5.1. </w:t>
      </w:r>
      <w:r>
        <w:rPr>
          <w:rFonts w:hint="eastAsia"/>
          <w:highlight w:val="none"/>
        </w:rPr>
        <w:t>质保服务</w:t>
      </w:r>
      <w:r>
        <w:tab/>
      </w:r>
      <w:r>
        <w:fldChar w:fldCharType="begin"/>
      </w:r>
      <w:r>
        <w:instrText xml:space="preserve"> PAGEREF _Toc7095 \h </w:instrText>
      </w:r>
      <w:r>
        <w:fldChar w:fldCharType="separate"/>
      </w:r>
      <w:r>
        <w:t>35</w:t>
      </w:r>
      <w:r>
        <w:fldChar w:fldCharType="end"/>
      </w:r>
      <w:r>
        <w:rPr>
          <w:rFonts w:hint="eastAsia"/>
          <w:highlight w:val="none"/>
        </w:rPr>
        <w:fldChar w:fldCharType="end"/>
      </w:r>
    </w:p>
    <w:p w14:paraId="5D482A47">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_Toc6585 </w:instrText>
      </w:r>
      <w:r>
        <w:rPr>
          <w:rFonts w:hint="eastAsia"/>
          <w:highlight w:val="none"/>
        </w:rPr>
        <w:fldChar w:fldCharType="separate"/>
      </w:r>
      <w:r>
        <w:rPr>
          <w:rFonts w:hint="default" w:ascii="黑体" w:hAnsi="黑体" w:eastAsia="黑体" w:cs="黑体"/>
          <w:szCs w:val="28"/>
        </w:rPr>
        <w:t xml:space="preserve">5.2. </w:t>
      </w:r>
      <w:r>
        <w:rPr>
          <w:rFonts w:hint="eastAsia"/>
          <w:highlight w:val="none"/>
        </w:rPr>
        <w:t>售后服务</w:t>
      </w:r>
      <w:r>
        <w:tab/>
      </w:r>
      <w:r>
        <w:fldChar w:fldCharType="begin"/>
      </w:r>
      <w:r>
        <w:instrText xml:space="preserve"> PAGEREF _Toc6585 \h </w:instrText>
      </w:r>
      <w:r>
        <w:fldChar w:fldCharType="separate"/>
      </w:r>
      <w:r>
        <w:t>36</w:t>
      </w:r>
      <w:r>
        <w:fldChar w:fldCharType="end"/>
      </w:r>
      <w:r>
        <w:rPr>
          <w:rFonts w:hint="eastAsia"/>
          <w:highlight w:val="none"/>
        </w:rPr>
        <w:fldChar w:fldCharType="end"/>
      </w:r>
    </w:p>
    <w:p w14:paraId="30787484">
      <w:pPr>
        <w:pStyle w:val="17"/>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_Toc26159 </w:instrText>
      </w:r>
      <w:r>
        <w:rPr>
          <w:rFonts w:hint="eastAsia"/>
          <w:highlight w:val="none"/>
        </w:rPr>
        <w:fldChar w:fldCharType="separate"/>
      </w:r>
      <w:r>
        <w:rPr>
          <w:rFonts w:hint="default" w:ascii="黑体" w:hAnsi="黑体" w:eastAsia="黑体" w:cs="黑体"/>
          <w:szCs w:val="30"/>
        </w:rPr>
        <w:t xml:space="preserve">6. </w:t>
      </w:r>
      <w:r>
        <w:rPr>
          <w:rFonts w:hint="eastAsia"/>
          <w:highlight w:val="none"/>
        </w:rPr>
        <w:t>知识产权要求</w:t>
      </w:r>
      <w:r>
        <w:tab/>
      </w:r>
      <w:r>
        <w:fldChar w:fldCharType="begin"/>
      </w:r>
      <w:r>
        <w:instrText xml:space="preserve"> PAGEREF _Toc26159 \h </w:instrText>
      </w:r>
      <w:r>
        <w:fldChar w:fldCharType="separate"/>
      </w:r>
      <w:r>
        <w:t>37</w:t>
      </w:r>
      <w:r>
        <w:fldChar w:fldCharType="end"/>
      </w:r>
      <w:r>
        <w:rPr>
          <w:rFonts w:hint="eastAsia"/>
          <w:highlight w:val="none"/>
        </w:rPr>
        <w:fldChar w:fldCharType="end"/>
      </w:r>
    </w:p>
    <w:p w14:paraId="77B47FB6">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_Toc27591 </w:instrText>
      </w:r>
      <w:r>
        <w:rPr>
          <w:rFonts w:hint="eastAsia"/>
          <w:highlight w:val="none"/>
        </w:rPr>
        <w:fldChar w:fldCharType="separate"/>
      </w:r>
      <w:r>
        <w:rPr>
          <w:rFonts w:hint="default" w:ascii="黑体" w:hAnsi="黑体" w:eastAsia="黑体" w:cs="黑体"/>
          <w:szCs w:val="28"/>
        </w:rPr>
        <w:t xml:space="preserve">6.1. </w:t>
      </w:r>
      <w:r>
        <w:rPr>
          <w:rFonts w:hint="eastAsia"/>
          <w:highlight w:val="none"/>
        </w:rPr>
        <w:t>权利保证与瑕疵担保</w:t>
      </w:r>
      <w:r>
        <w:tab/>
      </w:r>
      <w:r>
        <w:fldChar w:fldCharType="begin"/>
      </w:r>
      <w:r>
        <w:instrText xml:space="preserve"> PAGEREF _Toc27591 \h </w:instrText>
      </w:r>
      <w:r>
        <w:fldChar w:fldCharType="separate"/>
      </w:r>
      <w:r>
        <w:t>37</w:t>
      </w:r>
      <w:r>
        <w:fldChar w:fldCharType="end"/>
      </w:r>
      <w:r>
        <w:rPr>
          <w:rFonts w:hint="eastAsia"/>
          <w:highlight w:val="none"/>
        </w:rPr>
        <w:fldChar w:fldCharType="end"/>
      </w:r>
    </w:p>
    <w:p w14:paraId="6B5E6D0E">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_Toc7874 </w:instrText>
      </w:r>
      <w:r>
        <w:rPr>
          <w:rFonts w:hint="eastAsia"/>
          <w:highlight w:val="none"/>
        </w:rPr>
        <w:fldChar w:fldCharType="separate"/>
      </w:r>
      <w:r>
        <w:rPr>
          <w:rFonts w:hint="default" w:ascii="黑体" w:hAnsi="黑体" w:eastAsia="黑体" w:cs="黑体"/>
          <w:szCs w:val="28"/>
        </w:rPr>
        <w:t xml:space="preserve">6.2. </w:t>
      </w:r>
      <w:r>
        <w:rPr>
          <w:rFonts w:hint="eastAsia"/>
          <w:highlight w:val="none"/>
        </w:rPr>
        <w:t>已有知识产权的归属</w:t>
      </w:r>
      <w:r>
        <w:tab/>
      </w:r>
      <w:r>
        <w:fldChar w:fldCharType="begin"/>
      </w:r>
      <w:r>
        <w:instrText xml:space="preserve"> PAGEREF _Toc7874 \h </w:instrText>
      </w:r>
      <w:r>
        <w:fldChar w:fldCharType="separate"/>
      </w:r>
      <w:r>
        <w:t>37</w:t>
      </w:r>
      <w:r>
        <w:fldChar w:fldCharType="end"/>
      </w:r>
      <w:r>
        <w:rPr>
          <w:rFonts w:hint="eastAsia"/>
          <w:highlight w:val="none"/>
        </w:rPr>
        <w:fldChar w:fldCharType="end"/>
      </w:r>
    </w:p>
    <w:p w14:paraId="36781960">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_Toc27766 </w:instrText>
      </w:r>
      <w:r>
        <w:rPr>
          <w:rFonts w:hint="eastAsia"/>
          <w:highlight w:val="none"/>
        </w:rPr>
        <w:fldChar w:fldCharType="separate"/>
      </w:r>
      <w:r>
        <w:rPr>
          <w:rFonts w:hint="default" w:ascii="黑体" w:hAnsi="黑体" w:eastAsia="黑体" w:cs="黑体"/>
          <w:szCs w:val="28"/>
        </w:rPr>
        <w:t xml:space="preserve">6.3. </w:t>
      </w:r>
      <w:r>
        <w:rPr>
          <w:rFonts w:hint="eastAsia"/>
          <w:highlight w:val="none"/>
        </w:rPr>
        <w:t>项目成果的知识产权归属</w:t>
      </w:r>
      <w:r>
        <w:tab/>
      </w:r>
      <w:r>
        <w:fldChar w:fldCharType="begin"/>
      </w:r>
      <w:r>
        <w:instrText xml:space="preserve"> PAGEREF _Toc27766 \h </w:instrText>
      </w:r>
      <w:r>
        <w:fldChar w:fldCharType="separate"/>
      </w:r>
      <w:r>
        <w:t>37</w:t>
      </w:r>
      <w:r>
        <w:fldChar w:fldCharType="end"/>
      </w:r>
      <w:r>
        <w:rPr>
          <w:rFonts w:hint="eastAsia"/>
          <w:highlight w:val="none"/>
        </w:rPr>
        <w:fldChar w:fldCharType="end"/>
      </w:r>
    </w:p>
    <w:p w14:paraId="1207BA2E">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_Toc31132 </w:instrText>
      </w:r>
      <w:r>
        <w:rPr>
          <w:rFonts w:hint="eastAsia"/>
          <w:highlight w:val="none"/>
        </w:rPr>
        <w:fldChar w:fldCharType="separate"/>
      </w:r>
      <w:r>
        <w:rPr>
          <w:rFonts w:hint="default" w:ascii="黑体" w:hAnsi="黑体" w:eastAsia="黑体" w:cs="黑体"/>
          <w:szCs w:val="28"/>
        </w:rPr>
        <w:t xml:space="preserve">6.4. </w:t>
      </w:r>
      <w:r>
        <w:rPr>
          <w:rFonts w:hint="eastAsia"/>
          <w:highlight w:val="none"/>
        </w:rPr>
        <w:t>项目成果的使用许可</w:t>
      </w:r>
      <w:r>
        <w:tab/>
      </w:r>
      <w:r>
        <w:fldChar w:fldCharType="begin"/>
      </w:r>
      <w:r>
        <w:instrText xml:space="preserve"> PAGEREF _Toc31132 \h </w:instrText>
      </w:r>
      <w:r>
        <w:fldChar w:fldCharType="separate"/>
      </w:r>
      <w:r>
        <w:t>38</w:t>
      </w:r>
      <w:r>
        <w:fldChar w:fldCharType="end"/>
      </w:r>
      <w:r>
        <w:rPr>
          <w:rFonts w:hint="eastAsia"/>
          <w:highlight w:val="none"/>
        </w:rPr>
        <w:fldChar w:fldCharType="end"/>
      </w:r>
    </w:p>
    <w:p w14:paraId="353C7B2D">
      <w:pPr>
        <w:pStyle w:val="18"/>
        <w:keepNext w:val="0"/>
        <w:keepLines w:val="0"/>
        <w:pageBreakBefore w:val="0"/>
        <w:widowControl w:val="0"/>
        <w:tabs>
          <w:tab w:val="right" w:leader="dot" w:pos="8306"/>
        </w:tabs>
        <w:kinsoku/>
        <w:wordWrap w:val="0"/>
        <w:overflowPunct/>
        <w:topLinePunct w:val="0"/>
        <w:autoSpaceDE/>
        <w:autoSpaceDN/>
        <w:bidi w:val="0"/>
        <w:adjustRightInd/>
        <w:snapToGrid/>
        <w:spacing w:line="336" w:lineRule="auto"/>
        <w:textAlignment w:val="auto"/>
      </w:pPr>
      <w:r>
        <w:rPr>
          <w:rFonts w:hint="eastAsia"/>
          <w:highlight w:val="none"/>
        </w:rPr>
        <w:fldChar w:fldCharType="begin"/>
      </w:r>
      <w:r>
        <w:rPr>
          <w:rFonts w:hint="eastAsia"/>
          <w:highlight w:val="none"/>
        </w:rPr>
        <w:instrText xml:space="preserve"> HYPERLINK \l _Toc12503 </w:instrText>
      </w:r>
      <w:r>
        <w:rPr>
          <w:rFonts w:hint="eastAsia"/>
          <w:highlight w:val="none"/>
        </w:rPr>
        <w:fldChar w:fldCharType="separate"/>
      </w:r>
      <w:r>
        <w:rPr>
          <w:rFonts w:hint="default" w:ascii="黑体" w:hAnsi="黑体" w:eastAsia="黑体" w:cs="黑体"/>
          <w:szCs w:val="28"/>
        </w:rPr>
        <w:t xml:space="preserve">6.5. </w:t>
      </w:r>
      <w:r>
        <w:rPr>
          <w:rFonts w:hint="eastAsia"/>
          <w:highlight w:val="none"/>
        </w:rPr>
        <w:t>合规使用与法律责任</w:t>
      </w:r>
      <w:r>
        <w:tab/>
      </w:r>
      <w:r>
        <w:fldChar w:fldCharType="begin"/>
      </w:r>
      <w:r>
        <w:instrText xml:space="preserve"> PAGEREF _Toc12503 \h </w:instrText>
      </w:r>
      <w:r>
        <w:fldChar w:fldCharType="separate"/>
      </w:r>
      <w:r>
        <w:t>38</w:t>
      </w:r>
      <w:r>
        <w:fldChar w:fldCharType="end"/>
      </w:r>
      <w:r>
        <w:rPr>
          <w:rFonts w:hint="eastAsia"/>
          <w:highlight w:val="none"/>
        </w:rPr>
        <w:fldChar w:fldCharType="end"/>
      </w:r>
    </w:p>
    <w:p w14:paraId="7072FE60">
      <w:pPr>
        <w:keepNext w:val="0"/>
        <w:keepLines w:val="0"/>
        <w:pageBreakBefore w:val="0"/>
        <w:widowControl w:val="0"/>
        <w:kinsoku/>
        <w:wordWrap w:val="0"/>
        <w:overflowPunct/>
        <w:topLinePunct w:val="0"/>
        <w:autoSpaceDE/>
        <w:autoSpaceDN/>
        <w:bidi w:val="0"/>
        <w:adjustRightInd/>
        <w:snapToGrid/>
        <w:spacing w:line="336" w:lineRule="auto"/>
        <w:ind w:firstLine="0" w:firstLineChars="0"/>
        <w:textAlignment w:val="auto"/>
        <w:rPr>
          <w:rFonts w:hint="eastAsia"/>
          <w:highlight w:val="none"/>
        </w:rPr>
      </w:pPr>
      <w:r>
        <w:rPr>
          <w:rFonts w:hint="eastAsia"/>
          <w:highlight w:val="none"/>
        </w:rPr>
        <w:fldChar w:fldCharType="end"/>
      </w:r>
    </w:p>
    <w:p w14:paraId="0C0E35D9">
      <w:pPr>
        <w:pStyle w:val="4"/>
        <w:bidi w:val="0"/>
        <w:rPr>
          <w:rFonts w:hint="eastAsia" w:ascii="黑体" w:hAnsi="黑体" w:eastAsia="黑体" w:cs="黑体"/>
          <w:sz w:val="30"/>
          <w:szCs w:val="30"/>
          <w:highlight w:val="none"/>
        </w:rPr>
      </w:pPr>
      <w:bookmarkStart w:id="4" w:name="_Toc29871"/>
      <w:bookmarkStart w:id="5" w:name="_Toc10134"/>
      <w:bookmarkStart w:id="6" w:name="_Toc23244"/>
      <w:r>
        <w:rPr>
          <w:rFonts w:hint="eastAsia" w:ascii="黑体" w:hAnsi="黑体" w:eastAsia="黑体" w:cs="黑体"/>
          <w:sz w:val="30"/>
          <w:szCs w:val="30"/>
          <w:highlight w:val="none"/>
        </w:rPr>
        <w:t>项目概述</w:t>
      </w:r>
      <w:bookmarkEnd w:id="0"/>
      <w:bookmarkEnd w:id="1"/>
      <w:bookmarkEnd w:id="2"/>
      <w:bookmarkEnd w:id="3"/>
      <w:bookmarkEnd w:id="4"/>
      <w:bookmarkEnd w:id="5"/>
      <w:bookmarkEnd w:id="6"/>
    </w:p>
    <w:p w14:paraId="0757C6CD">
      <w:pPr>
        <w:pStyle w:val="5"/>
        <w:tabs>
          <w:tab w:val="left" w:pos="0"/>
          <w:tab w:val="left" w:pos="840"/>
        </w:tabs>
        <w:spacing w:line="360" w:lineRule="auto"/>
        <w:rPr>
          <w:rFonts w:hint="eastAsia" w:eastAsia="黑体" w:asciiTheme="majorHAnsi" w:hAnsiTheme="majorHAnsi" w:cstheme="majorBidi"/>
          <w:b/>
          <w:bCs/>
          <w:color w:val="auto"/>
          <w:sz w:val="28"/>
          <w:szCs w:val="32"/>
          <w:highlight w:val="none"/>
          <w:lang w:val="en-US" w:eastAsia="zh-CN" w:bidi="ar-SA"/>
        </w:rPr>
      </w:pPr>
      <w:bookmarkStart w:id="7" w:name="_Toc371038833"/>
      <w:bookmarkStart w:id="8" w:name="_Toc26822"/>
      <w:bookmarkStart w:id="9" w:name="_Toc26937"/>
      <w:bookmarkStart w:id="10" w:name="_Toc15574"/>
      <w:bookmarkStart w:id="11" w:name="_Toc20151"/>
      <w:bookmarkStart w:id="12" w:name="_Toc13396"/>
      <w:bookmarkStart w:id="13" w:name="_Toc27215"/>
      <w:bookmarkStart w:id="14" w:name="_Toc114153265"/>
      <w:r>
        <w:rPr>
          <w:rFonts w:hint="eastAsia" w:cstheme="majorBidi"/>
          <w:b/>
          <w:bCs/>
          <w:color w:val="auto"/>
          <w:sz w:val="28"/>
          <w:szCs w:val="32"/>
          <w:highlight w:val="none"/>
          <w:lang w:val="en-US" w:eastAsia="zh-CN" w:bidi="ar-SA"/>
        </w:rPr>
        <w:t>遵循标准</w:t>
      </w:r>
      <w:bookmarkEnd w:id="7"/>
      <w:bookmarkEnd w:id="8"/>
      <w:bookmarkEnd w:id="9"/>
      <w:bookmarkEnd w:id="10"/>
      <w:bookmarkEnd w:id="11"/>
      <w:bookmarkEnd w:id="12"/>
      <w:bookmarkEnd w:id="13"/>
    </w:p>
    <w:p w14:paraId="377AC202">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项目建设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相关标准包括但不限于：</w:t>
      </w:r>
    </w:p>
    <w:p w14:paraId="630E381B">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《国家数据基础设施建设指引》</w:t>
      </w:r>
    </w:p>
    <w:p w14:paraId="37F4A9B8">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《数据要素×三年行动计划（2024-2026）》</w:t>
      </w:r>
    </w:p>
    <w:p w14:paraId="784C7AE8">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《可信数据空间发展行动计划（2024—2028年）》（发改数据〔2024〕1853号）</w:t>
      </w:r>
    </w:p>
    <w:p w14:paraId="5BDDC477">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《国家数据局综合司关于组织开展2025年可信数据空间创新发展试点工作的通知》（国数资源〔2024〕119号）</w:t>
      </w:r>
    </w:p>
    <w:p w14:paraId="5E3E7FBD">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《可信数据空间技术架构TC609-6-2025-01》</w:t>
      </w:r>
    </w:p>
    <w:p w14:paraId="1D5AC4BE">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《国家数据基础设施技术文件：数据基础设施标识管理规范-NDI-TR-2025-04》</w:t>
      </w:r>
    </w:p>
    <w:p w14:paraId="2B712172">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《国家数据基础设施技术文件：数据基础设施参考架构-NDI-TR-2025-01》</w:t>
      </w:r>
    </w:p>
    <w:p w14:paraId="62FBF607">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《国家数据基础设施技术文件：数据基础设施互联互通基本要求-NDI-TR-2025-02》</w:t>
      </w:r>
    </w:p>
    <w:p w14:paraId="6B74DFB8">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《国家数据基础设施技术文件：数据基础设施接入连接器技术要求-NDI-TR-2025-05》</w:t>
      </w:r>
    </w:p>
    <w:p w14:paraId="6193E492">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10</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《国家数据基础设施技术文件：数据基础设施数据基础设施数据目录描述规范-NDI-TR-2025-06》</w:t>
      </w:r>
    </w:p>
    <w:p w14:paraId="0FA22822">
      <w:pPr>
        <w:pStyle w:val="2"/>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11</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《国家数据基础设施技术文件：数据基础设施用户身份管理和接入规范-NDI-TR-2025-03》</w:t>
      </w:r>
    </w:p>
    <w:p w14:paraId="689596BA">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12</w:t>
      </w:r>
      <w:r>
        <w:rPr>
          <w:rFonts w:hint="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《中华人民共和国网络安全法》</w:t>
      </w:r>
    </w:p>
    <w:p w14:paraId="0FB30389">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13</w:t>
      </w:r>
      <w:r>
        <w:rPr>
          <w:rFonts w:hint="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《中华人民共和国密码法》</w:t>
      </w:r>
    </w:p>
    <w:p w14:paraId="21218221">
      <w:p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14</w:t>
      </w:r>
      <w:r>
        <w:rPr>
          <w:rFonts w:hint="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《中华人民共和国数据安全法》</w:t>
      </w:r>
    </w:p>
    <w:p w14:paraId="4A27F18E">
      <w:pPr>
        <w:bidi w:val="0"/>
        <w:rPr>
          <w:rFonts w:hint="eastAsia"/>
          <w:highlight w:val="none"/>
          <w:lang w:val="en-US" w:eastAsia="zh-CN"/>
        </w:rPr>
      </w:pPr>
      <w:r>
        <w:rPr>
          <w:rFonts w:hint="eastAsia"/>
          <w:highlight w:val="none"/>
          <w:lang w:val="en-US" w:eastAsia="zh-CN"/>
        </w:rPr>
        <w:t>15.《信息安全技术网络安全等级保护基本要求》（GB/T22239-2019）</w:t>
      </w:r>
    </w:p>
    <w:p w14:paraId="3AACD56F">
      <w:pPr>
        <w:wordWrap w:val="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16</w:t>
      </w:r>
      <w:r>
        <w:rPr>
          <w:rFonts w:hint="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《中国南方电网有限责任公司信息化项目管理细则（Q/CSG2153078-2020）》</w:t>
      </w:r>
    </w:p>
    <w:p w14:paraId="6A7E7AD5">
      <w:pPr>
        <w:wordWrap w:val="0"/>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17</w:t>
      </w:r>
      <w:r>
        <w:rPr>
          <w:rFonts w:hint="eastAsia" w:cstheme="minorEastAsia"/>
          <w:color w:val="auto"/>
          <w:highlight w:val="none"/>
          <w:lang w:val="en-US" w:eastAsia="zh-CN"/>
        </w:rPr>
        <w:t>.</w:t>
      </w:r>
      <w:r>
        <w:rPr>
          <w:rFonts w:hint="eastAsia" w:asciiTheme="minorEastAsia" w:hAnsiTheme="minorEastAsia" w:eastAsiaTheme="minorEastAsia" w:cstheme="minorEastAsia"/>
          <w:color w:val="auto"/>
          <w:highlight w:val="none"/>
          <w:lang w:val="en-US" w:eastAsia="zh-CN"/>
        </w:rPr>
        <w:t>《中国南方电网有限责任公司信息化项目建设管理细则（Q/CSG2153080-2020）》</w:t>
      </w:r>
    </w:p>
    <w:bookmarkEnd w:id="14"/>
    <w:p w14:paraId="1C1B4EEF">
      <w:pPr>
        <w:pStyle w:val="5"/>
        <w:tabs>
          <w:tab w:val="left" w:pos="0"/>
          <w:tab w:val="left" w:pos="840"/>
        </w:tabs>
        <w:spacing w:line="360" w:lineRule="auto"/>
        <w:rPr>
          <w:color w:val="auto"/>
          <w:highlight w:val="none"/>
        </w:rPr>
      </w:pPr>
      <w:bookmarkStart w:id="15" w:name="_Toc4183"/>
      <w:bookmarkStart w:id="16" w:name="_Toc3666"/>
      <w:bookmarkStart w:id="17" w:name="_Toc26085"/>
      <w:bookmarkStart w:id="18" w:name="_Toc1904638990"/>
      <w:bookmarkStart w:id="19" w:name="_Toc5789"/>
      <w:bookmarkStart w:id="20" w:name="_Toc26774"/>
      <w:bookmarkStart w:id="21" w:name="_Toc27825"/>
      <w:r>
        <w:rPr>
          <w:rFonts w:hint="eastAsia"/>
          <w:color w:val="auto"/>
          <w:highlight w:val="none"/>
          <w:lang w:val="en-US" w:eastAsia="zh-CN"/>
        </w:rPr>
        <w:t>项目背景</w:t>
      </w:r>
      <w:bookmarkEnd w:id="15"/>
      <w:bookmarkEnd w:id="16"/>
      <w:bookmarkEnd w:id="17"/>
      <w:bookmarkEnd w:id="18"/>
      <w:bookmarkEnd w:id="19"/>
      <w:bookmarkEnd w:id="20"/>
      <w:bookmarkEnd w:id="21"/>
    </w:p>
    <w:p w14:paraId="188C1D81">
      <w:pPr>
        <w:spacing w:line="360" w:lineRule="auto"/>
        <w:ind w:firstLine="480"/>
        <w:rPr>
          <w:rFonts w:hint="eastAsia"/>
          <w:color w:val="auto"/>
          <w:highlight w:val="none"/>
        </w:rPr>
      </w:pPr>
      <w:bookmarkStart w:id="22" w:name="_Hlk128094266"/>
      <w:r>
        <w:rPr>
          <w:rFonts w:hint="eastAsia"/>
          <w:color w:val="auto"/>
          <w:highlight w:val="none"/>
        </w:rPr>
        <w:t>近年来，国家相继出台《中共中央 国务院关于构建数据基础制度更好发挥数据要素作用的意见（数据二十条）》《可信数据空间发展行动计划》《国家数据基础设施建设指引》等政策文件，明确提出加快建设安全可信的数据流通利用体系，推动数据要素合规高效流通和价值释放。随着可信数据空间建设持续推进，数据资源跨行业、跨区域、跨主体流通需求不断增长，对数据流通过程中的身份可信、安全保护、互联互通、可信计算和全过程监管等能力提出了更高要求，连接器作为可信数据空间的重要基础设施，其能力建设已成为支撑数据资源安全共享、可信协同和价值开发的关键环节。</w:t>
      </w:r>
    </w:p>
    <w:p w14:paraId="04E0DFF9">
      <w:pPr>
        <w:spacing w:line="360" w:lineRule="auto"/>
        <w:ind w:firstLine="480"/>
        <w:rPr>
          <w:rFonts w:hint="eastAsia"/>
          <w:color w:val="auto"/>
          <w:highlight w:val="none"/>
        </w:rPr>
      </w:pPr>
      <w:r>
        <w:rPr>
          <w:rFonts w:hint="eastAsia"/>
          <w:color w:val="auto"/>
          <w:highlight w:val="none"/>
        </w:rPr>
        <w:t>随着能源行业可信数据空间建设不断深化，连接器作为连接数据提供方、数据使用方及生态主体的重要载体，不仅承担数据资源接入、交换和共享功能，还需要支撑主体身份认证、访问控制、安全保障、空间运营、生态互联、可信计算及计算任务管理等综合能力。现有连接器在安全保障体系、空间运营服务、生态主体互联互通、数据交换管理、分布式身份认证、可信计算支撑及</w:t>
      </w:r>
      <w:r>
        <w:rPr>
          <w:rFonts w:hint="eastAsia"/>
          <w:color w:val="auto"/>
          <w:highlight w:val="none"/>
          <w:lang w:eastAsia="zh-CN"/>
        </w:rPr>
        <w:t>空间计算服务能力</w:t>
      </w:r>
      <w:r>
        <w:rPr>
          <w:rFonts w:hint="eastAsia"/>
          <w:color w:val="auto"/>
          <w:highlight w:val="none"/>
        </w:rPr>
        <w:t>等方面仍存在一定不足，难以满足数据资源规模化流通、多主体可信协同和数据安全合规开发利用的发展需求。</w:t>
      </w:r>
    </w:p>
    <w:p w14:paraId="735379ED">
      <w:pPr>
        <w:spacing w:line="360" w:lineRule="auto"/>
        <w:ind w:firstLine="480"/>
        <w:rPr>
          <w:color w:val="auto"/>
          <w:highlight w:val="none"/>
        </w:rPr>
      </w:pPr>
      <w:r>
        <w:rPr>
          <w:rFonts w:hint="eastAsia"/>
          <w:color w:val="auto"/>
          <w:highlight w:val="none"/>
        </w:rPr>
        <w:t>为进一步提升可信数据空间基础支撑能力，增强连接器安全保障、运营服务、互联互通及可信计算支撑能力，有必要开展可信数据空间能力升级改造建设。通过完善标识和鉴别、访问控制、系统安全、数据安全、用户信息安全、空间运营分析、待办事项、消息公告、空间指南、功能节点互联互通、服务平台互联互通、连接器互通转换、数据转换日志查询、分布式身份认证及</w:t>
      </w:r>
      <w:r>
        <w:rPr>
          <w:rFonts w:hint="eastAsia"/>
          <w:color w:val="auto"/>
          <w:highlight w:val="none"/>
          <w:lang w:eastAsia="zh-CN"/>
        </w:rPr>
        <w:t>空间计算服务能力</w:t>
      </w:r>
      <w:r>
        <w:rPr>
          <w:rFonts w:hint="eastAsia"/>
          <w:color w:val="auto"/>
          <w:highlight w:val="none"/>
        </w:rPr>
        <w:t>等关键能力，构建覆盖安全保障、运营服务、互联互通、可信计算和计算能力支撑的一体化连接器能力体系，为可信数据空间安全稳定运行、多主体可信协同、数据资源安全流通及数据要素价值释放提供坚实的技术支撑。该能力体系进一步支撑安全域隔离、可信计算、模型管理、计算成果归集、审批管理、密钥管理及离线、实时数据处理等业务能力，持续提升能源行业可信数据空间的安全保障能力和数据开发利用水平。</w:t>
      </w:r>
    </w:p>
    <w:p w14:paraId="3F84C1CB">
      <w:pPr>
        <w:pStyle w:val="5"/>
        <w:tabs>
          <w:tab w:val="left" w:pos="0"/>
          <w:tab w:val="left" w:pos="840"/>
        </w:tabs>
        <w:spacing w:line="360" w:lineRule="auto"/>
        <w:rPr>
          <w:color w:val="auto"/>
          <w:highlight w:val="none"/>
        </w:rPr>
      </w:pPr>
      <w:bookmarkStart w:id="23" w:name="_Toc167"/>
      <w:bookmarkStart w:id="24" w:name="_Toc4689"/>
      <w:bookmarkStart w:id="25" w:name="_Toc114153266"/>
      <w:bookmarkStart w:id="26" w:name="_Toc30644"/>
      <w:bookmarkStart w:id="27" w:name="_Toc4899"/>
      <w:bookmarkStart w:id="28" w:name="_Toc9840"/>
      <w:bookmarkStart w:id="29" w:name="_Toc876262748"/>
      <w:bookmarkStart w:id="30" w:name="_Toc2788"/>
      <w:r>
        <w:rPr>
          <w:rFonts w:hint="eastAsia"/>
          <w:color w:val="auto"/>
          <w:highlight w:val="none"/>
        </w:rPr>
        <w:t>建设目标</w:t>
      </w:r>
      <w:bookmarkEnd w:id="23"/>
      <w:bookmarkEnd w:id="24"/>
      <w:bookmarkEnd w:id="25"/>
      <w:bookmarkEnd w:id="26"/>
      <w:bookmarkEnd w:id="27"/>
      <w:bookmarkEnd w:id="28"/>
      <w:bookmarkEnd w:id="29"/>
      <w:bookmarkEnd w:id="30"/>
    </w:p>
    <w:p w14:paraId="44AA78C3">
      <w:pPr>
        <w:spacing w:line="360" w:lineRule="auto"/>
        <w:ind w:firstLine="480"/>
        <w:rPr>
          <w:rFonts w:hint="eastAsia"/>
          <w:color w:val="auto"/>
          <w:highlight w:val="none"/>
          <w:lang w:eastAsia="zh-CN"/>
        </w:rPr>
      </w:pPr>
      <w:r>
        <w:rPr>
          <w:rFonts w:hint="eastAsia"/>
          <w:color w:val="auto"/>
          <w:highlight w:val="none"/>
          <w:lang w:eastAsia="zh-CN"/>
        </w:rPr>
        <w:t>本项目以提升可信数据空间综合服务能力、增强生态主体间可信连接与协同交互水平为总体目标，围绕连接器安全保障、互联互通、计算能力支撑及运营服务等方面开展能力升级建设，构建集安全保障、可信互联、可信计算、运营管理于一体的连接器能力体系，全面提升可信数据空间基础支撑能力，为能源行业数据资源安全流通、可信协同及数据价值释放提供可靠支撑。</w:t>
      </w:r>
    </w:p>
    <w:p w14:paraId="5C94B7BA">
      <w:pPr>
        <w:spacing w:line="360" w:lineRule="auto"/>
        <w:ind w:firstLine="480"/>
        <w:rPr>
          <w:rFonts w:hint="eastAsia"/>
          <w:color w:val="auto"/>
          <w:highlight w:val="none"/>
          <w:lang w:eastAsia="zh-CN"/>
        </w:rPr>
      </w:pPr>
      <w:r>
        <w:rPr>
          <w:rFonts w:hint="eastAsia"/>
          <w:color w:val="auto"/>
          <w:highlight w:val="none"/>
          <w:lang w:eastAsia="zh-CN"/>
        </w:rPr>
        <w:t>一、提升可信数据空间连接器安全保障能力</w:t>
      </w:r>
    </w:p>
    <w:p w14:paraId="3F5614C8">
      <w:pPr>
        <w:spacing w:line="360" w:lineRule="auto"/>
        <w:ind w:firstLine="480"/>
        <w:rPr>
          <w:rFonts w:hint="eastAsia"/>
          <w:color w:val="auto"/>
          <w:highlight w:val="none"/>
          <w:lang w:eastAsia="zh-CN"/>
        </w:rPr>
      </w:pPr>
      <w:r>
        <w:rPr>
          <w:rFonts w:hint="eastAsia"/>
          <w:color w:val="auto"/>
          <w:highlight w:val="none"/>
          <w:lang w:eastAsia="zh-CN"/>
        </w:rPr>
        <w:t>建设连接器安全保障能力体系，完善标识和鉴别、访问控制、系统安全、数据安全、用户信息安全等安全能力，实现连接器运行环境、访问主体、交互数据及关键资源的全过程安全防护。通过建立身份认证、权限控制、安全审计及数据保护机制，提升连接器整体安全防护能力，保障可信数据空间中各类主体安全接入、可信交互和业务协同，为数据资源安全流通提供可靠保障。</w:t>
      </w:r>
    </w:p>
    <w:p w14:paraId="17F9EA7C">
      <w:pPr>
        <w:spacing w:line="360" w:lineRule="auto"/>
        <w:ind w:firstLine="480"/>
        <w:rPr>
          <w:rFonts w:hint="eastAsia"/>
          <w:color w:val="auto"/>
          <w:highlight w:val="none"/>
          <w:lang w:eastAsia="zh-CN"/>
        </w:rPr>
      </w:pPr>
      <w:r>
        <w:rPr>
          <w:rFonts w:hint="eastAsia"/>
          <w:color w:val="auto"/>
          <w:highlight w:val="none"/>
          <w:lang w:eastAsia="zh-CN"/>
        </w:rPr>
        <w:t>二、提升可信数据空间连接器互联互通能力</w:t>
      </w:r>
    </w:p>
    <w:p w14:paraId="314C3425">
      <w:pPr>
        <w:spacing w:line="360" w:lineRule="auto"/>
        <w:ind w:firstLine="480"/>
        <w:rPr>
          <w:rFonts w:hint="eastAsia"/>
          <w:color w:val="auto"/>
          <w:highlight w:val="none"/>
          <w:lang w:eastAsia="zh-CN"/>
        </w:rPr>
      </w:pPr>
      <w:r>
        <w:rPr>
          <w:rFonts w:hint="eastAsia"/>
          <w:color w:val="auto"/>
          <w:highlight w:val="none"/>
          <w:lang w:eastAsia="zh-CN"/>
        </w:rPr>
        <w:t>建设连接器互联互通能力体系，完善连接器之间、连接器与服务平台之间的协同交互机制，支撑功能节点互联互通、服务平台互联互通、连接器互通转换、数据转换日志查询及分布式身份认证等能力，实现跨主体、跨平台、跨空间的数据可信连接与协同共享。通过建立标准统一、互信互认、全过程可追溯的互联互通机制，提高数据资源流通效率和协同应用能力，保障数据交换过程安全、规范、可管可控。</w:t>
      </w:r>
    </w:p>
    <w:p w14:paraId="05C9344D">
      <w:pPr>
        <w:spacing w:line="360" w:lineRule="auto"/>
        <w:ind w:firstLine="480"/>
        <w:rPr>
          <w:rFonts w:hint="eastAsia"/>
          <w:color w:val="auto"/>
          <w:highlight w:val="none"/>
          <w:lang w:eastAsia="zh-CN"/>
        </w:rPr>
      </w:pPr>
      <w:r>
        <w:rPr>
          <w:rFonts w:hint="eastAsia"/>
          <w:color w:val="auto"/>
          <w:highlight w:val="none"/>
          <w:lang w:eastAsia="zh-CN"/>
        </w:rPr>
        <w:t>三、提升可信数据空间计算支撑能力</w:t>
      </w:r>
    </w:p>
    <w:p w14:paraId="79D36050">
      <w:pPr>
        <w:spacing w:line="360" w:lineRule="auto"/>
        <w:ind w:firstLine="480"/>
        <w:rPr>
          <w:rFonts w:hint="eastAsia"/>
          <w:color w:val="auto"/>
          <w:highlight w:val="none"/>
          <w:lang w:eastAsia="zh-CN"/>
        </w:rPr>
      </w:pPr>
      <w:r>
        <w:rPr>
          <w:rFonts w:hint="eastAsia"/>
          <w:color w:val="auto"/>
          <w:highlight w:val="none"/>
          <w:lang w:val="en-US" w:eastAsia="zh-CN"/>
        </w:rPr>
        <w:t>提升</w:t>
      </w:r>
      <w:r>
        <w:rPr>
          <w:rFonts w:hint="eastAsia"/>
          <w:color w:val="auto"/>
          <w:highlight w:val="none"/>
          <w:lang w:eastAsia="zh-CN"/>
        </w:rPr>
        <w:t>空间计算服务能力，</w:t>
      </w:r>
      <w:r>
        <w:rPr>
          <w:rFonts w:hint="eastAsia"/>
          <w:color w:val="auto"/>
          <w:highlight w:val="none"/>
          <w:lang w:val="en-US" w:eastAsia="zh-CN"/>
        </w:rPr>
        <w:t>拓展前置接入服务、数据开发与计算等能力，构建覆盖数据安全接入、开发处理和计算执行的空间计算服务体系。优化空间计算服务高可用保障机制，通过关键服务冗余部署、运行状态监测、故障自动切换及异常恢复等措施，提升空间计算服务的连续性、稳定性和可靠性，保障可信数据空间计算服务持续稳定运行</w:t>
      </w:r>
      <w:r>
        <w:rPr>
          <w:rFonts w:hint="eastAsia"/>
          <w:color w:val="auto"/>
          <w:highlight w:val="none"/>
          <w:lang w:eastAsia="zh-CN"/>
        </w:rPr>
        <w:t>。</w:t>
      </w:r>
    </w:p>
    <w:p w14:paraId="3BA4926B">
      <w:pPr>
        <w:spacing w:line="360" w:lineRule="auto"/>
        <w:ind w:firstLine="480"/>
        <w:rPr>
          <w:rFonts w:hint="eastAsia"/>
          <w:color w:val="auto"/>
          <w:highlight w:val="none"/>
          <w:lang w:eastAsia="zh-CN"/>
        </w:rPr>
      </w:pPr>
    </w:p>
    <w:bookmarkEnd w:id="22"/>
    <w:p w14:paraId="6A8D48A7">
      <w:pPr>
        <w:pStyle w:val="5"/>
        <w:tabs>
          <w:tab w:val="left" w:pos="840"/>
        </w:tabs>
        <w:spacing w:line="360" w:lineRule="auto"/>
        <w:rPr>
          <w:color w:val="auto"/>
          <w:highlight w:val="none"/>
        </w:rPr>
      </w:pPr>
      <w:bookmarkStart w:id="31" w:name="_Toc28459"/>
      <w:bookmarkStart w:id="32" w:name="_Toc6171"/>
      <w:bookmarkStart w:id="33" w:name="_Toc4187"/>
      <w:bookmarkStart w:id="34" w:name="_Toc2052638157"/>
      <w:bookmarkStart w:id="35" w:name="_Toc29146"/>
      <w:bookmarkStart w:id="36" w:name="_Toc25810"/>
      <w:bookmarkStart w:id="37" w:name="_Toc31291"/>
      <w:bookmarkStart w:id="38" w:name="_Toc114153268"/>
      <w:r>
        <w:rPr>
          <w:rFonts w:hint="eastAsia"/>
          <w:color w:val="auto"/>
          <w:highlight w:val="none"/>
        </w:rPr>
        <w:t>项目范围</w:t>
      </w:r>
      <w:bookmarkEnd w:id="31"/>
      <w:bookmarkEnd w:id="32"/>
      <w:bookmarkEnd w:id="33"/>
      <w:bookmarkEnd w:id="34"/>
      <w:bookmarkEnd w:id="35"/>
      <w:bookmarkEnd w:id="36"/>
      <w:bookmarkEnd w:id="37"/>
    </w:p>
    <w:p w14:paraId="422DE121">
      <w:pPr>
        <w:spacing w:line="360" w:lineRule="auto"/>
        <w:ind w:firstLine="480"/>
        <w:rPr>
          <w:color w:val="auto"/>
          <w:highlight w:val="none"/>
        </w:rPr>
      </w:pPr>
      <w:r>
        <w:rPr>
          <w:rFonts w:hint="eastAsia"/>
          <w:color w:val="auto"/>
          <w:highlight w:val="none"/>
          <w:lang w:val="en-US" w:eastAsia="zh-CN"/>
        </w:rPr>
        <w:t>主要开展可信数据空间能力提升建设，完成连接器安全保障、运营服务、互联互通及空间计算服务能力等相关功能的开发与部署实施工作。建设范围包括安全保障模块、连接器首页模块、互联互通模块及空间计算服务能力等功能建设，构建覆盖标识和鉴别、访问控制、系统安全、数据安全、用户信息安全、空间运营分析、待办事项、消息公告、空间指南、功能节点互联互通、服务平台互联互通、连接器互通转换、数据转换日志查询、分布式身份认证及可信计算等能力的一体化连接器服务体系，通过关键服务冗余部署、运行状态监测、故障切换及异常恢复等高可用保障措施，提升系统运行连续性、稳定性和可靠性，实现连接器安全保障、运营管理、生态互联和可信计算能力全面提升，为可信数据空间安全稳定运行、多主体可信协同、数据资源安全流通及数据开发利用提供基础支撑</w:t>
      </w:r>
      <w:r>
        <w:rPr>
          <w:rFonts w:hint="eastAsia"/>
          <w:color w:val="auto"/>
          <w:highlight w:val="none"/>
        </w:rPr>
        <w:t>。</w:t>
      </w:r>
    </w:p>
    <w:p w14:paraId="594DD458">
      <w:pPr>
        <w:pStyle w:val="5"/>
        <w:tabs>
          <w:tab w:val="left" w:pos="840"/>
        </w:tabs>
        <w:spacing w:line="360" w:lineRule="auto"/>
        <w:rPr>
          <w:color w:val="auto"/>
          <w:highlight w:val="none"/>
        </w:rPr>
      </w:pPr>
      <w:bookmarkStart w:id="39" w:name="_Toc21319"/>
      <w:bookmarkStart w:id="40" w:name="_Toc20463"/>
      <w:bookmarkStart w:id="41" w:name="_Toc19156"/>
      <w:bookmarkStart w:id="42" w:name="_Toc1512199291"/>
      <w:bookmarkStart w:id="43" w:name="_Toc4764"/>
      <w:bookmarkStart w:id="44" w:name="_Toc20298"/>
      <w:bookmarkStart w:id="45" w:name="_Toc29793"/>
      <w:r>
        <w:rPr>
          <w:rFonts w:hint="eastAsia"/>
          <w:color w:val="auto"/>
          <w:highlight w:val="none"/>
        </w:rPr>
        <w:t>项目地点</w:t>
      </w:r>
      <w:bookmarkEnd w:id="39"/>
      <w:bookmarkEnd w:id="40"/>
      <w:bookmarkEnd w:id="41"/>
      <w:bookmarkEnd w:id="42"/>
      <w:bookmarkEnd w:id="43"/>
      <w:bookmarkEnd w:id="44"/>
      <w:bookmarkEnd w:id="45"/>
    </w:p>
    <w:p w14:paraId="3FA258B9">
      <w:pPr>
        <w:pStyle w:val="2"/>
        <w:spacing w:line="360" w:lineRule="auto"/>
        <w:ind w:firstLine="480"/>
        <w:rPr>
          <w:rFonts w:hint="default" w:eastAsiaTheme="minorEastAsia"/>
          <w:color w:val="auto"/>
          <w:highlight w:val="none"/>
          <w:lang w:val="en-US" w:eastAsia="zh-CN"/>
        </w:rPr>
      </w:pPr>
      <w:r>
        <w:rPr>
          <w:rFonts w:hint="eastAsia"/>
          <w:color w:val="auto"/>
          <w:highlight w:val="none"/>
        </w:rPr>
        <w:t>项目地点：</w:t>
      </w:r>
      <w:r>
        <w:rPr>
          <w:rFonts w:hint="eastAsia"/>
          <w:color w:val="auto"/>
          <w:highlight w:val="none"/>
          <w:lang w:val="en-US" w:eastAsia="zh-CN"/>
        </w:rPr>
        <w:t>广州</w:t>
      </w:r>
    </w:p>
    <w:p w14:paraId="272EDF1F">
      <w:pPr>
        <w:pStyle w:val="5"/>
        <w:tabs>
          <w:tab w:val="left" w:pos="0"/>
          <w:tab w:val="left" w:pos="840"/>
        </w:tabs>
        <w:spacing w:line="360" w:lineRule="auto"/>
        <w:rPr>
          <w:color w:val="auto"/>
          <w:highlight w:val="none"/>
        </w:rPr>
      </w:pPr>
      <w:bookmarkStart w:id="46" w:name="_Toc30535"/>
      <w:bookmarkStart w:id="47" w:name="_Toc6667"/>
      <w:bookmarkStart w:id="48" w:name="_Toc7770"/>
      <w:bookmarkStart w:id="49" w:name="_Toc18121"/>
      <w:bookmarkStart w:id="50" w:name="_Toc64521592"/>
      <w:bookmarkStart w:id="51" w:name="_Toc2825"/>
      <w:bookmarkStart w:id="52" w:name="_Toc24166"/>
      <w:r>
        <w:rPr>
          <w:rFonts w:hint="eastAsia"/>
          <w:color w:val="auto"/>
          <w:highlight w:val="none"/>
        </w:rPr>
        <w:t>建设内容</w:t>
      </w:r>
      <w:bookmarkEnd w:id="38"/>
      <w:bookmarkEnd w:id="46"/>
      <w:bookmarkEnd w:id="47"/>
      <w:bookmarkEnd w:id="48"/>
      <w:bookmarkEnd w:id="49"/>
      <w:bookmarkEnd w:id="50"/>
      <w:bookmarkEnd w:id="51"/>
      <w:bookmarkEnd w:id="52"/>
    </w:p>
    <w:p w14:paraId="4B6F0D64">
      <w:pPr>
        <w:spacing w:line="360" w:lineRule="auto"/>
        <w:ind w:firstLine="480"/>
        <w:rPr>
          <w:color w:val="auto"/>
          <w:highlight w:val="none"/>
        </w:rPr>
      </w:pPr>
      <w:r>
        <w:rPr>
          <w:rFonts w:hint="eastAsia"/>
          <w:color w:val="auto"/>
          <w:highlight w:val="none"/>
          <w:lang w:val="en-US" w:eastAsia="zh-CN"/>
        </w:rPr>
        <w:t>开展可信数据空间能力提升建设，完成连接器安全保障、互联互通及空间计算服务能力等相关功能的开发与部署实施，并同步完善系统高可用保障能力。建设内容包括安全保障模块、连接器首页模块、连接器互联互通模块和空间计算服务能力等，构建覆盖标识和鉴别、访问控制、系统安全、数据安全、用户信息安全、空间运营分析、待办事项、消息公告、空间指南、功能节点互通、服务平台互通、连接器互通转换、数据转换日志查询、分布式身份认证及空间计算服务能力等能力的可信数据空间服务体系，同时通过关键服务冗余部署、运行状态监测、故障切换和异常恢复等措施，提升系统运行连续性、稳定性和可靠性，为数据空间安全稳定运行、多主体可信协同和数据资源安全流通提供技术支撑</w:t>
      </w:r>
      <w:r>
        <w:rPr>
          <w:rFonts w:hint="eastAsia"/>
          <w:color w:val="auto"/>
          <w:highlight w:val="none"/>
        </w:rPr>
        <w:t>。</w:t>
      </w:r>
    </w:p>
    <w:p w14:paraId="28971446">
      <w:pPr>
        <w:pStyle w:val="6"/>
        <w:bidi w:val="0"/>
        <w:rPr>
          <w:highlight w:val="none"/>
        </w:rPr>
      </w:pPr>
      <w:bookmarkStart w:id="53" w:name="_Toc2082638656"/>
      <w:bookmarkStart w:id="54" w:name="_Toc15947"/>
      <w:bookmarkStart w:id="55" w:name="_Toc10835"/>
      <w:bookmarkStart w:id="56" w:name="_Toc19630"/>
      <w:bookmarkStart w:id="57" w:name="_Toc9089850"/>
      <w:r>
        <w:rPr>
          <w:rFonts w:hint="eastAsia"/>
          <w:highlight w:val="none"/>
        </w:rPr>
        <w:t>系统功能</w:t>
      </w:r>
      <w:bookmarkEnd w:id="53"/>
      <w:bookmarkEnd w:id="54"/>
      <w:bookmarkEnd w:id="55"/>
      <w:bookmarkEnd w:id="56"/>
    </w:p>
    <w:p w14:paraId="43E03075">
      <w:pPr>
        <w:pStyle w:val="7"/>
        <w:bidi w:val="0"/>
        <w:rPr>
          <w:highlight w:val="none"/>
        </w:rPr>
      </w:pPr>
      <w:bookmarkStart w:id="58" w:name="_Toc114153288"/>
      <w:bookmarkStart w:id="59" w:name="_Toc114153280"/>
      <w:r>
        <w:rPr>
          <w:rFonts w:hint="eastAsia"/>
          <w:highlight w:val="none"/>
        </w:rPr>
        <w:t>功能清单</w:t>
      </w:r>
      <w:bookmarkEnd w:id="58"/>
    </w:p>
    <w:p w14:paraId="798CE80B">
      <w:pPr>
        <w:spacing w:line="360" w:lineRule="auto"/>
        <w:ind w:firstLine="480"/>
        <w:rPr>
          <w:rFonts w:hint="eastAsia"/>
          <w:color w:val="auto"/>
          <w:highlight w:val="none"/>
        </w:rPr>
      </w:pPr>
      <w:r>
        <w:rPr>
          <w:rFonts w:hint="eastAsia"/>
          <w:color w:val="auto"/>
          <w:highlight w:val="none"/>
        </w:rPr>
        <w:t>开展</w:t>
      </w:r>
      <w:r>
        <w:rPr>
          <w:rFonts w:hint="eastAsia"/>
          <w:color w:val="auto"/>
          <w:highlight w:val="none"/>
          <w:lang w:eastAsia="zh-CN"/>
        </w:rPr>
        <w:t>可信数据空间空间计算服务能力能力升级改造能力建设</w:t>
      </w:r>
      <w:r>
        <w:rPr>
          <w:rFonts w:hint="eastAsia"/>
          <w:color w:val="auto"/>
          <w:highlight w:val="none"/>
        </w:rPr>
        <w:t>功能清单如下：</w:t>
      </w:r>
    </w:p>
    <w:tbl>
      <w:tblPr>
        <w:tblStyle w:val="20"/>
        <w:tblW w:w="8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724"/>
        <w:gridCol w:w="1794"/>
        <w:gridCol w:w="2926"/>
        <w:gridCol w:w="1107"/>
      </w:tblGrid>
      <w:tr w14:paraId="7FD3F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7516CFBB">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序号</w:t>
            </w:r>
          </w:p>
        </w:tc>
        <w:tc>
          <w:tcPr>
            <w:tcW w:w="1724" w:type="dxa"/>
            <w:noWrap/>
            <w:vAlign w:val="center"/>
          </w:tcPr>
          <w:p w14:paraId="325F87A2">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子系统名称</w:t>
            </w:r>
          </w:p>
        </w:tc>
        <w:tc>
          <w:tcPr>
            <w:tcW w:w="1794" w:type="dxa"/>
            <w:noWrap/>
            <w:vAlign w:val="center"/>
          </w:tcPr>
          <w:p w14:paraId="67E1B32E">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功能模块名称</w:t>
            </w:r>
          </w:p>
        </w:tc>
        <w:tc>
          <w:tcPr>
            <w:tcW w:w="2926" w:type="dxa"/>
            <w:noWrap/>
            <w:vAlign w:val="center"/>
          </w:tcPr>
          <w:p w14:paraId="473C19DC">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需求用例</w:t>
            </w:r>
          </w:p>
        </w:tc>
        <w:tc>
          <w:tcPr>
            <w:tcW w:w="1107" w:type="dxa"/>
            <w:noWrap/>
            <w:vAlign w:val="center"/>
          </w:tcPr>
          <w:p w14:paraId="5FD21FDC">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分类</w:t>
            </w:r>
          </w:p>
        </w:tc>
      </w:tr>
      <w:tr w14:paraId="263E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150F9C67">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eastAsiaTheme="minorEastAsia"/>
                <w:highlight w:val="none"/>
                <w:lang w:val="en-US" w:eastAsia="zh-CN"/>
              </w:rPr>
            </w:pPr>
          </w:p>
        </w:tc>
        <w:tc>
          <w:tcPr>
            <w:tcW w:w="1724" w:type="dxa"/>
            <w:vMerge w:val="restart"/>
            <w:vAlign w:val="center"/>
          </w:tcPr>
          <w:p w14:paraId="66A903B4">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rFonts w:hint="default" w:eastAsiaTheme="minorEastAsia"/>
                <w:highlight w:val="none"/>
                <w:lang w:val="en-US" w:eastAsia="zh-CN"/>
              </w:rPr>
            </w:pPr>
            <w:r>
              <w:rPr>
                <w:rFonts w:hint="eastAsia" w:eastAsiaTheme="minorEastAsia"/>
                <w:highlight w:val="none"/>
                <w:lang w:val="en-US" w:eastAsia="zh-CN"/>
              </w:rPr>
              <w:t>可信数据</w:t>
            </w:r>
            <w:r>
              <w:rPr>
                <w:rFonts w:hint="default" w:eastAsiaTheme="minorEastAsia"/>
                <w:highlight w:val="none"/>
                <w:lang w:val="en-US" w:eastAsia="zh-CN"/>
              </w:rPr>
              <w:t>空间能力提升</w:t>
            </w:r>
          </w:p>
        </w:tc>
        <w:tc>
          <w:tcPr>
            <w:tcW w:w="1794" w:type="dxa"/>
            <w:vMerge w:val="restart"/>
            <w:vAlign w:val="center"/>
          </w:tcPr>
          <w:p w14:paraId="4957E548">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rFonts w:hint="default" w:eastAsiaTheme="minorEastAsia"/>
                <w:highlight w:val="none"/>
                <w:lang w:val="en-US" w:eastAsia="zh-CN"/>
              </w:rPr>
            </w:pPr>
            <w:r>
              <w:rPr>
                <w:rFonts w:hint="eastAsia"/>
                <w:highlight w:val="none"/>
                <w:lang w:val="en-US" w:eastAsia="zh-CN"/>
              </w:rPr>
              <w:t>安全保障</w:t>
            </w:r>
          </w:p>
        </w:tc>
        <w:tc>
          <w:tcPr>
            <w:tcW w:w="2926" w:type="dxa"/>
            <w:vAlign w:val="center"/>
          </w:tcPr>
          <w:p w14:paraId="2D701577">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标识和鉴别</w:t>
            </w:r>
          </w:p>
        </w:tc>
        <w:tc>
          <w:tcPr>
            <w:tcW w:w="1107" w:type="dxa"/>
            <w:vAlign w:val="center"/>
          </w:tcPr>
          <w:p w14:paraId="1E6D6C89">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r w14:paraId="0E3D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1D4BF594">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eastAsiaTheme="minorEastAsia"/>
                <w:highlight w:val="none"/>
                <w:lang w:val="en-US" w:eastAsia="zh-CN"/>
              </w:rPr>
            </w:pPr>
          </w:p>
        </w:tc>
        <w:tc>
          <w:tcPr>
            <w:tcW w:w="1724" w:type="dxa"/>
            <w:vMerge w:val="continue"/>
            <w:vAlign w:val="center"/>
          </w:tcPr>
          <w:p w14:paraId="5B06A822">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51211E4F">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7D801818">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访问控制</w:t>
            </w:r>
          </w:p>
        </w:tc>
        <w:tc>
          <w:tcPr>
            <w:tcW w:w="1107" w:type="dxa"/>
            <w:vAlign w:val="center"/>
          </w:tcPr>
          <w:p w14:paraId="067E6DC5">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r w14:paraId="04FF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132AFA66">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eastAsiaTheme="minorEastAsia"/>
                <w:highlight w:val="none"/>
                <w:lang w:val="en-US" w:eastAsia="zh-CN"/>
              </w:rPr>
            </w:pPr>
          </w:p>
        </w:tc>
        <w:tc>
          <w:tcPr>
            <w:tcW w:w="1724" w:type="dxa"/>
            <w:vMerge w:val="continue"/>
            <w:vAlign w:val="center"/>
          </w:tcPr>
          <w:p w14:paraId="64CCC911">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03DF37E2">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1FD74056">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系统安全</w:t>
            </w:r>
          </w:p>
        </w:tc>
        <w:tc>
          <w:tcPr>
            <w:tcW w:w="1107" w:type="dxa"/>
            <w:vAlign w:val="center"/>
          </w:tcPr>
          <w:p w14:paraId="4A31A626">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r w14:paraId="643F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46608C97">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highlight w:val="none"/>
                <w:lang w:val="en-US" w:eastAsia="zh-CN"/>
              </w:rPr>
            </w:pPr>
          </w:p>
        </w:tc>
        <w:tc>
          <w:tcPr>
            <w:tcW w:w="1724" w:type="dxa"/>
            <w:vMerge w:val="continue"/>
            <w:vAlign w:val="center"/>
          </w:tcPr>
          <w:p w14:paraId="137F09D1">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293A7000">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22B4D082">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数据安全</w:t>
            </w:r>
          </w:p>
        </w:tc>
        <w:tc>
          <w:tcPr>
            <w:tcW w:w="1107" w:type="dxa"/>
            <w:vAlign w:val="center"/>
          </w:tcPr>
          <w:p w14:paraId="5F6CB503">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eastAsia"/>
                <w:highlight w:val="none"/>
              </w:rPr>
            </w:pPr>
            <w:r>
              <w:rPr>
                <w:rFonts w:hint="eastAsia"/>
                <w:highlight w:val="none"/>
              </w:rPr>
              <w:t>新建</w:t>
            </w:r>
          </w:p>
        </w:tc>
      </w:tr>
      <w:tr w14:paraId="4ACF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289DC243">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highlight w:val="none"/>
                <w:lang w:val="en-US" w:eastAsia="zh-CN"/>
              </w:rPr>
            </w:pPr>
          </w:p>
        </w:tc>
        <w:tc>
          <w:tcPr>
            <w:tcW w:w="1724" w:type="dxa"/>
            <w:vMerge w:val="continue"/>
            <w:vAlign w:val="center"/>
          </w:tcPr>
          <w:p w14:paraId="08A0F372">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0B8DD0B0">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6A700C0A">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highlight w:val="none"/>
                <w:lang w:val="en-US" w:eastAsia="zh-CN"/>
              </w:rPr>
            </w:pPr>
            <w:r>
              <w:rPr>
                <w:rFonts w:hint="eastAsia"/>
                <w:highlight w:val="none"/>
                <w:lang w:val="en-US" w:eastAsia="zh-CN"/>
              </w:rPr>
              <w:t>用户信息安全</w:t>
            </w:r>
          </w:p>
        </w:tc>
        <w:tc>
          <w:tcPr>
            <w:tcW w:w="1107" w:type="dxa"/>
            <w:vAlign w:val="center"/>
          </w:tcPr>
          <w:p w14:paraId="1C153049">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eastAsia"/>
                <w:highlight w:val="none"/>
              </w:rPr>
            </w:pPr>
            <w:r>
              <w:rPr>
                <w:rFonts w:hint="eastAsia"/>
                <w:highlight w:val="none"/>
              </w:rPr>
              <w:t>新建</w:t>
            </w:r>
          </w:p>
        </w:tc>
      </w:tr>
      <w:tr w14:paraId="65575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18C14B38">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72A1E8A3">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restart"/>
            <w:vAlign w:val="center"/>
          </w:tcPr>
          <w:p w14:paraId="74F05550">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rFonts w:hint="default" w:eastAsiaTheme="minorEastAsia"/>
                <w:highlight w:val="none"/>
                <w:lang w:val="en-US" w:eastAsia="zh-CN"/>
              </w:rPr>
            </w:pPr>
            <w:r>
              <w:rPr>
                <w:rFonts w:hint="eastAsia"/>
                <w:color w:val="auto"/>
                <w:highlight w:val="none"/>
                <w:lang w:val="en-US" w:eastAsia="zh-CN"/>
              </w:rPr>
              <w:t>连接器首页</w:t>
            </w:r>
          </w:p>
        </w:tc>
        <w:tc>
          <w:tcPr>
            <w:tcW w:w="2926" w:type="dxa"/>
            <w:vAlign w:val="center"/>
          </w:tcPr>
          <w:p w14:paraId="42C6F496">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空间运营分析</w:t>
            </w:r>
          </w:p>
        </w:tc>
        <w:tc>
          <w:tcPr>
            <w:tcW w:w="1107" w:type="dxa"/>
            <w:vAlign w:val="center"/>
          </w:tcPr>
          <w:p w14:paraId="420FD0E3">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r w14:paraId="5237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0D06798E">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380DBB7E">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0A6C17BA">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7394EA1C">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eastAsia" w:eastAsiaTheme="minorEastAsia"/>
                <w:highlight w:val="none"/>
                <w:lang w:val="en-US" w:eastAsia="zh-CN"/>
              </w:rPr>
            </w:pPr>
            <w:r>
              <w:rPr>
                <w:rFonts w:hint="eastAsia"/>
                <w:highlight w:val="none"/>
                <w:lang w:val="en-US" w:eastAsia="zh-CN"/>
              </w:rPr>
              <w:t>待办事项</w:t>
            </w:r>
          </w:p>
        </w:tc>
        <w:tc>
          <w:tcPr>
            <w:tcW w:w="1107" w:type="dxa"/>
            <w:vAlign w:val="center"/>
          </w:tcPr>
          <w:p w14:paraId="5AEAB877">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r w14:paraId="5DE9F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524EA2FB">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5A3452BF">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73291C2F">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0058620F">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highlight w:val="none"/>
                <w:lang w:val="en-US" w:eastAsia="zh-CN"/>
              </w:rPr>
            </w:pPr>
            <w:r>
              <w:rPr>
                <w:rFonts w:hint="eastAsia"/>
                <w:highlight w:val="none"/>
                <w:lang w:val="en-US" w:eastAsia="zh-CN"/>
              </w:rPr>
              <w:t>消息公告</w:t>
            </w:r>
          </w:p>
        </w:tc>
        <w:tc>
          <w:tcPr>
            <w:tcW w:w="1107" w:type="dxa"/>
            <w:vAlign w:val="center"/>
          </w:tcPr>
          <w:p w14:paraId="1F97DBA9">
            <w:pPr>
              <w:keepNext w:val="0"/>
              <w:keepLines w:val="0"/>
              <w:pageBreakBefore w:val="0"/>
              <w:widowControl w:val="0"/>
              <w:kinsoku/>
              <w:wordWrap w:val="0"/>
              <w:overflowPunct/>
              <w:topLinePunct w:val="0"/>
              <w:autoSpaceDE/>
              <w:autoSpaceDN/>
              <w:bidi w:val="0"/>
              <w:adjustRightInd/>
              <w:snapToGrid/>
              <w:ind w:left="0" w:leftChars="0" w:firstLine="0" w:firstLineChars="0"/>
              <w:jc w:val="center"/>
              <w:textAlignment w:val="auto"/>
              <w:rPr>
                <w:rFonts w:hint="eastAsia"/>
                <w:highlight w:val="none"/>
              </w:rPr>
            </w:pPr>
            <w:r>
              <w:rPr>
                <w:rFonts w:hint="eastAsia"/>
                <w:highlight w:val="none"/>
              </w:rPr>
              <w:t>新建</w:t>
            </w:r>
          </w:p>
        </w:tc>
      </w:tr>
      <w:tr w14:paraId="32FD1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341D43C7">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5A76CB7B">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1672B857">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78A60EC3">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highlight w:val="none"/>
                <w:lang w:val="en-US" w:eastAsia="zh-CN"/>
              </w:rPr>
            </w:pPr>
            <w:r>
              <w:rPr>
                <w:rFonts w:hint="eastAsia"/>
                <w:highlight w:val="none"/>
                <w:lang w:val="en-US" w:eastAsia="zh-CN"/>
              </w:rPr>
              <w:t>空间指南</w:t>
            </w:r>
          </w:p>
        </w:tc>
        <w:tc>
          <w:tcPr>
            <w:tcW w:w="1107" w:type="dxa"/>
            <w:vAlign w:val="center"/>
          </w:tcPr>
          <w:p w14:paraId="0AAC896B">
            <w:pPr>
              <w:keepNext w:val="0"/>
              <w:keepLines w:val="0"/>
              <w:pageBreakBefore w:val="0"/>
              <w:widowControl w:val="0"/>
              <w:kinsoku/>
              <w:wordWrap w:val="0"/>
              <w:overflowPunct/>
              <w:topLinePunct w:val="0"/>
              <w:autoSpaceDE/>
              <w:autoSpaceDN/>
              <w:bidi w:val="0"/>
              <w:adjustRightInd/>
              <w:snapToGrid/>
              <w:ind w:left="0" w:leftChars="0" w:firstLine="0" w:firstLineChars="0"/>
              <w:jc w:val="center"/>
              <w:textAlignment w:val="auto"/>
              <w:rPr>
                <w:rFonts w:hint="eastAsia"/>
                <w:highlight w:val="none"/>
              </w:rPr>
            </w:pPr>
            <w:r>
              <w:rPr>
                <w:rFonts w:hint="eastAsia"/>
                <w:highlight w:val="none"/>
              </w:rPr>
              <w:t>新建</w:t>
            </w:r>
          </w:p>
        </w:tc>
      </w:tr>
      <w:tr w14:paraId="783DB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6FAF6022">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highlight w:val="none"/>
                <w:lang w:val="en-US" w:eastAsia="zh-CN"/>
              </w:rPr>
            </w:pPr>
          </w:p>
        </w:tc>
        <w:tc>
          <w:tcPr>
            <w:tcW w:w="1724" w:type="dxa"/>
            <w:vMerge w:val="continue"/>
            <w:vAlign w:val="center"/>
          </w:tcPr>
          <w:p w14:paraId="2579C745">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restart"/>
            <w:vAlign w:val="center"/>
          </w:tcPr>
          <w:p w14:paraId="38BA93FD">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rFonts w:hint="eastAsia" w:eastAsiaTheme="minorEastAsia"/>
                <w:highlight w:val="none"/>
                <w:lang w:val="en-US" w:eastAsia="zh-CN"/>
              </w:rPr>
            </w:pPr>
            <w:r>
              <w:rPr>
                <w:rFonts w:hint="eastAsia"/>
                <w:color w:val="auto"/>
                <w:highlight w:val="none"/>
                <w:lang w:val="en-US" w:eastAsia="zh-CN"/>
              </w:rPr>
              <w:t>互联互通</w:t>
            </w:r>
          </w:p>
        </w:tc>
        <w:tc>
          <w:tcPr>
            <w:tcW w:w="2926" w:type="dxa"/>
            <w:vAlign w:val="center"/>
          </w:tcPr>
          <w:p w14:paraId="41718A4E">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功能节点互联互通</w:t>
            </w:r>
          </w:p>
        </w:tc>
        <w:tc>
          <w:tcPr>
            <w:tcW w:w="1107" w:type="dxa"/>
            <w:vAlign w:val="center"/>
          </w:tcPr>
          <w:p w14:paraId="5758F30E">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eastAsia"/>
                <w:highlight w:val="none"/>
              </w:rPr>
            </w:pPr>
            <w:r>
              <w:rPr>
                <w:rFonts w:hint="eastAsia"/>
                <w:highlight w:val="none"/>
              </w:rPr>
              <w:t>新建</w:t>
            </w:r>
          </w:p>
        </w:tc>
      </w:tr>
      <w:tr w14:paraId="4F9F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32EFDA5B">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37179D03">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22217239">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70423490">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服务平台互联互通</w:t>
            </w:r>
          </w:p>
        </w:tc>
        <w:tc>
          <w:tcPr>
            <w:tcW w:w="1107" w:type="dxa"/>
            <w:vAlign w:val="center"/>
          </w:tcPr>
          <w:p w14:paraId="2C869CB9">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r w14:paraId="6B519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408CF9D3">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296438B3">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467B3C09">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59536669">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highlight w:val="none"/>
                <w:lang w:val="en-US" w:eastAsia="zh-CN"/>
              </w:rPr>
            </w:pPr>
            <w:r>
              <w:rPr>
                <w:rFonts w:hint="eastAsia"/>
                <w:highlight w:val="none"/>
                <w:lang w:val="en-US" w:eastAsia="zh-CN"/>
              </w:rPr>
              <w:t>连接器互通转换</w:t>
            </w:r>
          </w:p>
        </w:tc>
        <w:tc>
          <w:tcPr>
            <w:tcW w:w="1107" w:type="dxa"/>
            <w:vAlign w:val="center"/>
          </w:tcPr>
          <w:p w14:paraId="53F13A18">
            <w:pPr>
              <w:keepNext w:val="0"/>
              <w:keepLines w:val="0"/>
              <w:pageBreakBefore w:val="0"/>
              <w:widowControl w:val="0"/>
              <w:kinsoku/>
              <w:wordWrap w:val="0"/>
              <w:overflowPunct/>
              <w:topLinePunct w:val="0"/>
              <w:autoSpaceDE/>
              <w:autoSpaceDN/>
              <w:bidi w:val="0"/>
              <w:adjustRightInd/>
              <w:snapToGrid/>
              <w:ind w:left="0" w:leftChars="0" w:firstLine="0" w:firstLineChars="0"/>
              <w:jc w:val="center"/>
              <w:textAlignment w:val="auto"/>
              <w:rPr>
                <w:rFonts w:hint="eastAsia"/>
                <w:highlight w:val="none"/>
              </w:rPr>
            </w:pPr>
            <w:r>
              <w:rPr>
                <w:rFonts w:hint="eastAsia"/>
                <w:highlight w:val="none"/>
              </w:rPr>
              <w:t>新建</w:t>
            </w:r>
          </w:p>
        </w:tc>
      </w:tr>
      <w:tr w14:paraId="3DFF4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648F3302">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163028DD">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3C788F23">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3DBB4F35">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highlight w:val="none"/>
                <w:lang w:val="en-US" w:eastAsia="zh-CN"/>
              </w:rPr>
            </w:pPr>
            <w:r>
              <w:rPr>
                <w:rFonts w:hint="eastAsia"/>
                <w:highlight w:val="none"/>
                <w:lang w:val="en-US" w:eastAsia="zh-CN"/>
              </w:rPr>
              <w:t>数据转换日志查询</w:t>
            </w:r>
          </w:p>
        </w:tc>
        <w:tc>
          <w:tcPr>
            <w:tcW w:w="1107" w:type="dxa"/>
            <w:vAlign w:val="center"/>
          </w:tcPr>
          <w:p w14:paraId="4AD97C1D">
            <w:pPr>
              <w:keepNext w:val="0"/>
              <w:keepLines w:val="0"/>
              <w:pageBreakBefore w:val="0"/>
              <w:widowControl w:val="0"/>
              <w:kinsoku/>
              <w:wordWrap w:val="0"/>
              <w:overflowPunct/>
              <w:topLinePunct w:val="0"/>
              <w:autoSpaceDE/>
              <w:autoSpaceDN/>
              <w:bidi w:val="0"/>
              <w:adjustRightInd/>
              <w:snapToGrid/>
              <w:ind w:left="0" w:leftChars="0" w:firstLine="0" w:firstLineChars="0"/>
              <w:jc w:val="center"/>
              <w:textAlignment w:val="auto"/>
              <w:rPr>
                <w:rFonts w:hint="eastAsia"/>
                <w:highlight w:val="none"/>
              </w:rPr>
            </w:pPr>
            <w:r>
              <w:rPr>
                <w:rFonts w:hint="eastAsia"/>
                <w:highlight w:val="none"/>
              </w:rPr>
              <w:t>新建</w:t>
            </w:r>
          </w:p>
        </w:tc>
      </w:tr>
      <w:tr w14:paraId="2BC3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220ADDC5">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default" w:eastAsiaTheme="minorEastAsia"/>
                <w:highlight w:val="none"/>
                <w:lang w:val="en-US" w:eastAsia="zh-CN"/>
              </w:rPr>
            </w:pPr>
          </w:p>
        </w:tc>
        <w:tc>
          <w:tcPr>
            <w:tcW w:w="1724" w:type="dxa"/>
            <w:vMerge w:val="continue"/>
            <w:vAlign w:val="center"/>
          </w:tcPr>
          <w:p w14:paraId="273BC956">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45AF1CFD">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1FB64835">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highlight w:val="none"/>
                <w:lang w:val="en-US" w:eastAsia="zh-CN"/>
              </w:rPr>
            </w:pPr>
            <w:r>
              <w:rPr>
                <w:rFonts w:hint="eastAsia"/>
                <w:highlight w:val="none"/>
                <w:lang w:val="en-US" w:eastAsia="zh-CN"/>
              </w:rPr>
              <w:t>分布式身份认证</w:t>
            </w:r>
          </w:p>
        </w:tc>
        <w:tc>
          <w:tcPr>
            <w:tcW w:w="1107" w:type="dxa"/>
            <w:vAlign w:val="center"/>
          </w:tcPr>
          <w:p w14:paraId="673577D0">
            <w:pPr>
              <w:keepNext w:val="0"/>
              <w:keepLines w:val="0"/>
              <w:pageBreakBefore w:val="0"/>
              <w:widowControl w:val="0"/>
              <w:kinsoku/>
              <w:wordWrap w:val="0"/>
              <w:overflowPunct/>
              <w:topLinePunct w:val="0"/>
              <w:autoSpaceDE/>
              <w:autoSpaceDN/>
              <w:bidi w:val="0"/>
              <w:adjustRightInd/>
              <w:snapToGrid/>
              <w:ind w:left="0" w:leftChars="0" w:firstLine="0" w:firstLineChars="0"/>
              <w:jc w:val="center"/>
              <w:textAlignment w:val="auto"/>
              <w:rPr>
                <w:rFonts w:hint="eastAsia"/>
                <w:highlight w:val="none"/>
              </w:rPr>
            </w:pPr>
            <w:r>
              <w:rPr>
                <w:rFonts w:hint="eastAsia"/>
                <w:highlight w:val="none"/>
              </w:rPr>
              <w:t>新建</w:t>
            </w:r>
          </w:p>
        </w:tc>
      </w:tr>
      <w:tr w14:paraId="3BD91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5FA16B2D">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eastAsiaTheme="minorEastAsia"/>
                <w:highlight w:val="none"/>
                <w:lang w:val="en-US" w:eastAsia="zh-CN"/>
              </w:rPr>
            </w:pPr>
            <w:bookmarkStart w:id="60" w:name="_Toc1071928939"/>
          </w:p>
        </w:tc>
        <w:tc>
          <w:tcPr>
            <w:tcW w:w="1724" w:type="dxa"/>
            <w:vMerge w:val="continue"/>
            <w:vAlign w:val="center"/>
          </w:tcPr>
          <w:p w14:paraId="3E5D94CD">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restart"/>
            <w:vAlign w:val="center"/>
          </w:tcPr>
          <w:p w14:paraId="3918ADC0">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r>
              <w:rPr>
                <w:rFonts w:hint="eastAsia"/>
                <w:highlight w:val="none"/>
              </w:rPr>
              <w:t>空间计算服务能力</w:t>
            </w:r>
          </w:p>
        </w:tc>
        <w:tc>
          <w:tcPr>
            <w:tcW w:w="2926" w:type="dxa"/>
            <w:vAlign w:val="center"/>
          </w:tcPr>
          <w:p w14:paraId="50ABE4F7">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eastAsiaTheme="minorEastAsia"/>
                <w:highlight w:val="none"/>
                <w:lang w:val="en-US" w:eastAsia="zh-CN"/>
              </w:rPr>
              <w:t>前置接入服务</w:t>
            </w:r>
          </w:p>
        </w:tc>
        <w:tc>
          <w:tcPr>
            <w:tcW w:w="1107" w:type="dxa"/>
            <w:vAlign w:val="center"/>
          </w:tcPr>
          <w:p w14:paraId="741AC4F0">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r w14:paraId="3E42E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87" w:type="dxa"/>
            <w:noWrap/>
            <w:vAlign w:val="center"/>
          </w:tcPr>
          <w:p w14:paraId="24EBDCB2">
            <w:pPr>
              <w:keepNext w:val="0"/>
              <w:keepLines w:val="0"/>
              <w:pageBreakBefore w:val="0"/>
              <w:widowControl w:val="0"/>
              <w:numPr>
                <w:ilvl w:val="0"/>
                <w:numId w:val="2"/>
              </w:numPr>
              <w:kinsoku/>
              <w:wordWrap w:val="0"/>
              <w:overflowPunct/>
              <w:topLinePunct w:val="0"/>
              <w:autoSpaceDE/>
              <w:autoSpaceDN/>
              <w:bidi w:val="0"/>
              <w:adjustRightInd/>
              <w:snapToGrid/>
              <w:ind w:left="425" w:leftChars="0" w:hanging="425" w:firstLineChars="0"/>
              <w:jc w:val="center"/>
              <w:textAlignment w:val="auto"/>
              <w:rPr>
                <w:rFonts w:hint="eastAsia" w:eastAsiaTheme="minorEastAsia"/>
                <w:highlight w:val="none"/>
                <w:lang w:val="en-US" w:eastAsia="zh-CN"/>
              </w:rPr>
            </w:pPr>
          </w:p>
        </w:tc>
        <w:tc>
          <w:tcPr>
            <w:tcW w:w="1724" w:type="dxa"/>
            <w:vMerge w:val="continue"/>
            <w:vAlign w:val="center"/>
          </w:tcPr>
          <w:p w14:paraId="0CB1A352">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1794" w:type="dxa"/>
            <w:vMerge w:val="continue"/>
            <w:vAlign w:val="center"/>
          </w:tcPr>
          <w:p w14:paraId="26909285">
            <w:pPr>
              <w:keepNext w:val="0"/>
              <w:keepLines w:val="0"/>
              <w:pageBreakBefore w:val="0"/>
              <w:widowControl w:val="0"/>
              <w:kinsoku/>
              <w:wordWrap w:val="0"/>
              <w:overflowPunct/>
              <w:topLinePunct w:val="0"/>
              <w:autoSpaceDE/>
              <w:autoSpaceDN/>
              <w:bidi w:val="0"/>
              <w:adjustRightInd/>
              <w:snapToGrid/>
              <w:ind w:firstLine="0" w:firstLineChars="0"/>
              <w:jc w:val="both"/>
              <w:textAlignment w:val="auto"/>
              <w:rPr>
                <w:highlight w:val="none"/>
              </w:rPr>
            </w:pPr>
          </w:p>
        </w:tc>
        <w:tc>
          <w:tcPr>
            <w:tcW w:w="2926" w:type="dxa"/>
            <w:vAlign w:val="center"/>
          </w:tcPr>
          <w:p w14:paraId="7FF61F21">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rFonts w:hint="default" w:eastAsiaTheme="minorEastAsia"/>
                <w:highlight w:val="none"/>
                <w:lang w:val="en-US" w:eastAsia="zh-CN"/>
              </w:rPr>
            </w:pPr>
            <w:r>
              <w:rPr>
                <w:rFonts w:hint="eastAsia"/>
                <w:highlight w:val="none"/>
                <w:lang w:val="en-US" w:eastAsia="zh-CN"/>
              </w:rPr>
              <w:t>数据开发与计算</w:t>
            </w:r>
          </w:p>
        </w:tc>
        <w:tc>
          <w:tcPr>
            <w:tcW w:w="1107" w:type="dxa"/>
            <w:vAlign w:val="center"/>
          </w:tcPr>
          <w:p w14:paraId="05981A4B">
            <w:pPr>
              <w:keepNext w:val="0"/>
              <w:keepLines w:val="0"/>
              <w:pageBreakBefore w:val="0"/>
              <w:widowControl w:val="0"/>
              <w:kinsoku/>
              <w:wordWrap w:val="0"/>
              <w:overflowPunct/>
              <w:topLinePunct w:val="0"/>
              <w:autoSpaceDE/>
              <w:autoSpaceDN/>
              <w:bidi w:val="0"/>
              <w:adjustRightInd/>
              <w:snapToGrid/>
              <w:ind w:firstLine="0" w:firstLineChars="0"/>
              <w:jc w:val="center"/>
              <w:textAlignment w:val="auto"/>
              <w:rPr>
                <w:highlight w:val="none"/>
              </w:rPr>
            </w:pPr>
            <w:r>
              <w:rPr>
                <w:rFonts w:hint="eastAsia"/>
                <w:highlight w:val="none"/>
              </w:rPr>
              <w:t>新建</w:t>
            </w:r>
          </w:p>
        </w:tc>
      </w:tr>
    </w:tbl>
    <w:p w14:paraId="2B93489C">
      <w:pPr>
        <w:bidi w:val="0"/>
        <w:rPr>
          <w:highlight w:val="none"/>
        </w:rPr>
      </w:pPr>
    </w:p>
    <w:p w14:paraId="42DECAAB">
      <w:pPr>
        <w:pStyle w:val="7"/>
        <w:bidi w:val="0"/>
        <w:rPr>
          <w:highlight w:val="none"/>
        </w:rPr>
      </w:pPr>
      <w:r>
        <w:rPr>
          <w:rFonts w:hint="eastAsia"/>
          <w:highlight w:val="none"/>
        </w:rPr>
        <w:t>安全保障</w:t>
      </w:r>
    </w:p>
    <w:p w14:paraId="40E2DB29">
      <w:pPr>
        <w:pStyle w:val="8"/>
        <w:rPr>
          <w:highlight w:val="none"/>
        </w:rPr>
      </w:pPr>
      <w:r>
        <w:rPr>
          <w:rFonts w:hint="eastAsia" w:eastAsia="Songti SC"/>
          <w:highlight w:val="none"/>
        </w:rPr>
        <w:t>标识和鉴别</w:t>
      </w:r>
    </w:p>
    <w:p w14:paraId="0CAA18D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建设标识与鉴别能力，实现生物特征认证接入、行为特征分析、统一身份核验、单点登录和认证过程追溯，提升身份认证的准确性、安全性与合规性。</w:t>
      </w:r>
    </w:p>
    <w:p w14:paraId="0D81A544">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安全认证平台接入</w:t>
      </w:r>
    </w:p>
    <w:p w14:paraId="45A40FA0">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建设安全认证平台对接能力，实现内外部认证体系的统一接入、协同认证和策略管控，保障认证链路安全可靠、可扩展、可追溯。</w:t>
      </w:r>
    </w:p>
    <w:p w14:paraId="2641A38B">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1.</w:t>
      </w:r>
      <w:r>
        <w:rPr>
          <w:rFonts w:hint="eastAsia" w:asciiTheme="minorEastAsia" w:hAnsiTheme="minorEastAsia" w:eastAsiaTheme="minorEastAsia" w:cstheme="minorEastAsia"/>
          <w:highlight w:val="none"/>
        </w:rPr>
        <w:t xml:space="preserve"> 统一安全认证接入与策略配置</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highlight w:val="none"/>
        </w:rPr>
        <w:t>提供标准化的认证接口，支持对接内部或第三方安全认证平台。支持自定义配置认证方式与策略参数，并在交互过程中接收、解析并反馈认证结果及失败原因。</w:t>
      </w:r>
    </w:p>
    <w:p w14:paraId="6948E04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认证日志全量记录与审计追溯</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highlight w:val="none"/>
        </w:rPr>
        <w:t>对每一次认证请求及结果进行全量捕获，生成</w:t>
      </w:r>
      <w:r>
        <w:rPr>
          <w:rFonts w:hint="eastAsia" w:asciiTheme="minorEastAsia" w:hAnsiTheme="minorEastAsia" w:eastAsiaTheme="minorEastAsia" w:cstheme="minorEastAsia"/>
          <w:highlight w:val="none"/>
          <w:lang w:val="en-US" w:eastAsia="zh-CN"/>
        </w:rPr>
        <w:t>不同</w:t>
      </w:r>
      <w:r>
        <w:rPr>
          <w:rFonts w:hint="eastAsia" w:asciiTheme="minorEastAsia" w:hAnsiTheme="minorEastAsia" w:eastAsiaTheme="minorEastAsia" w:cstheme="minorEastAsia"/>
          <w:highlight w:val="none"/>
        </w:rPr>
        <w:t>维度的结构化日志并进行存储。同时，提供多维度的历史查询与检索能力。管理员可通过历史查询快速进行链路回溯、故障排查与责任认定，形成安全管理的闭环。</w:t>
      </w:r>
    </w:p>
    <w:p w14:paraId="4EDDAFF3">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单点登录支持</w:t>
      </w:r>
    </w:p>
    <w:p w14:paraId="2C531FEF">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建设单点登录接入能力，实现连接器与服务平台之间的统一身份认证，支持用户一次认证后访问授权范围内的多个系统，保证登录过程便捷、规范、可管可查。</w:t>
      </w:r>
    </w:p>
    <w:p w14:paraId="63F1CD30">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统一登录入口与协议适配：构建统一认证网关，支持多种主流认证协议的适配与结果协同。用户仅需一次身份验证，系统即可实现登录过程的自动留痕与身份一致性校验。</w:t>
      </w:r>
    </w:p>
    <w:p w14:paraId="680F18A7">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登录状态协同与日志审计追溯：实现跨系统间的会话状态实时同步与生命周期管理，并对每一次登录认证行为进行全量日志记录与归档，提供多维度的历史追溯与查询能力。</w:t>
      </w:r>
    </w:p>
    <w:p w14:paraId="0B4D6080">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访问控制</w:t>
      </w:r>
    </w:p>
    <w:p w14:paraId="535FAD8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建设访问控制能力，实现多因素身份认证、资源访问授权、权限全生命周期管理和访问行为分析，保障访问活动安全、合规、可控、可追溯。</w:t>
      </w:r>
    </w:p>
    <w:p w14:paraId="606644C4">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多因素认证策略</w:t>
      </w:r>
    </w:p>
    <w:p w14:paraId="348EF97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建设多因素认证能力，支持口令、短信验证码和统一认证平台等认证要素按业务风险灵活组合，提升身份核验强度和场景适应性。</w:t>
      </w:r>
    </w:p>
    <w:p w14:paraId="64375AE5">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认证要素灵活配置与策略化管理：提供统一的认证要素接入框架，支持将口令、短信验证码、统一认证平台等多种认证方式进行标准化封装。系统支持根据业务场景的风险等级，自定义组合这些认证要素，并实现策略化的统一管理。</w:t>
      </w:r>
    </w:p>
    <w:p w14:paraId="782735EC">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认证链路协同校验与可靠执行：构建标准化的多因素认证执行引擎，能够严格按照预设的安全策略，对用户的认证请求进行多要素的协同校验，并给出准确、一致的最终认证结果判定。杜绝因策略冲突或链路异常导致的安全漏洞或认证失败，提升系统的整体健壮性。</w:t>
      </w:r>
    </w:p>
    <w:p w14:paraId="5E02573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 认证日志全量留存与审计追溯：对多因素认证过程中的每一个环节（如密码校验、短信发送、第三方回调等）及最终结果进行完整记录与归档，提供详尽的审计追溯能力。帮助</w:t>
      </w:r>
      <w:r>
        <w:rPr>
          <w:rFonts w:hint="eastAsia" w:asciiTheme="minorEastAsia" w:hAnsiTheme="minorEastAsia" w:eastAsiaTheme="minorEastAsia" w:cstheme="minorEastAsia"/>
          <w:highlight w:val="none"/>
          <w:lang w:val="en-US" w:eastAsia="zh-CN"/>
        </w:rPr>
        <w:t>运维</w:t>
      </w:r>
      <w:r>
        <w:rPr>
          <w:rFonts w:hint="eastAsia" w:asciiTheme="minorEastAsia" w:hAnsiTheme="minorEastAsia" w:eastAsiaTheme="minorEastAsia" w:cstheme="minorEastAsia"/>
          <w:highlight w:val="none"/>
        </w:rPr>
        <w:t>团队定位是认证环节出现了问题，支撑异常分析与责任核查。</w:t>
      </w:r>
    </w:p>
    <w:p w14:paraId="105884BA">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权限生命周期配置</w:t>
      </w:r>
    </w:p>
    <w:p w14:paraId="6FF869B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建设权限生命周期配置能力，实现权限申请、审批、分配、变更和回收的全生命周期管理，支持权限自动流转、动态调整、异常告警和过程追溯。</w:t>
      </w:r>
    </w:p>
    <w:p w14:paraId="72920DA3">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权限全流程闭环管控与动态流转：构建覆盖权限申请、审批、授权、变更及回收全生命周期的标准化管控引擎。系统支持权限流转的自动化执行与动态调整，并能对异常操作进行实时告警，确保每一次权限分配与回收都形成明确的结果反馈。</w:t>
      </w:r>
    </w:p>
    <w:p w14:paraId="39B47360">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权限变更全链路留痕与审计追溯：对权限生命周期内的每一次操作（包括申请原因、审批节点、授权范围、回收时间等）进行统一捕获与存储，形成不可篡改的历史记录，并提供多维度的追溯查询能力。管理员能够通过历史追溯还原权限变更链路，快速定位问题环节并进行责任核查，形成安全管理的闭环。</w:t>
      </w:r>
    </w:p>
    <w:p w14:paraId="33AE2C74">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访问记录存证分析</w:t>
      </w:r>
    </w:p>
    <w:p w14:paraId="10992BD6">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建设访问记录存证分析能力，实现访问日志集中采集、存证、分析、报告和追溯，支持异常访问识别、风险预警与合规审计。</w:t>
      </w:r>
    </w:p>
    <w:p w14:paraId="077A25C6">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全链路操作留痕与变更追溯：系统捕获并归档用户的全量操作历史与审批流转记录。通过详尽的底层操作记录，确保数据访问或权限变更都有据可查，为后续的安全审计、合规审查及责任界定提供不可篡改的原始凭证。</w:t>
      </w:r>
    </w:p>
    <w:p w14:paraId="2388D34B">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灵活访问日志采集与行为分析：提供自定义的日志采集规则与告警参数配置能力。系统能够对海量访问日志进行聚合处理，输出多维度的记录报告，并生成访问行为分析明细。帮助</w:t>
      </w:r>
      <w:r>
        <w:rPr>
          <w:rFonts w:hint="eastAsia" w:asciiTheme="minorEastAsia" w:hAnsiTheme="minorEastAsia" w:eastAsiaTheme="minorEastAsia" w:cstheme="minorEastAsia"/>
          <w:highlight w:val="none"/>
          <w:lang w:val="en-US" w:eastAsia="zh-CN"/>
        </w:rPr>
        <w:t>运营人员了解</w:t>
      </w:r>
      <w:r>
        <w:rPr>
          <w:rFonts w:hint="eastAsia" w:asciiTheme="minorEastAsia" w:hAnsiTheme="minorEastAsia" w:eastAsiaTheme="minorEastAsia" w:cstheme="minorEastAsia"/>
          <w:highlight w:val="none"/>
        </w:rPr>
        <w:t>系统的整体运行态势与用户活跃度。</w:t>
      </w:r>
    </w:p>
    <w:p w14:paraId="25BF4392">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 智能异常检测与告警闭环管理：基于行为模式分析算法，系统能够识别访问日志中的异常行为特征，触发异常告警，并生成包含预警处理结果的综合分析报告。</w:t>
      </w:r>
    </w:p>
    <w:p w14:paraId="01772887">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系统安全</w:t>
      </w:r>
    </w:p>
    <w:p w14:paraId="2433258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建设系统安全能力，实现平台网络与数据安全防护、安全事件响应、数据加密和密钥全生命周期管理，提升风险监测、应急处置和安全追溯水平。</w:t>
      </w:r>
    </w:p>
    <w:p w14:paraId="0CE2DAC5">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安全响应上报</w:t>
      </w:r>
    </w:p>
    <w:p w14:paraId="0DF553B2">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建设安全响应及上报能力，实现安全事件监测、响应、上报和闭环处置，支持安全策略联动与处置过程留痕，提升事件响应效率</w:t>
      </w:r>
      <w:r>
        <w:rPr>
          <w:rFonts w:hint="eastAsia" w:asciiTheme="minorEastAsia" w:hAnsiTheme="minorEastAsia" w:eastAsiaTheme="minorEastAsia" w:cstheme="minorEastAsia"/>
          <w:highlight w:val="none"/>
          <w:lang w:eastAsia="zh-CN"/>
        </w:rPr>
        <w:t>。</w:t>
      </w:r>
    </w:p>
    <w:p w14:paraId="195C79F3">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响应策略灵活配置与状态追踪：提供安全响应策略的录入与批量导入能力，支持自定义设定自动触发或手动介入的响应条件。同时，系统能够实时生成策略配置状态与更新日志。</w:t>
      </w:r>
    </w:p>
    <w:p w14:paraId="0416A5E7">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事件处置任务标准化与全程留痕：支持一键提交安全事件处置指令，允许</w:t>
      </w:r>
      <w:r>
        <w:rPr>
          <w:rFonts w:hint="eastAsia" w:asciiTheme="minorEastAsia" w:hAnsiTheme="minorEastAsia" w:eastAsiaTheme="minorEastAsia" w:cstheme="minorEastAsia"/>
          <w:highlight w:val="none"/>
          <w:lang w:val="en-US" w:eastAsia="zh-CN"/>
        </w:rPr>
        <w:t>运营人</w:t>
      </w:r>
      <w:r>
        <w:rPr>
          <w:rFonts w:hint="eastAsia" w:asciiTheme="minorEastAsia" w:hAnsiTheme="minorEastAsia" w:eastAsiaTheme="minorEastAsia" w:cstheme="minorEastAsia"/>
          <w:highlight w:val="none"/>
        </w:rPr>
        <w:t>员自定义处置流程与关键任务参数。系统在任务执行期间，生成处置状态报告并详细记录处置日志。</w:t>
      </w:r>
    </w:p>
    <w:p w14:paraId="66079DE7">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 响应闭环联动与合规归档追溯：支持管理员选择特定的闭环对象并配置归档规则。当处置完成后，系统会自动推送反馈并归档相关的闭环操作记录，形成完整的事件处理生命周期。不仅满足了内部安全复盘的需求，也为应对外部监管审查提供了审计凭证。</w:t>
      </w:r>
    </w:p>
    <w:p w14:paraId="73243ACE">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传输加密</w:t>
      </w:r>
    </w:p>
    <w:p w14:paraId="414638E5">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建设传输加密能力，实现数据传输与存储加密及密钥全生命周期管理，保障数据流转过程中的机密性、完整性和安全可控。</w:t>
      </w:r>
    </w:p>
    <w:p w14:paraId="38331AFE">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加密操作指令执行与结果反馈：提供标准化的加密操作接口，支持用户录入待加密数据并灵活选择适用的加密算法。系统接收请求后执行加密处理，输出加密后的数据结果，并同步生成加密完成报告。</w:t>
      </w:r>
    </w:p>
    <w:p w14:paraId="57909C02">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密钥全生命周期管理与状态追踪：构建覆盖密钥生成、分发、轮换、撤销与备份的管理框架。系统能够输出密钥信息并生成详细的管理状态日志，支持对密钥生成、分发、轮换、撤销与备份</w:t>
      </w:r>
      <w:r>
        <w:rPr>
          <w:rFonts w:hint="eastAsia" w:asciiTheme="minorEastAsia" w:hAnsiTheme="minorEastAsia" w:eastAsiaTheme="minorEastAsia" w:cstheme="minorEastAsia"/>
          <w:highlight w:val="none"/>
          <w:lang w:val="en-US" w:eastAsia="zh-CN"/>
        </w:rPr>
        <w:t>的日志</w:t>
      </w:r>
      <w:r>
        <w:rPr>
          <w:rFonts w:hint="eastAsia" w:asciiTheme="minorEastAsia" w:hAnsiTheme="minorEastAsia" w:eastAsiaTheme="minorEastAsia" w:cstheme="minorEastAsia"/>
          <w:highlight w:val="none"/>
          <w:lang w:eastAsia="zh-CN"/>
        </w:rPr>
        <w:t>查询。</w:t>
      </w:r>
    </w:p>
    <w:p w14:paraId="5A171C80">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3. 加解密日志归档与全链路审计追溯：自动捕获并归档所有的加密与解密操作日志，生成不可篡改的操作溯源记录。系统提供多维度的查询能力，支持归档历史检索、日志文件导出及日志条数统计。</w:t>
      </w:r>
    </w:p>
    <w:p w14:paraId="4465B971">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数据安全</w:t>
      </w:r>
    </w:p>
    <w:p w14:paraId="43B6F46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建设数据安全能力，实现数据分级分类、动态脱敏、水印追踪、精细授权、合规处理、使用追溯和备份恢复，保障数据全生命周期安全、合规、可控、可追溯。</w:t>
      </w:r>
    </w:p>
    <w:p w14:paraId="424B92CE">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数据权限分级管控</w:t>
      </w:r>
    </w:p>
    <w:p w14:paraId="088F57BF">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建设数据权限分级管控能力，实现数据分级分类与差异化授权，依据数据内容属性、敏感程度和业务场景实施最小权限访问。</w:t>
      </w:r>
    </w:p>
    <w:p w14:paraId="090F76A3">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数据分级策略配置与敏感资产研判：提供多维度的分级规则配置框架，支持管理员根据数据内容、敏感程度及业务属性自定义分级策略。系统能够执行分级分析，生成数据分级分析报告并输出敏感数据分布明细。</w:t>
      </w:r>
    </w:p>
    <w:p w14:paraId="34DED359">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权限细化配置与最小化访问决策：构建基于角色、数据属性及业务场景的多维度权限策略配置能力。系统支持对权限策略进行统一管理，并生成分级权限分配清单，确保权限下发精准匹配业务需求。</w:t>
      </w:r>
    </w:p>
    <w:p w14:paraId="7E39D1D8">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数据安全合规处理</w:t>
      </w:r>
    </w:p>
    <w:p w14:paraId="0BB3BB7F">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建设数据安全合规处理能力，实现数据流通前的动态脱敏、水印追踪和安全标识，保障数据流转符合安全和合规要求。</w:t>
      </w:r>
    </w:p>
    <w:p w14:paraId="21D1CEFA">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动态脱敏处理与合规输出：系统能够根据数据接收方的权限等级与具体流通场景，自动匹配并应用相应的脱敏算法。处理完成后，系统会输出脱敏后的数据，并同步生成详细的处理日志。</w:t>
      </w:r>
    </w:p>
    <w:p w14:paraId="60EE1958">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不可见水印嵌入与溯源追踪：支持在数据流转过程中嵌入不可见水印标记，系统会实时反馈水印嵌入状态，并生成包含溯源信息的操作日志。</w:t>
      </w:r>
    </w:p>
    <w:p w14:paraId="23D9FA30">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3. 安全标签化与使用规范提示：系统为数据生成安全标签，明确标识数据的合规要求与使用限制，并输出标签生成结果与应用记录。</w:t>
      </w:r>
    </w:p>
    <w:p w14:paraId="118E1FE2">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数据使用过程追踪</w:t>
      </w:r>
    </w:p>
    <w:p w14:paraId="6C414F84">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建设数据使用过程追踪能力，实现数据访问、操作和流转过程的持续追踪，支持异常识别、风险预警和使用行为审计。</w:t>
      </w:r>
    </w:p>
    <w:p w14:paraId="3F8BD17C">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全链路行为记录与操作审计：系统能够全量采集用户对数据的每一次访问与操作日志，进行结构化处理，并输出标准化的操作记录报告。</w:t>
      </w:r>
    </w:p>
    <w:p w14:paraId="33A1E066">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智能风险检测与实时告警：基于行为模式分析，系统能够识别数据使用过程中的异常行为，推送风险告警，并输出详细的风险分析结果。</w:t>
      </w:r>
    </w:p>
    <w:p w14:paraId="1543FD94">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3. 风险追溯链路与整改闭环：支持定期输出数据使用风险记录报告，系统能够生成完整的追溯链路，并结合分析结果提供针对性的整改建议报告。</w:t>
      </w:r>
    </w:p>
    <w:p w14:paraId="3A122953">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备份恢复策略配置</w:t>
      </w:r>
    </w:p>
    <w:p w14:paraId="5ADFAC1D">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建设备份与恢复策略配置能力，实现数据备份、恢复和灾备管理，保障数据可恢复性和业务连续性，增强平台安全韧性。</w:t>
      </w:r>
    </w:p>
    <w:p w14:paraId="2E3E33B3">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1、</w:t>
      </w:r>
      <w:r>
        <w:rPr>
          <w:rFonts w:hint="eastAsia" w:asciiTheme="minorEastAsia" w:hAnsiTheme="minorEastAsia" w:eastAsiaTheme="minorEastAsia" w:cstheme="minorEastAsia"/>
          <w:highlight w:val="none"/>
          <w:lang w:eastAsia="zh-CN"/>
        </w:rPr>
        <w:t>备份</w:t>
      </w:r>
      <w:r>
        <w:rPr>
          <w:rFonts w:hint="eastAsia" w:asciiTheme="minorEastAsia" w:hAnsiTheme="minorEastAsia" w:eastAsiaTheme="minorEastAsia" w:cstheme="minorEastAsia"/>
          <w:highlight w:val="none"/>
          <w:lang w:val="en-US" w:eastAsia="zh-CN"/>
        </w:rPr>
        <w:t>管理</w:t>
      </w:r>
      <w:r>
        <w:rPr>
          <w:rFonts w:hint="eastAsia" w:asciiTheme="minorEastAsia" w:hAnsiTheme="minorEastAsia" w:eastAsiaTheme="minorEastAsia" w:cstheme="minorEastAsia"/>
          <w:highlight w:val="none"/>
          <w:lang w:eastAsia="zh-CN"/>
        </w:rPr>
        <w:t>：支持按需制定数据备份计划，追踪执行状态并生成备份台账与完成记录，实现备份任务的管理。</w:t>
      </w:r>
    </w:p>
    <w:p w14:paraId="5C701AA4">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2、</w:t>
      </w:r>
      <w:r>
        <w:rPr>
          <w:rFonts w:hint="eastAsia" w:asciiTheme="minorEastAsia" w:hAnsiTheme="minorEastAsia" w:eastAsiaTheme="minorEastAsia" w:cstheme="minorEastAsia"/>
          <w:highlight w:val="none"/>
          <w:lang w:eastAsia="zh-CN"/>
        </w:rPr>
        <w:t>数据恢复：支持发起数据恢复请求及版本回滚。操作完成后，系统将输出恢复报告与恢复过程日志。</w:t>
      </w:r>
    </w:p>
    <w:p w14:paraId="7DF4E9CF">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val="en-US" w:eastAsia="zh-CN"/>
        </w:rPr>
        <w:t>3、</w:t>
      </w:r>
      <w:r>
        <w:rPr>
          <w:rFonts w:hint="eastAsia" w:asciiTheme="minorEastAsia" w:hAnsiTheme="minorEastAsia" w:eastAsiaTheme="minorEastAsia" w:cstheme="minorEastAsia"/>
          <w:highlight w:val="none"/>
          <w:lang w:eastAsia="zh-CN"/>
        </w:rPr>
        <w:t>灾备日志归档：自动对灾备相关操作日志进行归档处理，定期输出归档记录并生成归档日志，满足长期审计与合规管理需求。</w:t>
      </w:r>
    </w:p>
    <w:p w14:paraId="712DCD09">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用户信息安全</w:t>
      </w:r>
    </w:p>
    <w:p w14:paraId="45FC6C3E">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建设用户信息安全能力，实现用户身份鉴权、动态授权、加密存储、动态脱敏、加密计算、隐私保护和行为审计，保障用户信息安全合规使用。</w:t>
      </w:r>
    </w:p>
    <w:p w14:paraId="53AC5C06">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用户数据加密存储</w:t>
      </w:r>
    </w:p>
    <w:p w14:paraId="16178215">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建设用户数据加密存储能力，实现用户敏感信息加密保存、存储状态管理、解密授权控制和使用过程追溯，保障数据静态安全与受控访问。</w:t>
      </w:r>
    </w:p>
    <w:p w14:paraId="58E684FE">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敏感数据加密提交与密文生成：提供标准化的敏感信息提交入口，系统接收用户数据后，调用底层加密算法进行安全处理，将明文转化为密文。</w:t>
      </w:r>
    </w:p>
    <w:p w14:paraId="416DE2EC">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密文自动持久化与状态反馈：系统将生成的密文数据进行安全存储，并向用户端实时返回加密处理结果以及数据的最终存储状态。</w:t>
      </w:r>
    </w:p>
    <w:p w14:paraId="1C1B029E">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3. 存储状态核验与解密授权追溯：提供多维度的查询与验证功能，支持用户或管理员随时核查加密数据的当前存储状态，并详细记录与展示每一次解密操作的授权记录。</w:t>
      </w:r>
    </w:p>
    <w:p w14:paraId="57E7ACAE">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动态数据脱敏</w:t>
      </w:r>
    </w:p>
    <w:p w14:paraId="384DEC9F">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建设动态数据脱敏能力，实现用户数据按权限和场景进行脱敏与匿名化处理，支持处理策略管理、结果留存和过程追溯，降低敏感信息暴露风险并满足隐私保护要求。</w:t>
      </w:r>
    </w:p>
    <w:p w14:paraId="3F80941B">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动态脱敏规则引擎与匿名化处理：构建灵活的脱敏规则库，支持根据用户权限与具体业务场景，应用掩码替换、泛化处理等自定义规则。同时，提供匿名化技术，对敏感数据进行安全处理。</w:t>
      </w:r>
    </w:p>
    <w:p w14:paraId="296AF251">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脱敏/匿名化数据生成与操作留痕：系统输出经过脱敏处理的数据与匿名化数据，并对每一次脱敏或匿名化操作进行全量日志记录，形成完整的操作审计台账。</w:t>
      </w:r>
    </w:p>
    <w:p w14:paraId="4F796C1F">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3. 规则与历史数据统一检索与映射管理：提供多维度的查询与检索功能，支持管理员随时调阅脱敏规则库、匿名化历史记录以及数据字段映射表，实现元数据的集中化管理。</w:t>
      </w:r>
    </w:p>
    <w:p w14:paraId="767BA2A8">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操作行为范围管控</w:t>
      </w:r>
    </w:p>
    <w:p w14:paraId="6923A554">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建设操作行为范围管控能力，实现用户登录、数据访问和关键操作的全过程管控与审计，支持审计规则管理、日志查询导出、深度分析、高风险行为预警和合规追溯。</w:t>
      </w:r>
    </w:p>
    <w:p w14:paraId="205692AE">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操作行为记录与追溯：记录用户的登录、数据访问及具体操作等行为，提供操作行为的记录与追溯能力，满足基础的行为审计需求。</w:t>
      </w:r>
    </w:p>
    <w:p w14:paraId="088CFEAD">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日志查询、导出与深度分析：提供针对操作日志的查询、导出以及深度分析功能，帮助平台满足相关的合规性要求。</w:t>
      </w:r>
    </w:p>
    <w:p w14:paraId="14139FB0">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3. 审核规则自定义与高风险告警：支持审核规则的自定义配置。使管理员能够根据实际业务需要，灵活定义并监控高风险行为，提升主动防范能力。</w:t>
      </w:r>
    </w:p>
    <w:p w14:paraId="06E3A9EA">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动态加密配置</w:t>
      </w:r>
    </w:p>
    <w:p w14:paraId="4432AF42">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建设动态加密配置能力，实现加密策略按数据类型、传输场景和访问主体动态适配，并提供精细化加密管控，保障敏感数据在不同业务场景下得到差异化保护。</w:t>
      </w:r>
    </w:p>
    <w:p w14:paraId="3700F908">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动态加密策略配置与字段级控制：支持根据数据类型、传输路径、接收方身份等条件动态配置加密策略，并提供字段级别的加密控制能力。</w:t>
      </w:r>
    </w:p>
    <w:p w14:paraId="1FF73D85">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策略配置状态报告与生效范围验证：在用户提交加密策略配置后，系统自动生成加密策略配置状态报告，并提供查询功能以验证策略的配置状态与实际生效范围。</w:t>
      </w:r>
    </w:p>
    <w:p w14:paraId="3CAD723D">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加密协议兼容</w:t>
      </w:r>
    </w:p>
    <w:p w14:paraId="64866EC2">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建设加密协议兼容能力，实现多种加密协议的兼容接入、灵活扩展和接入验证，保障跨系统安全通信与加密能力平滑演进。</w:t>
      </w:r>
    </w:p>
    <w:p w14:paraId="2ED49E6F">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多协议支持与扩展接口集成：提供多种加密协议的支持与集成能力，并支持通过扩展接口集成新的加密协议或自定义协议。</w:t>
      </w:r>
    </w:p>
    <w:p w14:paraId="2B149A06">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协议配置状态与扩展测试报告：在协议配置或扩展后，系统自动返回加密协议配置状态报告与协议扩展测试报告。</w:t>
      </w:r>
    </w:p>
    <w:p w14:paraId="5192F346">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风险预警处置</w:t>
      </w:r>
    </w:p>
    <w:p w14:paraId="221D0D99">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建设风险预警处置能力，实现异常监测、风险预警通知、处置建议与指令反馈、处置联动和过程追踪，提升安全风险响应与闭环治理水平。</w:t>
      </w:r>
    </w:p>
    <w:p w14:paraId="63E02F08">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1. 异常预警触发与处置通知：建立加密系统异常预警机制，当满足异常预警条件时自动触发预警，生成风险通知，并支持处置指令的反馈与预警信息的推送。</w:t>
      </w:r>
    </w:p>
    <w:p w14:paraId="51F99927">
      <w:pPr>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2. 处置建议推送与日志记录：在触发预警的同时，系统自动推送针对该异常的处置建议，并对整个预警触发与处置过程进行日志记录。</w:t>
      </w:r>
    </w:p>
    <w:p w14:paraId="19B52053">
      <w:pPr>
        <w:pStyle w:val="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连接器首页</w:t>
      </w:r>
    </w:p>
    <w:p w14:paraId="347D93C4">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空间运营分析</w:t>
      </w:r>
    </w:p>
    <w:p w14:paraId="5470569D">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元数据资源接入概览</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p>
    <w:p w14:paraId="31AE02BE">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建设元数据资源接入概览能力，帮助</w:t>
      </w:r>
      <w:r>
        <w:rPr>
          <w:rFonts w:hint="eastAsia" w:asciiTheme="minorEastAsia" w:hAnsiTheme="minorEastAsia" w:eastAsiaTheme="minorEastAsia" w:cstheme="minorEastAsia"/>
          <w:highlight w:val="none"/>
          <w:lang w:val="en-US" w:eastAsia="zh-CN"/>
        </w:rPr>
        <w:t>运营人员</w:t>
      </w:r>
      <w:r>
        <w:rPr>
          <w:rFonts w:hint="eastAsia" w:asciiTheme="minorEastAsia" w:hAnsiTheme="minorEastAsia" w:eastAsiaTheme="minorEastAsia" w:cstheme="minorEastAsia"/>
          <w:highlight w:val="none"/>
        </w:rPr>
        <w:t>掌握资源接入规模、结构和分布趋势。</w:t>
      </w:r>
    </w:p>
    <w:p w14:paraId="40F7014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元数据接入核心指标展示：集中展示当前各连接器侧已接入的结构化与非结构化数据资源的元数据接入情况，直观呈现数据源数量、类型分布、接入总量等核心指标。</w:t>
      </w:r>
    </w:p>
    <w:p w14:paraId="06A01A6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元数据分类统计分析：支持按照不同来源、不同类型等维度，对已接入的元数据进行分类统计与汇总分析。</w:t>
      </w:r>
    </w:p>
    <w:p w14:paraId="2FA84B5A">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数据目录资源注册统计</w:t>
      </w:r>
    </w:p>
    <w:p w14:paraId="7539257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建设数据目录资源注册统计能力</w:t>
      </w:r>
      <w:r>
        <w:rPr>
          <w:rFonts w:hint="eastAsia" w:asciiTheme="minorEastAsia" w:hAnsiTheme="minorEastAsia" w:eastAsiaTheme="minorEastAsia" w:cstheme="minorEastAsia"/>
          <w:highlight w:val="none"/>
          <w:lang w:val="en-US" w:eastAsia="zh-CN"/>
        </w:rPr>
        <w:t>，帮助运营人员了解分析不同资源接入情况</w:t>
      </w:r>
      <w:r>
        <w:rPr>
          <w:rFonts w:hint="eastAsia" w:asciiTheme="minorEastAsia" w:hAnsiTheme="minorEastAsia" w:eastAsiaTheme="minorEastAsia" w:cstheme="minorEastAsia"/>
          <w:highlight w:val="none"/>
        </w:rPr>
        <w:t>。</w:t>
      </w:r>
    </w:p>
    <w:p w14:paraId="5BBB57FC">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资源注册情况汇总统计：实现对结构化资源、服务资源以及公开与机构内部资源的注册情况进行汇总统计，为数据目录的统筹管理提供基础数据支撑。</w:t>
      </w:r>
    </w:p>
    <w:p w14:paraId="58E931F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资源规模与分布分析：支持按资源类型和目录分类两个维度，对已注册资源进行规模与分布的分析展示。</w:t>
      </w:r>
    </w:p>
    <w:p w14:paraId="28A55E95">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注册状态分布分析</w:t>
      </w:r>
      <w:r>
        <w:rPr>
          <w:rFonts w:hint="eastAsia" w:asciiTheme="minorEastAsia" w:hAnsiTheme="minorEastAsia" w:eastAsiaTheme="minorEastAsia" w:cstheme="minorEastAsia"/>
          <w:highlight w:val="none"/>
        </w:rPr>
        <w:tab/>
      </w:r>
      <w:r>
        <w:rPr>
          <w:rFonts w:hint="eastAsia" w:asciiTheme="minorEastAsia" w:hAnsiTheme="minorEastAsia" w:eastAsiaTheme="minorEastAsia" w:cstheme="minorEastAsia"/>
          <w:highlight w:val="none"/>
        </w:rPr>
        <w:tab/>
      </w:r>
    </w:p>
    <w:p w14:paraId="0EE1807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建设注册状态分布分析能力，实现连接器数据注册进度与状态的集中监测，并按资源类型和目录归属开展多维分析，支撑注册问题发现和数据治理决策。</w:t>
      </w:r>
    </w:p>
    <w:p w14:paraId="53ADC583">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数据分级分类统计</w:t>
      </w:r>
    </w:p>
    <w:p w14:paraId="1AAE1273">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建设数据分级分类统计能力，实现已接入数据资源按隐私等级进行分级分类统计和结构化分析，为隐私治理、脱敏管控和合规审计提供决策支撑。</w:t>
      </w:r>
    </w:p>
    <w:p w14:paraId="6001DF8A">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 字段级隐私等级分类统计：针对平台内已接入并上传的字段级资源，自动进行隐私等级的分类与汇总统计。</w:t>
      </w:r>
    </w:p>
    <w:p w14:paraId="57AA22CF">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 分级分类结构图输出与决策支持：基于统计结果，系统自动生成并输出直观的数据分级分类结构图，为隐私治理、数据脱敏及合规审计等业务提供决策支持。</w:t>
      </w:r>
    </w:p>
    <w:p w14:paraId="22154536">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待办事项</w:t>
      </w:r>
    </w:p>
    <w:p w14:paraId="49C05BEB">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建设待办事项能力，实现机构待办任务的集中归集、分类展示和快捷处理，提升审批、治理和发布等工作的协同效率。</w:t>
      </w:r>
    </w:p>
    <w:p w14:paraId="2D66168B">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消息公告</w:t>
      </w:r>
    </w:p>
    <w:p w14:paraId="54882022">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建设消息公告能力，实现平台消息与公告的统一发布、分类查阅、已读状态管理和内容获取，保障规则更新、目录调整、操作通知及运维信息及时触达。</w:t>
      </w:r>
    </w:p>
    <w:p w14:paraId="3117C3FE">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连接器互通转换</w:t>
      </w:r>
    </w:p>
    <w:p w14:paraId="636CFFC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建设连接器互通转换能力，实现连接器间数据格式、字符编码、通信协议和行业语义的统一转换，支持数据压缩与解压及转换过程存证，保障跨系统数据交互兼容、高效、稳定、可追溯。</w:t>
      </w:r>
    </w:p>
    <w:p w14:paraId="33D44FBE">
      <w:pPr>
        <w:pStyle w:val="9"/>
        <w:rPr>
          <w:highlight w:val="none"/>
        </w:rPr>
      </w:pPr>
      <w:r>
        <w:rPr>
          <w:rFonts w:hint="eastAsia" w:eastAsia="Songti SC"/>
          <w:highlight w:val="none"/>
        </w:rPr>
        <w:t>数据格式转换</w:t>
      </w:r>
    </w:p>
    <w:p w14:paraId="3462DBC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建设数据格式转换能力，实现多种主流数据格式之间的识别、解析和相互转换，支持转换规则管理、结构说明、过程记录和结果追溯，保障不同系统之间的数据结构兼容与准确交换。</w:t>
      </w:r>
    </w:p>
    <w:p w14:paraId="3424F450">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数据编码转换</w:t>
      </w:r>
    </w:p>
    <w:p w14:paraId="74D8E147">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建设数据编码转换能力，实现不同字符编码之间的识别和转换，支持编码规则管理、兼容性管理和转换记录追溯，保障跨系统数据内容一致解析和稳定传输。</w:t>
      </w:r>
    </w:p>
    <w:p w14:paraId="1B105C64">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数据协议转换</w:t>
      </w:r>
    </w:p>
    <w:p w14:paraId="6E12E99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建设数据协议转换能力，实现异构通信协议之间的适配、重构和转换，支持协议规则管理与交互日志追溯，保障不同系统之间的通信兼容和数据交换顺畅。</w:t>
      </w:r>
    </w:p>
    <w:p w14:paraId="79C818A6">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行业数据语义转换</w:t>
      </w:r>
    </w:p>
    <w:p w14:paraId="44F4B73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建设行业数据语义转换能力，实现行业语义字典、语义映射关系的统一管理和数据语义转换，支持转换结果说明与历史追溯，消除跨系统语义差异。</w:t>
      </w:r>
    </w:p>
    <w:p w14:paraId="2EB33892">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转换过程存证</w:t>
      </w:r>
    </w:p>
    <w:p w14:paraId="60C2C78E">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建设转换过程存证能力，实现转换规则、关键转换信息和处理行为的可信上链存证、验证与追溯，保障数据转换过程和结果可信、可核验。</w:t>
      </w:r>
    </w:p>
    <w:p w14:paraId="24AE8B5E">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数据转换日志查询</w:t>
      </w:r>
    </w:p>
    <w:p w14:paraId="6BABA7E2">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建设数据转换日志查询能力，实现转换日志的统一归集、分类浏览、条件或关键字检索和详细记录追溯，为转换过程审计、问题定位和运行分析提供依据。</w:t>
      </w:r>
    </w:p>
    <w:p w14:paraId="4A5FAB26">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空间指南</w:t>
      </w:r>
    </w:p>
    <w:p w14:paraId="246FBE5D">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空间指引导航目录</w:t>
      </w:r>
    </w:p>
    <w:p w14:paraId="76258F86">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建设空间指引导航目录能力，实现空间指引内容及目录的统一组织、审核、发布、更新、上下架和访问，帮助机构快速获取空间规则与使用指南。</w:t>
      </w:r>
    </w:p>
    <w:p w14:paraId="21EE183E">
      <w:pPr>
        <w:pStyle w:val="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互联互通</w:t>
      </w:r>
    </w:p>
    <w:p w14:paraId="6FFC0E1D">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功能节点互联互通</w:t>
      </w:r>
    </w:p>
    <w:p w14:paraId="2015C06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w:t>
      </w:r>
      <w:r>
        <w:rPr>
          <w:rFonts w:hint="eastAsia" w:asciiTheme="minorEastAsia" w:hAnsiTheme="minorEastAsia" w:eastAsiaTheme="minorEastAsia" w:cstheme="minorEastAsia"/>
          <w:highlight w:val="none"/>
          <w:lang w:val="en-US" w:eastAsia="zh-CN"/>
        </w:rPr>
        <w:t>连接器与</w:t>
      </w:r>
      <w:r>
        <w:rPr>
          <w:rFonts w:hint="eastAsia" w:asciiTheme="minorEastAsia" w:hAnsiTheme="minorEastAsia" w:eastAsiaTheme="minorEastAsia" w:cstheme="minorEastAsia"/>
          <w:highlight w:val="none"/>
        </w:rPr>
        <w:t>功能节点互联互通能力，实现可信空间连接器与功能节点之间的标准化对接，支撑资源目录协同、标识解析、地址上报、接入认证、数据资源与产品管理及标准验证，保障跨系统信息共享与资源管理准确、可靠、合规。</w:t>
      </w:r>
    </w:p>
    <w:p w14:paraId="2B4AF0A8">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数据目录查询</w:t>
      </w:r>
    </w:p>
    <w:p w14:paraId="0F1EBE72">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建设数据目录查询能力，实现与功能节点目录服务的协同查询，支持已登记数据资源的统一发现、分类浏览和信息获取。</w:t>
      </w:r>
    </w:p>
    <w:p w14:paraId="17B24066">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标识解析</w:t>
      </w:r>
    </w:p>
    <w:p w14:paraId="070232C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建设标识解析能力，实现连接器标识的注册、解析、网络属性协同和全生命周期追踪，为跨节点可信识别与互联协同提供支撑。</w:t>
      </w:r>
    </w:p>
    <w:p w14:paraId="40E97153">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连接器地址上报</w:t>
      </w:r>
    </w:p>
    <w:p w14:paraId="7E90B671">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建设连接器地址上报能力，实现连接器注册、接入地址规范上报、标识认证和协同管理，保障节点接入合规及通信关系准确、受控、可追踪。</w:t>
      </w:r>
    </w:p>
    <w:p w14:paraId="5DAED6CA">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数据资源登记</w:t>
      </w:r>
    </w:p>
    <w:p w14:paraId="75113AC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建设数据资源登记能力，实现数据资源与数据产品在功能节点的登记、版本更新、撤销和生命周期协同管理，提升资源管理规范性和一致性。</w:t>
      </w:r>
    </w:p>
    <w:p w14:paraId="2813DA51">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数据产品登记</w:t>
      </w:r>
    </w:p>
    <w:p w14:paraId="791E139F">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建设数据产品登记能力，实现数据产品权属声明、登记、变更和查询，支撑数据资产权属清晰、责任明确、过程可追溯。</w:t>
      </w:r>
    </w:p>
    <w:p w14:paraId="05BCA281">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标准验证接口对接</w:t>
      </w:r>
    </w:p>
    <w:p w14:paraId="74A1C247">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建设标准验证接口对接能力，实现连接器、数据资源及相关交互的标准一致性验证，提升平台互操作性和数据质量保障水平。</w:t>
      </w:r>
    </w:p>
    <w:p w14:paraId="0B9F19BA">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服务平台互联互通</w:t>
      </w:r>
    </w:p>
    <w:p w14:paraId="1E00DF32">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数据交易控制指令获取</w:t>
      </w:r>
    </w:p>
    <w:p w14:paraId="4A802D16">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建设数据交易控制指令获取能力，实现连接器从业务节点获取并协同执行数据交易控制指令，支撑连接器之间的数据交易按约定规则准确开展。</w:t>
      </w:r>
    </w:p>
    <w:p w14:paraId="116B09A9">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数据交付结果上报</w:t>
      </w:r>
    </w:p>
    <w:p w14:paraId="1E7D934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建设数据交付结果上报能力，实现数据交付结果向业务节点的统一上报和状态协同，形成数据交易从指令到交付的业务闭环。</w:t>
      </w:r>
    </w:p>
    <w:p w14:paraId="68B7A309">
      <w:pPr>
        <w:pStyle w:val="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分布式身份认证</w:t>
      </w:r>
    </w:p>
    <w:p w14:paraId="103DBD1C">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建设分布式身份认证能力，实现基于去中心化标识符和可验证身份凭证的身份生成、解析、签发、验证、注销及端到端认证，保障多方交互可信、合规。</w:t>
      </w:r>
    </w:p>
    <w:p w14:paraId="31D8A0AC">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DID身份生成</w:t>
      </w:r>
    </w:p>
    <w:p w14:paraId="43455CFA">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建设连接器DID身份生成能力，支持本地密钥派生和Web域名托管两类生成方式，实现DID身份的自主生成、注册和统一关联，为用户、机构和系统组件建立唯一、可验证的数字身份。</w:t>
      </w:r>
    </w:p>
    <w:p w14:paraId="01C6EEC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本地密钥派生生成：实现基于本地密钥的DID身份生成与自主管理能力，保障身份标识安全可控。</w:t>
      </w:r>
    </w:p>
    <w:p w14:paraId="16BDC67B">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Web域名托管生成：实现基于域名的DID身份托管与公开验证能力，支撑跨系统可信识别。</w:t>
      </w:r>
    </w:p>
    <w:p w14:paraId="5D24ED2C">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多场景适配：实现DID生成策略与用户类型、应用环境和平台账号体系的协同适配，形成统一身份映射。</w:t>
      </w:r>
    </w:p>
    <w:p w14:paraId="6288DEE9">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DID解析与更新</w:t>
      </w:r>
    </w:p>
    <w:p w14:paraId="4F9CE205">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建设连接器DID解析与更新能力，实现DID文档及其验证、服务信息的解析获取，并对Web域名托管的DID文档进行受控更新，保障身份信息可发现、可维护、可信任。</w:t>
      </w:r>
    </w:p>
    <w:p w14:paraId="088144A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DID文档解析：实现本地密钥派生DID的离线解析和Web域名托管DID的在线解析能力，支撑身份识别和验证。</w:t>
      </w:r>
    </w:p>
    <w:p w14:paraId="56F23AA3">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安全更新机制：实现DID文档变更权限校验和受控更新能力，保障身份信息变更安全、合规、可追溯。</w:t>
      </w:r>
    </w:p>
    <w:p w14:paraId="487A3A9E">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状态检测提示：实现DID文档失效、访问异常和证书问题的自动检测与状态反馈，提升身份服务稳定性。</w:t>
      </w:r>
    </w:p>
    <w:p w14:paraId="2AB3E379">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可验证身份凭证签发</w:t>
      </w:r>
      <w:r>
        <w:rPr>
          <w:rFonts w:hint="eastAsia" w:asciiTheme="minorEastAsia" w:hAnsiTheme="minorEastAsia" w:eastAsiaTheme="minorEastAsia" w:cstheme="minorEastAsia"/>
          <w:highlight w:val="none"/>
        </w:rPr>
        <w:tab/>
      </w:r>
    </w:p>
    <w:p w14:paraId="77C48A77">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建设可验证身份凭证签发能力，支持以空间Web域名托管DID作为可信签发主体，实现凭证的标准化签发、可信签名、用途约束和生命周期管理，为身份、资质和授权证明提供支撑。</w:t>
      </w:r>
    </w:p>
    <w:p w14:paraId="48F6045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多模板签发：实现标准凭证模板与自定义模板的统一管理和灵活扩展，适配实名认证、机构成员、权限分配等不同业务身份需求。</w:t>
      </w:r>
    </w:p>
    <w:p w14:paraId="14539BA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数字签名机制：实现基于Web域名托管DID的凭证签名和来源验证能力，保障签发主体可信、凭证内容完整。</w:t>
      </w:r>
    </w:p>
    <w:p w14:paraId="45F09422">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生命周期设置：实现凭证从签发、生效、更新到注销的全生命周期管理，保障凭证使用范围和有效状态持续受控。</w:t>
      </w:r>
    </w:p>
    <w:p w14:paraId="742A824B">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可验证身份凭证验证</w:t>
      </w:r>
      <w:r>
        <w:rPr>
          <w:rFonts w:hint="eastAsia" w:asciiTheme="minorEastAsia" w:hAnsiTheme="minorEastAsia" w:eastAsiaTheme="minorEastAsia" w:cstheme="minorEastAsia"/>
          <w:highlight w:val="none"/>
        </w:rPr>
        <w:tab/>
      </w:r>
    </w:p>
    <w:p w14:paraId="34B472C2">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建设可验证身份凭证验证能力，实现凭证真实性、完整性、有效性和用途合规验证，保障凭证可信使用。</w:t>
      </w:r>
    </w:p>
    <w:p w14:paraId="527A943E">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规范验证流程：实现符合W3C标准的凭证验签、结构完整性校验和用途规则核验能力，保证验证结果一致可靠。</w:t>
      </w:r>
    </w:p>
    <w:p w14:paraId="4C868C9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DID链式解析：实现签发方DID关联解析、验证密钥获取和凭证签名可信验证能力，确保凭证来源可核验。</w:t>
      </w:r>
    </w:p>
    <w:p w14:paraId="0E52C1C1">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组合验证策略：实现用途限制、有效期和内容完整性等验证策略的灵活组合与统一执行，适配不同业务风险要求。</w:t>
      </w:r>
    </w:p>
    <w:p w14:paraId="081EF72D">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可验证身份凭证注销</w:t>
      </w:r>
      <w:r>
        <w:rPr>
          <w:rFonts w:hint="eastAsia" w:asciiTheme="minorEastAsia" w:hAnsiTheme="minorEastAsia" w:eastAsiaTheme="minorEastAsia" w:cstheme="minorEastAsia"/>
          <w:highlight w:val="none"/>
        </w:rPr>
        <w:tab/>
      </w:r>
    </w:p>
    <w:p w14:paraId="541799D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建设可验证身份凭证注销能力，实现已签发凭证的撤销、废止和失效管理，防止无效或不再适用的凭证继续使用。</w:t>
      </w:r>
    </w:p>
    <w:p w14:paraId="35E14C89">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主动注销机制：实现签发方对指定凭证的主动注销和状态控制能力，及时终止凭证效力。</w:t>
      </w:r>
    </w:p>
    <w:p w14:paraId="1D76DF7E">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注销信息发布：实现凭证注销清单的统一存储、注销状态发布和多方同步，保障各参与方及时识别无效凭证。</w:t>
      </w:r>
    </w:p>
    <w:p w14:paraId="44799CDA">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验证协同机制：实现凭证验证与注销状态的协同核验能力，确保验证结果反映凭证最新状态。</w:t>
      </w:r>
    </w:p>
    <w:p w14:paraId="2B30515A">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端到端认证管理</w:t>
      </w:r>
      <w:r>
        <w:rPr>
          <w:rFonts w:hint="eastAsia" w:asciiTheme="minorEastAsia" w:hAnsiTheme="minorEastAsia" w:eastAsiaTheme="minorEastAsia" w:cstheme="minorEastAsia"/>
          <w:highlight w:val="none"/>
        </w:rPr>
        <w:tab/>
      </w:r>
    </w:p>
    <w:p w14:paraId="4F1442C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建设端到端认证管理能力，实现基于DID的可信签名验证和去中心化身份核验，降低对传统账号密码和中心化信任机构的依赖。</w:t>
      </w:r>
    </w:p>
    <w:p w14:paraId="7BCFED6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多类型DID兼容：实现本地密钥派生DID和Web域名托管DID的统一认证与对应签名验证，保障不同身份体系兼容接入。</w:t>
      </w:r>
    </w:p>
    <w:p w14:paraId="4006099B">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会话与权限绑定：实现认证身份、会话和访问权限的安全关联，并支持会话凭证和访问令牌签发，保障认证结果在授权访问中持续有效。</w:t>
      </w:r>
    </w:p>
    <w:p w14:paraId="6D331B7B">
      <w:pPr>
        <w:pStyle w:val="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空间</w:t>
      </w:r>
      <w:r>
        <w:rPr>
          <w:rFonts w:hint="eastAsia" w:asciiTheme="minorEastAsia" w:hAnsiTheme="minorEastAsia" w:eastAsiaTheme="minorEastAsia" w:cstheme="minorEastAsia"/>
          <w:highlight w:val="none"/>
        </w:rPr>
        <w:t>计算</w:t>
      </w:r>
      <w:r>
        <w:rPr>
          <w:rFonts w:hint="eastAsia" w:asciiTheme="minorEastAsia" w:hAnsiTheme="minorEastAsia" w:eastAsiaTheme="minorEastAsia" w:cstheme="minorEastAsia"/>
          <w:highlight w:val="none"/>
          <w:lang w:val="en-US" w:eastAsia="zh-CN"/>
        </w:rPr>
        <w:t>服务</w:t>
      </w:r>
      <w:r>
        <w:rPr>
          <w:rFonts w:hint="eastAsia" w:asciiTheme="minorEastAsia" w:hAnsiTheme="minorEastAsia" w:eastAsiaTheme="minorEastAsia" w:cstheme="minorEastAsia"/>
          <w:highlight w:val="none"/>
        </w:rPr>
        <w:t>能力</w:t>
      </w:r>
    </w:p>
    <w:p w14:paraId="6F3FD8E0">
      <w:pPr>
        <w:widowControl/>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kern w:val="0"/>
          <w:sz w:val="24"/>
          <w:szCs w:val="24"/>
          <w:highlight w:val="none"/>
          <w:lang w:val="en-US" w:eastAsia="zh-CN" w:bidi="ar"/>
        </w:rPr>
        <w:t>对现有数据沙箱进行能力升级，补充集中式计算模式，主要包括前置安全接入、安全可信计算、算法模型管理及实时、离线数据计算任务管理功能，加强数据、模型和计算任务的隔离管控与审计，提升跨主体数据安全接入、可信计算和受控使用水平。</w:t>
      </w:r>
    </w:p>
    <w:p w14:paraId="574E1606">
      <w:pPr>
        <w:pStyle w:val="8"/>
        <w:bidi w:val="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前置</w:t>
      </w:r>
      <w:r>
        <w:rPr>
          <w:rFonts w:hint="eastAsia" w:asciiTheme="minorEastAsia" w:hAnsiTheme="minorEastAsia" w:eastAsiaTheme="minorEastAsia" w:cstheme="minorEastAsia"/>
          <w:highlight w:val="none"/>
          <w:lang w:val="en-US" w:eastAsia="zh-CN"/>
        </w:rPr>
        <w:t>接入服务</w:t>
      </w:r>
    </w:p>
    <w:p w14:paraId="096341F4">
      <w:pPr>
        <w:keepNext w:val="0"/>
        <w:keepLines w:val="0"/>
        <w:widowControl/>
        <w:suppressLineNumbers w:val="0"/>
        <w:jc w:val="left"/>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建设前置接入节点能力，实现数据可信环境与用户本地环境之间的安全连接，支持本地数据资源接入、数据安全传输及前置节点统一管理，保证数据在跨主体流通过程中的安全性、可靠性和可管控性。</w:t>
      </w:r>
    </w:p>
    <w:p w14:paraId="4AB138E4">
      <w:pPr>
        <w:keepNext w:val="0"/>
        <w:keepLines w:val="0"/>
        <w:widowControl/>
        <w:numPr>
          <w:ilvl w:val="0"/>
          <w:numId w:val="3"/>
        </w:numPr>
        <w:suppressLineNumbers w:val="0"/>
        <w:jc w:val="left"/>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前置机信息展示：支持展示前置机资源列表，提供已接入前置节点的基础信息查看能力，包括资产名称、地址、运行状态等信息，便于管理员统一掌握前置节点接入情况。</w:t>
      </w:r>
    </w:p>
    <w:p w14:paraId="6F350D4E">
      <w:pPr>
        <w:keepNext w:val="0"/>
        <w:keepLines w:val="0"/>
        <w:widowControl/>
        <w:numPr>
          <w:ilvl w:val="0"/>
          <w:numId w:val="3"/>
        </w:numPr>
        <w:suppressLineNumbers w:val="0"/>
        <w:ind w:left="0" w:leftChars="0" w:firstLine="480" w:firstLineChars="200"/>
        <w:jc w:val="left"/>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本地数据安全接入:支持通过前置机实现用户本地数据资源接入可信数据环境，为数据流通、数据计算等业务提供安全的数据接入通道。</w:t>
      </w:r>
    </w:p>
    <w:p w14:paraId="6E212E54">
      <w:pPr>
        <w:keepNext w:val="0"/>
        <w:keepLines w:val="0"/>
        <w:widowControl/>
        <w:numPr>
          <w:ilvl w:val="0"/>
          <w:numId w:val="3"/>
        </w:numPr>
        <w:suppressLineNumbers w:val="0"/>
        <w:ind w:left="0" w:leftChars="0" w:firstLine="480" w:firstLineChars="200"/>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kern w:val="0"/>
          <w:sz w:val="24"/>
          <w:szCs w:val="24"/>
          <w:highlight w:val="none"/>
          <w:lang w:val="en-US" w:eastAsia="zh-CN" w:bidi="ar"/>
        </w:rPr>
        <w:t>数据加密处理:支持对本地接入及传输过程中的数据进行加密处理，保障数据在可信环境与用户本地环境之间传输过程中的安全性，防止数据泄露和非法访问。</w:t>
      </w:r>
    </w:p>
    <w:p w14:paraId="407F560A">
      <w:pPr>
        <w:pStyle w:val="8"/>
        <w:bidi w:val="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数据开发与计算</w:t>
      </w:r>
    </w:p>
    <w:p w14:paraId="711B7166">
      <w:pPr>
        <w:keepNext w:val="0"/>
        <w:keepLines w:val="0"/>
        <w:widowControl/>
        <w:suppressLineNumbers w:val="0"/>
        <w:jc w:val="left"/>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建设数据可信开发与计算功能，实现数据合约调试、算法模型运行及数据计算任务的安全可信执行，支持安全调试环境、可信计算环境、算法模型管理以及实时离线数据处理任务管理，保证数据、模型和计算过程安全隔离、可控管理，实现计算过程可审计、计算结果可信。</w:t>
      </w:r>
    </w:p>
    <w:p w14:paraId="63069413">
      <w:pPr>
        <w:pStyle w:val="9"/>
        <w:bidi w:val="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安全可信计算环境</w:t>
      </w:r>
    </w:p>
    <w:p w14:paraId="5EBF1572">
      <w:pPr>
        <w:keepNext w:val="0"/>
        <w:keepLines w:val="0"/>
        <w:widowControl/>
        <w:suppressLineNumbers w:val="0"/>
        <w:jc w:val="left"/>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建设安全可信计算环境能力，实现数据合约调试和计算任务的安全隔离执行，支持基于样本数据开展算法调试，并为正式计算任务创建独立容器和可信执行空间，实现不同合约、不同任务之间的数据隔离，保证计算环境安全可靠、操作过程可追溯。</w:t>
      </w:r>
    </w:p>
    <w:p w14:paraId="032F235F">
      <w:pPr>
        <w:keepNext w:val="0"/>
        <w:keepLines w:val="0"/>
        <w:widowControl/>
        <w:numPr>
          <w:ilvl w:val="0"/>
          <w:numId w:val="4"/>
        </w:numPr>
        <w:suppressLineNumbers w:val="0"/>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kern w:val="0"/>
          <w:sz w:val="24"/>
          <w:szCs w:val="24"/>
          <w:highlight w:val="none"/>
          <w:lang w:val="en-US" w:eastAsia="zh-CN" w:bidi="ar"/>
        </w:rPr>
        <w:t>安全调试环境：支持基于样本数据开展算法调试，并依据合约调试配置自动创建大数据开发环境，包括数据库创建、数据库表创建、调试数据加载等功能，保证开发人员无需直接接触敏感数据，同时保障算法调试过程安全可控、操作过程可追溯。</w:t>
      </w:r>
    </w:p>
    <w:p w14:paraId="69228D77">
      <w:pPr>
        <w:keepNext w:val="0"/>
        <w:keepLines w:val="0"/>
        <w:widowControl/>
        <w:numPr>
          <w:ilvl w:val="0"/>
          <w:numId w:val="4"/>
        </w:numPr>
        <w:suppressLineNumbers w:val="0"/>
        <w:ind w:left="0" w:leftChars="0" w:firstLine="480" w:firstLineChars="200"/>
        <w:jc w:val="left"/>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安全计算环境：支持基于数据合约创建独立容器环境，并为关键计算任务提供可信执行环境，实现不同任务之间的数据隔离和资源隔离，保证计算过程安全可靠、执行行为可审计。</w:t>
      </w:r>
    </w:p>
    <w:p w14:paraId="36EB3A79">
      <w:pPr>
        <w:pStyle w:val="9"/>
        <w:bidi w:val="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算法模型管理</w:t>
      </w:r>
    </w:p>
    <w:p w14:paraId="5F28D254">
      <w:pPr>
        <w:bidi w:val="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建设算法模型管理能力，实现模型算法全生命周期管理，支持模型发布、模型预测、模型下载及模型精调功能，保证模型在授权范围内安全使用和受控流转，提升模型算法应用的安全性和可管理性。</w:t>
      </w:r>
    </w:p>
    <w:p w14:paraId="227C1DCF">
      <w:pPr>
        <w:pStyle w:val="9"/>
        <w:bidi w:val="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数据计算任务管理</w:t>
      </w:r>
    </w:p>
    <w:p w14:paraId="51C7CFA4">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建设数据计算任务管理能力，实现实时数据计算和离线数据融合计算任务统一管理，支持计算合约申请、任务调试执行、计算结果获取及执行过程查询，保证数据计算过程安全可控、任务执行状态可追踪、计算结果可安全获取。具体如下：</w:t>
      </w:r>
    </w:p>
    <w:p w14:paraId="3FFCE12B">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实时数据处理任务：支持实时数据处理任务能力，实现在线数据实时计算场景下的数据合约创建和执行管理，支持在线数据集选择、SQL流任务调试、任务部署执行以及计算结果获取，保证实时计算任务稳定运行和结果安全输出。</w:t>
      </w:r>
    </w:p>
    <w:p w14:paraId="30FB630C">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离线数据处理任务：支持离线数据处理任务能力，实现离线数据融合计算场景下的合约管理和任务执行，支持单次或周期性计算任务创建、SQL/Python/PySpark/R等算法调试、任务编排及结果查看，保证离线计算任务灵活配置、可靠执行和全过程可管理。</w:t>
      </w:r>
    </w:p>
    <w:p w14:paraId="685E0966">
      <w:pPr>
        <w:pStyle w:val="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数据沙箱运行监测与运营分析</w:t>
      </w:r>
    </w:p>
    <w:p w14:paraId="32141FAD">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完善数据沙箱运行监测与运营分析能力，支持对数据沙箱运行过程中的CPU、内存、磁盘等资源使用情况进行可视化监测，并对数据合约、模型类型、参与方等运营数据进行统计展示，提升数据沙箱运行状态感知、资源使用分析和运营管理能力。</w:t>
      </w:r>
    </w:p>
    <w:p w14:paraId="2C2A5E41">
      <w:pPr>
        <w:pStyle w:val="6"/>
        <w:spacing w:line="360" w:lineRule="auto"/>
        <w:rPr>
          <w:rFonts w:hint="eastAsia" w:asciiTheme="minorEastAsia" w:hAnsiTheme="minorEastAsia" w:eastAsiaTheme="minorEastAsia" w:cstheme="minorEastAsia"/>
          <w:color w:val="auto"/>
          <w:highlight w:val="none"/>
          <w:lang w:val="en-US" w:eastAsia="zh-CN"/>
        </w:rPr>
      </w:pPr>
      <w:bookmarkStart w:id="61" w:name="_Toc18676"/>
      <w:r>
        <w:rPr>
          <w:rFonts w:hint="eastAsia" w:asciiTheme="minorEastAsia" w:hAnsiTheme="minorEastAsia" w:eastAsiaTheme="minorEastAsia" w:cstheme="minorEastAsia"/>
          <w:color w:val="auto"/>
          <w:highlight w:val="none"/>
          <w:lang w:val="en-US" w:eastAsia="zh-CN"/>
        </w:rPr>
        <w:t>系统高可用要求</w:t>
      </w:r>
      <w:bookmarkEnd w:id="61"/>
    </w:p>
    <w:p w14:paraId="5854833B">
      <w:pP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完善数据沙箱高可用保障能力，通过优化部署架构、强化关键组件运行保障和故障恢复机制，降低单点故障及异常中断对平台运行的影响，提升数据沙箱持续稳定服务和异常快速恢复能力。</w:t>
      </w:r>
    </w:p>
    <w:p w14:paraId="6C4F1694">
      <w:pPr>
        <w:pStyle w:val="6"/>
        <w:spacing w:line="360" w:lineRule="auto"/>
        <w:rPr>
          <w:rFonts w:hint="eastAsia" w:asciiTheme="minorEastAsia" w:hAnsiTheme="minorEastAsia" w:eastAsiaTheme="minorEastAsia" w:cstheme="minorEastAsia"/>
          <w:color w:val="auto"/>
          <w:highlight w:val="none"/>
        </w:rPr>
      </w:pPr>
      <w:bookmarkStart w:id="62" w:name="_Toc25630"/>
      <w:bookmarkStart w:id="63" w:name="_Toc29952"/>
      <w:bookmarkStart w:id="64" w:name="_Toc4254"/>
      <w:r>
        <w:rPr>
          <w:rFonts w:hint="eastAsia" w:asciiTheme="minorEastAsia" w:hAnsiTheme="minorEastAsia" w:eastAsiaTheme="minorEastAsia" w:cstheme="minorEastAsia"/>
          <w:color w:val="auto"/>
          <w:highlight w:val="none"/>
          <w:lang w:val="en-US" w:eastAsia="zh-CN"/>
        </w:rPr>
        <w:t>系统关键参数要求</w:t>
      </w:r>
      <w:bookmarkEnd w:id="62"/>
      <w:bookmarkEnd w:id="63"/>
      <w:bookmarkEnd w:id="64"/>
    </w:p>
    <w:p w14:paraId="2783CE47">
      <w:pPr>
        <w:keepNext w:val="0"/>
        <w:keepLines w:val="0"/>
        <w:pageBreakBefore w:val="0"/>
        <w:widowControl w:val="0"/>
        <w:numPr>
          <w:ilvl w:val="0"/>
          <w:numId w:val="5"/>
        </w:numPr>
        <w:kinsoku/>
        <w:wordWrap w:val="0"/>
        <w:overflowPunct/>
        <w:topLinePunct w:val="0"/>
        <w:autoSpaceDE/>
        <w:autoSpaceDN/>
        <w:bidi w:val="0"/>
        <w:adjustRightInd/>
        <w:snapToGrid/>
        <w:ind w:left="0" w:leftChars="0"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支持四种</w:t>
      </w:r>
      <w:r>
        <w:rPr>
          <w:rFonts w:hint="eastAsia" w:asciiTheme="minorEastAsia" w:hAnsiTheme="minorEastAsia" w:eastAsiaTheme="minorEastAsia" w:cstheme="minorEastAsia"/>
          <w:b w:val="0"/>
          <w:highlight w:val="none"/>
        </w:rPr>
        <w:t>模型</w:t>
      </w:r>
      <w:r>
        <w:rPr>
          <w:rFonts w:hint="eastAsia" w:asciiTheme="minorEastAsia" w:hAnsiTheme="minorEastAsia" w:eastAsiaTheme="minorEastAsia" w:cstheme="minorEastAsia"/>
          <w:color w:val="auto"/>
          <w:highlight w:val="none"/>
        </w:rPr>
        <w:t>调试方法：SQL、Python、PySpark、R语言。</w:t>
      </w:r>
    </w:p>
    <w:p w14:paraId="6BAC9FB8">
      <w:pPr>
        <w:keepNext w:val="0"/>
        <w:keepLines w:val="0"/>
        <w:pageBreakBefore w:val="0"/>
        <w:widowControl w:val="0"/>
        <w:numPr>
          <w:ilvl w:val="0"/>
          <w:numId w:val="5"/>
        </w:numPr>
        <w:kinsoku/>
        <w:wordWrap w:val="0"/>
        <w:overflowPunct/>
        <w:topLinePunct w:val="0"/>
        <w:autoSpaceDE/>
        <w:autoSpaceDN/>
        <w:bidi w:val="0"/>
        <w:adjustRightInd/>
        <w:snapToGrid/>
        <w:ind w:left="0" w:leftChars="0"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支持模型</w:t>
      </w:r>
      <w:r>
        <w:rPr>
          <w:rFonts w:hint="eastAsia" w:asciiTheme="minorEastAsia" w:hAnsiTheme="minorEastAsia" w:eastAsiaTheme="minorEastAsia" w:cstheme="minorEastAsia"/>
          <w:b w:val="0"/>
          <w:highlight w:val="none"/>
        </w:rPr>
        <w:t>预测</w:t>
      </w:r>
      <w:r>
        <w:rPr>
          <w:rFonts w:hint="eastAsia" w:asciiTheme="minorEastAsia" w:hAnsiTheme="minorEastAsia" w:eastAsiaTheme="minorEastAsia" w:cstheme="minorEastAsia"/>
          <w:color w:val="auto"/>
          <w:highlight w:val="none"/>
        </w:rPr>
        <w:t>、下载、上架、下架、编辑、删除。支持模型模</w:t>
      </w:r>
      <w:r>
        <w:rPr>
          <w:rFonts w:hint="eastAsia" w:asciiTheme="minorEastAsia" w:hAnsiTheme="minorEastAsia" w:eastAsiaTheme="minorEastAsia" w:cstheme="minorEastAsia"/>
          <w:color w:val="auto"/>
          <w:highlight w:val="none"/>
          <w:lang w:val="en-US" w:eastAsia="zh-CN"/>
        </w:rPr>
        <w:t>板</w:t>
      </w:r>
      <w:r>
        <w:rPr>
          <w:rFonts w:hint="eastAsia" w:asciiTheme="minorEastAsia" w:hAnsiTheme="minorEastAsia" w:eastAsiaTheme="minorEastAsia" w:cstheme="minorEastAsia"/>
          <w:color w:val="auto"/>
          <w:highlight w:val="none"/>
        </w:rPr>
        <w:t>、模型应用、申请模型预测、模型下载。</w:t>
      </w:r>
    </w:p>
    <w:p w14:paraId="4A07DDA0">
      <w:pPr>
        <w:keepNext w:val="0"/>
        <w:keepLines w:val="0"/>
        <w:pageBreakBefore w:val="0"/>
        <w:widowControl w:val="0"/>
        <w:numPr>
          <w:ilvl w:val="0"/>
          <w:numId w:val="5"/>
        </w:numPr>
        <w:kinsoku/>
        <w:wordWrap w:val="0"/>
        <w:overflowPunct/>
        <w:topLinePunct w:val="0"/>
        <w:autoSpaceDE/>
        <w:autoSpaceDN/>
        <w:bidi w:val="0"/>
        <w:adjustRightInd/>
        <w:snapToGrid/>
        <w:ind w:left="0" w:leftChars="0" w:firstLine="480" w:firstLineChars="200"/>
        <w:textAlignment w:val="auto"/>
        <w:rPr>
          <w:rFonts w:hint="eastAsia" w:asciiTheme="minorEastAsia" w:hAnsiTheme="minorEastAsia" w:eastAsiaTheme="minorEastAsia" w:cstheme="minorEastAsia"/>
          <w:b w:val="0"/>
          <w:highlight w:val="none"/>
        </w:rPr>
      </w:pPr>
      <w:r>
        <w:rPr>
          <w:rFonts w:hint="eastAsia" w:asciiTheme="minorEastAsia" w:hAnsiTheme="minorEastAsia" w:eastAsiaTheme="minorEastAsia" w:cstheme="minorEastAsia"/>
          <w:color w:val="auto"/>
          <w:highlight w:val="none"/>
        </w:rPr>
        <w:t>支持模</w:t>
      </w:r>
      <w:r>
        <w:rPr>
          <w:rFonts w:hint="eastAsia" w:asciiTheme="minorEastAsia" w:hAnsiTheme="minorEastAsia" w:eastAsiaTheme="minorEastAsia" w:cstheme="minorEastAsia"/>
          <w:b w:val="0"/>
          <w:highlight w:val="none"/>
        </w:rPr>
        <w:t>型名称、版本更新时间、状态进行筛选；筛选的结果表内容包括模型名称、最新版本、版本更新时间、可见性、发布时间、最新上架时间、操作，操作栏包括模型预测、下载、详情、上架、下架、删除。</w:t>
      </w:r>
    </w:p>
    <w:p w14:paraId="674AFEC0">
      <w:pPr>
        <w:keepNext w:val="0"/>
        <w:keepLines w:val="0"/>
        <w:pageBreakBefore w:val="0"/>
        <w:widowControl w:val="0"/>
        <w:numPr>
          <w:ilvl w:val="0"/>
          <w:numId w:val="5"/>
        </w:numPr>
        <w:kinsoku/>
        <w:wordWrap w:val="0"/>
        <w:overflowPunct/>
        <w:topLinePunct w:val="0"/>
        <w:autoSpaceDE/>
        <w:autoSpaceDN/>
        <w:bidi w:val="0"/>
        <w:adjustRightInd/>
        <w:snapToGrid/>
        <w:ind w:left="0" w:leftChars="0" w:firstLine="480" w:firstLineChars="200"/>
        <w:textAlignment w:val="auto"/>
        <w:rPr>
          <w:rFonts w:hint="eastAsia" w:asciiTheme="minorEastAsia" w:hAnsiTheme="minorEastAsia" w:eastAsiaTheme="minorEastAsia" w:cstheme="minorEastAsia"/>
          <w:b w:val="0"/>
          <w:highlight w:val="none"/>
        </w:rPr>
      </w:pPr>
      <w:r>
        <w:rPr>
          <w:rFonts w:hint="eastAsia" w:asciiTheme="minorEastAsia" w:hAnsiTheme="minorEastAsia" w:eastAsiaTheme="minorEastAsia" w:cstheme="minorEastAsia"/>
          <w:b w:val="0"/>
          <w:highlight w:val="none"/>
        </w:rPr>
        <w:t>支持接入主流数据库类型：包括但不限于MySQL、Oracle、HDFS、Hive、ODPS等；</w:t>
      </w:r>
    </w:p>
    <w:p w14:paraId="0D84B46B">
      <w:pPr>
        <w:keepNext w:val="0"/>
        <w:keepLines w:val="0"/>
        <w:pageBreakBefore w:val="0"/>
        <w:widowControl w:val="0"/>
        <w:numPr>
          <w:ilvl w:val="0"/>
          <w:numId w:val="5"/>
        </w:numPr>
        <w:kinsoku/>
        <w:wordWrap w:val="0"/>
        <w:overflowPunct/>
        <w:topLinePunct w:val="0"/>
        <w:autoSpaceDE/>
        <w:autoSpaceDN/>
        <w:bidi w:val="0"/>
        <w:adjustRightInd/>
        <w:snapToGrid/>
        <w:ind w:left="0" w:leftChars="0" w:firstLine="48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支持国密算法SM2、SM3、SM4，密钥服务器密钥长度16字节（128位），传入SM4</w:t>
      </w:r>
      <w:r>
        <w:rPr>
          <w:rFonts w:hint="eastAsia" w:asciiTheme="minorEastAsia" w:hAnsiTheme="minorEastAsia" w:eastAsiaTheme="minorEastAsia" w:cstheme="minorEastAsia"/>
          <w:b w:val="0"/>
          <w:highlight w:val="none"/>
        </w:rPr>
        <w:t>算法</w:t>
      </w:r>
      <w:r>
        <w:rPr>
          <w:rFonts w:hint="eastAsia" w:asciiTheme="minorEastAsia" w:hAnsiTheme="minorEastAsia" w:eastAsiaTheme="minorEastAsia" w:cstheme="minorEastAsia"/>
          <w:color w:val="auto"/>
          <w:highlight w:val="none"/>
        </w:rPr>
        <w:t>时扩展到32字节（256位）。</w:t>
      </w:r>
    </w:p>
    <w:bookmarkEnd w:id="57"/>
    <w:bookmarkEnd w:id="59"/>
    <w:bookmarkEnd w:id="60"/>
    <w:p w14:paraId="5093B35D">
      <w:pPr>
        <w:pStyle w:val="4"/>
        <w:bidi w:val="0"/>
        <w:rPr>
          <w:color w:val="auto"/>
          <w:highlight w:val="none"/>
        </w:rPr>
      </w:pPr>
      <w:bookmarkStart w:id="65" w:name="_Toc3334"/>
      <w:bookmarkStart w:id="66" w:name="_Toc14348"/>
      <w:bookmarkStart w:id="67" w:name="_Toc15154"/>
      <w:bookmarkStart w:id="68" w:name="_Toc15492"/>
      <w:bookmarkStart w:id="69" w:name="_Toc22083"/>
      <w:bookmarkStart w:id="70" w:name="_Toc1466110644"/>
      <w:bookmarkStart w:id="71" w:name="_Toc8387"/>
      <w:bookmarkStart w:id="72" w:name="_Toc411364415"/>
      <w:bookmarkStart w:id="73" w:name="_Toc522869741"/>
      <w:bookmarkStart w:id="74" w:name="_Toc9089871"/>
      <w:bookmarkStart w:id="75" w:name="_Toc527020830"/>
      <w:bookmarkStart w:id="76" w:name="_Toc533361986"/>
      <w:bookmarkStart w:id="77" w:name="_Toc513447171"/>
      <w:bookmarkStart w:id="78" w:name="_Toc411343049"/>
      <w:bookmarkStart w:id="79" w:name="_Toc411272929"/>
      <w:bookmarkStart w:id="80" w:name="_Toc531367955"/>
      <w:r>
        <w:rPr>
          <w:rFonts w:hint="eastAsia"/>
          <w:color w:val="auto"/>
          <w:highlight w:val="none"/>
          <w:lang w:val="en-US" w:eastAsia="zh-CN"/>
        </w:rPr>
        <w:t>项目技术要求</w:t>
      </w:r>
      <w:bookmarkEnd w:id="65"/>
      <w:bookmarkEnd w:id="66"/>
      <w:bookmarkEnd w:id="67"/>
      <w:bookmarkEnd w:id="68"/>
      <w:bookmarkEnd w:id="69"/>
      <w:bookmarkEnd w:id="70"/>
      <w:bookmarkEnd w:id="71"/>
    </w:p>
    <w:p w14:paraId="64D9E1B8">
      <w:pPr>
        <w:bidi w:val="0"/>
        <w:ind w:leftChars="0"/>
        <w:outlineLvl w:val="9"/>
        <w:rPr>
          <w:color w:val="auto"/>
          <w:szCs w:val="24"/>
          <w:highlight w:val="none"/>
          <w:u w:val="single"/>
        </w:rPr>
      </w:pPr>
      <w:r>
        <w:rPr>
          <w:rFonts w:hint="default" w:ascii="Calibri" w:hAnsi="Calibri" w:eastAsia="黑体" w:cstheme="minorBidi"/>
          <w:b/>
          <w:bCs/>
          <w:sz w:val="24"/>
          <w:szCs w:val="24"/>
          <w:highlight w:val="none"/>
          <w:u w:val="single"/>
        </w:rPr>
        <w:t>特别说明：本文件所列全部技术要求，投标人须逐一作出实质性响应。各项技术指标应满足或优于要求，并在投标文件中提供详细说明或证明材料。其中标注“★”的条款为核心服务要求，必须予以逐项响应；如未响应，将视为对应参数不满足要求。</w:t>
      </w:r>
    </w:p>
    <w:p w14:paraId="25B8D9BE">
      <w:pPr>
        <w:pStyle w:val="5"/>
        <w:bidi w:val="0"/>
        <w:rPr>
          <w:highlight w:val="none"/>
        </w:rPr>
      </w:pPr>
      <w:bookmarkStart w:id="81" w:name="_Toc16913"/>
      <w:bookmarkStart w:id="82" w:name="_Toc694228030"/>
      <w:bookmarkStart w:id="83" w:name="_Toc23752"/>
      <w:bookmarkStart w:id="84" w:name="_Toc17921"/>
      <w:bookmarkStart w:id="85" w:name="_Toc31359"/>
      <w:bookmarkStart w:id="86" w:name="_Toc30393"/>
      <w:bookmarkStart w:id="87" w:name="_Toc11871"/>
      <w:r>
        <w:rPr>
          <w:rFonts w:hint="eastAsia"/>
          <w:highlight w:val="none"/>
          <w:lang w:val="en-US" w:eastAsia="zh-CN"/>
        </w:rPr>
        <w:t>架构技术要求</w:t>
      </w:r>
      <w:bookmarkEnd w:id="81"/>
      <w:bookmarkEnd w:id="82"/>
      <w:bookmarkEnd w:id="83"/>
      <w:bookmarkEnd w:id="84"/>
      <w:bookmarkEnd w:id="85"/>
      <w:bookmarkEnd w:id="86"/>
      <w:bookmarkEnd w:id="87"/>
    </w:p>
    <w:p w14:paraId="1081C86D">
      <w:pPr>
        <w:pStyle w:val="6"/>
        <w:bidi w:val="0"/>
        <w:rPr>
          <w:highlight w:val="none"/>
        </w:rPr>
      </w:pPr>
      <w:bookmarkStart w:id="88" w:name="_Toc22769"/>
      <w:bookmarkStart w:id="89" w:name="_Toc11767"/>
      <w:bookmarkStart w:id="90" w:name="_Toc611846059"/>
      <w:bookmarkStart w:id="91" w:name="_Toc28233"/>
      <w:r>
        <w:rPr>
          <w:rFonts w:hint="eastAsia"/>
          <w:highlight w:val="none"/>
          <w:lang w:val="en-US" w:eastAsia="zh-CN"/>
        </w:rPr>
        <w:t>技术架构要求</w:t>
      </w:r>
      <w:bookmarkEnd w:id="88"/>
      <w:bookmarkEnd w:id="89"/>
      <w:bookmarkEnd w:id="90"/>
      <w:bookmarkEnd w:id="91"/>
    </w:p>
    <w:p w14:paraId="436E9897">
      <w:pPr>
        <w:rPr>
          <w:highlight w:val="none"/>
        </w:rPr>
      </w:pPr>
    </w:p>
    <w:p w14:paraId="3CFBF0F0">
      <w:pPr>
        <w:pStyle w:val="7"/>
        <w:bidi w:val="0"/>
        <w:rPr>
          <w:rFonts w:hint="eastAsia"/>
          <w:highlight w:val="none"/>
        </w:rPr>
      </w:pPr>
      <w:r>
        <w:rPr>
          <w:rFonts w:hint="eastAsia"/>
          <w:highlight w:val="none"/>
        </w:rPr>
        <w:t>后端架构设计</w:t>
      </w:r>
    </w:p>
    <w:p w14:paraId="19314F39">
      <w:pPr>
        <w:spacing w:line="360" w:lineRule="auto"/>
        <w:rPr>
          <w:rFonts w:hint="eastAsia"/>
          <w:color w:val="auto"/>
          <w:highlight w:val="none"/>
        </w:rPr>
      </w:pPr>
      <w:r>
        <w:rPr>
          <w:rFonts w:hint="eastAsia"/>
          <w:color w:val="auto"/>
          <w:highlight w:val="none"/>
        </w:rPr>
        <w:t>后端架构设计应从模块化设计、微服务设计、数据存储设计、组件及中间件选型、可靠性设计、数据交互设计等方面开展架构技术设计。</w:t>
      </w:r>
    </w:p>
    <w:p w14:paraId="4C5B54AA">
      <w:pPr>
        <w:pStyle w:val="7"/>
        <w:bidi w:val="0"/>
        <w:rPr>
          <w:rFonts w:hint="eastAsia"/>
          <w:highlight w:val="none"/>
        </w:rPr>
      </w:pPr>
      <w:r>
        <w:rPr>
          <w:rFonts w:hint="eastAsia"/>
          <w:highlight w:val="none"/>
          <w:lang w:val="en-US" w:eastAsia="zh-CN"/>
        </w:rPr>
        <w:t>前</w:t>
      </w:r>
      <w:r>
        <w:rPr>
          <w:rFonts w:hint="eastAsia"/>
          <w:highlight w:val="none"/>
        </w:rPr>
        <w:t>端架构设计</w:t>
      </w:r>
    </w:p>
    <w:p w14:paraId="49664A21">
      <w:pPr>
        <w:pStyle w:val="2"/>
        <w:spacing w:line="360" w:lineRule="auto"/>
        <w:rPr>
          <w:rFonts w:hint="eastAsia"/>
          <w:color w:val="auto"/>
          <w:highlight w:val="none"/>
        </w:rPr>
      </w:pPr>
      <w:r>
        <w:rPr>
          <w:rFonts w:hint="eastAsia"/>
          <w:color w:val="auto"/>
          <w:highlight w:val="none"/>
          <w:lang w:val="en-US" w:eastAsia="zh-CN"/>
        </w:rPr>
        <w:t>前</w:t>
      </w:r>
      <w:r>
        <w:rPr>
          <w:rFonts w:hint="eastAsia"/>
          <w:color w:val="auto"/>
          <w:highlight w:val="none"/>
        </w:rPr>
        <w:t>端架构设计应从前端技术选型、模块化设计、组件化设计、数据交互设计、路由管理设计、兼容性设计、跨平台设计、国产化审查等方面开展架构技术设计。</w:t>
      </w:r>
    </w:p>
    <w:p w14:paraId="158D057D">
      <w:pPr>
        <w:pStyle w:val="6"/>
        <w:bidi w:val="0"/>
        <w:rPr>
          <w:rFonts w:hint="eastAsia"/>
          <w:highlight w:val="none"/>
        </w:rPr>
      </w:pPr>
      <w:bookmarkStart w:id="92" w:name="_Toc30660"/>
      <w:bookmarkStart w:id="93" w:name="_Toc1145011777"/>
      <w:bookmarkStart w:id="94" w:name="_Toc7231"/>
      <w:bookmarkStart w:id="95" w:name="_Toc19379"/>
      <w:r>
        <w:rPr>
          <w:rFonts w:hint="eastAsia"/>
          <w:highlight w:val="none"/>
          <w:lang w:val="en-US" w:eastAsia="zh-CN"/>
        </w:rPr>
        <w:t>数据架构</w:t>
      </w:r>
      <w:r>
        <w:rPr>
          <w:rFonts w:hint="eastAsia"/>
          <w:highlight w:val="none"/>
        </w:rPr>
        <w:t>要</w:t>
      </w:r>
      <w:r>
        <w:rPr>
          <w:rFonts w:hint="eastAsia"/>
          <w:highlight w:val="none"/>
          <w:lang w:val="en-US" w:eastAsia="zh-CN"/>
        </w:rPr>
        <w:t>求</w:t>
      </w:r>
      <w:bookmarkEnd w:id="92"/>
      <w:bookmarkEnd w:id="93"/>
      <w:bookmarkEnd w:id="94"/>
      <w:bookmarkEnd w:id="95"/>
    </w:p>
    <w:p w14:paraId="2ECAFB57">
      <w:pPr>
        <w:pStyle w:val="2"/>
        <w:spacing w:line="360" w:lineRule="auto"/>
        <w:rPr>
          <w:rFonts w:hint="eastAsia"/>
          <w:color w:val="auto"/>
          <w:highlight w:val="none"/>
        </w:rPr>
      </w:pPr>
      <w:r>
        <w:rPr>
          <w:rFonts w:hint="eastAsia"/>
          <w:color w:val="auto"/>
          <w:highlight w:val="none"/>
          <w:lang w:val="en-US" w:eastAsia="zh-CN"/>
        </w:rPr>
        <w:t>数据架构</w:t>
      </w:r>
      <w:r>
        <w:rPr>
          <w:rFonts w:hint="eastAsia"/>
          <w:color w:val="auto"/>
          <w:highlight w:val="none"/>
        </w:rPr>
        <w:t>应从关系型数据库设计、非结构化型数据设计、键值型数据设计、搜索引擎型数据设计、数据生命周期、数据同步设计、数据分类设计等方面开展架构设计。</w:t>
      </w:r>
    </w:p>
    <w:p w14:paraId="71138575">
      <w:pPr>
        <w:pStyle w:val="6"/>
        <w:bidi w:val="0"/>
        <w:rPr>
          <w:highlight w:val="none"/>
        </w:rPr>
      </w:pPr>
      <w:bookmarkStart w:id="96" w:name="_Toc611975272"/>
      <w:bookmarkStart w:id="97" w:name="_Toc23382"/>
      <w:bookmarkStart w:id="98" w:name="_Toc24462"/>
      <w:bookmarkStart w:id="99" w:name="_Toc5585"/>
      <w:r>
        <w:rPr>
          <w:rFonts w:hint="eastAsia"/>
          <w:highlight w:val="none"/>
          <w:lang w:val="en-US" w:eastAsia="zh-CN"/>
        </w:rPr>
        <w:t>部署架构</w:t>
      </w:r>
      <w:r>
        <w:rPr>
          <w:rFonts w:hint="eastAsia"/>
          <w:highlight w:val="none"/>
        </w:rPr>
        <w:t>要求</w:t>
      </w:r>
      <w:bookmarkEnd w:id="96"/>
      <w:bookmarkEnd w:id="97"/>
      <w:bookmarkEnd w:id="98"/>
      <w:bookmarkEnd w:id="99"/>
    </w:p>
    <w:p w14:paraId="231C6CA7">
      <w:pPr>
        <w:spacing w:line="360" w:lineRule="auto"/>
        <w:rPr>
          <w:rFonts w:hint="eastAsia"/>
          <w:color w:val="auto"/>
          <w:highlight w:val="none"/>
        </w:rPr>
      </w:pPr>
      <w:r>
        <w:rPr>
          <w:rFonts w:hint="eastAsia"/>
          <w:color w:val="auto"/>
          <w:highlight w:val="none"/>
          <w:lang w:val="en-US" w:eastAsia="zh-CN"/>
        </w:rPr>
        <w:t>部署架构</w:t>
      </w:r>
      <w:r>
        <w:rPr>
          <w:rFonts w:hint="eastAsia"/>
          <w:color w:val="auto"/>
          <w:highlight w:val="none"/>
        </w:rPr>
        <w:t>应从可控性设计、可用性设计、安全性设计、可扩展性设计、资源配备、系统日志、预警、运行支持、部署方式、部署架构视图等方面开展架构设计。</w:t>
      </w:r>
    </w:p>
    <w:p w14:paraId="5B150A2E">
      <w:pPr>
        <w:pStyle w:val="6"/>
        <w:bidi w:val="0"/>
        <w:rPr>
          <w:highlight w:val="none"/>
        </w:rPr>
      </w:pPr>
      <w:bookmarkStart w:id="100" w:name="_Toc1169211021"/>
      <w:bookmarkStart w:id="101" w:name="_Toc17490"/>
      <w:bookmarkStart w:id="102" w:name="_Toc20367"/>
      <w:bookmarkStart w:id="103" w:name="_Toc21561"/>
      <w:r>
        <w:rPr>
          <w:rFonts w:hint="eastAsia"/>
          <w:highlight w:val="none"/>
          <w:lang w:val="en-US" w:eastAsia="zh-CN"/>
        </w:rPr>
        <w:t>集成架构</w:t>
      </w:r>
      <w:r>
        <w:rPr>
          <w:rFonts w:hint="eastAsia"/>
          <w:highlight w:val="none"/>
        </w:rPr>
        <w:t>要求</w:t>
      </w:r>
      <w:bookmarkEnd w:id="100"/>
      <w:bookmarkEnd w:id="101"/>
      <w:bookmarkEnd w:id="102"/>
      <w:bookmarkEnd w:id="103"/>
    </w:p>
    <w:p w14:paraId="7416705C">
      <w:pPr>
        <w:spacing w:line="360" w:lineRule="auto"/>
        <w:rPr>
          <w:rFonts w:hint="eastAsia"/>
          <w:color w:val="auto"/>
          <w:highlight w:val="none"/>
        </w:rPr>
      </w:pPr>
      <w:r>
        <w:rPr>
          <w:rFonts w:hint="eastAsia"/>
          <w:color w:val="auto"/>
          <w:highlight w:val="none"/>
          <w:lang w:val="en-US" w:eastAsia="zh-CN"/>
        </w:rPr>
        <w:t>集成架构</w:t>
      </w:r>
      <w:r>
        <w:rPr>
          <w:rFonts w:hint="eastAsia"/>
          <w:color w:val="auto"/>
          <w:highlight w:val="none"/>
        </w:rPr>
        <w:t>应从</w:t>
      </w:r>
      <w:r>
        <w:rPr>
          <w:rFonts w:hint="eastAsia"/>
          <w:color w:val="auto"/>
          <w:highlight w:val="none"/>
          <w:lang w:val="en-US" w:eastAsia="zh-CN"/>
        </w:rPr>
        <w:t>系统集成、服务集成、接口集成</w:t>
      </w:r>
      <w:r>
        <w:rPr>
          <w:rFonts w:hint="eastAsia"/>
          <w:color w:val="auto"/>
          <w:highlight w:val="none"/>
        </w:rPr>
        <w:t>等方面开展架构设计。</w:t>
      </w:r>
    </w:p>
    <w:p w14:paraId="1FDE29D2">
      <w:pPr>
        <w:pStyle w:val="6"/>
        <w:bidi w:val="0"/>
        <w:rPr>
          <w:highlight w:val="none"/>
        </w:rPr>
      </w:pPr>
      <w:bookmarkStart w:id="104" w:name="_Toc1454259897"/>
      <w:bookmarkStart w:id="105" w:name="_Toc25764"/>
      <w:bookmarkStart w:id="106" w:name="_Toc13933"/>
      <w:bookmarkStart w:id="107" w:name="_Toc5001"/>
      <w:r>
        <w:rPr>
          <w:rFonts w:hint="eastAsia"/>
          <w:highlight w:val="none"/>
          <w:lang w:val="en-US" w:eastAsia="zh-CN"/>
        </w:rPr>
        <w:t>安全架构</w:t>
      </w:r>
      <w:r>
        <w:rPr>
          <w:rFonts w:hint="eastAsia"/>
          <w:highlight w:val="none"/>
        </w:rPr>
        <w:t>要求</w:t>
      </w:r>
      <w:bookmarkEnd w:id="104"/>
      <w:bookmarkEnd w:id="105"/>
      <w:bookmarkEnd w:id="106"/>
      <w:bookmarkEnd w:id="107"/>
    </w:p>
    <w:p w14:paraId="5FD94B9A">
      <w:pPr>
        <w:pStyle w:val="2"/>
        <w:spacing w:line="360" w:lineRule="auto"/>
        <w:rPr>
          <w:color w:val="auto"/>
          <w:highlight w:val="none"/>
        </w:rPr>
      </w:pPr>
      <w:r>
        <w:rPr>
          <w:rFonts w:hint="eastAsia"/>
          <w:color w:val="auto"/>
          <w:highlight w:val="none"/>
          <w:lang w:val="en-US" w:eastAsia="zh-CN"/>
        </w:rPr>
        <w:t>安全架构</w:t>
      </w:r>
      <w:r>
        <w:rPr>
          <w:rFonts w:hint="eastAsia"/>
          <w:color w:val="auto"/>
          <w:highlight w:val="none"/>
        </w:rPr>
        <w:t>应从</w:t>
      </w:r>
      <w:r>
        <w:rPr>
          <w:rFonts w:hint="eastAsia"/>
          <w:color w:val="auto"/>
          <w:highlight w:val="none"/>
          <w:lang w:val="en-US" w:eastAsia="zh-CN"/>
        </w:rPr>
        <w:t>安全设计、身份与访问管理、数据库安全、网络安全、应用安全、物理安全、合规性与隐私保护、安全管理与运营</w:t>
      </w:r>
      <w:r>
        <w:rPr>
          <w:rFonts w:hint="eastAsia"/>
          <w:color w:val="auto"/>
          <w:highlight w:val="none"/>
        </w:rPr>
        <w:t>等方面开展架构设计。</w:t>
      </w:r>
    </w:p>
    <w:p w14:paraId="189EA334">
      <w:pPr>
        <w:pStyle w:val="5"/>
        <w:bidi w:val="0"/>
        <w:rPr>
          <w:highlight w:val="none"/>
        </w:rPr>
      </w:pPr>
      <w:bookmarkStart w:id="108" w:name="_Toc20677"/>
      <w:bookmarkStart w:id="109" w:name="_Toc9355"/>
      <w:bookmarkStart w:id="110" w:name="_Toc5932"/>
      <w:bookmarkStart w:id="111" w:name="_Toc1234702372"/>
      <w:bookmarkStart w:id="112" w:name="_Toc12900"/>
      <w:bookmarkStart w:id="113" w:name="_Toc7278"/>
      <w:bookmarkStart w:id="114" w:name="_Toc15027"/>
      <w:r>
        <w:rPr>
          <w:rFonts w:hint="eastAsia"/>
          <w:highlight w:val="none"/>
          <w:lang w:val="en-US" w:eastAsia="zh-CN"/>
        </w:rPr>
        <w:t>性能指标</w:t>
      </w:r>
      <w:bookmarkEnd w:id="108"/>
      <w:bookmarkEnd w:id="109"/>
      <w:bookmarkEnd w:id="110"/>
      <w:bookmarkEnd w:id="111"/>
      <w:bookmarkEnd w:id="112"/>
      <w:bookmarkEnd w:id="113"/>
      <w:bookmarkEnd w:id="114"/>
    </w:p>
    <w:p w14:paraId="03F713AC">
      <w:pPr>
        <w:numPr>
          <w:ilvl w:val="0"/>
          <w:numId w:val="6"/>
        </w:numPr>
        <w:autoSpaceDE w:val="0"/>
        <w:autoSpaceDN w:val="0"/>
        <w:adjustRightInd w:val="0"/>
        <w:spacing w:line="360" w:lineRule="auto"/>
        <w:ind w:left="660" w:leftChars="0" w:firstLine="0" w:firstLineChars="0"/>
        <w:rPr>
          <w:rFonts w:hint="eastAsia"/>
          <w:color w:val="auto"/>
          <w:highlight w:val="none"/>
          <w:lang w:val="en-US" w:eastAsia="zh-CN"/>
        </w:rPr>
      </w:pPr>
      <w:r>
        <w:rPr>
          <w:rFonts w:hint="eastAsia"/>
          <w:color w:val="auto"/>
          <w:highlight w:val="none"/>
          <w:lang w:val="en-US" w:eastAsia="zh-CN"/>
        </w:rPr>
        <w:t>性能要求：</w:t>
      </w:r>
    </w:p>
    <w:p w14:paraId="0AF047E5">
      <w:pPr>
        <w:bidi w:val="0"/>
        <w:spacing w:line="360" w:lineRule="auto"/>
        <w:rPr>
          <w:color w:val="auto"/>
          <w:highlight w:val="none"/>
        </w:rPr>
      </w:pPr>
      <w:r>
        <w:rPr>
          <w:rFonts w:hint="eastAsia"/>
          <w:color w:val="auto"/>
          <w:highlight w:val="none"/>
        </w:rPr>
        <w:t>本项目需</w:t>
      </w:r>
      <w:r>
        <w:rPr>
          <w:color w:val="auto"/>
          <w:highlight w:val="none"/>
        </w:rPr>
        <w:t>满足</w:t>
      </w:r>
      <w:r>
        <w:rPr>
          <w:rFonts w:hint="eastAsia"/>
          <w:color w:val="auto"/>
          <w:highlight w:val="none"/>
        </w:rPr>
        <w:t>的</w:t>
      </w:r>
      <w:r>
        <w:rPr>
          <w:color w:val="auto"/>
          <w:highlight w:val="none"/>
        </w:rPr>
        <w:t>性能需求如下：</w:t>
      </w:r>
    </w:p>
    <w:p w14:paraId="2B0DC1D3">
      <w:pPr>
        <w:keepNext w:val="0"/>
        <w:keepLines w:val="0"/>
        <w:pageBreakBefore w:val="0"/>
        <w:widowControl w:val="0"/>
        <w:numPr>
          <w:ilvl w:val="0"/>
          <w:numId w:val="7"/>
        </w:numPr>
        <w:kinsoku/>
        <w:overflowPunct/>
        <w:topLinePunct w:val="0"/>
        <w:bidi w:val="0"/>
        <w:snapToGrid/>
        <w:spacing w:line="360" w:lineRule="auto"/>
        <w:ind w:left="845" w:leftChars="0" w:hanging="425" w:firstLineChars="0"/>
        <w:textAlignment w:val="auto"/>
        <w:rPr>
          <w:color w:val="auto"/>
          <w:szCs w:val="24"/>
          <w:highlight w:val="none"/>
          <w:lang w:bidi="ar"/>
        </w:rPr>
      </w:pPr>
      <w:r>
        <w:rPr>
          <w:color w:val="auto"/>
          <w:szCs w:val="24"/>
          <w:highlight w:val="none"/>
          <w:lang w:bidi="ar"/>
        </w:rPr>
        <w:t>系统最大用户数：不小于</w:t>
      </w:r>
      <w:r>
        <w:rPr>
          <w:rFonts w:hint="default"/>
          <w:color w:val="auto"/>
          <w:szCs w:val="24"/>
          <w:highlight w:val="none"/>
          <w:lang w:bidi="ar"/>
        </w:rPr>
        <w:t>1</w:t>
      </w:r>
      <w:r>
        <w:rPr>
          <w:rFonts w:hint="eastAsia"/>
          <w:color w:val="auto"/>
          <w:szCs w:val="24"/>
          <w:highlight w:val="none"/>
          <w:lang w:val="en-US" w:eastAsia="zh-CN" w:bidi="ar"/>
        </w:rPr>
        <w:t>1</w:t>
      </w:r>
      <w:r>
        <w:rPr>
          <w:rFonts w:hint="default"/>
          <w:color w:val="auto"/>
          <w:szCs w:val="24"/>
          <w:highlight w:val="none"/>
          <w:lang w:bidi="ar"/>
        </w:rPr>
        <w:t>000</w:t>
      </w:r>
      <w:r>
        <w:rPr>
          <w:color w:val="auto"/>
          <w:szCs w:val="24"/>
          <w:highlight w:val="none"/>
          <w:lang w:bidi="ar"/>
        </w:rPr>
        <w:t>人；</w:t>
      </w:r>
    </w:p>
    <w:p w14:paraId="65143DFA">
      <w:pPr>
        <w:keepNext w:val="0"/>
        <w:keepLines w:val="0"/>
        <w:pageBreakBefore w:val="0"/>
        <w:widowControl w:val="0"/>
        <w:numPr>
          <w:ilvl w:val="0"/>
          <w:numId w:val="7"/>
        </w:numPr>
        <w:kinsoku/>
        <w:overflowPunct/>
        <w:topLinePunct w:val="0"/>
        <w:bidi w:val="0"/>
        <w:snapToGrid/>
        <w:spacing w:line="360" w:lineRule="auto"/>
        <w:ind w:left="845" w:leftChars="0" w:hanging="425" w:firstLineChars="0"/>
        <w:textAlignment w:val="auto"/>
        <w:rPr>
          <w:color w:val="auto"/>
          <w:szCs w:val="24"/>
          <w:highlight w:val="none"/>
          <w:lang w:bidi="ar"/>
        </w:rPr>
      </w:pPr>
      <w:r>
        <w:rPr>
          <w:color w:val="auto"/>
          <w:szCs w:val="24"/>
          <w:highlight w:val="none"/>
          <w:lang w:bidi="ar"/>
        </w:rPr>
        <w:t>最大在线用户数：</w:t>
      </w:r>
      <w:r>
        <w:rPr>
          <w:rFonts w:hint="eastAsia"/>
          <w:color w:val="auto"/>
          <w:szCs w:val="24"/>
          <w:highlight w:val="none"/>
          <w:lang w:val="en-US" w:eastAsia="zh-CN" w:bidi="ar"/>
        </w:rPr>
        <w:t>不小于3</w:t>
      </w:r>
      <w:r>
        <w:rPr>
          <w:rFonts w:hint="default"/>
          <w:color w:val="auto"/>
          <w:szCs w:val="24"/>
          <w:highlight w:val="none"/>
          <w:lang w:val="en-US" w:eastAsia="zh-CN" w:bidi="ar"/>
        </w:rPr>
        <w:t>000</w:t>
      </w:r>
      <w:r>
        <w:rPr>
          <w:color w:val="auto"/>
          <w:szCs w:val="24"/>
          <w:highlight w:val="none"/>
          <w:lang w:bidi="ar"/>
        </w:rPr>
        <w:t>人；</w:t>
      </w:r>
    </w:p>
    <w:p w14:paraId="220FC23E">
      <w:pPr>
        <w:keepNext w:val="0"/>
        <w:keepLines w:val="0"/>
        <w:pageBreakBefore w:val="0"/>
        <w:widowControl w:val="0"/>
        <w:numPr>
          <w:ilvl w:val="0"/>
          <w:numId w:val="7"/>
        </w:numPr>
        <w:kinsoku/>
        <w:overflowPunct/>
        <w:topLinePunct w:val="0"/>
        <w:bidi w:val="0"/>
        <w:snapToGrid/>
        <w:spacing w:line="360" w:lineRule="auto"/>
        <w:ind w:left="845" w:leftChars="0" w:hanging="425" w:firstLineChars="0"/>
        <w:textAlignment w:val="auto"/>
        <w:rPr>
          <w:color w:val="auto"/>
          <w:szCs w:val="24"/>
          <w:highlight w:val="none"/>
          <w:lang w:bidi="ar"/>
        </w:rPr>
      </w:pPr>
      <w:r>
        <w:rPr>
          <w:color w:val="auto"/>
          <w:szCs w:val="24"/>
          <w:highlight w:val="none"/>
          <w:lang w:bidi="ar"/>
        </w:rPr>
        <w:t>并发用户数：不小于</w:t>
      </w:r>
      <w:r>
        <w:rPr>
          <w:rFonts w:hint="eastAsia"/>
          <w:color w:val="auto"/>
          <w:szCs w:val="24"/>
          <w:highlight w:val="none"/>
          <w:lang w:val="en-US" w:eastAsia="zh-CN" w:bidi="ar"/>
        </w:rPr>
        <w:t>3</w:t>
      </w:r>
      <w:r>
        <w:rPr>
          <w:rFonts w:hint="default"/>
          <w:color w:val="auto"/>
          <w:szCs w:val="24"/>
          <w:highlight w:val="none"/>
          <w:lang w:bidi="ar"/>
        </w:rPr>
        <w:t>0</w:t>
      </w:r>
      <w:r>
        <w:rPr>
          <w:rFonts w:hint="default"/>
          <w:color w:val="auto"/>
          <w:szCs w:val="24"/>
          <w:highlight w:val="none"/>
          <w:lang w:val="en-US" w:eastAsia="zh-CN" w:bidi="ar"/>
        </w:rPr>
        <w:t>0</w:t>
      </w:r>
      <w:r>
        <w:rPr>
          <w:color w:val="auto"/>
          <w:szCs w:val="24"/>
          <w:highlight w:val="none"/>
          <w:lang w:bidi="ar"/>
        </w:rPr>
        <w:t>人；</w:t>
      </w:r>
    </w:p>
    <w:p w14:paraId="349808C1">
      <w:pPr>
        <w:keepNext w:val="0"/>
        <w:keepLines w:val="0"/>
        <w:pageBreakBefore w:val="0"/>
        <w:widowControl w:val="0"/>
        <w:numPr>
          <w:ilvl w:val="0"/>
          <w:numId w:val="7"/>
        </w:numPr>
        <w:kinsoku/>
        <w:overflowPunct/>
        <w:topLinePunct w:val="0"/>
        <w:bidi w:val="0"/>
        <w:snapToGrid/>
        <w:spacing w:line="360" w:lineRule="auto"/>
        <w:ind w:left="845" w:leftChars="0" w:hanging="425" w:firstLineChars="0"/>
        <w:textAlignment w:val="auto"/>
        <w:rPr>
          <w:color w:val="auto"/>
          <w:szCs w:val="24"/>
          <w:highlight w:val="none"/>
          <w:lang w:bidi="ar"/>
        </w:rPr>
      </w:pPr>
      <w:r>
        <w:rPr>
          <w:color w:val="auto"/>
          <w:szCs w:val="24"/>
          <w:highlight w:val="none"/>
          <w:lang w:bidi="ar"/>
        </w:rPr>
        <w:t>系统响应时间：简单业务操作平均响应时间不超过</w:t>
      </w:r>
      <w:r>
        <w:rPr>
          <w:rFonts w:hint="eastAsia"/>
          <w:color w:val="auto"/>
          <w:szCs w:val="24"/>
          <w:highlight w:val="none"/>
          <w:lang w:val="en-US" w:eastAsia="zh-CN" w:bidi="ar"/>
        </w:rPr>
        <w:t>1.8</w:t>
      </w:r>
      <w:r>
        <w:rPr>
          <w:color w:val="auto"/>
          <w:szCs w:val="24"/>
          <w:highlight w:val="none"/>
          <w:lang w:bidi="ar"/>
        </w:rPr>
        <w:t>秒，执行复杂综合业务平均响应时间不超过</w:t>
      </w:r>
      <w:r>
        <w:rPr>
          <w:rFonts w:hint="default"/>
          <w:color w:val="auto"/>
          <w:szCs w:val="24"/>
          <w:highlight w:val="none"/>
          <w:lang w:val="en-US" w:eastAsia="zh-CN" w:bidi="ar"/>
        </w:rPr>
        <w:t>5</w:t>
      </w:r>
      <w:r>
        <w:rPr>
          <w:color w:val="auto"/>
          <w:szCs w:val="24"/>
          <w:highlight w:val="none"/>
          <w:lang w:bidi="ar"/>
        </w:rPr>
        <w:t>秒，后台应用处理高峰时间小于</w:t>
      </w:r>
      <w:r>
        <w:rPr>
          <w:rFonts w:hint="eastAsia"/>
          <w:color w:val="auto"/>
          <w:szCs w:val="24"/>
          <w:highlight w:val="none"/>
          <w:lang w:val="en-US" w:eastAsia="zh-CN" w:bidi="ar"/>
        </w:rPr>
        <w:t>8</w:t>
      </w:r>
      <w:r>
        <w:rPr>
          <w:color w:val="auto"/>
          <w:szCs w:val="24"/>
          <w:highlight w:val="none"/>
          <w:lang w:bidi="ar"/>
        </w:rPr>
        <w:t>秒，并且应有明确的界面提示信息；</w:t>
      </w:r>
    </w:p>
    <w:p w14:paraId="1E23AA71">
      <w:pPr>
        <w:keepNext w:val="0"/>
        <w:keepLines w:val="0"/>
        <w:pageBreakBefore w:val="0"/>
        <w:widowControl w:val="0"/>
        <w:numPr>
          <w:ilvl w:val="0"/>
          <w:numId w:val="7"/>
        </w:numPr>
        <w:kinsoku/>
        <w:overflowPunct/>
        <w:topLinePunct w:val="0"/>
        <w:bidi w:val="0"/>
        <w:snapToGrid/>
        <w:spacing w:line="360" w:lineRule="auto"/>
        <w:ind w:left="845" w:leftChars="0" w:hanging="425" w:firstLineChars="0"/>
        <w:textAlignment w:val="auto"/>
        <w:rPr>
          <w:color w:val="auto"/>
          <w:szCs w:val="24"/>
          <w:highlight w:val="none"/>
          <w:lang w:bidi="ar"/>
        </w:rPr>
      </w:pPr>
      <w:r>
        <w:rPr>
          <w:color w:val="auto"/>
          <w:szCs w:val="24"/>
          <w:highlight w:val="none"/>
          <w:lang w:bidi="ar"/>
        </w:rPr>
        <w:t>资源</w:t>
      </w:r>
      <w:r>
        <w:rPr>
          <w:rFonts w:hint="eastAsia"/>
          <w:color w:val="auto"/>
          <w:szCs w:val="24"/>
          <w:highlight w:val="none"/>
          <w:lang w:val="en-US" w:eastAsia="zh-CN" w:bidi="ar"/>
        </w:rPr>
        <w:t>使用</w:t>
      </w:r>
      <w:r>
        <w:rPr>
          <w:color w:val="auto"/>
          <w:szCs w:val="24"/>
          <w:highlight w:val="none"/>
          <w:lang w:bidi="ar"/>
        </w:rPr>
        <w:t>率：满足</w:t>
      </w:r>
      <w:r>
        <w:rPr>
          <w:rFonts w:hint="default"/>
          <w:color w:val="auto"/>
          <w:szCs w:val="24"/>
          <w:highlight w:val="none"/>
          <w:lang w:bidi="ar"/>
        </w:rPr>
        <w:t>CPU</w:t>
      </w:r>
      <w:r>
        <w:rPr>
          <w:rFonts w:hint="eastAsia"/>
          <w:color w:val="auto"/>
          <w:szCs w:val="24"/>
          <w:highlight w:val="none"/>
          <w:lang w:val="en-US" w:eastAsia="zh-CN" w:bidi="ar"/>
        </w:rPr>
        <w:t>使用</w:t>
      </w:r>
      <w:r>
        <w:rPr>
          <w:color w:val="auto"/>
          <w:szCs w:val="24"/>
          <w:highlight w:val="none"/>
          <w:lang w:bidi="ar"/>
        </w:rPr>
        <w:t>率&lt;</w:t>
      </w:r>
      <w:r>
        <w:rPr>
          <w:rFonts w:hint="default"/>
          <w:color w:val="auto"/>
          <w:szCs w:val="24"/>
          <w:highlight w:val="none"/>
          <w:lang w:bidi="ar"/>
        </w:rPr>
        <w:t>65</w:t>
      </w:r>
      <w:r>
        <w:rPr>
          <w:color w:val="auto"/>
          <w:szCs w:val="24"/>
          <w:highlight w:val="none"/>
          <w:lang w:bidi="ar"/>
        </w:rPr>
        <w:t>%，内存使用率&lt;</w:t>
      </w:r>
      <w:r>
        <w:rPr>
          <w:rFonts w:hint="default"/>
          <w:color w:val="auto"/>
          <w:szCs w:val="24"/>
          <w:highlight w:val="none"/>
          <w:lang w:bidi="ar"/>
        </w:rPr>
        <w:t>70</w:t>
      </w:r>
      <w:r>
        <w:rPr>
          <w:color w:val="auto"/>
          <w:szCs w:val="24"/>
          <w:highlight w:val="none"/>
          <w:lang w:bidi="ar"/>
        </w:rPr>
        <w:t>%；</w:t>
      </w:r>
    </w:p>
    <w:p w14:paraId="58CFA39F">
      <w:pPr>
        <w:numPr>
          <w:ilvl w:val="0"/>
          <w:numId w:val="6"/>
        </w:numPr>
        <w:autoSpaceDE w:val="0"/>
        <w:autoSpaceDN w:val="0"/>
        <w:adjustRightInd w:val="0"/>
        <w:spacing w:line="360" w:lineRule="auto"/>
        <w:ind w:left="660" w:leftChars="0" w:firstLine="0" w:firstLineChars="0"/>
        <w:rPr>
          <w:rFonts w:hint="eastAsia"/>
          <w:color w:val="auto"/>
          <w:highlight w:val="none"/>
          <w:lang w:val="en-US" w:eastAsia="zh-CN"/>
        </w:rPr>
      </w:pPr>
      <w:r>
        <w:rPr>
          <w:rFonts w:hint="eastAsia"/>
          <w:color w:val="auto"/>
          <w:highlight w:val="none"/>
          <w:lang w:val="en-US" w:eastAsia="zh-CN"/>
        </w:rPr>
        <w:t>扩展要求：</w:t>
      </w:r>
    </w:p>
    <w:p w14:paraId="731EA583">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color w:val="auto"/>
          <w:highlight w:val="none"/>
        </w:rPr>
      </w:pPr>
      <w:r>
        <w:rPr>
          <w:rFonts w:hint="eastAsia"/>
          <w:color w:val="auto"/>
          <w:highlight w:val="none"/>
        </w:rPr>
        <w:t>首先在架构设计上支持弹性扩展。基于微服务架构</w:t>
      </w:r>
      <w:r>
        <w:rPr>
          <w:rFonts w:hint="eastAsia"/>
          <w:color w:val="auto"/>
          <w:highlight w:val="none"/>
          <w:lang w:eastAsia="zh-CN"/>
        </w:rPr>
        <w:t>做</w:t>
      </w:r>
      <w:r>
        <w:rPr>
          <w:rFonts w:hint="eastAsia"/>
          <w:color w:val="auto"/>
          <w:highlight w:val="none"/>
        </w:rPr>
        <w:t>开发，微服务层次松耦合，当新业务模块上线时，通过微服务向注册中心自动注册，无须停机部署，可满足平台的快速扩展。</w:t>
      </w:r>
    </w:p>
    <w:p w14:paraId="63F2F55F">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color w:val="auto"/>
          <w:highlight w:val="none"/>
        </w:rPr>
      </w:pPr>
      <w:r>
        <w:rPr>
          <w:rFonts w:hint="eastAsia"/>
          <w:color w:val="auto"/>
          <w:highlight w:val="none"/>
        </w:rPr>
        <w:t>其次在部署上支持弹性扩展。利用微服务环境，针对平台微服务的每个部署单元，都可以定制弹性伸缩规则，可以基于CPU利用率、内存利用率、请求的QPS、平均响应时间等动态指标指定容器实例伸缩，实现应用的高可用的弹性伸缩，在提高业务稳定性的同时，提高了系统硬件的利用率。</w:t>
      </w:r>
    </w:p>
    <w:p w14:paraId="15F01476">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color w:val="auto"/>
          <w:highlight w:val="none"/>
        </w:rPr>
      </w:pPr>
      <w:r>
        <w:rPr>
          <w:rFonts w:hint="eastAsia"/>
          <w:color w:val="auto"/>
          <w:highlight w:val="none"/>
        </w:rPr>
        <w:t>资源管理方面支持数据库和服务器资源扩容、缩容，资源调整，应用代码方面支持代码二次开发。算法方面支持新增算法组件、算法优化。</w:t>
      </w:r>
    </w:p>
    <w:p w14:paraId="522D534C">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eastAsia="宋体"/>
          <w:color w:val="auto"/>
          <w:highlight w:val="yellow"/>
          <w:lang w:eastAsia="zh-CN"/>
        </w:rPr>
      </w:pPr>
      <w:r>
        <w:rPr>
          <w:rFonts w:hint="eastAsia"/>
          <w:color w:val="auto"/>
          <w:highlight w:val="yellow"/>
          <w:lang w:val="en-US" w:eastAsia="zh-CN"/>
        </w:rPr>
        <w:t>投标人</w:t>
      </w:r>
      <w:r>
        <w:rPr>
          <w:rFonts w:hint="eastAsia"/>
          <w:color w:val="auto"/>
          <w:highlight w:val="yellow"/>
          <w:lang w:eastAsia="zh-CN"/>
        </w:rPr>
        <w:t>须提供</w:t>
      </w:r>
      <w:r>
        <w:rPr>
          <w:rFonts w:hint="eastAsia"/>
          <w:color w:val="auto"/>
          <w:highlight w:val="yellow"/>
          <w:lang w:val="en-US" w:eastAsia="zh-CN"/>
        </w:rPr>
        <w:t>性能指标相关</w:t>
      </w:r>
      <w:r>
        <w:rPr>
          <w:rFonts w:hint="eastAsia"/>
          <w:color w:val="auto"/>
          <w:highlight w:val="yellow"/>
          <w:lang w:eastAsia="zh-CN"/>
        </w:rPr>
        <w:t>截图或测试报告等类似材料予以佐证。</w:t>
      </w:r>
    </w:p>
    <w:p w14:paraId="5E2F2FAE">
      <w:pPr>
        <w:pStyle w:val="5"/>
        <w:bidi w:val="0"/>
        <w:spacing w:line="360" w:lineRule="auto"/>
        <w:rPr>
          <w:rFonts w:hint="eastAsia"/>
          <w:color w:val="auto"/>
          <w:highlight w:val="none"/>
          <w:lang w:val="en-US" w:eastAsia="zh-CN"/>
        </w:rPr>
      </w:pPr>
      <w:bookmarkStart w:id="115" w:name="_Toc114153331"/>
      <w:bookmarkStart w:id="116" w:name="_Toc508285243"/>
      <w:bookmarkStart w:id="117" w:name="_Toc4536"/>
      <w:bookmarkStart w:id="118" w:name="_Toc7190"/>
      <w:bookmarkStart w:id="119" w:name="_Toc25551"/>
      <w:bookmarkStart w:id="120" w:name="_Toc13342"/>
      <w:bookmarkStart w:id="121" w:name="_Toc2999"/>
      <w:bookmarkStart w:id="122" w:name="_Toc28512"/>
      <w:r>
        <w:rPr>
          <w:rFonts w:hint="eastAsia"/>
          <w:color w:val="auto"/>
          <w:highlight w:val="none"/>
          <w:lang w:val="en-US" w:eastAsia="zh-CN"/>
        </w:rPr>
        <w:t>开发和测试要求</w:t>
      </w:r>
      <w:bookmarkEnd w:id="115"/>
      <w:bookmarkEnd w:id="116"/>
      <w:bookmarkEnd w:id="117"/>
      <w:bookmarkEnd w:id="118"/>
      <w:bookmarkEnd w:id="119"/>
      <w:bookmarkEnd w:id="120"/>
      <w:bookmarkEnd w:id="121"/>
      <w:bookmarkEnd w:id="122"/>
    </w:p>
    <w:p w14:paraId="19790E0D">
      <w:pPr>
        <w:numPr>
          <w:ilvl w:val="0"/>
          <w:numId w:val="8"/>
        </w:numPr>
        <w:autoSpaceDE w:val="0"/>
        <w:autoSpaceDN w:val="0"/>
        <w:adjustRightInd w:val="0"/>
        <w:spacing w:line="360" w:lineRule="auto"/>
        <w:ind w:left="0" w:leftChars="0" w:firstLine="240" w:firstLineChars="0"/>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投标人应依据《详细设计规格说明书》及系统原型设计，开展系统开发及系统集成工作。</w:t>
      </w:r>
    </w:p>
    <w:p w14:paraId="1C2E73EA">
      <w:pPr>
        <w:numPr>
          <w:ilvl w:val="0"/>
          <w:numId w:val="8"/>
        </w:numPr>
        <w:autoSpaceDE w:val="0"/>
        <w:autoSpaceDN w:val="0"/>
        <w:adjustRightInd w:val="0"/>
        <w:spacing w:line="360" w:lineRule="auto"/>
        <w:ind w:left="0" w:leftChars="0" w:firstLine="240" w:firstLineChars="0"/>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开发、测试在招标人指定的地点进行，开发测试时使用的工具、设备由投标人提供，双方应协商制定详细工程进度表。</w:t>
      </w:r>
    </w:p>
    <w:p w14:paraId="487BD17F">
      <w:pPr>
        <w:numPr>
          <w:ilvl w:val="0"/>
          <w:numId w:val="8"/>
        </w:numPr>
        <w:autoSpaceDE w:val="0"/>
        <w:autoSpaceDN w:val="0"/>
        <w:adjustRightInd w:val="0"/>
        <w:spacing w:line="360" w:lineRule="auto"/>
        <w:ind w:left="0" w:leftChars="0" w:firstLine="240" w:firstLineChars="0"/>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开发代码质量必须符合招标人要求，项目中所有的代码行都需要加注释进行解释，项目中所有的表结构需要进行关联性及详细字段的说明。</w:t>
      </w:r>
    </w:p>
    <w:p w14:paraId="36E8AFE3">
      <w:pPr>
        <w:numPr>
          <w:ilvl w:val="0"/>
          <w:numId w:val="8"/>
        </w:numPr>
        <w:autoSpaceDE w:val="0"/>
        <w:autoSpaceDN w:val="0"/>
        <w:adjustRightInd w:val="0"/>
        <w:spacing w:line="360" w:lineRule="auto"/>
        <w:ind w:left="0" w:leftChars="0" w:firstLine="240" w:firstLineChars="0"/>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投标人应制定一套完整的测试计划，提出单项模块测试方案和整体测试方案，与招标人讨论通过后，方可按计划进行测试。系统测试的条款应与技术规范一致。</w:t>
      </w:r>
    </w:p>
    <w:p w14:paraId="3F6EF0C7">
      <w:pPr>
        <w:numPr>
          <w:ilvl w:val="0"/>
          <w:numId w:val="8"/>
        </w:numPr>
        <w:autoSpaceDE w:val="0"/>
        <w:autoSpaceDN w:val="0"/>
        <w:adjustRightInd w:val="0"/>
        <w:spacing w:line="360" w:lineRule="auto"/>
        <w:ind w:left="0" w:leftChars="0" w:firstLine="240" w:firstLineChars="0"/>
        <w:rPr>
          <w:color w:val="auto"/>
          <w:highlight w:val="none"/>
        </w:rPr>
      </w:pPr>
      <w:r>
        <w:rPr>
          <w:rFonts w:hint="eastAsia" w:ascii="宋体" w:hAnsi="宋体" w:cs="宋体"/>
          <w:color w:val="auto"/>
          <w:szCs w:val="24"/>
          <w:highlight w:val="none"/>
          <w:lang w:val="en-US" w:eastAsia="zh-CN" w:bidi="ar"/>
        </w:rPr>
        <w:t>项目在互联网区部署测试环境，不允许使用用户的商标和LOGO，不允许使用用户生产数据。</w:t>
      </w:r>
    </w:p>
    <w:p w14:paraId="357C1462">
      <w:pPr>
        <w:numPr>
          <w:ilvl w:val="0"/>
          <w:numId w:val="8"/>
        </w:numPr>
        <w:autoSpaceDE w:val="0"/>
        <w:autoSpaceDN w:val="0"/>
        <w:adjustRightInd w:val="0"/>
        <w:spacing w:line="360" w:lineRule="auto"/>
        <w:ind w:left="0" w:leftChars="0" w:firstLine="240" w:firstLineChars="0"/>
        <w:rPr>
          <w:color w:val="auto"/>
          <w:highlight w:val="none"/>
        </w:rPr>
      </w:pPr>
      <w:r>
        <w:rPr>
          <w:rFonts w:hint="eastAsia" w:ascii="宋体" w:hAnsi="宋体" w:cs="宋体"/>
          <w:color w:val="auto"/>
          <w:szCs w:val="24"/>
          <w:highlight w:val="none"/>
          <w:lang w:val="en-US" w:eastAsia="zh-CN" w:bidi="ar"/>
        </w:rPr>
        <w:t>投标人需在统一研发平台进行开发，使用DevOps子系统托管代码并实施代码质量检查，确保代码规范与质量。问题代码须及时整改，遵循最佳实践、安全措施与法律法规。持续优化流程，满足平台与用户需求。</w:t>
      </w:r>
    </w:p>
    <w:p w14:paraId="2EBAF2EF">
      <w:pPr>
        <w:pStyle w:val="6"/>
        <w:bidi w:val="0"/>
        <w:rPr>
          <w:highlight w:val="none"/>
        </w:rPr>
      </w:pPr>
      <w:bookmarkStart w:id="123" w:name="_Toc60131335"/>
      <w:bookmarkStart w:id="124" w:name="_Toc7154"/>
      <w:bookmarkStart w:id="125" w:name="_Toc13726"/>
      <w:bookmarkStart w:id="126" w:name="_Toc12710"/>
      <w:r>
        <w:rPr>
          <w:rFonts w:hint="eastAsia"/>
          <w:highlight w:val="none"/>
        </w:rPr>
        <w:t>应用软件测试及程序：</w:t>
      </w:r>
      <w:bookmarkEnd w:id="123"/>
      <w:bookmarkEnd w:id="124"/>
      <w:bookmarkEnd w:id="125"/>
      <w:bookmarkEnd w:id="126"/>
    </w:p>
    <w:p w14:paraId="52B999F9">
      <w:pPr>
        <w:keepNext w:val="0"/>
        <w:keepLines w:val="0"/>
        <w:pageBreakBefore w:val="0"/>
        <w:widowControl w:val="0"/>
        <w:numPr>
          <w:ilvl w:val="0"/>
          <w:numId w:val="9"/>
        </w:numPr>
        <w:tabs>
          <w:tab w:val="left"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ascii="宋体" w:hAnsi="宋体"/>
          <w:color w:val="auto"/>
          <w:szCs w:val="24"/>
          <w:highlight w:val="none"/>
        </w:rPr>
      </w:pPr>
      <w:r>
        <w:rPr>
          <w:rFonts w:hint="eastAsia" w:ascii="宋体" w:hAnsi="宋体" w:cs="宋体"/>
          <w:color w:val="auto"/>
          <w:szCs w:val="24"/>
          <w:highlight w:val="none"/>
          <w:lang w:bidi="ar"/>
        </w:rPr>
        <w:t>测试计划及程序包括下列几项：</w:t>
      </w:r>
    </w:p>
    <w:p w14:paraId="1494BCEA">
      <w:pPr>
        <w:keepNext w:val="0"/>
        <w:keepLines w:val="0"/>
        <w:pageBreakBefore w:val="0"/>
        <w:widowControl w:val="0"/>
        <w:numPr>
          <w:ilvl w:val="0"/>
          <w:numId w:val="10"/>
        </w:numPr>
        <w:kinsoku/>
        <w:overflowPunct/>
        <w:topLinePunct w:val="0"/>
        <w:bidi w:val="0"/>
        <w:snapToGrid/>
        <w:spacing w:line="360" w:lineRule="auto"/>
        <w:ind w:left="845" w:leftChars="0" w:hanging="425" w:firstLineChars="0"/>
        <w:textAlignment w:val="auto"/>
        <w:rPr>
          <w:color w:val="auto"/>
          <w:szCs w:val="24"/>
          <w:highlight w:val="none"/>
        </w:rPr>
      </w:pPr>
      <w:r>
        <w:rPr>
          <w:color w:val="auto"/>
          <w:szCs w:val="24"/>
          <w:highlight w:val="none"/>
          <w:lang w:bidi="ar"/>
        </w:rPr>
        <w:t>测试的说明及测试的目的；</w:t>
      </w:r>
    </w:p>
    <w:p w14:paraId="2247E9AC">
      <w:pPr>
        <w:keepNext w:val="0"/>
        <w:keepLines w:val="0"/>
        <w:pageBreakBefore w:val="0"/>
        <w:widowControl w:val="0"/>
        <w:numPr>
          <w:ilvl w:val="0"/>
          <w:numId w:val="10"/>
        </w:numPr>
        <w:kinsoku/>
        <w:overflowPunct/>
        <w:topLinePunct w:val="0"/>
        <w:bidi w:val="0"/>
        <w:snapToGrid/>
        <w:spacing w:line="360" w:lineRule="auto"/>
        <w:ind w:left="845" w:leftChars="0" w:hanging="425" w:firstLineChars="0"/>
        <w:textAlignment w:val="auto"/>
        <w:rPr>
          <w:color w:val="auto"/>
          <w:szCs w:val="24"/>
          <w:highlight w:val="none"/>
        </w:rPr>
      </w:pPr>
      <w:r>
        <w:rPr>
          <w:color w:val="auto"/>
          <w:szCs w:val="24"/>
          <w:highlight w:val="none"/>
          <w:lang w:bidi="ar"/>
        </w:rPr>
        <w:t>各项功能测试所需输入的数据；</w:t>
      </w:r>
    </w:p>
    <w:p w14:paraId="4D935088">
      <w:pPr>
        <w:keepNext w:val="0"/>
        <w:keepLines w:val="0"/>
        <w:pageBreakBefore w:val="0"/>
        <w:widowControl w:val="0"/>
        <w:numPr>
          <w:ilvl w:val="0"/>
          <w:numId w:val="10"/>
        </w:numPr>
        <w:kinsoku/>
        <w:overflowPunct/>
        <w:topLinePunct w:val="0"/>
        <w:bidi w:val="0"/>
        <w:snapToGrid/>
        <w:spacing w:line="360" w:lineRule="auto"/>
        <w:ind w:left="845" w:leftChars="0" w:hanging="425" w:firstLineChars="0"/>
        <w:textAlignment w:val="auto"/>
        <w:rPr>
          <w:color w:val="auto"/>
          <w:szCs w:val="24"/>
          <w:highlight w:val="none"/>
        </w:rPr>
      </w:pPr>
      <w:r>
        <w:rPr>
          <w:color w:val="auto"/>
          <w:szCs w:val="24"/>
          <w:highlight w:val="none"/>
          <w:lang w:bidi="ar"/>
        </w:rPr>
        <w:t>测试结果记录的说明；</w:t>
      </w:r>
    </w:p>
    <w:p w14:paraId="7308D62A">
      <w:pPr>
        <w:keepNext w:val="0"/>
        <w:keepLines w:val="0"/>
        <w:pageBreakBefore w:val="0"/>
        <w:widowControl w:val="0"/>
        <w:numPr>
          <w:ilvl w:val="0"/>
          <w:numId w:val="10"/>
        </w:numPr>
        <w:kinsoku/>
        <w:overflowPunct/>
        <w:topLinePunct w:val="0"/>
        <w:bidi w:val="0"/>
        <w:snapToGrid/>
        <w:spacing w:line="360" w:lineRule="auto"/>
        <w:ind w:left="845" w:leftChars="0" w:hanging="425" w:firstLineChars="0"/>
        <w:textAlignment w:val="auto"/>
        <w:rPr>
          <w:color w:val="auto"/>
          <w:szCs w:val="24"/>
          <w:highlight w:val="none"/>
        </w:rPr>
      </w:pPr>
      <w:r>
        <w:rPr>
          <w:color w:val="auto"/>
          <w:szCs w:val="24"/>
          <w:highlight w:val="none"/>
          <w:lang w:bidi="ar"/>
        </w:rPr>
        <w:t>观察、测试结果的设备及程序；</w:t>
      </w:r>
    </w:p>
    <w:p w14:paraId="08407195">
      <w:pPr>
        <w:keepNext w:val="0"/>
        <w:keepLines w:val="0"/>
        <w:pageBreakBefore w:val="0"/>
        <w:widowControl w:val="0"/>
        <w:numPr>
          <w:ilvl w:val="0"/>
          <w:numId w:val="10"/>
        </w:numPr>
        <w:kinsoku/>
        <w:overflowPunct/>
        <w:topLinePunct w:val="0"/>
        <w:bidi w:val="0"/>
        <w:snapToGrid/>
        <w:spacing w:line="360" w:lineRule="auto"/>
        <w:ind w:left="845" w:leftChars="0" w:hanging="425" w:firstLineChars="0"/>
        <w:textAlignment w:val="auto"/>
        <w:rPr>
          <w:color w:val="auto"/>
          <w:szCs w:val="24"/>
          <w:highlight w:val="none"/>
          <w:lang w:bidi="ar"/>
        </w:rPr>
      </w:pPr>
      <w:r>
        <w:rPr>
          <w:color w:val="auto"/>
          <w:szCs w:val="24"/>
          <w:highlight w:val="none"/>
          <w:lang w:bidi="ar"/>
        </w:rPr>
        <w:t>测试进度表；</w:t>
      </w:r>
    </w:p>
    <w:p w14:paraId="077638E8">
      <w:pPr>
        <w:keepNext w:val="0"/>
        <w:keepLines w:val="0"/>
        <w:pageBreakBefore w:val="0"/>
        <w:widowControl w:val="0"/>
        <w:numPr>
          <w:ilvl w:val="0"/>
          <w:numId w:val="10"/>
        </w:numPr>
        <w:kinsoku/>
        <w:overflowPunct/>
        <w:topLinePunct w:val="0"/>
        <w:bidi w:val="0"/>
        <w:snapToGrid/>
        <w:spacing w:line="360" w:lineRule="auto"/>
        <w:ind w:left="845" w:leftChars="0" w:hanging="425" w:firstLineChars="0"/>
        <w:textAlignment w:val="auto"/>
        <w:rPr>
          <w:color w:val="auto"/>
          <w:szCs w:val="24"/>
          <w:highlight w:val="none"/>
        </w:rPr>
      </w:pPr>
      <w:r>
        <w:rPr>
          <w:color w:val="auto"/>
          <w:szCs w:val="24"/>
          <w:highlight w:val="none"/>
          <w:lang w:bidi="ar"/>
        </w:rPr>
        <w:t>使用的软件程序清单及说明。</w:t>
      </w:r>
    </w:p>
    <w:p w14:paraId="5ECA9A19">
      <w:pPr>
        <w:keepNext w:val="0"/>
        <w:keepLines w:val="0"/>
        <w:pageBreakBefore w:val="0"/>
        <w:widowControl w:val="0"/>
        <w:numPr>
          <w:ilvl w:val="0"/>
          <w:numId w:val="9"/>
        </w:numPr>
        <w:tabs>
          <w:tab w:val="left"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ascii="宋体" w:hAnsi="宋体"/>
          <w:color w:val="auto"/>
          <w:szCs w:val="24"/>
          <w:highlight w:val="none"/>
        </w:rPr>
      </w:pPr>
      <w:r>
        <w:rPr>
          <w:rFonts w:hint="eastAsia" w:ascii="宋体" w:hAnsi="宋体" w:cs="宋体"/>
          <w:b w:val="0"/>
          <w:color w:val="auto"/>
          <w:szCs w:val="24"/>
          <w:highlight w:val="none"/>
          <w:lang w:bidi="ar"/>
        </w:rPr>
        <w:t>有关</w:t>
      </w:r>
      <w:r>
        <w:rPr>
          <w:rFonts w:hint="eastAsia" w:ascii="宋体" w:hAnsi="宋体" w:cs="宋体"/>
          <w:color w:val="auto"/>
          <w:szCs w:val="24"/>
          <w:highlight w:val="none"/>
          <w:lang w:bidi="ar"/>
        </w:rPr>
        <w:t>的测试结果要以书面报告的形式由</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提交，内容包括：</w:t>
      </w:r>
    </w:p>
    <w:p w14:paraId="075817E7">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color w:val="auto"/>
          <w:szCs w:val="24"/>
          <w:highlight w:val="none"/>
          <w:lang w:bidi="ar"/>
        </w:rPr>
      </w:pPr>
      <w:r>
        <w:rPr>
          <w:rFonts w:hint="eastAsia"/>
          <w:color w:val="auto"/>
          <w:szCs w:val="24"/>
          <w:highlight w:val="none"/>
          <w:lang w:bidi="ar"/>
        </w:rPr>
        <w:t>功能测试；</w:t>
      </w:r>
    </w:p>
    <w:p w14:paraId="24395921">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color w:val="auto"/>
          <w:szCs w:val="24"/>
          <w:highlight w:val="none"/>
          <w:lang w:bidi="ar"/>
        </w:rPr>
      </w:pPr>
      <w:r>
        <w:rPr>
          <w:rFonts w:hint="eastAsia"/>
          <w:color w:val="auto"/>
          <w:szCs w:val="24"/>
          <w:highlight w:val="none"/>
          <w:lang w:bidi="ar"/>
        </w:rPr>
        <w:t>集成测试；</w:t>
      </w:r>
    </w:p>
    <w:p w14:paraId="0449126B">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color w:val="auto"/>
          <w:szCs w:val="24"/>
          <w:highlight w:val="none"/>
          <w:lang w:bidi="ar"/>
        </w:rPr>
      </w:pPr>
      <w:r>
        <w:rPr>
          <w:rFonts w:hint="eastAsia"/>
          <w:color w:val="auto"/>
          <w:szCs w:val="24"/>
          <w:highlight w:val="none"/>
          <w:lang w:bidi="ar"/>
        </w:rPr>
        <w:t>用户测试；</w:t>
      </w:r>
    </w:p>
    <w:p w14:paraId="6339EF39">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845" w:leftChars="0" w:hanging="425" w:firstLineChars="0"/>
        <w:textAlignment w:val="auto"/>
        <w:rPr>
          <w:color w:val="auto"/>
          <w:szCs w:val="24"/>
          <w:highlight w:val="none"/>
          <w:lang w:bidi="ar"/>
        </w:rPr>
      </w:pPr>
      <w:r>
        <w:rPr>
          <w:rFonts w:hint="eastAsia"/>
          <w:color w:val="auto"/>
          <w:szCs w:val="24"/>
          <w:highlight w:val="none"/>
          <w:lang w:bidi="ar"/>
        </w:rPr>
        <w:t>回归测试；</w:t>
      </w:r>
    </w:p>
    <w:p w14:paraId="5326AA1E">
      <w:pPr>
        <w:pStyle w:val="5"/>
        <w:bidi w:val="0"/>
        <w:spacing w:line="360" w:lineRule="auto"/>
        <w:rPr>
          <w:color w:val="auto"/>
          <w:highlight w:val="none"/>
        </w:rPr>
      </w:pPr>
      <w:bookmarkStart w:id="127" w:name="_Toc22163"/>
      <w:bookmarkStart w:id="128" w:name="_Toc2202"/>
      <w:bookmarkStart w:id="129" w:name="_Toc6939"/>
      <w:bookmarkStart w:id="130" w:name="_Toc1310033255"/>
      <w:bookmarkStart w:id="131" w:name="_Toc114153308"/>
      <w:bookmarkStart w:id="132" w:name="_Toc29470"/>
      <w:bookmarkStart w:id="133" w:name="_Toc5156"/>
      <w:bookmarkStart w:id="134" w:name="_Toc19448"/>
      <w:r>
        <w:rPr>
          <w:rFonts w:hint="eastAsia"/>
          <w:color w:val="auto"/>
          <w:highlight w:val="none"/>
        </w:rPr>
        <w:t>可靠性要求</w:t>
      </w:r>
      <w:bookmarkEnd w:id="127"/>
      <w:bookmarkEnd w:id="128"/>
      <w:bookmarkEnd w:id="129"/>
      <w:bookmarkEnd w:id="130"/>
      <w:bookmarkEnd w:id="131"/>
      <w:bookmarkEnd w:id="132"/>
      <w:bookmarkEnd w:id="133"/>
      <w:bookmarkEnd w:id="134"/>
    </w:p>
    <w:p w14:paraId="1968B914">
      <w:pPr>
        <w:spacing w:line="360" w:lineRule="auto"/>
        <w:ind w:firstLine="480"/>
        <w:rPr>
          <w:color w:val="auto"/>
          <w:highlight w:val="none"/>
        </w:rPr>
      </w:pPr>
      <w:r>
        <w:rPr>
          <w:rFonts w:hint="eastAsia"/>
          <w:color w:val="auto"/>
          <w:highlight w:val="none"/>
        </w:rPr>
        <w:t>系统开发测试过程中，应开展覆盖全过程、全业务的测试工作，确保单元测试、集成测试等环节对测试案例的覆盖率达</w:t>
      </w:r>
      <w:r>
        <w:rPr>
          <w:rFonts w:hint="eastAsia"/>
          <w:color w:val="auto"/>
          <w:highlight w:val="none"/>
          <w:lang w:val="en-US" w:eastAsia="zh-CN"/>
        </w:rPr>
        <w:t>到</w:t>
      </w:r>
      <w:r>
        <w:rPr>
          <w:rFonts w:hint="eastAsia"/>
          <w:color w:val="auto"/>
          <w:highlight w:val="none"/>
        </w:rPr>
        <w:t>100%；对内存溢出、资源不释放等问题应进行专项测试；在承受最大并发用户数持续运行24小时的情况下，系统运行平稳，业务失败率不超过0.1%，CPU平均占用率低于</w:t>
      </w:r>
      <w:r>
        <w:rPr>
          <w:rFonts w:hint="eastAsia"/>
          <w:color w:val="auto"/>
          <w:highlight w:val="none"/>
          <w:lang w:val="en-US" w:eastAsia="zh-CN"/>
        </w:rPr>
        <w:t>65</w:t>
      </w:r>
      <w:r>
        <w:rPr>
          <w:rFonts w:hint="eastAsia"/>
          <w:color w:val="auto"/>
          <w:highlight w:val="none"/>
        </w:rPr>
        <w:t>%，内存占用率没有明显增长且1小时后内存恢复初始值；在承受80%的最大并发用户数持续运行168小时的情况下，系统运行平稳，业务失败率不超过0.1%，CPU平均占用率低于</w:t>
      </w:r>
      <w:r>
        <w:rPr>
          <w:rFonts w:hint="eastAsia"/>
          <w:color w:val="auto"/>
          <w:highlight w:val="none"/>
          <w:lang w:val="en-US" w:eastAsia="zh-CN"/>
        </w:rPr>
        <w:t>65</w:t>
      </w:r>
      <w:r>
        <w:rPr>
          <w:rFonts w:hint="eastAsia"/>
          <w:color w:val="auto"/>
          <w:highlight w:val="none"/>
        </w:rPr>
        <w:t>%，内存占用率没有明显增长且1小时后内存恢复初始值。</w:t>
      </w:r>
    </w:p>
    <w:p w14:paraId="35998048">
      <w:pPr>
        <w:pStyle w:val="5"/>
        <w:bidi w:val="0"/>
        <w:spacing w:line="360" w:lineRule="auto"/>
        <w:rPr>
          <w:color w:val="auto"/>
          <w:highlight w:val="none"/>
        </w:rPr>
      </w:pPr>
      <w:bookmarkStart w:id="135" w:name="_Toc19009"/>
      <w:bookmarkStart w:id="136" w:name="_Toc12290"/>
      <w:bookmarkStart w:id="137" w:name="_Toc1726567741"/>
      <w:bookmarkStart w:id="138" w:name="_Toc26723"/>
      <w:bookmarkStart w:id="139" w:name="_Toc19463"/>
      <w:bookmarkStart w:id="140" w:name="_Toc114153309"/>
      <w:bookmarkStart w:id="141" w:name="_Toc16558"/>
      <w:bookmarkStart w:id="142" w:name="_Toc6704"/>
      <w:r>
        <w:rPr>
          <w:rFonts w:hint="eastAsia"/>
          <w:highlight w:val="none"/>
          <w:lang w:val="en-US" w:eastAsia="zh-CN"/>
        </w:rPr>
        <w:t>★</w:t>
      </w:r>
      <w:r>
        <w:rPr>
          <w:rFonts w:hint="eastAsia"/>
          <w:color w:val="auto"/>
          <w:highlight w:val="none"/>
        </w:rPr>
        <w:t>安全要求</w:t>
      </w:r>
      <w:bookmarkEnd w:id="135"/>
      <w:bookmarkEnd w:id="136"/>
      <w:bookmarkEnd w:id="137"/>
      <w:bookmarkEnd w:id="138"/>
      <w:bookmarkEnd w:id="139"/>
      <w:bookmarkEnd w:id="140"/>
      <w:bookmarkEnd w:id="141"/>
      <w:bookmarkEnd w:id="142"/>
    </w:p>
    <w:p w14:paraId="3AC6BBA2">
      <w:pPr>
        <w:spacing w:line="360" w:lineRule="auto"/>
        <w:ind w:firstLine="480"/>
        <w:rPr>
          <w:color w:val="auto"/>
          <w:highlight w:val="none"/>
        </w:rPr>
      </w:pPr>
      <w:r>
        <w:rPr>
          <w:rFonts w:hint="eastAsia"/>
          <w:color w:val="auto"/>
          <w:highlight w:val="none"/>
        </w:rPr>
        <w:t>系统信息安全设计严格按照国家信息安全等级保护标准要求、信息安全技术信息系统安全等级保护基本要求、《GB/T 22239-2019 信息安全技术网络安全等级保护基本》要求，统一考虑系统安全保障体系的总体安全策略、安全技术框架、安全管理策略。</w:t>
      </w:r>
    </w:p>
    <w:p w14:paraId="512C2D59">
      <w:pPr>
        <w:spacing w:line="360" w:lineRule="auto"/>
        <w:ind w:firstLine="480"/>
        <w:rPr>
          <w:color w:val="auto"/>
          <w:highlight w:val="none"/>
        </w:rPr>
      </w:pPr>
      <w:r>
        <w:rPr>
          <w:rFonts w:hint="eastAsia"/>
          <w:color w:val="auto"/>
          <w:highlight w:val="none"/>
        </w:rPr>
        <w:t>信息系统的信息安全防护包括“应用安全、数据安全、主机安全、网络安全”，按照国家信息安全三同步“同步规划、同步建设、同步运行”的要求，对系统可能存在的系统安全威胁、安全管理目标、安全应用功能和安全管理机制等内容，在系统规划设计、系统构建、后期运行各阶段中提出相应的规划与构建方案。</w:t>
      </w:r>
    </w:p>
    <w:p w14:paraId="2E9CA2F0">
      <w:pPr>
        <w:spacing w:line="360" w:lineRule="auto"/>
        <w:ind w:firstLine="480"/>
        <w:rPr>
          <w:color w:val="auto"/>
          <w:highlight w:val="none"/>
        </w:rPr>
      </w:pPr>
      <w:r>
        <w:rPr>
          <w:rFonts w:hint="eastAsia"/>
          <w:color w:val="auto"/>
          <w:highlight w:val="none"/>
        </w:rPr>
        <w:t>应用系统安全满足以下安全要求：</w:t>
      </w:r>
    </w:p>
    <w:p w14:paraId="3259057B">
      <w:pPr>
        <w:pStyle w:val="24"/>
        <w:numPr>
          <w:ilvl w:val="0"/>
          <w:numId w:val="12"/>
        </w:numPr>
        <w:spacing w:line="360" w:lineRule="auto"/>
        <w:ind w:left="851" w:hanging="474" w:firstLineChars="0"/>
        <w:rPr>
          <w:color w:val="auto"/>
          <w:highlight w:val="none"/>
        </w:rPr>
      </w:pPr>
      <w:r>
        <w:rPr>
          <w:rFonts w:hint="eastAsia"/>
          <w:color w:val="auto"/>
          <w:highlight w:val="none"/>
        </w:rPr>
        <w:t>系统设计满足国家、行业、监管机构、公司网络安全的相关要求和管理规定。</w:t>
      </w:r>
    </w:p>
    <w:p w14:paraId="6E94D325">
      <w:pPr>
        <w:pStyle w:val="24"/>
        <w:numPr>
          <w:ilvl w:val="0"/>
          <w:numId w:val="12"/>
        </w:numPr>
        <w:spacing w:line="360" w:lineRule="auto"/>
        <w:ind w:left="851" w:hanging="474" w:firstLineChars="0"/>
        <w:rPr>
          <w:color w:val="auto"/>
          <w:highlight w:val="none"/>
        </w:rPr>
      </w:pPr>
      <w:r>
        <w:rPr>
          <w:rFonts w:hint="eastAsia"/>
          <w:color w:val="auto"/>
          <w:highlight w:val="none"/>
        </w:rPr>
        <w:t>系统中涉及到的国家和行业各项法律法规中规定为涉密的信息，采用必要的加密存储、传输手段，并设置必要的安全管理策略。</w:t>
      </w:r>
    </w:p>
    <w:p w14:paraId="3C6002EC">
      <w:pPr>
        <w:pStyle w:val="24"/>
        <w:numPr>
          <w:ilvl w:val="0"/>
          <w:numId w:val="12"/>
        </w:numPr>
        <w:spacing w:line="360" w:lineRule="auto"/>
        <w:ind w:left="851" w:hanging="474" w:firstLineChars="0"/>
        <w:rPr>
          <w:color w:val="auto"/>
          <w:highlight w:val="none"/>
        </w:rPr>
      </w:pPr>
      <w:r>
        <w:rPr>
          <w:rFonts w:hint="eastAsia"/>
          <w:color w:val="auto"/>
          <w:highlight w:val="none"/>
        </w:rPr>
        <w:t>系统中的敏感数据采用可靠的加密算法，并在加密后存储。</w:t>
      </w:r>
    </w:p>
    <w:p w14:paraId="77645090">
      <w:pPr>
        <w:pStyle w:val="24"/>
        <w:numPr>
          <w:ilvl w:val="0"/>
          <w:numId w:val="12"/>
        </w:numPr>
        <w:spacing w:line="360" w:lineRule="auto"/>
        <w:ind w:left="851" w:hanging="474" w:firstLineChars="0"/>
        <w:rPr>
          <w:color w:val="auto"/>
          <w:highlight w:val="none"/>
        </w:rPr>
      </w:pPr>
      <w:r>
        <w:rPr>
          <w:rFonts w:hint="eastAsia"/>
          <w:color w:val="auto"/>
          <w:highlight w:val="none"/>
        </w:rPr>
        <w:t>系统保证关键数据的完整性和安全性。</w:t>
      </w:r>
    </w:p>
    <w:p w14:paraId="50077CCF">
      <w:pPr>
        <w:pStyle w:val="24"/>
        <w:numPr>
          <w:ilvl w:val="0"/>
          <w:numId w:val="12"/>
        </w:numPr>
        <w:spacing w:line="360" w:lineRule="auto"/>
        <w:ind w:left="851" w:hanging="474" w:firstLineChars="0"/>
        <w:rPr>
          <w:color w:val="auto"/>
          <w:highlight w:val="none"/>
        </w:rPr>
      </w:pPr>
      <w:r>
        <w:rPr>
          <w:rFonts w:hint="eastAsia"/>
          <w:color w:val="auto"/>
          <w:highlight w:val="none"/>
        </w:rPr>
        <w:t>支持数据加密，要求传输过程中采用必要的符合人民银行、银监会等监管部门有关最新规定及要求的加密算法对数据进行加密，保证数据的安全，并且可以在传输层绑定各种协议。</w:t>
      </w:r>
    </w:p>
    <w:p w14:paraId="077A59EE">
      <w:pPr>
        <w:pStyle w:val="24"/>
        <w:numPr>
          <w:ilvl w:val="0"/>
          <w:numId w:val="12"/>
        </w:numPr>
        <w:spacing w:line="360" w:lineRule="auto"/>
        <w:ind w:left="851" w:hanging="474" w:firstLineChars="0"/>
        <w:rPr>
          <w:color w:val="auto"/>
          <w:highlight w:val="none"/>
        </w:rPr>
      </w:pPr>
      <w:r>
        <w:rPr>
          <w:rFonts w:hint="eastAsia"/>
          <w:color w:val="auto"/>
          <w:highlight w:val="none"/>
        </w:rPr>
        <w:t>系统提供软件容错机制，软件容错机制可以在系统故障时为系统提供“回退”机制和自动保护机制；针对通信故障、多用户操作冲突、网络拥挤等异常情况，系统应能做出正确的处理。</w:t>
      </w:r>
    </w:p>
    <w:p w14:paraId="55BAF085">
      <w:pPr>
        <w:pStyle w:val="24"/>
        <w:numPr>
          <w:ilvl w:val="0"/>
          <w:numId w:val="12"/>
        </w:numPr>
        <w:spacing w:line="360" w:lineRule="auto"/>
        <w:ind w:left="851" w:hanging="474" w:firstLineChars="0"/>
        <w:rPr>
          <w:color w:val="auto"/>
          <w:highlight w:val="none"/>
        </w:rPr>
      </w:pPr>
      <w:r>
        <w:rPr>
          <w:rFonts w:hint="eastAsia"/>
          <w:color w:val="auto"/>
          <w:highlight w:val="none"/>
        </w:rPr>
        <w:t>系统设计符合代码安全（应用程序代码符合编写安全规范、代码安全脆弱性评估等）要求。</w:t>
      </w:r>
    </w:p>
    <w:p w14:paraId="7D876B9A">
      <w:pPr>
        <w:pStyle w:val="24"/>
        <w:numPr>
          <w:ilvl w:val="0"/>
          <w:numId w:val="12"/>
        </w:numPr>
        <w:spacing w:line="360" w:lineRule="auto"/>
        <w:ind w:left="851" w:hanging="474" w:firstLineChars="0"/>
        <w:rPr>
          <w:color w:val="auto"/>
          <w:highlight w:val="none"/>
        </w:rPr>
      </w:pPr>
      <w:r>
        <w:rPr>
          <w:rFonts w:hint="eastAsia"/>
          <w:color w:val="auto"/>
          <w:highlight w:val="none"/>
        </w:rPr>
        <w:t>系统进行严格的权限管理，杜绝非法的权限外业务操作。</w:t>
      </w:r>
    </w:p>
    <w:p w14:paraId="19C677E1">
      <w:pPr>
        <w:pStyle w:val="5"/>
        <w:bidi w:val="0"/>
        <w:spacing w:line="360" w:lineRule="auto"/>
        <w:rPr>
          <w:color w:val="auto"/>
          <w:highlight w:val="none"/>
        </w:rPr>
      </w:pPr>
      <w:bookmarkStart w:id="143" w:name="_Toc18311"/>
      <w:bookmarkStart w:id="144" w:name="_Toc23079"/>
      <w:bookmarkStart w:id="145" w:name="_Toc21311"/>
      <w:bookmarkStart w:id="146" w:name="_Toc1624984723"/>
      <w:bookmarkStart w:id="147" w:name="_Toc4540"/>
      <w:bookmarkStart w:id="148" w:name="_Toc3895"/>
      <w:bookmarkStart w:id="149" w:name="_Toc23773"/>
      <w:r>
        <w:rPr>
          <w:rFonts w:hint="eastAsia"/>
          <w:color w:val="auto"/>
          <w:highlight w:val="none"/>
        </w:rPr>
        <w:t>兼容性要求</w:t>
      </w:r>
      <w:bookmarkEnd w:id="143"/>
      <w:bookmarkEnd w:id="144"/>
      <w:bookmarkEnd w:id="145"/>
      <w:bookmarkEnd w:id="146"/>
      <w:bookmarkEnd w:id="147"/>
      <w:bookmarkEnd w:id="148"/>
      <w:bookmarkEnd w:id="149"/>
    </w:p>
    <w:p w14:paraId="70712419">
      <w:pPr>
        <w:widowControl/>
        <w:numPr>
          <w:ilvl w:val="3"/>
          <w:numId w:val="13"/>
        </w:numPr>
        <w:spacing w:line="360" w:lineRule="auto"/>
        <w:ind w:left="851" w:firstLineChars="0"/>
        <w:rPr>
          <w:rFonts w:ascii="宋体" w:hAnsi="宋体"/>
          <w:b w:val="0"/>
          <w:bCs w:val="0"/>
          <w:color w:val="auto"/>
          <w:szCs w:val="24"/>
          <w:highlight w:val="none"/>
        </w:rPr>
      </w:pPr>
      <w:r>
        <w:rPr>
          <w:rFonts w:hint="eastAsia" w:ascii="宋体" w:hAnsi="宋体"/>
          <w:b w:val="0"/>
          <w:bCs w:val="0"/>
          <w:color w:val="auto"/>
          <w:szCs w:val="24"/>
          <w:highlight w:val="none"/>
        </w:rPr>
        <w:t>浏览器兼容性</w:t>
      </w:r>
    </w:p>
    <w:p w14:paraId="16D377F7">
      <w:pPr>
        <w:spacing w:line="360" w:lineRule="auto"/>
        <w:ind w:left="360" w:firstLine="480"/>
        <w:rPr>
          <w:rFonts w:hint="eastAsia" w:ascii="宋体" w:hAnsi="宋体"/>
          <w:b w:val="0"/>
          <w:bCs w:val="0"/>
          <w:color w:val="auto"/>
          <w:szCs w:val="24"/>
          <w:highlight w:val="none"/>
        </w:rPr>
      </w:pPr>
      <w:r>
        <w:rPr>
          <w:rFonts w:hint="eastAsia" w:ascii="宋体" w:hAnsi="宋体"/>
          <w:b w:val="0"/>
          <w:bCs w:val="0"/>
          <w:color w:val="auto"/>
          <w:szCs w:val="24"/>
          <w:highlight w:val="none"/>
        </w:rPr>
        <w:t>B/S架构应该兼容统信浏览器、麒麟奇安信浏览器、360安全浏览器、搜狗浏览器、红芯浏览器等自主可控浏览器。</w:t>
      </w:r>
    </w:p>
    <w:p w14:paraId="34E0F118">
      <w:pPr>
        <w:widowControl/>
        <w:numPr>
          <w:ilvl w:val="3"/>
          <w:numId w:val="13"/>
        </w:numPr>
        <w:spacing w:line="360" w:lineRule="auto"/>
        <w:ind w:left="851" w:firstLineChars="0"/>
        <w:rPr>
          <w:rFonts w:ascii="宋体" w:hAnsi="宋体"/>
          <w:b w:val="0"/>
          <w:bCs w:val="0"/>
          <w:color w:val="auto"/>
          <w:szCs w:val="24"/>
          <w:highlight w:val="none"/>
        </w:rPr>
      </w:pPr>
      <w:r>
        <w:rPr>
          <w:rFonts w:hint="eastAsia" w:ascii="宋体" w:hAnsi="宋体"/>
          <w:b w:val="0"/>
          <w:bCs w:val="0"/>
          <w:color w:val="auto"/>
          <w:szCs w:val="24"/>
          <w:highlight w:val="none"/>
        </w:rPr>
        <w:t>系统接口兼容性</w:t>
      </w:r>
    </w:p>
    <w:p w14:paraId="02C43500">
      <w:pPr>
        <w:spacing w:line="360" w:lineRule="auto"/>
        <w:ind w:left="420" w:firstLine="480"/>
        <w:rPr>
          <w:rFonts w:ascii="宋体" w:hAnsi="宋体"/>
          <w:b w:val="0"/>
          <w:bCs w:val="0"/>
          <w:color w:val="auto"/>
          <w:szCs w:val="24"/>
          <w:highlight w:val="none"/>
        </w:rPr>
      </w:pPr>
      <w:r>
        <w:rPr>
          <w:rFonts w:hint="eastAsia" w:ascii="宋体" w:hAnsi="宋体"/>
          <w:b w:val="0"/>
          <w:bCs w:val="0"/>
          <w:color w:val="auto"/>
          <w:szCs w:val="24"/>
          <w:highlight w:val="none"/>
        </w:rPr>
        <w:t>系统接口应与之存在集成关系的系统保持良好的接口兼容性。使用统一的接口开发规范。</w:t>
      </w:r>
    </w:p>
    <w:p w14:paraId="7A899A80">
      <w:pPr>
        <w:widowControl/>
        <w:numPr>
          <w:ilvl w:val="3"/>
          <w:numId w:val="13"/>
        </w:numPr>
        <w:spacing w:line="360" w:lineRule="auto"/>
        <w:ind w:left="851" w:firstLineChars="0"/>
        <w:rPr>
          <w:rFonts w:ascii="宋体" w:hAnsi="宋体"/>
          <w:b w:val="0"/>
          <w:bCs w:val="0"/>
          <w:color w:val="auto"/>
          <w:szCs w:val="24"/>
          <w:highlight w:val="none"/>
        </w:rPr>
      </w:pPr>
      <w:r>
        <w:rPr>
          <w:rFonts w:hint="eastAsia" w:ascii="宋体" w:hAnsi="宋体"/>
          <w:b w:val="0"/>
          <w:bCs w:val="0"/>
          <w:color w:val="auto"/>
          <w:szCs w:val="24"/>
          <w:highlight w:val="none"/>
        </w:rPr>
        <w:t>互联网协议兼容性</w:t>
      </w:r>
    </w:p>
    <w:p w14:paraId="1B144854">
      <w:pPr>
        <w:spacing w:line="360" w:lineRule="auto"/>
        <w:ind w:left="425" w:leftChars="177" w:firstLine="480"/>
        <w:rPr>
          <w:rFonts w:hint="eastAsia"/>
          <w:color w:val="auto"/>
          <w:highlight w:val="none"/>
        </w:rPr>
      </w:pPr>
      <w:r>
        <w:rPr>
          <w:rFonts w:hint="eastAsia"/>
          <w:color w:val="auto"/>
          <w:highlight w:val="none"/>
        </w:rPr>
        <w:t>系统应在支持互联网协议第四版（IPv4）的基础上，支持基于互联网协议第六版（IPv6）。</w:t>
      </w:r>
    </w:p>
    <w:p w14:paraId="61B943E3">
      <w:pPr>
        <w:pStyle w:val="5"/>
        <w:bidi w:val="0"/>
        <w:rPr>
          <w:rFonts w:hint="eastAsia"/>
          <w:highlight w:val="none"/>
          <w:lang w:val="en-US" w:eastAsia="zh-CN"/>
        </w:rPr>
      </w:pPr>
      <w:bookmarkStart w:id="150" w:name="_Toc19916"/>
      <w:bookmarkStart w:id="151" w:name="_Toc16031"/>
      <w:bookmarkStart w:id="152" w:name="_Toc6256"/>
      <w:bookmarkStart w:id="153" w:name="_Toc1568700562"/>
      <w:bookmarkStart w:id="154" w:name="_Toc5503"/>
      <w:bookmarkStart w:id="328" w:name="_GoBack"/>
      <w:r>
        <w:rPr>
          <w:rFonts w:hint="eastAsia"/>
          <w:highlight w:val="none"/>
          <w:lang w:val="en-US" w:eastAsia="zh-CN"/>
        </w:rPr>
        <w:t>★自主可控要求</w:t>
      </w:r>
      <w:bookmarkEnd w:id="150"/>
      <w:bookmarkEnd w:id="151"/>
      <w:bookmarkEnd w:id="152"/>
      <w:bookmarkEnd w:id="153"/>
      <w:bookmarkEnd w:id="154"/>
    </w:p>
    <w:p w14:paraId="7C91C2BD">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1、投标人须承诺本项目开发的软件产品满足自主可控的要求，符合南方电网相关的数据安全标准和法规，切实保护招标人的隐私和数据安全。随时对软件的开发者资质审核，保证软件代码未被篡改。</w:t>
      </w:r>
    </w:p>
    <w:p w14:paraId="0B464FF4">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2.软件的开发者需提供软件物料清单，详细列明软件所包含的所有组件、库、依赖项及其版本、许可证和来源信息，须承诺交付的软件不能有高危及以上漏洞，软件部署运行环境须满足以下要求:</w:t>
      </w:r>
    </w:p>
    <w:p w14:paraId="0AED7E50">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1）CPU:该软件兼容通过国家安全可靠测评的CPU(ARM、X86、MIPS)架构</w:t>
      </w:r>
    </w:p>
    <w:p w14:paraId="54A56244">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2）操作系统:该软件兼容UOS、麒麟等通过国家安全可靠测评的桌面和服务器操作系统。</w:t>
      </w:r>
    </w:p>
    <w:p w14:paraId="6678489C">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3）数据库:该软件使用达梦关系数据库。</w:t>
      </w:r>
    </w:p>
    <w:p w14:paraId="5C8D0928">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4）应用服务器中间件:该软件使用中创应用服务器中间件。</w:t>
      </w:r>
    </w:p>
    <w:p w14:paraId="3BBFA7B6">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5）浏览器:适配自主可控终端下的奇安信浏览器、360安全浏览器</w:t>
      </w:r>
    </w:p>
    <w:p w14:paraId="5FFFAED6">
      <w:pPr>
        <w:spacing w:line="360" w:lineRule="auto"/>
        <w:ind w:left="5" w:leftChars="0" w:firstLine="472" w:firstLineChars="197"/>
        <w:rPr>
          <w:rFonts w:hint="eastAsia"/>
          <w:color w:val="auto"/>
          <w:highlight w:val="none"/>
          <w:lang w:val="en-US" w:eastAsia="zh-CN"/>
        </w:rPr>
      </w:pPr>
      <w:r>
        <w:rPr>
          <w:rFonts w:hint="eastAsia"/>
          <w:color w:val="auto"/>
          <w:highlight w:val="none"/>
          <w:lang w:val="en-US" w:eastAsia="zh-CN"/>
        </w:rPr>
        <w:t>3、本项目所开发的软件产品100%为国产自主可控软件，如软件涉及境外厂商开发、境外版权所有、境外主体提供，涉及境外组件、境外模块、境外云服务、境外接口依赖，需做申明。</w:t>
      </w:r>
    </w:p>
    <w:bookmarkEnd w:id="328"/>
    <w:p w14:paraId="488020B6">
      <w:pPr>
        <w:spacing w:line="360" w:lineRule="auto"/>
        <w:ind w:left="5" w:leftChars="0" w:firstLine="472" w:firstLineChars="197"/>
        <w:rPr>
          <w:rFonts w:hint="default"/>
          <w:i/>
          <w:iCs/>
          <w:color w:val="auto"/>
          <w:highlight w:val="none"/>
          <w:lang w:val="en-US" w:eastAsia="zh-CN"/>
        </w:rPr>
      </w:pPr>
    </w:p>
    <w:p w14:paraId="1701FEE5">
      <w:pPr>
        <w:pStyle w:val="5"/>
        <w:bidi w:val="0"/>
        <w:spacing w:line="360" w:lineRule="auto"/>
        <w:rPr>
          <w:rFonts w:hint="eastAsia"/>
          <w:color w:val="auto"/>
          <w:highlight w:val="none"/>
          <w:lang w:val="en-US" w:eastAsia="zh-CN"/>
        </w:rPr>
      </w:pPr>
      <w:bookmarkStart w:id="155" w:name="_Toc25847"/>
      <w:bookmarkStart w:id="156" w:name="_Toc4091"/>
      <w:bookmarkStart w:id="157" w:name="_Toc24424"/>
      <w:bookmarkStart w:id="158" w:name="_Toc1362"/>
      <w:bookmarkStart w:id="159" w:name="_Toc493611315"/>
      <w:bookmarkStart w:id="160" w:name="_Toc12728"/>
      <w:bookmarkStart w:id="161" w:name="_Toc6441"/>
      <w:r>
        <w:rPr>
          <w:rFonts w:hint="eastAsia"/>
          <w:color w:val="auto"/>
          <w:highlight w:val="none"/>
          <w:lang w:val="en-US" w:eastAsia="zh-CN"/>
        </w:rPr>
        <w:t>系统运维要求</w:t>
      </w:r>
      <w:bookmarkEnd w:id="155"/>
      <w:bookmarkEnd w:id="156"/>
      <w:bookmarkEnd w:id="157"/>
      <w:bookmarkEnd w:id="158"/>
      <w:bookmarkEnd w:id="159"/>
      <w:bookmarkEnd w:id="160"/>
      <w:bookmarkEnd w:id="161"/>
    </w:p>
    <w:p w14:paraId="053654DC">
      <w:pPr>
        <w:spacing w:line="360" w:lineRule="auto"/>
        <w:ind w:firstLine="480"/>
        <w:rPr>
          <w:rFonts w:hint="eastAsia"/>
          <w:color w:val="auto"/>
          <w:highlight w:val="none"/>
        </w:rPr>
      </w:pPr>
      <w:r>
        <w:rPr>
          <w:rFonts w:hint="eastAsia"/>
          <w:color w:val="auto"/>
          <w:highlight w:val="none"/>
        </w:rPr>
        <w:t>在项目期间负责目前正在运行的</w:t>
      </w:r>
      <w:r>
        <w:rPr>
          <w:rFonts w:hint="eastAsia"/>
          <w:color w:val="auto"/>
          <w:highlight w:val="none"/>
          <w:lang w:val="en-US" w:eastAsia="zh-CN"/>
        </w:rPr>
        <w:t>数据公司</w:t>
      </w:r>
      <w:r>
        <w:rPr>
          <w:rFonts w:hint="eastAsia"/>
          <w:color w:val="auto"/>
          <w:highlight w:val="none"/>
        </w:rPr>
        <w:t>已建成的</w:t>
      </w:r>
      <w:r>
        <w:rPr>
          <w:rFonts w:hint="eastAsia"/>
          <w:color w:val="auto"/>
          <w:highlight w:val="none"/>
          <w:lang w:val="en-US" w:eastAsia="zh-CN"/>
        </w:rPr>
        <w:t>数据空间</w:t>
      </w:r>
      <w:r>
        <w:rPr>
          <w:rFonts w:hint="eastAsia"/>
          <w:color w:val="auto"/>
          <w:highlight w:val="none"/>
        </w:rPr>
        <w:t>系统的运维工作，并定期进行系统巡检（不低于每月一次）。运维范围不限于本次优化升级的功能，需涵盖整个</w:t>
      </w:r>
      <w:r>
        <w:rPr>
          <w:rFonts w:hint="eastAsia"/>
          <w:color w:val="auto"/>
          <w:highlight w:val="none"/>
          <w:lang w:val="en-US" w:eastAsia="zh-CN"/>
        </w:rPr>
        <w:t>数据空间</w:t>
      </w:r>
      <w:r>
        <w:rPr>
          <w:rFonts w:hint="eastAsia"/>
          <w:color w:val="auto"/>
          <w:highlight w:val="none"/>
        </w:rPr>
        <w:t>业务系统，确保</w:t>
      </w:r>
      <w:r>
        <w:rPr>
          <w:rFonts w:hint="eastAsia"/>
          <w:color w:val="auto"/>
          <w:highlight w:val="none"/>
          <w:lang w:val="en-US" w:eastAsia="zh-CN"/>
        </w:rPr>
        <w:t>数据空间</w:t>
      </w:r>
      <w:r>
        <w:rPr>
          <w:rFonts w:hint="eastAsia"/>
          <w:color w:val="auto"/>
          <w:highlight w:val="none"/>
        </w:rPr>
        <w:t>业务系统各子系统的正常运行，及时解决系统功能问题和缺陷，对系统性能及时优化。</w:t>
      </w:r>
    </w:p>
    <w:p w14:paraId="0307AA7A">
      <w:pPr>
        <w:spacing w:line="360" w:lineRule="auto"/>
        <w:ind w:firstLine="480"/>
        <w:rPr>
          <w:color w:val="auto"/>
          <w:highlight w:val="none"/>
        </w:rPr>
      </w:pPr>
    </w:p>
    <w:p w14:paraId="695B8A8B">
      <w:pPr>
        <w:pStyle w:val="4"/>
        <w:spacing w:line="360" w:lineRule="auto"/>
        <w:rPr>
          <w:color w:val="auto"/>
          <w:highlight w:val="none"/>
        </w:rPr>
      </w:pPr>
      <w:bookmarkStart w:id="162" w:name="_Toc4396"/>
      <w:bookmarkStart w:id="163" w:name="_Toc10384"/>
      <w:bookmarkStart w:id="164" w:name="_Toc3964"/>
      <w:bookmarkStart w:id="165" w:name="_Toc13189"/>
      <w:bookmarkStart w:id="166" w:name="_Toc396042844"/>
      <w:bookmarkStart w:id="167" w:name="_Toc32244"/>
      <w:bookmarkStart w:id="168" w:name="_Toc5957"/>
      <w:r>
        <w:rPr>
          <w:rFonts w:hint="eastAsia"/>
          <w:color w:val="auto"/>
          <w:highlight w:val="none"/>
        </w:rPr>
        <w:t>项目</w:t>
      </w:r>
      <w:r>
        <w:rPr>
          <w:rFonts w:hint="eastAsia"/>
          <w:color w:val="auto"/>
          <w:highlight w:val="none"/>
          <w:lang w:val="en-US" w:eastAsia="zh-CN"/>
        </w:rPr>
        <w:t>工作</w:t>
      </w:r>
      <w:r>
        <w:rPr>
          <w:rFonts w:hint="eastAsia"/>
          <w:color w:val="auto"/>
          <w:highlight w:val="none"/>
        </w:rPr>
        <w:t>要</w:t>
      </w:r>
      <w:r>
        <w:rPr>
          <w:color w:val="auto"/>
          <w:highlight w:val="none"/>
        </w:rPr>
        <w:t>求</w:t>
      </w:r>
      <w:bookmarkEnd w:id="72"/>
      <w:bookmarkEnd w:id="73"/>
      <w:bookmarkEnd w:id="74"/>
      <w:bookmarkEnd w:id="75"/>
      <w:bookmarkEnd w:id="76"/>
      <w:bookmarkEnd w:id="77"/>
      <w:bookmarkEnd w:id="78"/>
      <w:bookmarkEnd w:id="79"/>
      <w:bookmarkEnd w:id="80"/>
      <w:bookmarkEnd w:id="162"/>
      <w:bookmarkEnd w:id="163"/>
      <w:bookmarkEnd w:id="164"/>
      <w:bookmarkEnd w:id="165"/>
      <w:bookmarkEnd w:id="166"/>
      <w:bookmarkEnd w:id="167"/>
      <w:bookmarkEnd w:id="168"/>
    </w:p>
    <w:p w14:paraId="4CF2DE53">
      <w:pPr>
        <w:pStyle w:val="5"/>
        <w:tabs>
          <w:tab w:val="left" w:pos="0"/>
          <w:tab w:val="left" w:pos="840"/>
        </w:tabs>
        <w:spacing w:line="360" w:lineRule="auto"/>
        <w:rPr>
          <w:color w:val="auto"/>
          <w:highlight w:val="none"/>
        </w:rPr>
      </w:pPr>
      <w:bookmarkStart w:id="169" w:name="_Toc20622"/>
      <w:bookmarkStart w:id="170" w:name="_Toc1240257055"/>
      <w:bookmarkStart w:id="171" w:name="_Toc21964"/>
      <w:bookmarkStart w:id="172" w:name="_Toc22134"/>
      <w:bookmarkStart w:id="173" w:name="_Toc21387"/>
      <w:bookmarkStart w:id="174" w:name="_Toc26411"/>
      <w:bookmarkStart w:id="175" w:name="_Toc16596"/>
      <w:bookmarkStart w:id="176" w:name="_Toc105577404"/>
      <w:bookmarkStart w:id="177" w:name="_Toc25045504"/>
      <w:r>
        <w:rPr>
          <w:rFonts w:hint="eastAsia"/>
          <w:color w:val="auto"/>
          <w:highlight w:val="none"/>
          <w:lang w:val="en-US" w:eastAsia="zh-CN"/>
        </w:rPr>
        <w:t>项目组织人员要求</w:t>
      </w:r>
      <w:bookmarkEnd w:id="169"/>
      <w:bookmarkEnd w:id="170"/>
      <w:bookmarkEnd w:id="171"/>
      <w:bookmarkEnd w:id="172"/>
      <w:bookmarkEnd w:id="173"/>
      <w:bookmarkEnd w:id="174"/>
      <w:bookmarkEnd w:id="175"/>
    </w:p>
    <w:p w14:paraId="368D4F73">
      <w:pPr>
        <w:pStyle w:val="6"/>
        <w:bidi w:val="0"/>
        <w:spacing w:line="360" w:lineRule="auto"/>
        <w:rPr>
          <w:color w:val="auto"/>
          <w:highlight w:val="none"/>
        </w:rPr>
      </w:pPr>
      <w:bookmarkStart w:id="178" w:name="_Toc3346"/>
      <w:bookmarkStart w:id="179" w:name="_Toc1524045603"/>
      <w:bookmarkStart w:id="180" w:name="_Toc6745"/>
      <w:bookmarkStart w:id="181" w:name="_Toc23263"/>
      <w:r>
        <w:rPr>
          <w:rFonts w:hint="eastAsia"/>
          <w:color w:val="auto"/>
          <w:highlight w:val="none"/>
        </w:rPr>
        <w:t>组织</w:t>
      </w:r>
      <w:r>
        <w:rPr>
          <w:rFonts w:hint="eastAsia"/>
          <w:color w:val="auto"/>
          <w:highlight w:val="none"/>
          <w:lang w:val="en-US" w:eastAsia="zh-CN"/>
        </w:rPr>
        <w:t>保障</w:t>
      </w:r>
      <w:bookmarkEnd w:id="178"/>
      <w:bookmarkEnd w:id="179"/>
      <w:bookmarkEnd w:id="180"/>
      <w:bookmarkEnd w:id="181"/>
    </w:p>
    <w:p w14:paraId="1BF4712F">
      <w:pPr>
        <w:keepNext w:val="0"/>
        <w:keepLines w:val="0"/>
        <w:pageBreakBefore w:val="0"/>
        <w:widowControl w:val="0"/>
        <w:numPr>
          <w:ilvl w:val="0"/>
          <w:numId w:val="1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应成立专门的项目实施小组，并提供项目经理和成员名单、类似项目的实施经历；</w:t>
      </w:r>
    </w:p>
    <w:p w14:paraId="7C555D6C">
      <w:pPr>
        <w:keepNext w:val="0"/>
        <w:keepLines w:val="0"/>
        <w:pageBreakBefore w:val="0"/>
        <w:widowControl w:val="0"/>
        <w:numPr>
          <w:ilvl w:val="0"/>
          <w:numId w:val="1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提供的项目负责人需要有5年以上信息系统开发实施工作经验；具备PMP或信息系统项目管理（高级）或高级职称证书</w:t>
      </w:r>
      <w:r>
        <w:rPr>
          <w:rFonts w:hint="eastAsia" w:ascii="宋体" w:hAnsi="宋体" w:cs="宋体"/>
          <w:color w:val="auto"/>
          <w:szCs w:val="24"/>
          <w:highlight w:val="none"/>
          <w:lang w:val="en-US" w:eastAsia="zh-CN" w:bidi="ar"/>
        </w:rPr>
        <w:t>；并具有一个以上同类项目经验。</w:t>
      </w:r>
    </w:p>
    <w:p w14:paraId="49BABADB">
      <w:pPr>
        <w:keepNext w:val="0"/>
        <w:keepLines w:val="0"/>
        <w:pageBreakBefore w:val="0"/>
        <w:widowControl w:val="0"/>
        <w:numPr>
          <w:ilvl w:val="0"/>
          <w:numId w:val="1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w:t>
      </w:r>
      <w:r>
        <w:rPr>
          <w:rFonts w:hint="eastAsia" w:ascii="宋体" w:hAnsi="宋体" w:cs="宋体"/>
          <w:b w:val="0"/>
          <w:color w:val="auto"/>
          <w:szCs w:val="24"/>
          <w:highlight w:val="none"/>
          <w:lang w:eastAsia="zh-CN" w:bidi="ar"/>
        </w:rPr>
        <w:t>保证</w:t>
      </w:r>
      <w:r>
        <w:rPr>
          <w:rFonts w:hint="eastAsia" w:ascii="宋体" w:hAnsi="宋体" w:cs="宋体"/>
          <w:color w:val="auto"/>
          <w:szCs w:val="24"/>
          <w:highlight w:val="none"/>
          <w:lang w:bidi="ar"/>
        </w:rPr>
        <w:t>项目组织成员的稳定性，不得随意抽调项目组成员。如需更换实施人员应取得</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同意，并提供合适的可选择的后备人员。</w:t>
      </w:r>
    </w:p>
    <w:p w14:paraId="6A2E8BA6">
      <w:pPr>
        <w:keepNext w:val="0"/>
        <w:keepLines w:val="0"/>
        <w:pageBreakBefore w:val="0"/>
        <w:widowControl w:val="0"/>
        <w:numPr>
          <w:ilvl w:val="0"/>
          <w:numId w:val="1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szCs w:val="24"/>
          <w:highlight w:val="none"/>
          <w:lang w:bidi="ar"/>
        </w:rPr>
        <w:t>团队专业技术人员不少于</w:t>
      </w:r>
      <w:r>
        <w:rPr>
          <w:rFonts w:hint="eastAsia" w:ascii="宋体" w:hAnsi="宋体" w:cs="宋体"/>
          <w:szCs w:val="24"/>
          <w:highlight w:val="none"/>
          <w:lang w:val="en-US" w:eastAsia="zh-CN" w:bidi="ar"/>
        </w:rPr>
        <w:t>20</w:t>
      </w:r>
      <w:r>
        <w:rPr>
          <w:rFonts w:hint="eastAsia" w:ascii="宋体" w:hAnsi="宋体" w:cs="宋体"/>
          <w:szCs w:val="24"/>
          <w:highlight w:val="none"/>
          <w:lang w:bidi="ar"/>
        </w:rPr>
        <w:t>人，</w:t>
      </w:r>
      <w:r>
        <w:rPr>
          <w:rFonts w:hint="eastAsia" w:ascii="宋体" w:hAnsi="宋体" w:cs="宋体"/>
          <w:szCs w:val="24"/>
          <w:highlight w:val="none"/>
          <w:lang w:val="en-US" w:eastAsia="zh-CN" w:bidi="ar"/>
        </w:rPr>
        <w:t>具备良好的技术能力与服务意识</w:t>
      </w:r>
      <w:r>
        <w:rPr>
          <w:rFonts w:hint="eastAsia" w:ascii="宋体" w:hAnsi="宋体" w:cs="宋体"/>
          <w:color w:val="auto"/>
          <w:szCs w:val="24"/>
          <w:highlight w:val="none"/>
          <w:lang w:bidi="ar"/>
        </w:rPr>
        <w:t>。</w:t>
      </w:r>
    </w:p>
    <w:p w14:paraId="2F2F6B92">
      <w:pPr>
        <w:keepNext w:val="0"/>
        <w:keepLines w:val="0"/>
        <w:pageBreakBefore w:val="0"/>
        <w:widowControl w:val="0"/>
        <w:numPr>
          <w:ilvl w:val="0"/>
          <w:numId w:val="1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投标</w:t>
      </w:r>
      <w:r>
        <w:rPr>
          <w:rFonts w:hint="eastAsia" w:ascii="宋体" w:hAnsi="宋体" w:cs="宋体"/>
          <w:color w:val="auto"/>
          <w:szCs w:val="24"/>
          <w:highlight w:val="none"/>
          <w:lang w:val="en-US" w:eastAsia="zh-CN" w:bidi="ar"/>
        </w:rPr>
        <w:t>人</w:t>
      </w:r>
      <w:r>
        <w:rPr>
          <w:rFonts w:hint="eastAsia" w:ascii="宋体" w:hAnsi="宋体" w:cs="宋体"/>
          <w:color w:val="auto"/>
          <w:szCs w:val="24"/>
          <w:highlight w:val="none"/>
          <w:lang w:bidi="ar"/>
        </w:rPr>
        <w:t>必须向招标</w:t>
      </w:r>
      <w:r>
        <w:rPr>
          <w:rFonts w:hint="eastAsia" w:ascii="宋体" w:hAnsi="宋体" w:cs="宋体"/>
          <w:color w:val="auto"/>
          <w:szCs w:val="24"/>
          <w:highlight w:val="none"/>
          <w:lang w:val="en-US" w:eastAsia="zh-CN" w:bidi="ar"/>
        </w:rPr>
        <w:t>人</w:t>
      </w:r>
      <w:r>
        <w:rPr>
          <w:rFonts w:hint="eastAsia" w:ascii="宋体" w:hAnsi="宋体" w:cs="宋体"/>
          <w:color w:val="auto"/>
          <w:szCs w:val="24"/>
          <w:highlight w:val="none"/>
          <w:lang w:bidi="ar"/>
        </w:rPr>
        <w:t>保证项目人员组织的稳定性，在本项目工程结束前，参加本项目的人员变动必须取得</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同意。</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保留拒绝</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人员变更要求的权利。</w:t>
      </w:r>
    </w:p>
    <w:p w14:paraId="121AF376">
      <w:pPr>
        <w:keepNext w:val="0"/>
        <w:keepLines w:val="0"/>
        <w:pageBreakBefore w:val="0"/>
        <w:widowControl w:val="0"/>
        <w:numPr>
          <w:ilvl w:val="0"/>
          <w:numId w:val="1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在开展工作期间，须严格遵守以下工作规范要求：</w:t>
      </w:r>
    </w:p>
    <w:p w14:paraId="12DA00C2">
      <w:pPr>
        <w:numPr>
          <w:ilvl w:val="-1"/>
          <w:numId w:val="0"/>
        </w:numPr>
        <w:autoSpaceDE w:val="0"/>
        <w:autoSpaceDN w:val="0"/>
        <w:adjustRightInd w:val="0"/>
        <w:spacing w:line="360" w:lineRule="auto"/>
        <w:ind w:left="240" w:leftChars="100" w:firstLine="418" w:firstLineChars="0"/>
        <w:rPr>
          <w:rFonts w:hint="eastAsia" w:ascii="宋体" w:hAnsi="宋体" w:cs="宋体"/>
          <w:color w:val="auto"/>
          <w:szCs w:val="24"/>
          <w:highlight w:val="none"/>
          <w:lang w:bidi="ar"/>
        </w:rPr>
      </w:pPr>
      <w:r>
        <w:rPr>
          <w:rFonts w:hint="eastAsia" w:ascii="宋体" w:hAnsi="宋体" w:cs="宋体"/>
          <w:color w:val="auto"/>
          <w:szCs w:val="24"/>
          <w:highlight w:val="none"/>
          <w:lang w:bidi="ar"/>
        </w:rPr>
        <w:t>（1）遵守国家法律和政府的有关条例、规定和办法，以及</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相关管理规定开展工作；</w:t>
      </w:r>
    </w:p>
    <w:p w14:paraId="691C1F2C">
      <w:pPr>
        <w:numPr>
          <w:ilvl w:val="-1"/>
          <w:numId w:val="0"/>
        </w:numPr>
        <w:autoSpaceDE w:val="0"/>
        <w:autoSpaceDN w:val="0"/>
        <w:adjustRightInd w:val="0"/>
        <w:spacing w:line="360" w:lineRule="auto"/>
        <w:ind w:left="240" w:leftChars="100" w:firstLine="418" w:firstLineChars="0"/>
        <w:rPr>
          <w:rFonts w:hint="eastAsia" w:ascii="宋体" w:hAnsi="宋体" w:cs="宋体"/>
          <w:color w:val="auto"/>
          <w:szCs w:val="24"/>
          <w:highlight w:val="none"/>
          <w:lang w:bidi="ar"/>
        </w:rPr>
      </w:pPr>
      <w:r>
        <w:rPr>
          <w:rFonts w:hint="eastAsia" w:ascii="宋体" w:hAnsi="宋体" w:cs="宋体"/>
          <w:color w:val="auto"/>
          <w:szCs w:val="24"/>
          <w:highlight w:val="none"/>
          <w:lang w:bidi="ar"/>
        </w:rPr>
        <w:t>（2）执行有关项目建设的法律法规、规范、标准和制度，履行合同规定的义务和职责；</w:t>
      </w:r>
    </w:p>
    <w:p w14:paraId="7D37AD9B">
      <w:pPr>
        <w:numPr>
          <w:ilvl w:val="-1"/>
          <w:numId w:val="0"/>
        </w:numPr>
        <w:autoSpaceDE w:val="0"/>
        <w:autoSpaceDN w:val="0"/>
        <w:adjustRightInd w:val="0"/>
        <w:spacing w:line="360" w:lineRule="auto"/>
        <w:ind w:left="240" w:leftChars="100" w:firstLine="418" w:firstLineChars="0"/>
        <w:rPr>
          <w:rFonts w:hint="eastAsia" w:ascii="宋体" w:hAnsi="宋体" w:cs="宋体"/>
          <w:color w:val="auto"/>
          <w:szCs w:val="24"/>
          <w:highlight w:val="none"/>
          <w:lang w:bidi="ar"/>
        </w:rPr>
      </w:pPr>
      <w:r>
        <w:rPr>
          <w:rFonts w:hint="eastAsia" w:ascii="宋体" w:hAnsi="宋体" w:cs="宋体"/>
          <w:color w:val="auto"/>
          <w:szCs w:val="24"/>
          <w:highlight w:val="none"/>
          <w:lang w:bidi="ar"/>
        </w:rPr>
        <w:t>（3）</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在签署合同时，须同步签订《保密协议书》。</w:t>
      </w:r>
    </w:p>
    <w:p w14:paraId="1CEB715D">
      <w:pPr>
        <w:pStyle w:val="6"/>
        <w:bidi w:val="0"/>
        <w:spacing w:line="360" w:lineRule="auto"/>
        <w:rPr>
          <w:color w:val="auto"/>
          <w:highlight w:val="none"/>
        </w:rPr>
      </w:pPr>
      <w:bookmarkStart w:id="182" w:name="_Toc27282"/>
      <w:bookmarkStart w:id="183" w:name="_Toc29979"/>
      <w:bookmarkStart w:id="184" w:name="_Toc1596991852"/>
      <w:bookmarkStart w:id="185" w:name="_Toc27081"/>
      <w:r>
        <w:rPr>
          <w:rFonts w:hint="eastAsia"/>
          <w:color w:val="auto"/>
          <w:highlight w:val="none"/>
        </w:rPr>
        <w:t>质量</w:t>
      </w:r>
      <w:r>
        <w:rPr>
          <w:rFonts w:hint="eastAsia"/>
          <w:color w:val="auto"/>
          <w:highlight w:val="none"/>
          <w:lang w:val="en-US" w:eastAsia="zh-CN"/>
        </w:rPr>
        <w:t>保障</w:t>
      </w:r>
      <w:bookmarkEnd w:id="182"/>
      <w:bookmarkEnd w:id="183"/>
      <w:bookmarkEnd w:id="184"/>
      <w:bookmarkEnd w:id="185"/>
    </w:p>
    <w:p w14:paraId="2BAA2B84">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本次项目服务均能满足本技术规范书要求。</w:t>
      </w:r>
    </w:p>
    <w:p w14:paraId="7C69250B">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color w:val="auto"/>
          <w:szCs w:val="24"/>
          <w:highlight w:val="none"/>
          <w:lang w:eastAsia="zh-CN" w:bidi="ar"/>
        </w:rPr>
        <w:t>投</w:t>
      </w:r>
      <w:r>
        <w:rPr>
          <w:rFonts w:hint="eastAsia" w:ascii="宋体" w:hAnsi="宋体" w:cs="宋体"/>
          <w:b w:val="0"/>
          <w:color w:val="auto"/>
          <w:szCs w:val="24"/>
          <w:highlight w:val="none"/>
          <w:lang w:eastAsia="zh-CN" w:bidi="ar"/>
        </w:rPr>
        <w:t>标人</w:t>
      </w:r>
      <w:r>
        <w:rPr>
          <w:rFonts w:hint="eastAsia" w:ascii="宋体" w:hAnsi="宋体" w:cs="宋体"/>
          <w:b w:val="0"/>
          <w:color w:val="auto"/>
          <w:szCs w:val="24"/>
          <w:highlight w:val="none"/>
          <w:lang w:bidi="ar"/>
        </w:rPr>
        <w:t>应建立严格的质量保证体系，制定项目规划建设质量控制方案和实施措施，并督促落实各环节质量控制内容和目标；保证总体设计、实施、系统运行与验收各个阶段工作满足</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对质量的要求。</w:t>
      </w:r>
    </w:p>
    <w:p w14:paraId="35B1DDEF">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拥有</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在本项目研发及运行过程中涉及所有产品的全部使用权。</w:t>
      </w:r>
    </w:p>
    <w:p w14:paraId="158D6569">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拥有在本项目开发、运行过程中形成的应用系统软件的所有权（包括但不限于版权、著作权、软件著作权、专利权等），</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需配合</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申请（或注册）相关证明文件（如软件著作权登记证书、专利证书等）。项目开发完成后，</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对于在本项目中形成的所有产品进行任何形式的使用必须得到</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的同意。</w:t>
      </w:r>
    </w:p>
    <w:p w14:paraId="737ED5DC">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拥有在本项目开发、运行过程中用到的所有第三方产品以及</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自主版权软件产品的无限制使用权。</w:t>
      </w:r>
    </w:p>
    <w:p w14:paraId="57F1E779">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对</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提供</w:t>
      </w:r>
      <w:r>
        <w:rPr>
          <w:rFonts w:hint="eastAsia" w:ascii="宋体" w:hAnsi="宋体" w:cs="宋体"/>
          <w:color w:val="auto"/>
          <w:szCs w:val="24"/>
          <w:highlight w:val="none"/>
          <w:lang w:bidi="ar"/>
        </w:rPr>
        <w:t>的所有业务技术资料、文档、代码等有责任对第三方保密。</w:t>
      </w:r>
    </w:p>
    <w:p w14:paraId="46E09C78">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color w:val="auto"/>
          <w:szCs w:val="24"/>
          <w:highlight w:val="none"/>
          <w:lang w:eastAsia="zh-CN" w:bidi="ar"/>
        </w:rPr>
        <w:t>投标</w:t>
      </w:r>
      <w:r>
        <w:rPr>
          <w:rFonts w:hint="eastAsia" w:ascii="宋体" w:hAnsi="宋体" w:cs="宋体"/>
          <w:b w:val="0"/>
          <w:color w:val="auto"/>
          <w:szCs w:val="24"/>
          <w:highlight w:val="none"/>
          <w:lang w:eastAsia="zh-CN" w:bidi="ar"/>
        </w:rPr>
        <w:t>人</w:t>
      </w:r>
      <w:r>
        <w:rPr>
          <w:rFonts w:hint="eastAsia" w:ascii="宋体" w:hAnsi="宋体" w:cs="宋体"/>
          <w:b w:val="0"/>
          <w:color w:val="auto"/>
          <w:szCs w:val="24"/>
          <w:highlight w:val="none"/>
          <w:lang w:bidi="ar"/>
        </w:rPr>
        <w:t>承诺在软件开发过程中若使用第三方产品或涉及第三方知识产权，确保合法合规。如出现技术、经济或法律上的纠纷，</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全面承担全部责任并全权解决，不影响项目进度。</w:t>
      </w:r>
    </w:p>
    <w:p w14:paraId="17A3A679">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应在投标文件中声明本项目涉及的软件产品（包括但不限于源代码、开源软件、商业软件授权等）、知识产品（包括但不限于开发平台、操作手册、交付文档、分析报告等），以及相关工器具（包括但不限于计算机、硬件部件等）均为合法使用且不存在产权争议。</w:t>
      </w:r>
    </w:p>
    <w:p w14:paraId="65F5D664">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b w:val="0"/>
          <w:color w:val="auto"/>
          <w:szCs w:val="24"/>
          <w:highlight w:val="none"/>
          <w:lang w:bidi="ar"/>
        </w:rPr>
        <w:t>上述知识产权及相关权利主要包括但不限于专利权申请权、版权（著作权）、研究成果署名权、</w:t>
      </w:r>
      <w:r>
        <w:rPr>
          <w:rFonts w:hint="eastAsia" w:ascii="宋体" w:hAnsi="宋体" w:cs="宋体"/>
          <w:color w:val="auto"/>
          <w:szCs w:val="24"/>
          <w:highlight w:val="none"/>
          <w:lang w:bidi="ar"/>
        </w:rPr>
        <w:t>奖项申报申请权、获得报酬权、非专利技术所有权、商誉等。</w:t>
      </w:r>
    </w:p>
    <w:p w14:paraId="75D4D6A0">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b w:val="0"/>
          <w:color w:val="auto"/>
          <w:szCs w:val="24"/>
          <w:highlight w:val="none"/>
          <w:lang w:bidi="ar"/>
        </w:rPr>
        <w:t>不得以任何理由或方式使用上述技术成果。经</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及项目单位书面同意的除外。</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利用</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及项目单位提供的技术资料和工作条件所完成的新的技术成果和知识产权</w:t>
      </w:r>
      <w:r>
        <w:rPr>
          <w:rFonts w:hint="eastAsia" w:ascii="宋体" w:hAnsi="宋体" w:cs="宋体"/>
          <w:b w:val="0"/>
          <w:color w:val="auto"/>
          <w:szCs w:val="24"/>
          <w:highlight w:val="none"/>
          <w:lang w:eastAsia="zh-CN" w:bidi="ar"/>
        </w:rPr>
        <w:t>，</w:t>
      </w:r>
      <w:r>
        <w:rPr>
          <w:rFonts w:hint="eastAsia" w:ascii="宋体" w:hAnsi="宋体" w:cs="宋体"/>
          <w:b w:val="0"/>
          <w:color w:val="auto"/>
          <w:szCs w:val="24"/>
          <w:highlight w:val="none"/>
          <w:lang w:bidi="ar"/>
        </w:rPr>
        <w:t xml:space="preserve"> 归</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及项目单位单独所有。</w:t>
      </w:r>
    </w:p>
    <w:p w14:paraId="2A557CC5">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b w:val="0"/>
          <w:color w:val="auto"/>
          <w:szCs w:val="24"/>
          <w:highlight w:val="none"/>
          <w:lang w:bidi="ar"/>
        </w:rPr>
        <w:t>归</w:t>
      </w:r>
      <w:r>
        <w:rPr>
          <w:rFonts w:hint="eastAsia" w:ascii="宋体" w:hAnsi="宋体" w:cs="宋体"/>
          <w:b w:val="0"/>
          <w:color w:val="auto"/>
          <w:szCs w:val="24"/>
          <w:highlight w:val="none"/>
          <w:lang w:eastAsia="zh-CN" w:bidi="ar"/>
        </w:rPr>
        <w:t>招标人</w:t>
      </w:r>
      <w:r>
        <w:rPr>
          <w:rFonts w:hint="eastAsia" w:ascii="宋体" w:hAnsi="宋体" w:cs="宋体"/>
          <w:b w:val="0"/>
          <w:color w:val="auto"/>
          <w:szCs w:val="24"/>
          <w:highlight w:val="none"/>
          <w:lang w:bidi="ar"/>
        </w:rPr>
        <w:t>及项目单位所独有的技术成果和知识产权</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不得向任何第三方转让或允许第三方使用。</w:t>
      </w: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应制定相应规章制度约束其项目组成员个人行为。</w:t>
      </w:r>
    </w:p>
    <w:p w14:paraId="4E804D83">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提交的技术文档应该全面、完整、详细、清晰。</w:t>
      </w:r>
    </w:p>
    <w:p w14:paraId="6F115FF0">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bidi="ar"/>
        </w:rPr>
      </w:pP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提交的文档和资料均应以纸张和光盘为载体，文件格式为Word文档或其他可视化、未加密的文件。</w:t>
      </w:r>
    </w:p>
    <w:p w14:paraId="427EC7B0">
      <w:pPr>
        <w:keepNext w:val="0"/>
        <w:keepLines w:val="0"/>
        <w:pageBreakBefore w:val="0"/>
        <w:widowControl w:val="0"/>
        <w:numPr>
          <w:ilvl w:val="0"/>
          <w:numId w:val="15"/>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b w:val="0"/>
          <w:color w:val="auto"/>
          <w:szCs w:val="24"/>
          <w:highlight w:val="none"/>
          <w:lang w:eastAsia="zh-CN" w:bidi="ar"/>
        </w:rPr>
        <w:t>投标人</w:t>
      </w:r>
      <w:r>
        <w:rPr>
          <w:rFonts w:hint="eastAsia" w:ascii="宋体" w:hAnsi="宋体" w:cs="宋体"/>
          <w:b w:val="0"/>
          <w:color w:val="auto"/>
          <w:szCs w:val="24"/>
          <w:highlight w:val="none"/>
          <w:lang w:bidi="ar"/>
        </w:rPr>
        <w:t>应在项目验收前向</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或项目单位移交项目过程中的全部交付成果。</w:t>
      </w:r>
    </w:p>
    <w:p w14:paraId="437E45ED">
      <w:pPr>
        <w:pStyle w:val="6"/>
        <w:bidi w:val="0"/>
        <w:spacing w:line="360" w:lineRule="auto"/>
        <w:rPr>
          <w:color w:val="auto"/>
          <w:highlight w:val="none"/>
        </w:rPr>
      </w:pPr>
      <w:bookmarkStart w:id="186" w:name="_Toc6880"/>
      <w:bookmarkStart w:id="187" w:name="_Toc600"/>
      <w:bookmarkStart w:id="188" w:name="_Toc24782"/>
      <w:bookmarkStart w:id="189" w:name="_Toc1391436358"/>
      <w:r>
        <w:rPr>
          <w:rFonts w:hint="eastAsia"/>
          <w:color w:val="auto"/>
          <w:highlight w:val="none"/>
        </w:rPr>
        <w:t>工期</w:t>
      </w:r>
      <w:r>
        <w:rPr>
          <w:rFonts w:hint="eastAsia"/>
          <w:color w:val="auto"/>
          <w:highlight w:val="none"/>
          <w:lang w:val="en-US" w:eastAsia="zh-CN"/>
        </w:rPr>
        <w:t>保障</w:t>
      </w:r>
      <w:bookmarkEnd w:id="186"/>
      <w:bookmarkEnd w:id="187"/>
      <w:bookmarkEnd w:id="188"/>
      <w:bookmarkEnd w:id="189"/>
    </w:p>
    <w:p w14:paraId="7DE49039">
      <w:pPr>
        <w:keepNext w:val="0"/>
        <w:keepLines w:val="0"/>
        <w:pageBreakBefore w:val="0"/>
        <w:widowControl w:val="0"/>
        <w:numPr>
          <w:ilvl w:val="0"/>
          <w:numId w:val="16"/>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项目工期为自合同签订之日起</w:t>
      </w:r>
      <w:r>
        <w:rPr>
          <w:rFonts w:hint="eastAsia" w:ascii="宋体" w:hAnsi="宋体" w:cs="宋体"/>
          <w:color w:val="auto"/>
          <w:szCs w:val="24"/>
          <w:highlight w:val="none"/>
          <w:lang w:val="en-US" w:eastAsia="zh-CN" w:bidi="ar"/>
        </w:rPr>
        <w:t>4</w:t>
      </w:r>
      <w:r>
        <w:rPr>
          <w:rFonts w:hint="eastAsia" w:ascii="宋体" w:hAnsi="宋体" w:cs="宋体"/>
          <w:color w:val="auto"/>
          <w:szCs w:val="24"/>
          <w:highlight w:val="none"/>
          <w:lang w:bidi="ar"/>
        </w:rPr>
        <w:t>个月内，具体以最终通过招标人验收为止</w:t>
      </w:r>
      <w:r>
        <w:rPr>
          <w:rFonts w:hint="eastAsia" w:ascii="宋体" w:hAnsi="宋体" w:cs="宋体"/>
          <w:color w:val="auto"/>
          <w:szCs w:val="24"/>
          <w:highlight w:val="none"/>
          <w:lang w:eastAsia="zh-CN" w:bidi="ar"/>
        </w:rPr>
        <w:t>。</w:t>
      </w:r>
    </w:p>
    <w:p w14:paraId="714A7AFF">
      <w:pPr>
        <w:keepNext w:val="0"/>
        <w:keepLines w:val="0"/>
        <w:pageBreakBefore w:val="0"/>
        <w:widowControl w:val="0"/>
        <w:numPr>
          <w:ilvl w:val="0"/>
          <w:numId w:val="16"/>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的项目进度管理应该遵循以下原则：</w:t>
      </w:r>
    </w:p>
    <w:p w14:paraId="76631D98">
      <w:pPr>
        <w:pStyle w:val="19"/>
        <w:widowControl w:val="0"/>
        <w:numPr>
          <w:ilvl w:val="0"/>
          <w:numId w:val="17"/>
        </w:numPr>
        <w:spacing w:before="0" w:beforeAutospacing="0" w:after="0" w:afterAutospacing="0" w:line="360" w:lineRule="auto"/>
        <w:ind w:left="1134"/>
        <w:jc w:val="both"/>
        <w:rPr>
          <w:rFonts w:hint="eastAsia"/>
          <w:color w:val="auto"/>
          <w:highlight w:val="none"/>
          <w:lang w:bidi="ar"/>
        </w:rPr>
      </w:pPr>
      <w:r>
        <w:rPr>
          <w:rFonts w:hint="eastAsia"/>
          <w:color w:val="auto"/>
          <w:highlight w:val="none"/>
          <w:lang w:bidi="ar"/>
        </w:rPr>
        <w:t>项目进度管理的依据是项目合同所约定的工期目标；</w:t>
      </w:r>
    </w:p>
    <w:p w14:paraId="5B85A506">
      <w:pPr>
        <w:pStyle w:val="19"/>
        <w:widowControl w:val="0"/>
        <w:numPr>
          <w:ilvl w:val="0"/>
          <w:numId w:val="17"/>
        </w:numPr>
        <w:spacing w:before="0" w:beforeAutospacing="0" w:after="0" w:afterAutospacing="0" w:line="360" w:lineRule="auto"/>
        <w:ind w:left="1134"/>
        <w:jc w:val="both"/>
        <w:rPr>
          <w:rFonts w:hint="eastAsia"/>
          <w:color w:val="auto"/>
          <w:highlight w:val="none"/>
          <w:lang w:bidi="ar"/>
        </w:rPr>
      </w:pPr>
      <w:r>
        <w:rPr>
          <w:rFonts w:hint="eastAsia"/>
          <w:color w:val="auto"/>
          <w:highlight w:val="none"/>
          <w:lang w:bidi="ar"/>
        </w:rPr>
        <w:t>在确保项目质量和安全的原则下，控制项目进度。</w:t>
      </w:r>
    </w:p>
    <w:p w14:paraId="6E5413CD">
      <w:pPr>
        <w:keepNext w:val="0"/>
        <w:keepLines w:val="0"/>
        <w:pageBreakBefore w:val="0"/>
        <w:widowControl w:val="0"/>
        <w:numPr>
          <w:ilvl w:val="0"/>
          <w:numId w:val="16"/>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的项目进度管理应该至少包含以下内容：</w:t>
      </w:r>
    </w:p>
    <w:p w14:paraId="168CA258">
      <w:pPr>
        <w:pStyle w:val="19"/>
        <w:widowControl w:val="0"/>
        <w:numPr>
          <w:ilvl w:val="0"/>
          <w:numId w:val="17"/>
        </w:numPr>
        <w:spacing w:before="0" w:beforeAutospacing="0" w:after="0" w:afterAutospacing="0" w:line="360" w:lineRule="auto"/>
        <w:ind w:left="1134"/>
        <w:jc w:val="both"/>
        <w:rPr>
          <w:rFonts w:hint="eastAsia"/>
          <w:color w:val="auto"/>
          <w:highlight w:val="none"/>
          <w:lang w:bidi="ar"/>
        </w:rPr>
      </w:pPr>
      <w:r>
        <w:rPr>
          <w:rFonts w:hint="eastAsia"/>
          <w:color w:val="auto"/>
          <w:highlight w:val="none"/>
          <w:lang w:eastAsia="zh-CN" w:bidi="ar"/>
        </w:rPr>
        <w:t>投标人</w:t>
      </w:r>
      <w:r>
        <w:rPr>
          <w:rFonts w:hint="eastAsia"/>
          <w:color w:val="auto"/>
          <w:highlight w:val="none"/>
          <w:lang w:bidi="ar"/>
        </w:rPr>
        <w:t>在了解项目特点的前提下，根据工期目标，提交总体进度计划，以及定期提交阶段性工作计划。</w:t>
      </w:r>
    </w:p>
    <w:p w14:paraId="3A3992DE">
      <w:pPr>
        <w:pStyle w:val="19"/>
        <w:widowControl w:val="0"/>
        <w:numPr>
          <w:ilvl w:val="0"/>
          <w:numId w:val="17"/>
        </w:numPr>
        <w:spacing w:before="0" w:beforeAutospacing="0" w:after="0" w:afterAutospacing="0" w:line="360" w:lineRule="auto"/>
        <w:ind w:left="1134"/>
        <w:jc w:val="both"/>
        <w:rPr>
          <w:rFonts w:hint="eastAsia"/>
          <w:color w:val="auto"/>
          <w:highlight w:val="none"/>
          <w:lang w:bidi="ar"/>
        </w:rPr>
      </w:pPr>
      <w:r>
        <w:rPr>
          <w:rFonts w:hint="eastAsia"/>
          <w:color w:val="auto"/>
          <w:highlight w:val="none"/>
          <w:lang w:bidi="ar"/>
        </w:rPr>
        <w:t>制定详细的项目建设进度计划，按照合同的进度计划制定具体的实施计划，定期跟踪检查，对可能发生的工程延误提出相应对策；</w:t>
      </w:r>
    </w:p>
    <w:p w14:paraId="3291A55A">
      <w:pPr>
        <w:pStyle w:val="19"/>
        <w:widowControl w:val="0"/>
        <w:numPr>
          <w:ilvl w:val="0"/>
          <w:numId w:val="17"/>
        </w:numPr>
        <w:spacing w:before="0" w:beforeAutospacing="0" w:after="0" w:afterAutospacing="0" w:line="360" w:lineRule="auto"/>
        <w:ind w:left="1134"/>
        <w:jc w:val="both"/>
        <w:rPr>
          <w:rFonts w:hint="eastAsia"/>
          <w:color w:val="auto"/>
          <w:highlight w:val="none"/>
          <w:lang w:bidi="ar"/>
        </w:rPr>
      </w:pPr>
      <w:r>
        <w:rPr>
          <w:rFonts w:hint="eastAsia"/>
          <w:color w:val="auto"/>
          <w:highlight w:val="none"/>
          <w:lang w:bidi="ar"/>
        </w:rPr>
        <w:t>定期或不定期地召开或参加项目例会、协调会议等，向</w:t>
      </w:r>
      <w:r>
        <w:rPr>
          <w:rFonts w:hint="eastAsia"/>
          <w:color w:val="auto"/>
          <w:highlight w:val="none"/>
          <w:lang w:eastAsia="zh-CN" w:bidi="ar"/>
        </w:rPr>
        <w:t>招标人</w:t>
      </w:r>
      <w:r>
        <w:rPr>
          <w:rFonts w:hint="eastAsia"/>
          <w:color w:val="auto"/>
          <w:highlight w:val="none"/>
          <w:lang w:bidi="ar"/>
        </w:rPr>
        <w:t>通报项目进展情况，提交进度报告，及时解决相关问题。</w:t>
      </w:r>
    </w:p>
    <w:p w14:paraId="65EA3202">
      <w:pPr>
        <w:keepNext w:val="0"/>
        <w:keepLines w:val="0"/>
        <w:pageBreakBefore w:val="0"/>
        <w:widowControl w:val="0"/>
        <w:numPr>
          <w:ilvl w:val="0"/>
          <w:numId w:val="16"/>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建立</w:t>
      </w:r>
      <w:r>
        <w:rPr>
          <w:rFonts w:hint="eastAsia" w:ascii="宋体" w:hAnsi="宋体" w:cs="宋体"/>
          <w:b w:val="0"/>
          <w:color w:val="auto"/>
          <w:szCs w:val="24"/>
          <w:highlight w:val="none"/>
          <w:lang w:bidi="ar"/>
        </w:rPr>
        <w:t>项目</w:t>
      </w:r>
      <w:r>
        <w:rPr>
          <w:rFonts w:hint="eastAsia" w:ascii="宋体" w:hAnsi="宋体" w:cs="宋体"/>
          <w:color w:val="auto"/>
          <w:szCs w:val="24"/>
          <w:highlight w:val="none"/>
          <w:lang w:bidi="ar"/>
        </w:rPr>
        <w:t>变更流程，记录项目变更。</w:t>
      </w:r>
    </w:p>
    <w:p w14:paraId="48905ADE">
      <w:pPr>
        <w:pStyle w:val="6"/>
        <w:bidi w:val="0"/>
        <w:spacing w:line="360" w:lineRule="auto"/>
        <w:rPr>
          <w:color w:val="auto"/>
          <w:highlight w:val="none"/>
        </w:rPr>
      </w:pPr>
      <w:bookmarkStart w:id="190" w:name="_Toc1921436723"/>
      <w:bookmarkStart w:id="191" w:name="_Toc14932"/>
      <w:bookmarkStart w:id="192" w:name="_Toc14758"/>
      <w:bookmarkStart w:id="193" w:name="_Toc4985"/>
      <w:r>
        <w:rPr>
          <w:rFonts w:hint="eastAsia"/>
          <w:color w:val="auto"/>
          <w:highlight w:val="none"/>
        </w:rPr>
        <w:t>合规</w:t>
      </w:r>
      <w:r>
        <w:rPr>
          <w:rFonts w:hint="eastAsia"/>
          <w:color w:val="auto"/>
          <w:highlight w:val="none"/>
          <w:lang w:val="en-US" w:eastAsia="zh-CN"/>
        </w:rPr>
        <w:t>保障</w:t>
      </w:r>
      <w:bookmarkEnd w:id="190"/>
      <w:bookmarkEnd w:id="191"/>
      <w:bookmarkEnd w:id="192"/>
      <w:bookmarkEnd w:id="193"/>
    </w:p>
    <w:p w14:paraId="145CDC4C">
      <w:pPr>
        <w:keepNext w:val="0"/>
        <w:keepLines w:val="0"/>
        <w:pageBreakBefore w:val="0"/>
        <w:widowControl w:val="0"/>
        <w:numPr>
          <w:ilvl w:val="0"/>
          <w:numId w:val="18"/>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在项目开展过程中，</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遵守国家法律法规、各级各类标准（国标、行标、企标）及行业规章制度，遵守</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规章制度及</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在项目建设、运行维护等方面的各项管理、考核标准（规章、制度）。因</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原因造成不合规事件，</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接受考核并对造成的损失承担全部责任。</w:t>
      </w:r>
    </w:p>
    <w:p w14:paraId="41F51ACB">
      <w:pPr>
        <w:keepNext w:val="0"/>
        <w:keepLines w:val="0"/>
        <w:pageBreakBefore w:val="0"/>
        <w:widowControl w:val="0"/>
        <w:numPr>
          <w:ilvl w:val="0"/>
          <w:numId w:val="18"/>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按照</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相关规章制度及要求提供相应交付物、文件、文档及项目过程资料。因</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方面撰写编制签署提供等原因造成不合规事件，</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接受考核并对造成的损失承担全部责任。</w:t>
      </w:r>
    </w:p>
    <w:p w14:paraId="5D73C038">
      <w:pPr>
        <w:pStyle w:val="6"/>
        <w:bidi w:val="0"/>
        <w:spacing w:line="360" w:lineRule="auto"/>
        <w:rPr>
          <w:color w:val="auto"/>
          <w:highlight w:val="none"/>
        </w:rPr>
      </w:pPr>
      <w:bookmarkStart w:id="194" w:name="_Toc1875403522"/>
      <w:bookmarkStart w:id="195" w:name="_Toc26181"/>
      <w:bookmarkStart w:id="196" w:name="_Toc3993"/>
      <w:bookmarkStart w:id="197" w:name="_Toc28679"/>
      <w:r>
        <w:rPr>
          <w:rFonts w:hint="eastAsia"/>
          <w:color w:val="auto"/>
          <w:highlight w:val="none"/>
        </w:rPr>
        <w:t>风险</w:t>
      </w:r>
      <w:r>
        <w:rPr>
          <w:rFonts w:hint="eastAsia"/>
          <w:color w:val="auto"/>
          <w:highlight w:val="none"/>
          <w:lang w:val="en-US" w:eastAsia="zh-CN"/>
        </w:rPr>
        <w:t>保障</w:t>
      </w:r>
      <w:bookmarkEnd w:id="194"/>
      <w:bookmarkEnd w:id="195"/>
      <w:bookmarkEnd w:id="196"/>
      <w:bookmarkEnd w:id="197"/>
    </w:p>
    <w:p w14:paraId="54270AD0">
      <w:pPr>
        <w:keepNext w:val="0"/>
        <w:keepLines w:val="0"/>
        <w:pageBreakBefore w:val="0"/>
        <w:widowControl w:val="0"/>
        <w:numPr>
          <w:ilvl w:val="0"/>
          <w:numId w:val="19"/>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eastAsia="zh-CN" w:bidi="ar"/>
        </w:rPr>
      </w:pPr>
      <w:r>
        <w:rPr>
          <w:rFonts w:hint="eastAsia" w:ascii="宋体" w:hAnsi="宋体" w:cs="宋体"/>
          <w:color w:val="auto"/>
          <w:szCs w:val="24"/>
          <w:highlight w:val="none"/>
          <w:lang w:eastAsia="zh-CN" w:bidi="ar"/>
        </w:rPr>
        <w:t>投</w:t>
      </w:r>
      <w:r>
        <w:rPr>
          <w:rFonts w:hint="eastAsia" w:ascii="宋体" w:hAnsi="宋体" w:cs="宋体"/>
          <w:b w:val="0"/>
          <w:color w:val="auto"/>
          <w:szCs w:val="24"/>
          <w:highlight w:val="none"/>
          <w:lang w:eastAsia="zh-CN" w:bidi="ar"/>
        </w:rPr>
        <w:t>标人完全熟悉本项目建议书/可研报告/初设报告/设计文件/技术规范书等项目设计类文件中所列全部内容，并能够完全实现本技术规范书的全部内容，不再收取任何费用。</w:t>
      </w:r>
    </w:p>
    <w:p w14:paraId="4C2DF120">
      <w:pPr>
        <w:keepNext w:val="0"/>
        <w:keepLines w:val="0"/>
        <w:pageBreakBefore w:val="0"/>
        <w:widowControl w:val="0"/>
        <w:numPr>
          <w:ilvl w:val="0"/>
          <w:numId w:val="19"/>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b w:val="0"/>
          <w:color w:val="auto"/>
          <w:szCs w:val="24"/>
          <w:highlight w:val="none"/>
          <w:lang w:eastAsia="zh-CN" w:bidi="ar"/>
        </w:rPr>
        <w:t>投标人完全考虑到社会、政策、法律、自然环境以及企业战略调整、技术变化、标</w:t>
      </w:r>
      <w:r>
        <w:rPr>
          <w:rFonts w:hint="eastAsia" w:ascii="宋体" w:hAnsi="宋体" w:cs="宋体"/>
          <w:color w:val="auto"/>
          <w:szCs w:val="24"/>
          <w:highlight w:val="none"/>
          <w:lang w:bidi="ar"/>
        </w:rPr>
        <w:t>准变化、规章制度修订等因素影响，并能够完全实现本技术规范书的全部内容。</w:t>
      </w:r>
    </w:p>
    <w:p w14:paraId="61DBD3D2">
      <w:pPr>
        <w:pStyle w:val="5"/>
        <w:tabs>
          <w:tab w:val="left" w:pos="0"/>
          <w:tab w:val="left" w:pos="840"/>
        </w:tabs>
        <w:spacing w:line="360" w:lineRule="auto"/>
        <w:rPr>
          <w:color w:val="auto"/>
          <w:highlight w:val="none"/>
        </w:rPr>
      </w:pPr>
      <w:bookmarkStart w:id="198" w:name="_Toc10774"/>
      <w:bookmarkStart w:id="199" w:name="_Toc3296"/>
      <w:bookmarkStart w:id="200" w:name="_Toc12115"/>
      <w:bookmarkStart w:id="201" w:name="_Toc12632"/>
      <w:bookmarkStart w:id="202" w:name="_Toc3897"/>
      <w:bookmarkStart w:id="203" w:name="_Toc3062"/>
      <w:bookmarkStart w:id="204" w:name="_Toc1289507235"/>
      <w:r>
        <w:rPr>
          <w:rFonts w:hint="eastAsia"/>
          <w:color w:val="auto"/>
          <w:highlight w:val="none"/>
          <w:lang w:val="en-US" w:eastAsia="zh-CN"/>
        </w:rPr>
        <w:t>技术管控要求</w:t>
      </w:r>
      <w:bookmarkEnd w:id="198"/>
      <w:bookmarkEnd w:id="199"/>
      <w:bookmarkEnd w:id="200"/>
      <w:bookmarkEnd w:id="201"/>
      <w:bookmarkEnd w:id="202"/>
      <w:bookmarkEnd w:id="203"/>
      <w:bookmarkEnd w:id="204"/>
    </w:p>
    <w:p w14:paraId="55B26F7A">
      <w:pPr>
        <w:pStyle w:val="2"/>
        <w:spacing w:line="360" w:lineRule="auto"/>
        <w:ind w:left="0" w:leftChars="0" w:firstLine="480" w:firstLineChars="200"/>
        <w:rPr>
          <w:rFonts w:hint="eastAsia" w:ascii="宋体" w:hAnsi="宋体" w:cs="宋体"/>
          <w:color w:val="auto"/>
          <w:kern w:val="2"/>
          <w:sz w:val="24"/>
          <w:szCs w:val="24"/>
          <w:highlight w:val="none"/>
          <w:lang w:val="en-US" w:eastAsia="zh-CN" w:bidi="ar"/>
        </w:rPr>
      </w:pPr>
      <w:r>
        <w:rPr>
          <w:rFonts w:hint="eastAsia" w:ascii="宋体" w:hAnsi="宋体" w:cs="宋体"/>
          <w:color w:val="auto"/>
          <w:sz w:val="24"/>
          <w:szCs w:val="24"/>
          <w:highlight w:val="none"/>
          <w:lang w:val="en-US" w:eastAsia="zh-CN" w:bidi="ar"/>
        </w:rPr>
        <w:t>项目</w:t>
      </w:r>
      <w:r>
        <w:rPr>
          <w:rFonts w:hint="eastAsia" w:ascii="宋体" w:hAnsi="宋体" w:cs="宋体" w:eastAsiaTheme="minorEastAsia"/>
          <w:color w:val="auto"/>
          <w:sz w:val="24"/>
          <w:szCs w:val="24"/>
          <w:highlight w:val="none"/>
          <w:lang w:bidi="ar"/>
        </w:rPr>
        <w:t>遵从</w:t>
      </w:r>
      <w:r>
        <w:rPr>
          <w:rFonts w:hint="eastAsia" w:ascii="宋体" w:hAnsi="宋体" w:cs="宋体"/>
          <w:color w:val="auto"/>
          <w:sz w:val="24"/>
          <w:szCs w:val="24"/>
          <w:highlight w:val="none"/>
          <w:lang w:val="en-US" w:eastAsia="zh-CN" w:bidi="ar"/>
        </w:rPr>
        <w:t>南方电</w:t>
      </w:r>
      <w:r>
        <w:rPr>
          <w:rFonts w:hint="eastAsia" w:ascii="宋体" w:hAnsi="宋体" w:cs="宋体" w:eastAsiaTheme="minorEastAsia"/>
          <w:color w:val="auto"/>
          <w:sz w:val="24"/>
          <w:szCs w:val="24"/>
          <w:highlight w:val="none"/>
          <w:lang w:bidi="ar"/>
        </w:rPr>
        <w:t>网公司</w:t>
      </w:r>
      <w:r>
        <w:rPr>
          <w:rFonts w:hint="eastAsia" w:ascii="宋体" w:hAnsi="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南网数研院</w:t>
      </w:r>
      <w:r>
        <w:rPr>
          <w:rFonts w:hint="eastAsia" w:ascii="宋体" w:hAnsi="宋体" w:cs="宋体" w:eastAsiaTheme="minorEastAsia"/>
          <w:color w:val="auto"/>
          <w:sz w:val="24"/>
          <w:szCs w:val="24"/>
          <w:highlight w:val="none"/>
          <w:lang w:bidi="ar"/>
        </w:rPr>
        <w:t>技术管控相关制度和数字化工程质量规范要求，强化技术</w:t>
      </w:r>
      <w:r>
        <w:rPr>
          <w:rFonts w:hint="eastAsia" w:ascii="宋体" w:hAnsi="宋体" w:cs="宋体"/>
          <w:color w:val="auto"/>
          <w:sz w:val="24"/>
          <w:szCs w:val="24"/>
          <w:highlight w:val="none"/>
          <w:lang w:val="en-US" w:eastAsia="zh-CN" w:bidi="ar"/>
        </w:rPr>
        <w:t>平台标准管控</w:t>
      </w:r>
      <w:r>
        <w:rPr>
          <w:rFonts w:hint="eastAsia" w:ascii="宋体" w:hAnsi="宋体" w:cs="宋体" w:eastAsiaTheme="minorEastAsia"/>
          <w:color w:val="auto"/>
          <w:sz w:val="24"/>
          <w:szCs w:val="24"/>
          <w:highlight w:val="none"/>
          <w:lang w:bidi="ar"/>
        </w:rPr>
        <w:t>、数据</w:t>
      </w:r>
      <w:r>
        <w:rPr>
          <w:rFonts w:hint="eastAsia" w:ascii="宋体" w:hAnsi="宋体" w:cs="宋体"/>
          <w:color w:val="auto"/>
          <w:sz w:val="24"/>
          <w:szCs w:val="24"/>
          <w:highlight w:val="none"/>
          <w:lang w:val="en-US" w:eastAsia="zh-CN" w:bidi="ar"/>
        </w:rPr>
        <w:t>标准管控</w:t>
      </w:r>
      <w:r>
        <w:rPr>
          <w:rFonts w:hint="eastAsia" w:ascii="宋体" w:hAnsi="宋体" w:cs="宋体" w:eastAsiaTheme="minorEastAsia"/>
          <w:color w:val="auto"/>
          <w:sz w:val="24"/>
          <w:szCs w:val="24"/>
          <w:highlight w:val="none"/>
          <w:lang w:bidi="ar"/>
        </w:rPr>
        <w:t>及</w:t>
      </w:r>
      <w:r>
        <w:rPr>
          <w:rFonts w:hint="eastAsia" w:ascii="宋体" w:hAnsi="宋体" w:cs="宋体"/>
          <w:color w:val="auto"/>
          <w:sz w:val="24"/>
          <w:szCs w:val="24"/>
          <w:highlight w:val="none"/>
          <w:lang w:val="en-US" w:eastAsia="zh-CN" w:bidi="ar"/>
        </w:rPr>
        <w:t>网络</w:t>
      </w:r>
      <w:r>
        <w:rPr>
          <w:rFonts w:hint="eastAsia" w:ascii="宋体" w:hAnsi="宋体" w:cs="宋体" w:eastAsiaTheme="minorEastAsia"/>
          <w:color w:val="auto"/>
          <w:sz w:val="24"/>
          <w:szCs w:val="24"/>
          <w:highlight w:val="none"/>
          <w:lang w:bidi="ar"/>
        </w:rPr>
        <w:t>安全</w:t>
      </w:r>
      <w:r>
        <w:rPr>
          <w:rFonts w:hint="eastAsia" w:ascii="宋体" w:hAnsi="宋体" w:cs="宋体"/>
          <w:color w:val="auto"/>
          <w:sz w:val="24"/>
          <w:szCs w:val="24"/>
          <w:highlight w:val="none"/>
          <w:lang w:val="en-US" w:eastAsia="zh-CN" w:bidi="ar"/>
        </w:rPr>
        <w:t>技术标准管控。</w:t>
      </w:r>
    </w:p>
    <w:p w14:paraId="25DFC1BA">
      <w:pPr>
        <w:pStyle w:val="6"/>
        <w:bidi w:val="0"/>
        <w:rPr>
          <w:rFonts w:hint="eastAsia"/>
          <w:highlight w:val="none"/>
          <w:lang w:val="en-US" w:eastAsia="zh-CN"/>
        </w:rPr>
      </w:pPr>
      <w:bookmarkStart w:id="205" w:name="_Toc14876"/>
      <w:bookmarkStart w:id="206" w:name="_Toc343133121"/>
      <w:bookmarkStart w:id="207" w:name="_Toc32640"/>
      <w:bookmarkStart w:id="208" w:name="_Toc21854"/>
      <w:r>
        <w:rPr>
          <w:rFonts w:hint="default"/>
          <w:highlight w:val="none"/>
          <w:lang w:val="en-US" w:eastAsia="zh-CN"/>
        </w:rPr>
        <w:t>技术</w:t>
      </w:r>
      <w:r>
        <w:rPr>
          <w:rFonts w:hint="eastAsia"/>
          <w:highlight w:val="none"/>
          <w:lang w:val="en-US" w:eastAsia="zh-CN"/>
        </w:rPr>
        <w:t>平台标准管控</w:t>
      </w:r>
      <w:r>
        <w:rPr>
          <w:rFonts w:hint="default"/>
          <w:highlight w:val="none"/>
          <w:lang w:val="en-US" w:eastAsia="zh-CN"/>
        </w:rPr>
        <w:t>要求</w:t>
      </w:r>
      <w:bookmarkEnd w:id="205"/>
      <w:bookmarkEnd w:id="206"/>
      <w:bookmarkEnd w:id="207"/>
      <w:bookmarkEnd w:id="208"/>
    </w:p>
    <w:p w14:paraId="47743BE0">
      <w:pPr>
        <w:numPr>
          <w:ilvl w:val="0"/>
          <w:numId w:val="0"/>
        </w:numPr>
        <w:bidi w:val="0"/>
        <w:spacing w:line="360" w:lineRule="auto"/>
        <w:ind w:left="0" w:leftChars="0" w:firstLine="480" w:firstLineChars="200"/>
        <w:outlineLvl w:val="9"/>
        <w:rPr>
          <w:rFonts w:hint="eastAsia"/>
          <w:color w:val="auto"/>
          <w:highlight w:val="none"/>
          <w:lang w:val="en-US" w:eastAsia="zh-CN"/>
        </w:rPr>
      </w:pPr>
      <w:r>
        <w:rPr>
          <w:rFonts w:hint="eastAsia" w:ascii="宋体" w:hAnsi="宋体" w:cs="宋体"/>
          <w:b w:val="0"/>
          <w:bCs w:val="0"/>
          <w:color w:val="auto"/>
          <w:kern w:val="2"/>
          <w:sz w:val="24"/>
          <w:szCs w:val="24"/>
          <w:highlight w:val="none"/>
          <w:lang w:val="en-US" w:eastAsia="zh-CN" w:bidi="ar"/>
        </w:rPr>
        <w:t>项目遵循公司</w:t>
      </w:r>
      <w:r>
        <w:rPr>
          <w:rFonts w:hint="eastAsia" w:ascii="宋体" w:hAnsi="宋体" w:cs="宋体" w:eastAsiaTheme="minorEastAsia"/>
          <w:b w:val="0"/>
          <w:bCs w:val="0"/>
          <w:color w:val="auto"/>
          <w:kern w:val="2"/>
          <w:sz w:val="24"/>
          <w:szCs w:val="24"/>
          <w:highlight w:val="none"/>
          <w:lang w:val="en-US" w:eastAsia="zh-CN" w:bidi="ar"/>
        </w:rPr>
        <w:t>企业级中台、南网云平台、人工智能平台、物联网平台、移动应用平台、区块链平台、GIS平台、南网北斗平台以及敏捷开发、自主可控、系统可靠性等各项</w:t>
      </w:r>
      <w:r>
        <w:rPr>
          <w:rFonts w:hint="eastAsia" w:ascii="宋体" w:hAnsi="宋体" w:cs="宋体"/>
          <w:b w:val="0"/>
          <w:bCs w:val="0"/>
          <w:color w:val="auto"/>
          <w:kern w:val="2"/>
          <w:sz w:val="24"/>
          <w:szCs w:val="24"/>
          <w:highlight w:val="none"/>
          <w:lang w:val="en-US" w:eastAsia="zh-CN" w:bidi="ar"/>
        </w:rPr>
        <w:t>管控要求</w:t>
      </w:r>
      <w:r>
        <w:rPr>
          <w:rFonts w:hint="eastAsia" w:ascii="宋体" w:hAnsi="宋体" w:cs="宋体" w:eastAsiaTheme="minorEastAsia"/>
          <w:b w:val="0"/>
          <w:bCs w:val="0"/>
          <w:color w:val="auto"/>
          <w:kern w:val="2"/>
          <w:sz w:val="24"/>
          <w:szCs w:val="24"/>
          <w:highlight w:val="none"/>
          <w:lang w:val="en-US" w:eastAsia="zh-CN" w:bidi="ar"/>
        </w:rPr>
        <w:t>。</w:t>
      </w:r>
    </w:p>
    <w:p w14:paraId="77368EFB">
      <w:pPr>
        <w:pStyle w:val="6"/>
        <w:bidi w:val="0"/>
        <w:rPr>
          <w:rFonts w:hint="eastAsia"/>
          <w:highlight w:val="none"/>
          <w:lang w:val="en-US" w:eastAsia="zh-CN"/>
        </w:rPr>
      </w:pPr>
      <w:bookmarkStart w:id="209" w:name="_Toc1044772452"/>
      <w:bookmarkStart w:id="210" w:name="_Toc7623"/>
      <w:bookmarkStart w:id="211" w:name="_Toc27122"/>
      <w:bookmarkStart w:id="212" w:name="_Toc21051"/>
      <w:r>
        <w:rPr>
          <w:rFonts w:hint="default"/>
          <w:highlight w:val="none"/>
          <w:lang w:val="en-US" w:eastAsia="zh-CN"/>
        </w:rPr>
        <w:t>数据</w:t>
      </w:r>
      <w:r>
        <w:rPr>
          <w:rFonts w:hint="eastAsia"/>
          <w:highlight w:val="none"/>
          <w:lang w:val="en-US" w:eastAsia="zh-CN"/>
        </w:rPr>
        <w:t>标准管控</w:t>
      </w:r>
      <w:r>
        <w:rPr>
          <w:rFonts w:hint="default"/>
          <w:highlight w:val="none"/>
          <w:lang w:val="en-US" w:eastAsia="zh-CN"/>
        </w:rPr>
        <w:t>要求</w:t>
      </w:r>
      <w:bookmarkEnd w:id="209"/>
      <w:bookmarkEnd w:id="210"/>
      <w:bookmarkEnd w:id="211"/>
      <w:bookmarkEnd w:id="212"/>
    </w:p>
    <w:p w14:paraId="4E17B9B1">
      <w:pPr>
        <w:numPr>
          <w:ilvl w:val="0"/>
          <w:numId w:val="0"/>
        </w:numPr>
        <w:bidi w:val="0"/>
        <w:spacing w:line="360" w:lineRule="auto"/>
        <w:ind w:left="0" w:leftChars="0" w:firstLine="480" w:firstLineChars="200"/>
        <w:outlineLvl w:val="9"/>
        <w:rPr>
          <w:rFonts w:hint="eastAsia" w:ascii="宋体" w:hAnsi="宋体" w:cs="宋体"/>
          <w:b w:val="0"/>
          <w:bCs w:val="0"/>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项目遵循公司统一技术标准及底座式数据中心技术路线要求，围绕统一模型、数据标准及技术路线等内容，对项目建设质量进行技术把关，保障数字电网建设符合公司数据管控要求。</w:t>
      </w:r>
    </w:p>
    <w:p w14:paraId="20F11700">
      <w:pPr>
        <w:pStyle w:val="6"/>
        <w:bidi w:val="0"/>
        <w:rPr>
          <w:rFonts w:hint="eastAsia"/>
          <w:highlight w:val="none"/>
          <w:lang w:val="en-US" w:eastAsia="zh-CN"/>
        </w:rPr>
      </w:pPr>
      <w:bookmarkStart w:id="213" w:name="_Toc1302"/>
      <w:bookmarkStart w:id="214" w:name="_Toc32348"/>
      <w:bookmarkStart w:id="215" w:name="_Toc7831"/>
      <w:bookmarkStart w:id="216" w:name="_Toc1664302892"/>
      <w:r>
        <w:rPr>
          <w:rFonts w:hint="eastAsia"/>
          <w:highlight w:val="none"/>
          <w:lang w:val="en-US" w:eastAsia="zh-CN"/>
        </w:rPr>
        <w:t>网络安全技术标准管控</w:t>
      </w:r>
      <w:r>
        <w:rPr>
          <w:rFonts w:hint="default"/>
          <w:highlight w:val="none"/>
          <w:lang w:val="en-US" w:eastAsia="zh-CN"/>
        </w:rPr>
        <w:t>要求</w:t>
      </w:r>
      <w:bookmarkEnd w:id="213"/>
      <w:bookmarkEnd w:id="214"/>
      <w:bookmarkEnd w:id="215"/>
      <w:bookmarkEnd w:id="216"/>
    </w:p>
    <w:p w14:paraId="58F155A8">
      <w:pPr>
        <w:pStyle w:val="2"/>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项目遵循公司</w:t>
      </w:r>
      <w:r>
        <w:rPr>
          <w:rFonts w:hint="eastAsia" w:ascii="宋体" w:hAnsi="宋体" w:eastAsia="宋体" w:cs="宋体"/>
          <w:color w:val="auto"/>
          <w:sz w:val="24"/>
          <w:szCs w:val="24"/>
          <w:highlight w:val="none"/>
        </w:rPr>
        <w:t>数据安全、应用安全及安全管理等方面</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，支撑数字南网建设，强化数字化系统的本体安全。</w:t>
      </w:r>
    </w:p>
    <w:p w14:paraId="68D54E16">
      <w:pPr>
        <w:pStyle w:val="5"/>
        <w:bidi w:val="0"/>
        <w:rPr>
          <w:highlight w:val="none"/>
        </w:rPr>
      </w:pPr>
      <w:bookmarkStart w:id="217" w:name="_Toc13469"/>
      <w:bookmarkStart w:id="218" w:name="_Toc9223"/>
      <w:bookmarkStart w:id="219" w:name="_Toc27387"/>
      <w:bookmarkStart w:id="220" w:name="_Toc18433"/>
      <w:bookmarkStart w:id="221" w:name="_Toc13222"/>
      <w:bookmarkStart w:id="222" w:name="_Toc13290"/>
      <w:bookmarkStart w:id="223" w:name="_Toc964203669"/>
      <w:r>
        <w:rPr>
          <w:rFonts w:hint="eastAsia"/>
          <w:highlight w:val="none"/>
          <w:lang w:val="en-US" w:eastAsia="zh-CN"/>
        </w:rPr>
        <w:t>安全保障</w:t>
      </w:r>
      <w:bookmarkEnd w:id="217"/>
      <w:bookmarkEnd w:id="218"/>
      <w:bookmarkEnd w:id="219"/>
      <w:bookmarkEnd w:id="220"/>
      <w:bookmarkEnd w:id="221"/>
      <w:bookmarkEnd w:id="222"/>
      <w:bookmarkEnd w:id="223"/>
    </w:p>
    <w:p w14:paraId="19860F26">
      <w:pPr>
        <w:keepNext w:val="0"/>
        <w:keepLines w:val="0"/>
        <w:pageBreakBefore w:val="0"/>
        <w:widowControl w:val="0"/>
        <w:numPr>
          <w:ilvl w:val="0"/>
          <w:numId w:val="20"/>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val="en-US" w:eastAsia="zh-CN" w:bidi="ar"/>
        </w:rPr>
      </w:pPr>
      <w:r>
        <w:rPr>
          <w:rFonts w:hint="eastAsia"/>
          <w:color w:val="auto"/>
          <w:highlight w:val="none"/>
          <w:lang w:val="en-US" w:eastAsia="zh-CN"/>
        </w:rPr>
        <w:t>建立</w:t>
      </w:r>
      <w:r>
        <w:rPr>
          <w:rFonts w:hint="eastAsia" w:ascii="宋体" w:hAnsi="宋体" w:cs="宋体"/>
          <w:b w:val="0"/>
          <w:color w:val="auto"/>
          <w:szCs w:val="24"/>
          <w:highlight w:val="none"/>
          <w:lang w:val="en-US" w:eastAsia="zh-CN" w:bidi="ar"/>
        </w:rPr>
        <w:t>完善的安全管理制度：投标人应制定详细的安全管理制度，明确项目团队成员的安全职责和操作规范，确保项目团队成员了解并遵循安全规定。同时，应定期对安全管理制度进行审查和更新，以应对新的安全威胁和挑战。</w:t>
      </w:r>
    </w:p>
    <w:p w14:paraId="6E270D40">
      <w:pPr>
        <w:keepNext w:val="0"/>
        <w:keepLines w:val="0"/>
        <w:pageBreakBefore w:val="0"/>
        <w:widowControl w:val="0"/>
        <w:numPr>
          <w:ilvl w:val="0"/>
          <w:numId w:val="20"/>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val="en-US" w:eastAsia="zh-CN" w:bidi="ar"/>
        </w:rPr>
      </w:pPr>
      <w:r>
        <w:rPr>
          <w:rFonts w:hint="eastAsia" w:ascii="宋体" w:hAnsi="宋体" w:cs="宋体"/>
          <w:b w:val="0"/>
          <w:color w:val="auto"/>
          <w:szCs w:val="24"/>
          <w:highlight w:val="none"/>
          <w:lang w:val="en-US" w:eastAsia="zh-CN" w:bidi="ar"/>
        </w:rPr>
        <w:t>加强网络安全防护宣贯：投标人应加强对项目团队成员的网络安全防护宣贯，增强项目团队成员安全防护意识，项目团队成员应严格遵守南网数研院相关安全管理制度及要求。</w:t>
      </w:r>
    </w:p>
    <w:p w14:paraId="2D638F0E">
      <w:pPr>
        <w:keepNext w:val="0"/>
        <w:keepLines w:val="0"/>
        <w:pageBreakBefore w:val="0"/>
        <w:widowControl w:val="0"/>
        <w:numPr>
          <w:ilvl w:val="0"/>
          <w:numId w:val="20"/>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b w:val="0"/>
          <w:color w:val="auto"/>
          <w:szCs w:val="24"/>
          <w:highlight w:val="none"/>
          <w:lang w:val="en-US" w:eastAsia="zh-CN" w:bidi="ar"/>
        </w:rPr>
      </w:pPr>
      <w:r>
        <w:rPr>
          <w:rFonts w:hint="eastAsia" w:ascii="宋体" w:hAnsi="宋体" w:cs="宋体"/>
          <w:b w:val="0"/>
          <w:color w:val="auto"/>
          <w:szCs w:val="24"/>
          <w:highlight w:val="none"/>
          <w:lang w:val="en-US" w:eastAsia="zh-CN" w:bidi="ar"/>
        </w:rPr>
        <w:t>保护数据安全：投标人应采取有效的数据加密、备份和恢复措施，确保数据的机密性、完整性和可用性。同时，应建立数据访问控制和权限管理制度，限制对敏感数据的访问，避免数据泄露和滥用。</w:t>
      </w:r>
    </w:p>
    <w:p w14:paraId="64A40130">
      <w:pPr>
        <w:keepNext w:val="0"/>
        <w:keepLines w:val="0"/>
        <w:pageBreakBefore w:val="0"/>
        <w:widowControl w:val="0"/>
        <w:numPr>
          <w:ilvl w:val="0"/>
          <w:numId w:val="20"/>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color w:val="auto"/>
          <w:highlight w:val="none"/>
          <w:lang w:val="en-US" w:eastAsia="zh-CN"/>
        </w:rPr>
      </w:pPr>
      <w:r>
        <w:rPr>
          <w:rFonts w:hint="eastAsia" w:ascii="宋体" w:hAnsi="宋体" w:cs="宋体"/>
          <w:b w:val="0"/>
          <w:color w:val="auto"/>
          <w:szCs w:val="24"/>
          <w:highlight w:val="none"/>
          <w:lang w:val="en-US" w:eastAsia="zh-CN" w:bidi="ar"/>
        </w:rPr>
        <w:t>建立应急响应机制：投标人</w:t>
      </w:r>
      <w:r>
        <w:rPr>
          <w:rFonts w:hint="eastAsia"/>
          <w:color w:val="auto"/>
          <w:highlight w:val="none"/>
          <w:lang w:val="en-US" w:eastAsia="zh-CN"/>
        </w:rPr>
        <w:t>应建立应急响应机制，协助制定详细的应急预案和操作流程，确保在安全事件发生时能够及时响应和处理。同时，应定期参加应急演练和培训，提高团队成员应对安全事件的能力和素质。</w:t>
      </w:r>
    </w:p>
    <w:p w14:paraId="18E89434">
      <w:pPr>
        <w:keepNext w:val="0"/>
        <w:keepLines w:val="0"/>
        <w:pageBreakBefore w:val="0"/>
        <w:widowControl w:val="0"/>
        <w:numPr>
          <w:ilvl w:val="0"/>
          <w:numId w:val="20"/>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color w:val="auto"/>
          <w:highlight w:val="none"/>
        </w:rPr>
      </w:pPr>
      <w:r>
        <w:rPr>
          <w:rFonts w:hint="eastAsia"/>
          <w:color w:val="auto"/>
          <w:highlight w:val="none"/>
          <w:lang w:val="en-US" w:eastAsia="zh-CN"/>
        </w:rPr>
        <w:t>定期进行</w:t>
      </w:r>
      <w:r>
        <w:rPr>
          <w:rFonts w:hint="eastAsia" w:ascii="宋体" w:hAnsi="宋体" w:cs="宋体"/>
          <w:b w:val="0"/>
          <w:color w:val="auto"/>
          <w:szCs w:val="24"/>
          <w:highlight w:val="none"/>
          <w:lang w:val="en-US" w:eastAsia="zh-CN" w:bidi="ar"/>
        </w:rPr>
        <w:t>安全</w:t>
      </w:r>
      <w:r>
        <w:rPr>
          <w:rFonts w:hint="eastAsia"/>
          <w:color w:val="auto"/>
          <w:highlight w:val="none"/>
          <w:lang w:val="en-US" w:eastAsia="zh-CN"/>
        </w:rPr>
        <w:t>审计和评估：投标人应定期进行安全审计和评估，检查安全措施的执行情况和管理效果，及时发现和解决安全隐患。</w:t>
      </w:r>
    </w:p>
    <w:p w14:paraId="49DE37CD">
      <w:pPr>
        <w:pStyle w:val="5"/>
        <w:tabs>
          <w:tab w:val="left" w:pos="0"/>
          <w:tab w:val="left" w:pos="840"/>
        </w:tabs>
        <w:spacing w:line="360" w:lineRule="auto"/>
        <w:rPr>
          <w:color w:val="auto"/>
          <w:highlight w:val="none"/>
        </w:rPr>
      </w:pPr>
      <w:bookmarkStart w:id="224" w:name="_Toc459464621"/>
      <w:bookmarkStart w:id="225" w:name="_Toc5297"/>
      <w:bookmarkStart w:id="226" w:name="_Toc5300"/>
      <w:bookmarkStart w:id="227" w:name="_Toc26663"/>
      <w:bookmarkStart w:id="228" w:name="_Toc27802"/>
      <w:bookmarkStart w:id="229" w:name="_Toc7785"/>
      <w:bookmarkStart w:id="230" w:name="_Toc20533"/>
      <w:r>
        <w:rPr>
          <w:rFonts w:hint="eastAsia"/>
          <w:color w:val="auto"/>
          <w:highlight w:val="none"/>
        </w:rPr>
        <w:t>保密要求</w:t>
      </w:r>
      <w:bookmarkEnd w:id="176"/>
      <w:bookmarkEnd w:id="177"/>
      <w:bookmarkEnd w:id="224"/>
      <w:bookmarkEnd w:id="225"/>
      <w:bookmarkEnd w:id="226"/>
      <w:bookmarkEnd w:id="227"/>
      <w:bookmarkEnd w:id="228"/>
      <w:bookmarkEnd w:id="229"/>
      <w:bookmarkEnd w:id="230"/>
    </w:p>
    <w:p w14:paraId="5F17420A">
      <w:pPr>
        <w:keepNext w:val="0"/>
        <w:keepLines w:val="0"/>
        <w:pageBreakBefore w:val="0"/>
        <w:widowControl w:val="0"/>
        <w:kinsoku/>
        <w:wordWrap w:val="0"/>
        <w:overflowPunct/>
        <w:topLinePunct w:val="0"/>
        <w:autoSpaceDE/>
        <w:autoSpaceDN/>
        <w:bidi w:val="0"/>
        <w:adjustRightInd/>
        <w:snapToGrid/>
        <w:textAlignment w:val="auto"/>
        <w:rPr>
          <w:rFonts w:hint="default"/>
          <w:color w:val="auto"/>
          <w:highlight w:val="none"/>
        </w:rPr>
      </w:pPr>
      <w:r>
        <w:rPr>
          <w:rFonts w:hint="eastAsia"/>
          <w:color w:val="auto"/>
          <w:highlight w:val="none"/>
        </w:rPr>
        <w:t>本项目团队成员获得接触和知悉与本项工作相关的国家秘密、商业秘密或敏感信息和数</w:t>
      </w:r>
      <w:r>
        <w:rPr>
          <w:rFonts w:hint="default"/>
          <w:color w:val="auto"/>
          <w:highlight w:val="none"/>
        </w:rPr>
        <w:t>据的资格</w:t>
      </w:r>
      <w:r>
        <w:rPr>
          <w:rFonts w:hint="eastAsia"/>
          <w:color w:val="auto"/>
          <w:highlight w:val="none"/>
          <w:lang w:eastAsia="zh-CN"/>
        </w:rPr>
        <w:t>，</w:t>
      </w:r>
      <w:r>
        <w:rPr>
          <w:rFonts w:hint="default"/>
          <w:color w:val="auto"/>
          <w:highlight w:val="none"/>
        </w:rPr>
        <w:t>为此，项目组成员应当承担维护信息安全及保密义务和法律责任，一旦因违反信息安全及保密相关的行为规范，将被南网列入“黑名单”，不被允许参与</w:t>
      </w:r>
      <w:r>
        <w:rPr>
          <w:rFonts w:hint="eastAsia"/>
          <w:color w:val="auto"/>
          <w:highlight w:val="none"/>
          <w:lang w:eastAsia="zh-CN"/>
        </w:rPr>
        <w:t>南网数研院</w:t>
      </w:r>
      <w:r>
        <w:rPr>
          <w:rFonts w:hint="default"/>
          <w:color w:val="auto"/>
          <w:highlight w:val="none"/>
        </w:rPr>
        <w:t>的任何业务，因此需要达到以下要求：</w:t>
      </w:r>
    </w:p>
    <w:p w14:paraId="77231E3B">
      <w:pPr>
        <w:pStyle w:val="6"/>
        <w:bidi w:val="0"/>
        <w:rPr>
          <w:rStyle w:val="25"/>
          <w:rFonts w:hint="default"/>
          <w:b/>
          <w:bCs/>
          <w:color w:val="auto"/>
          <w:highlight w:val="none"/>
          <w:lang w:val="en-US" w:eastAsia="zh-CN"/>
        </w:rPr>
      </w:pPr>
      <w:bookmarkStart w:id="231" w:name="_Toc26846"/>
      <w:bookmarkStart w:id="232" w:name="_Toc257"/>
      <w:bookmarkStart w:id="233" w:name="_Toc24891"/>
      <w:bookmarkStart w:id="234" w:name="_Toc2018174182"/>
      <w:r>
        <w:rPr>
          <w:rStyle w:val="25"/>
          <w:rFonts w:hint="default"/>
          <w:b/>
          <w:bCs/>
          <w:color w:val="auto"/>
          <w:highlight w:val="none"/>
          <w:lang w:val="en-US" w:eastAsia="zh-CN"/>
        </w:rPr>
        <w:t>个人信息提供</w:t>
      </w:r>
      <w:bookmarkEnd w:id="231"/>
      <w:bookmarkEnd w:id="232"/>
      <w:bookmarkEnd w:id="233"/>
      <w:bookmarkEnd w:id="234"/>
    </w:p>
    <w:p w14:paraId="264F42C9">
      <w:pPr>
        <w:keepNext w:val="0"/>
        <w:keepLines w:val="0"/>
        <w:pageBreakBefore w:val="0"/>
        <w:widowControl w:val="0"/>
        <w:kinsoku/>
        <w:wordWrap w:val="0"/>
        <w:overflowPunct/>
        <w:topLinePunct w:val="0"/>
        <w:autoSpaceDE/>
        <w:autoSpaceDN/>
        <w:bidi w:val="0"/>
        <w:adjustRightInd/>
        <w:snapToGrid/>
        <w:textAlignment w:val="auto"/>
        <w:rPr>
          <w:rFonts w:hint="default"/>
          <w:color w:val="auto"/>
          <w:highlight w:val="none"/>
        </w:rPr>
      </w:pPr>
      <w:r>
        <w:rPr>
          <w:rFonts w:hint="default"/>
          <w:color w:val="auto"/>
          <w:highlight w:val="none"/>
        </w:rPr>
        <w:t>项目组成员在项目资格审查时提供的所有个人信息、证件都是真实有效的，没有任何虚假、伪造或隐瞒。</w:t>
      </w:r>
    </w:p>
    <w:p w14:paraId="641C3D7C">
      <w:pPr>
        <w:pStyle w:val="6"/>
        <w:bidi w:val="0"/>
        <w:rPr>
          <w:rStyle w:val="25"/>
          <w:rFonts w:hint="default"/>
          <w:b/>
          <w:bCs/>
          <w:color w:val="auto"/>
          <w:highlight w:val="none"/>
          <w:lang w:val="en-US" w:eastAsia="zh-CN"/>
        </w:rPr>
      </w:pPr>
      <w:bookmarkStart w:id="235" w:name="_Toc19768"/>
      <w:bookmarkStart w:id="236" w:name="_Toc2096756156"/>
      <w:bookmarkStart w:id="237" w:name="_Toc10599"/>
      <w:bookmarkStart w:id="238" w:name="_Toc28300"/>
      <w:r>
        <w:rPr>
          <w:rStyle w:val="25"/>
          <w:rFonts w:hint="default"/>
          <w:b/>
          <w:bCs/>
          <w:color w:val="auto"/>
          <w:highlight w:val="none"/>
          <w:lang w:val="en-US" w:eastAsia="zh-CN"/>
        </w:rPr>
        <w:t>行为规范</w:t>
      </w:r>
      <w:bookmarkEnd w:id="235"/>
      <w:bookmarkEnd w:id="236"/>
      <w:bookmarkEnd w:id="237"/>
      <w:bookmarkEnd w:id="238"/>
    </w:p>
    <w:p w14:paraId="5AA57E56">
      <w:pPr>
        <w:keepNext w:val="0"/>
        <w:keepLines w:val="0"/>
        <w:pageBreakBefore w:val="0"/>
        <w:widowControl w:val="0"/>
        <w:numPr>
          <w:ilvl w:val="0"/>
          <w:numId w:val="0"/>
        </w:numPr>
        <w:kinsoku/>
        <w:wordWrap w:val="0"/>
        <w:overflowPunct/>
        <w:topLinePunct w:val="0"/>
        <w:autoSpaceDE/>
        <w:autoSpaceDN/>
        <w:bidi w:val="0"/>
        <w:adjustRightInd/>
        <w:snapToGrid/>
        <w:ind w:firstLine="0"/>
        <w:textAlignment w:val="auto"/>
        <w:rPr>
          <w:rFonts w:hint="default"/>
          <w:highlight w:val="none"/>
        </w:rPr>
      </w:pPr>
      <w:r>
        <w:rPr>
          <w:rFonts w:hint="default"/>
          <w:highlight w:val="none"/>
        </w:rPr>
        <w:t xml:space="preserve">    （一）遵守国家、</w:t>
      </w:r>
      <w:r>
        <w:rPr>
          <w:rFonts w:hint="eastAsia"/>
          <w:highlight w:val="none"/>
          <w:lang w:eastAsia="zh-CN"/>
        </w:rPr>
        <w:t>南网数研院</w:t>
      </w:r>
      <w:r>
        <w:rPr>
          <w:rFonts w:hint="default"/>
          <w:highlight w:val="none"/>
        </w:rPr>
        <w:t>信息安全及保密法律法规和规章制度，维护信息安全，履行保密义务；</w:t>
      </w:r>
      <w:r>
        <w:rPr>
          <w:rFonts w:hint="eastAsia"/>
          <w:highlight w:val="none"/>
        </w:rPr>
        <w:br w:type="textWrapping"/>
      </w:r>
      <w:r>
        <w:rPr>
          <w:rFonts w:hint="eastAsia"/>
          <w:highlight w:val="none"/>
          <w:lang w:val="en-US" w:eastAsia="zh-CN"/>
        </w:rPr>
        <w:t xml:space="preserve">    </w:t>
      </w:r>
      <w:r>
        <w:rPr>
          <w:rFonts w:hint="default"/>
          <w:highlight w:val="none"/>
        </w:rPr>
        <w:t>（二）承担项目组成员工作职责范围内的信息安全责任，确保项目组成员接触到的各类</w:t>
      </w:r>
      <w:r>
        <w:rPr>
          <w:rFonts w:hint="eastAsia"/>
          <w:highlight w:val="none"/>
          <w:lang w:eastAsia="zh-CN"/>
        </w:rPr>
        <w:t>南网数研院</w:t>
      </w:r>
      <w:r>
        <w:rPr>
          <w:rFonts w:hint="default"/>
          <w:highlight w:val="none"/>
        </w:rPr>
        <w:t>信息和数据的保密性、完整性、可用性；</w:t>
      </w:r>
      <w:r>
        <w:rPr>
          <w:rFonts w:hint="eastAsia"/>
          <w:highlight w:val="none"/>
        </w:rPr>
        <w:br w:type="textWrapping"/>
      </w:r>
      <w:r>
        <w:rPr>
          <w:rFonts w:hint="eastAsia"/>
          <w:highlight w:val="none"/>
          <w:lang w:val="en-US" w:eastAsia="zh-CN"/>
        </w:rPr>
        <w:t xml:space="preserve">    </w:t>
      </w:r>
      <w:r>
        <w:rPr>
          <w:rFonts w:hint="default"/>
          <w:highlight w:val="none"/>
        </w:rPr>
        <w:t>（三）不违规记录、存储、复制、携带国家秘密、</w:t>
      </w:r>
      <w:r>
        <w:rPr>
          <w:rFonts w:hint="eastAsia"/>
          <w:highlight w:val="none"/>
          <w:lang w:eastAsia="zh-CN"/>
        </w:rPr>
        <w:t>南网数研院</w:t>
      </w:r>
      <w:r>
        <w:rPr>
          <w:rFonts w:hint="default"/>
          <w:highlight w:val="none"/>
        </w:rPr>
        <w:t>秘密以及内部信息和敏感数据，不违规持有国家秘密、</w:t>
      </w:r>
      <w:r>
        <w:rPr>
          <w:rFonts w:hint="eastAsia"/>
          <w:highlight w:val="none"/>
          <w:lang w:eastAsia="zh-CN"/>
        </w:rPr>
        <w:t>南网数研院</w:t>
      </w:r>
      <w:r>
        <w:rPr>
          <w:rFonts w:hint="default"/>
          <w:highlight w:val="none"/>
        </w:rPr>
        <w:t>秘密载体，未经</w:t>
      </w:r>
      <w:r>
        <w:rPr>
          <w:rFonts w:hint="eastAsia"/>
          <w:highlight w:val="none"/>
          <w:lang w:eastAsia="zh-CN"/>
        </w:rPr>
        <w:t>南网数研院</w:t>
      </w:r>
      <w:r>
        <w:rPr>
          <w:rFonts w:hint="default"/>
          <w:highlight w:val="none"/>
        </w:rPr>
        <w:t>审查批准允许不得拍照、录音、录像等；</w:t>
      </w:r>
      <w:r>
        <w:rPr>
          <w:rFonts w:hint="eastAsia"/>
          <w:highlight w:val="none"/>
        </w:rPr>
        <w:br w:type="textWrapping"/>
      </w:r>
      <w:r>
        <w:rPr>
          <w:rFonts w:hint="eastAsia"/>
          <w:highlight w:val="none"/>
          <w:lang w:val="en-US" w:eastAsia="zh-CN"/>
        </w:rPr>
        <w:t xml:space="preserve">    </w:t>
      </w:r>
      <w:r>
        <w:rPr>
          <w:rFonts w:hint="default"/>
          <w:highlight w:val="none"/>
        </w:rPr>
        <w:t>（四）不以任何方式泄露、传播、公布、发表、转让、交换或者以其他任何方式使任何第三方知悉所接触和知悉的国家秘密、</w:t>
      </w:r>
      <w:r>
        <w:rPr>
          <w:rFonts w:hint="eastAsia"/>
          <w:highlight w:val="none"/>
          <w:lang w:eastAsia="zh-CN"/>
        </w:rPr>
        <w:t>南网数研院</w:t>
      </w:r>
      <w:r>
        <w:rPr>
          <w:rFonts w:hint="default"/>
          <w:highlight w:val="none"/>
        </w:rPr>
        <w:t>秘密；</w:t>
      </w:r>
      <w:r>
        <w:rPr>
          <w:rFonts w:hint="eastAsia"/>
          <w:highlight w:val="none"/>
        </w:rPr>
        <w:br w:type="textWrapping"/>
      </w:r>
      <w:r>
        <w:rPr>
          <w:rFonts w:hint="eastAsia"/>
          <w:highlight w:val="none"/>
          <w:lang w:val="en-US" w:eastAsia="zh-CN"/>
        </w:rPr>
        <w:t xml:space="preserve">    </w:t>
      </w:r>
      <w:r>
        <w:rPr>
          <w:rFonts w:hint="default"/>
          <w:highlight w:val="none"/>
        </w:rPr>
        <w:t>（五）不对涉及</w:t>
      </w:r>
      <w:r>
        <w:rPr>
          <w:rFonts w:hint="eastAsia"/>
          <w:highlight w:val="none"/>
          <w:lang w:eastAsia="zh-CN"/>
        </w:rPr>
        <w:t>南网数研院</w:t>
      </w:r>
      <w:r>
        <w:rPr>
          <w:rFonts w:hint="default"/>
          <w:highlight w:val="none"/>
        </w:rPr>
        <w:t>的重要事件、热点话题发表不当言论，进行无端猜测、恶意评论和炒作；</w:t>
      </w:r>
      <w:r>
        <w:rPr>
          <w:rFonts w:hint="eastAsia"/>
          <w:highlight w:val="none"/>
        </w:rPr>
        <w:br w:type="textWrapping"/>
      </w:r>
      <w:r>
        <w:rPr>
          <w:rFonts w:hint="eastAsia"/>
          <w:highlight w:val="none"/>
          <w:lang w:val="en-US" w:eastAsia="zh-CN"/>
        </w:rPr>
        <w:t xml:space="preserve">    </w:t>
      </w:r>
      <w:r>
        <w:rPr>
          <w:rFonts w:hint="default"/>
          <w:highlight w:val="none"/>
        </w:rPr>
        <w:t>（六）不制造、发布或传播损害</w:t>
      </w:r>
      <w:r>
        <w:rPr>
          <w:rFonts w:hint="eastAsia"/>
          <w:highlight w:val="none"/>
          <w:lang w:eastAsia="zh-CN"/>
        </w:rPr>
        <w:t>南网数研院</w:t>
      </w:r>
      <w:r>
        <w:rPr>
          <w:rFonts w:hint="default"/>
          <w:highlight w:val="none"/>
        </w:rPr>
        <w:t>形象和利益的负面信息；</w:t>
      </w:r>
      <w:r>
        <w:rPr>
          <w:rFonts w:hint="eastAsia"/>
          <w:highlight w:val="none"/>
        </w:rPr>
        <w:br w:type="textWrapping"/>
      </w:r>
      <w:r>
        <w:rPr>
          <w:rFonts w:hint="eastAsia"/>
          <w:highlight w:val="none"/>
          <w:lang w:val="en-US" w:eastAsia="zh-CN"/>
        </w:rPr>
        <w:t xml:space="preserve">    </w:t>
      </w:r>
      <w:r>
        <w:rPr>
          <w:rFonts w:hint="default"/>
          <w:highlight w:val="none"/>
        </w:rPr>
        <w:t>（七）不发布或泄露</w:t>
      </w:r>
      <w:r>
        <w:rPr>
          <w:rFonts w:hint="eastAsia"/>
          <w:highlight w:val="none"/>
          <w:lang w:eastAsia="zh-CN"/>
        </w:rPr>
        <w:t>南网数研院</w:t>
      </w:r>
      <w:r>
        <w:rPr>
          <w:rFonts w:hint="default"/>
          <w:highlight w:val="none"/>
        </w:rPr>
        <w:t>生产、经营和管理等方面的商业秘密和可能对</w:t>
      </w:r>
      <w:r>
        <w:rPr>
          <w:rFonts w:hint="eastAsia"/>
          <w:highlight w:val="none"/>
          <w:lang w:eastAsia="zh-CN"/>
        </w:rPr>
        <w:t>南网数研院</w:t>
      </w:r>
      <w:r>
        <w:rPr>
          <w:rFonts w:hint="default"/>
          <w:highlight w:val="none"/>
        </w:rPr>
        <w:t>产生负面影响的信息或资讯；</w:t>
      </w:r>
      <w:r>
        <w:rPr>
          <w:rFonts w:hint="eastAsia"/>
          <w:highlight w:val="none"/>
        </w:rPr>
        <w:br w:type="textWrapping"/>
      </w:r>
      <w:r>
        <w:rPr>
          <w:rFonts w:hint="eastAsia"/>
          <w:highlight w:val="none"/>
          <w:lang w:val="en-US" w:eastAsia="zh-CN"/>
        </w:rPr>
        <w:t xml:space="preserve">    </w:t>
      </w:r>
      <w:r>
        <w:rPr>
          <w:rFonts w:hint="default"/>
          <w:highlight w:val="none"/>
        </w:rPr>
        <w:t>（八）不将与</w:t>
      </w:r>
      <w:r>
        <w:rPr>
          <w:rFonts w:hint="eastAsia"/>
          <w:highlight w:val="none"/>
          <w:lang w:eastAsia="zh-CN"/>
        </w:rPr>
        <w:t>南网数研院</w:t>
      </w:r>
      <w:r>
        <w:rPr>
          <w:rFonts w:hint="default"/>
          <w:highlight w:val="none"/>
        </w:rPr>
        <w:t>相关的开发、测试、演示系统（带有南方电网相关信息、标志或者</w:t>
      </w:r>
      <w:r>
        <w:rPr>
          <w:rFonts w:hint="eastAsia"/>
          <w:highlight w:val="none"/>
          <w:lang w:eastAsia="zh-CN"/>
        </w:rPr>
        <w:t>南网数研院</w:t>
      </w:r>
      <w:r>
        <w:rPr>
          <w:rFonts w:hint="default"/>
          <w:highlight w:val="none"/>
        </w:rPr>
        <w:t>内部数据）向互联网开放，不在出厂阶段的系统上使用</w:t>
      </w:r>
      <w:r>
        <w:rPr>
          <w:rFonts w:hint="eastAsia"/>
          <w:highlight w:val="none"/>
          <w:lang w:eastAsia="zh-CN"/>
        </w:rPr>
        <w:t>南网数研院</w:t>
      </w:r>
      <w:r>
        <w:rPr>
          <w:rFonts w:hint="default"/>
          <w:highlight w:val="none"/>
        </w:rPr>
        <w:t>真实数据进行测试（经</w:t>
      </w:r>
      <w:r>
        <w:rPr>
          <w:rFonts w:hint="eastAsia"/>
          <w:highlight w:val="none"/>
          <w:lang w:eastAsia="zh-CN"/>
        </w:rPr>
        <w:t>南网数研院</w:t>
      </w:r>
      <w:r>
        <w:rPr>
          <w:rFonts w:hint="default"/>
          <w:highlight w:val="none"/>
        </w:rPr>
        <w:t>确认需使用的，必须对数据进行脱敏操作）；</w:t>
      </w:r>
      <w:r>
        <w:rPr>
          <w:rFonts w:hint="eastAsia"/>
          <w:highlight w:val="none"/>
        </w:rPr>
        <w:br w:type="textWrapping"/>
      </w:r>
      <w:r>
        <w:rPr>
          <w:rFonts w:hint="eastAsia"/>
          <w:highlight w:val="none"/>
          <w:lang w:val="en-US" w:eastAsia="zh-CN"/>
        </w:rPr>
        <w:t xml:space="preserve">    </w:t>
      </w:r>
      <w:r>
        <w:rPr>
          <w:rFonts w:hint="default"/>
          <w:highlight w:val="none"/>
        </w:rPr>
        <w:t>（九）不</w:t>
      </w:r>
      <w:r>
        <w:rPr>
          <w:rFonts w:hint="eastAsia"/>
          <w:highlight w:val="none"/>
          <w:lang w:val="en-US" w:eastAsia="zh-CN"/>
        </w:rPr>
        <w:t>得</w:t>
      </w:r>
      <w:r>
        <w:rPr>
          <w:rFonts w:hint="default"/>
          <w:highlight w:val="none"/>
        </w:rPr>
        <w:t>通过邮箱、即时沟通工具传递涉密或敏感信息和数据，如：系统源代码、网络拓扑、系统账号密码、人员姓名、身份信息等，不得将机密资料复制、传递或提供给第三方；</w:t>
      </w:r>
      <w:r>
        <w:rPr>
          <w:rFonts w:hint="eastAsia"/>
          <w:highlight w:val="none"/>
        </w:rPr>
        <w:br w:type="textWrapping"/>
      </w:r>
      <w:r>
        <w:rPr>
          <w:rFonts w:hint="eastAsia"/>
          <w:highlight w:val="none"/>
          <w:lang w:val="en-US" w:eastAsia="zh-CN"/>
        </w:rPr>
        <w:t xml:space="preserve">    </w:t>
      </w:r>
      <w:r>
        <w:rPr>
          <w:rFonts w:hint="default"/>
          <w:highlight w:val="none"/>
        </w:rPr>
        <w:t>（</w:t>
      </w:r>
      <w:r>
        <w:rPr>
          <w:rFonts w:hint="eastAsia"/>
          <w:highlight w:val="none"/>
          <w:lang w:val="en-US" w:eastAsia="zh-CN"/>
        </w:rPr>
        <w:t>十</w:t>
      </w:r>
      <w:r>
        <w:rPr>
          <w:rFonts w:hint="default"/>
          <w:highlight w:val="none"/>
        </w:rPr>
        <w:t>）未经</w:t>
      </w:r>
      <w:r>
        <w:rPr>
          <w:rFonts w:hint="eastAsia"/>
          <w:highlight w:val="none"/>
          <w:lang w:eastAsia="zh-CN"/>
        </w:rPr>
        <w:t>南网数研院</w:t>
      </w:r>
      <w:r>
        <w:rPr>
          <w:rFonts w:hint="default"/>
          <w:highlight w:val="none"/>
        </w:rPr>
        <w:t>审查批准，不</w:t>
      </w:r>
      <w:r>
        <w:rPr>
          <w:rFonts w:hint="eastAsia"/>
          <w:highlight w:val="none"/>
          <w:lang w:val="en-US" w:eastAsia="zh-CN"/>
        </w:rPr>
        <w:t>得</w:t>
      </w:r>
      <w:r>
        <w:rPr>
          <w:rFonts w:hint="default"/>
          <w:highlight w:val="none"/>
        </w:rPr>
        <w:t>擅自发表涉及</w:t>
      </w:r>
      <w:r>
        <w:rPr>
          <w:rFonts w:hint="eastAsia"/>
          <w:highlight w:val="none"/>
          <w:lang w:eastAsia="zh-CN"/>
        </w:rPr>
        <w:t>南网数研院</w:t>
      </w:r>
      <w:r>
        <w:rPr>
          <w:rFonts w:hint="default"/>
          <w:highlight w:val="none"/>
        </w:rPr>
        <w:t>未公开工作内容的文章、著述；</w:t>
      </w:r>
      <w:r>
        <w:rPr>
          <w:rFonts w:hint="eastAsia"/>
          <w:highlight w:val="none"/>
        </w:rPr>
        <w:br w:type="textWrapping"/>
      </w:r>
      <w:r>
        <w:rPr>
          <w:rFonts w:hint="eastAsia"/>
          <w:highlight w:val="none"/>
          <w:lang w:val="en-US" w:eastAsia="zh-CN"/>
        </w:rPr>
        <w:t xml:space="preserve">    </w:t>
      </w:r>
      <w:r>
        <w:rPr>
          <w:rFonts w:hint="default"/>
          <w:highlight w:val="none"/>
        </w:rPr>
        <w:t>（十一）未经授权许可，不发布或泄露</w:t>
      </w:r>
      <w:r>
        <w:rPr>
          <w:rFonts w:hint="eastAsia"/>
          <w:highlight w:val="none"/>
          <w:lang w:eastAsia="zh-CN"/>
        </w:rPr>
        <w:t>南网数研院</w:t>
      </w:r>
      <w:r>
        <w:rPr>
          <w:rFonts w:hint="default"/>
          <w:highlight w:val="none"/>
        </w:rPr>
        <w:t>生产、经营和管理等方面的信息和数据。不得在微博、微信等即时沟通工具注册、发布信息中包含</w:t>
      </w:r>
      <w:r>
        <w:rPr>
          <w:rFonts w:hint="eastAsia"/>
          <w:highlight w:val="none"/>
          <w:lang w:eastAsia="zh-CN"/>
        </w:rPr>
        <w:t>南网数研院</w:t>
      </w:r>
      <w:r>
        <w:rPr>
          <w:rFonts w:hint="default"/>
          <w:highlight w:val="none"/>
        </w:rPr>
        <w:t>各级单位名称、标识用品、工资薪酬、福利待遇、公务活动等内容，不</w:t>
      </w:r>
      <w:r>
        <w:rPr>
          <w:rFonts w:hint="eastAsia"/>
          <w:highlight w:val="none"/>
          <w:lang w:val="en-US" w:eastAsia="zh-CN"/>
        </w:rPr>
        <w:t>得</w:t>
      </w:r>
      <w:r>
        <w:rPr>
          <w:rFonts w:hint="default"/>
          <w:highlight w:val="none"/>
        </w:rPr>
        <w:t>发布有损</w:t>
      </w:r>
      <w:r>
        <w:rPr>
          <w:rFonts w:hint="eastAsia"/>
          <w:highlight w:val="none"/>
          <w:lang w:eastAsia="zh-CN"/>
        </w:rPr>
        <w:t>南网数研院</w:t>
      </w:r>
      <w:r>
        <w:rPr>
          <w:rFonts w:hint="default"/>
          <w:highlight w:val="none"/>
        </w:rPr>
        <w:t>形象的言论；</w:t>
      </w:r>
      <w:r>
        <w:rPr>
          <w:rFonts w:hint="eastAsia"/>
          <w:highlight w:val="none"/>
        </w:rPr>
        <w:br w:type="textWrapping"/>
      </w:r>
      <w:r>
        <w:rPr>
          <w:rFonts w:hint="eastAsia"/>
          <w:highlight w:val="none"/>
          <w:lang w:val="en-US" w:eastAsia="zh-CN"/>
        </w:rPr>
        <w:t xml:space="preserve">    </w:t>
      </w:r>
      <w:r>
        <w:rPr>
          <w:rFonts w:hint="default"/>
          <w:highlight w:val="none"/>
        </w:rPr>
        <w:t>（十二）未经批准不接入</w:t>
      </w:r>
      <w:r>
        <w:rPr>
          <w:rFonts w:hint="eastAsia"/>
          <w:highlight w:val="none"/>
          <w:lang w:eastAsia="zh-CN"/>
        </w:rPr>
        <w:t>南网数研院</w:t>
      </w:r>
      <w:r>
        <w:rPr>
          <w:rFonts w:hint="default"/>
          <w:highlight w:val="none"/>
        </w:rPr>
        <w:t>网络。经批准同意接入</w:t>
      </w:r>
      <w:r>
        <w:rPr>
          <w:rFonts w:hint="eastAsia"/>
          <w:highlight w:val="none"/>
          <w:lang w:eastAsia="zh-CN"/>
        </w:rPr>
        <w:t>南网数研院</w:t>
      </w:r>
      <w:r>
        <w:rPr>
          <w:rFonts w:hint="default"/>
          <w:highlight w:val="none"/>
        </w:rPr>
        <w:t>网络的，不使用无线路由器、随身 wifi 等工具将</w:t>
      </w:r>
      <w:r>
        <w:rPr>
          <w:rFonts w:hint="eastAsia"/>
          <w:highlight w:val="none"/>
          <w:lang w:eastAsia="zh-CN"/>
        </w:rPr>
        <w:t>南网数研院</w:t>
      </w:r>
      <w:r>
        <w:rPr>
          <w:rFonts w:hint="default"/>
          <w:highlight w:val="none"/>
        </w:rPr>
        <w:t>网络扩展为无线网络；</w:t>
      </w:r>
      <w:r>
        <w:rPr>
          <w:rFonts w:hint="eastAsia"/>
          <w:highlight w:val="none"/>
        </w:rPr>
        <w:br w:type="textWrapping"/>
      </w:r>
      <w:r>
        <w:rPr>
          <w:rFonts w:hint="eastAsia"/>
          <w:highlight w:val="none"/>
          <w:lang w:val="en-US" w:eastAsia="zh-CN"/>
        </w:rPr>
        <w:t xml:space="preserve">    </w:t>
      </w:r>
      <w:r>
        <w:rPr>
          <w:rFonts w:hint="default"/>
          <w:highlight w:val="none"/>
        </w:rPr>
        <w:t>（十三）不在</w:t>
      </w:r>
      <w:r>
        <w:rPr>
          <w:rFonts w:hint="eastAsia"/>
          <w:highlight w:val="none"/>
          <w:lang w:eastAsia="zh-CN"/>
        </w:rPr>
        <w:t>南网数研院</w:t>
      </w:r>
      <w:r>
        <w:rPr>
          <w:rFonts w:hint="default"/>
          <w:highlight w:val="none"/>
        </w:rPr>
        <w:t>服务器、终端部署远程控制程序、后门程序、病毒或其他恶意程序；</w:t>
      </w:r>
      <w:r>
        <w:rPr>
          <w:rFonts w:hint="eastAsia"/>
          <w:highlight w:val="none"/>
        </w:rPr>
        <w:br w:type="textWrapping"/>
      </w:r>
      <w:r>
        <w:rPr>
          <w:rFonts w:hint="eastAsia"/>
          <w:highlight w:val="none"/>
          <w:lang w:val="en-US" w:eastAsia="zh-CN"/>
        </w:rPr>
        <w:t xml:space="preserve">    </w:t>
      </w:r>
      <w:r>
        <w:rPr>
          <w:rFonts w:hint="default"/>
          <w:highlight w:val="none"/>
        </w:rPr>
        <w:t>（十四）在 IT 设备（计算机、U 盘、移动硬盘等）接入</w:t>
      </w:r>
      <w:r>
        <w:rPr>
          <w:rFonts w:hint="eastAsia"/>
          <w:highlight w:val="none"/>
          <w:lang w:eastAsia="zh-CN"/>
        </w:rPr>
        <w:t>南网数研院</w:t>
      </w:r>
      <w:r>
        <w:rPr>
          <w:rFonts w:hint="default"/>
          <w:highlight w:val="none"/>
        </w:rPr>
        <w:t>网络前，做好病毒及恶意软件查杀；</w:t>
      </w:r>
      <w:r>
        <w:rPr>
          <w:rFonts w:hint="eastAsia"/>
          <w:highlight w:val="none"/>
        </w:rPr>
        <w:br w:type="textWrapping"/>
      </w:r>
      <w:r>
        <w:rPr>
          <w:rFonts w:hint="eastAsia"/>
          <w:highlight w:val="none"/>
          <w:lang w:val="en-US" w:eastAsia="zh-CN"/>
        </w:rPr>
        <w:t xml:space="preserve">    </w:t>
      </w:r>
      <w:r>
        <w:rPr>
          <w:rFonts w:hint="default"/>
          <w:highlight w:val="none"/>
        </w:rPr>
        <w:t>（十五）一旦判断可能发生或发生信息安全事件时，立即向</w:t>
      </w:r>
      <w:r>
        <w:rPr>
          <w:rFonts w:hint="eastAsia"/>
          <w:highlight w:val="none"/>
          <w:lang w:eastAsia="zh-CN"/>
        </w:rPr>
        <w:t>南网数研院</w:t>
      </w:r>
      <w:r>
        <w:rPr>
          <w:rFonts w:hint="default"/>
          <w:highlight w:val="none"/>
        </w:rPr>
        <w:t>相关人员报告，并按要求采取应急处置措施，保留有关原始记录，并配合开展信息安全事件调查，接受整改要求，落实整改措施；</w:t>
      </w:r>
      <w:r>
        <w:rPr>
          <w:rFonts w:hint="eastAsia"/>
          <w:highlight w:val="none"/>
        </w:rPr>
        <w:br w:type="textWrapping"/>
      </w:r>
      <w:r>
        <w:rPr>
          <w:rFonts w:hint="eastAsia"/>
          <w:highlight w:val="none"/>
          <w:lang w:val="en-US" w:eastAsia="zh-CN"/>
        </w:rPr>
        <w:t xml:space="preserve">    </w:t>
      </w:r>
      <w:r>
        <w:rPr>
          <w:rFonts w:hint="default"/>
          <w:highlight w:val="none"/>
        </w:rPr>
        <w:t>（十六）国家信息安全及保密法律法规规定应当履行的行为；</w:t>
      </w:r>
      <w:r>
        <w:rPr>
          <w:rFonts w:hint="eastAsia"/>
          <w:highlight w:val="none"/>
        </w:rPr>
        <w:br w:type="textWrapping"/>
      </w:r>
      <w:r>
        <w:rPr>
          <w:rFonts w:hint="eastAsia"/>
          <w:highlight w:val="none"/>
          <w:lang w:val="en-US" w:eastAsia="zh-CN"/>
        </w:rPr>
        <w:t xml:space="preserve">    </w:t>
      </w:r>
      <w:r>
        <w:rPr>
          <w:rFonts w:hint="default"/>
          <w:highlight w:val="none"/>
        </w:rPr>
        <w:t>（十七）离场离职前做好工作交接，返还、删除或销毁</w:t>
      </w:r>
      <w:r>
        <w:rPr>
          <w:rFonts w:hint="eastAsia"/>
          <w:highlight w:val="none"/>
          <w:lang w:eastAsia="zh-CN"/>
        </w:rPr>
        <w:t>南网数研院</w:t>
      </w:r>
      <w:r>
        <w:rPr>
          <w:rFonts w:hint="default"/>
          <w:highlight w:val="none"/>
        </w:rPr>
        <w:t>生产、经营和管理等方面的敏感资料；</w:t>
      </w:r>
      <w:r>
        <w:rPr>
          <w:rFonts w:hint="eastAsia"/>
          <w:highlight w:val="none"/>
        </w:rPr>
        <w:br w:type="textWrapping"/>
      </w:r>
      <w:r>
        <w:rPr>
          <w:rFonts w:hint="eastAsia"/>
          <w:highlight w:val="none"/>
          <w:lang w:val="en-US" w:eastAsia="zh-CN"/>
        </w:rPr>
        <w:t xml:space="preserve">    </w:t>
      </w:r>
      <w:r>
        <w:rPr>
          <w:rFonts w:hint="default"/>
          <w:highlight w:val="none"/>
        </w:rPr>
        <w:t>（十八）完成项目工作时，返还、删除或销毁</w:t>
      </w:r>
      <w:r>
        <w:rPr>
          <w:rFonts w:hint="eastAsia"/>
          <w:highlight w:val="none"/>
          <w:lang w:eastAsia="zh-CN"/>
        </w:rPr>
        <w:t>南网数研院</w:t>
      </w:r>
      <w:r>
        <w:rPr>
          <w:rFonts w:hint="default"/>
          <w:highlight w:val="none"/>
        </w:rPr>
        <w:t>生产、经营和管理等方面的商业秘密资料；</w:t>
      </w:r>
      <w:r>
        <w:rPr>
          <w:rFonts w:hint="eastAsia"/>
          <w:highlight w:val="none"/>
        </w:rPr>
        <w:br w:type="textWrapping"/>
      </w:r>
      <w:r>
        <w:rPr>
          <w:rFonts w:hint="eastAsia"/>
          <w:highlight w:val="none"/>
          <w:lang w:val="en-US" w:eastAsia="zh-CN"/>
        </w:rPr>
        <w:t xml:space="preserve">    </w:t>
      </w:r>
      <w:r>
        <w:rPr>
          <w:rFonts w:hint="default"/>
          <w:highlight w:val="none"/>
        </w:rPr>
        <w:t>（十九）载体包括但不限于：文字、数据、符号、图形、图像、声音、网络存储等方式记载秘密信息的纸介质、光介质、电磁介质等各类物品。</w:t>
      </w:r>
    </w:p>
    <w:p w14:paraId="0476B4CF">
      <w:pPr>
        <w:pStyle w:val="5"/>
        <w:keepNext w:val="0"/>
        <w:keepLines w:val="0"/>
        <w:pageBreakBefore w:val="0"/>
        <w:widowControl w:val="0"/>
        <w:kinsoku/>
        <w:wordWrap w:val="0"/>
        <w:overflowPunct/>
        <w:topLinePunct w:val="0"/>
        <w:autoSpaceDE/>
        <w:autoSpaceDN/>
        <w:bidi w:val="0"/>
        <w:adjustRightInd/>
        <w:snapToGrid/>
        <w:textAlignment w:val="auto"/>
        <w:rPr>
          <w:rFonts w:hint="eastAsia"/>
          <w:color w:val="auto"/>
          <w:highlight w:val="none"/>
          <w:lang w:eastAsia="zh-CN"/>
        </w:rPr>
      </w:pPr>
      <w:bookmarkStart w:id="239" w:name="_Toc31192"/>
      <w:bookmarkStart w:id="240" w:name="_Toc13140"/>
      <w:bookmarkStart w:id="241" w:name="_Toc11589"/>
      <w:bookmarkStart w:id="242" w:name="_Toc11282"/>
      <w:bookmarkStart w:id="243" w:name="_Toc2121550269"/>
      <w:r>
        <w:rPr>
          <w:rFonts w:hint="eastAsia"/>
          <w:color w:val="auto"/>
          <w:highlight w:val="none"/>
          <w:lang w:val="en-US" w:eastAsia="zh-CN"/>
        </w:rPr>
        <w:t>项目进度要求</w:t>
      </w:r>
      <w:bookmarkEnd w:id="239"/>
      <w:bookmarkEnd w:id="240"/>
      <w:bookmarkEnd w:id="241"/>
      <w:bookmarkEnd w:id="242"/>
      <w:bookmarkEnd w:id="243"/>
    </w:p>
    <w:p w14:paraId="77CAFEDA">
      <w:pPr>
        <w:pStyle w:val="6"/>
        <w:keepNext w:val="0"/>
        <w:keepLines w:val="0"/>
        <w:pageBreakBefore w:val="0"/>
        <w:widowControl w:val="0"/>
        <w:kinsoku/>
        <w:wordWrap w:val="0"/>
        <w:overflowPunct/>
        <w:topLinePunct w:val="0"/>
        <w:autoSpaceDE/>
        <w:autoSpaceDN/>
        <w:bidi w:val="0"/>
        <w:adjustRightInd/>
        <w:snapToGrid/>
        <w:textAlignment w:val="auto"/>
        <w:rPr>
          <w:rFonts w:hint="eastAsia"/>
          <w:highlight w:val="none"/>
          <w:lang w:eastAsia="zh-CN"/>
        </w:rPr>
      </w:pPr>
      <w:bookmarkStart w:id="244" w:name="_Toc8622"/>
      <w:bookmarkStart w:id="245" w:name="_Toc76896295"/>
      <w:bookmarkStart w:id="246" w:name="_Toc30626"/>
      <w:bookmarkStart w:id="247" w:name="_Toc5568"/>
      <w:r>
        <w:rPr>
          <w:rFonts w:hint="eastAsia"/>
          <w:highlight w:val="none"/>
          <w:lang w:eastAsia="zh-CN"/>
        </w:rPr>
        <w:t>项目启动</w:t>
      </w:r>
      <w:bookmarkEnd w:id="244"/>
      <w:bookmarkEnd w:id="245"/>
      <w:bookmarkEnd w:id="246"/>
      <w:bookmarkEnd w:id="247"/>
    </w:p>
    <w:p w14:paraId="06518ACA">
      <w:pPr>
        <w:keepNext w:val="0"/>
        <w:keepLines w:val="0"/>
        <w:pageBreakBefore w:val="0"/>
        <w:widowControl w:val="0"/>
        <w:numPr>
          <w:ilvl w:val="0"/>
          <w:numId w:val="0"/>
        </w:numPr>
        <w:kinsoku/>
        <w:wordWrap w:val="0"/>
        <w:overflowPunct/>
        <w:topLinePunct w:val="0"/>
        <w:autoSpaceDE/>
        <w:autoSpaceDN/>
        <w:bidi w:val="0"/>
        <w:adjustRightInd/>
        <w:snapToGrid/>
        <w:ind w:firstLine="480"/>
        <w:textAlignment w:val="auto"/>
        <w:rPr>
          <w:rFonts w:hint="eastAsia"/>
          <w:highlight w:val="none"/>
          <w:lang w:eastAsia="zh-CN"/>
        </w:rPr>
      </w:pPr>
      <w:r>
        <w:rPr>
          <w:rFonts w:hint="eastAsia"/>
          <w:highlight w:val="none"/>
          <w:lang w:eastAsia="zh-CN"/>
        </w:rPr>
        <w:t>组织召开项目启动会议，明确项目整体目标、项目范围、项目计划、项目团队及团队角色职责、项目干系人、项目风险、项目保障等关键点。项目干系人对以上达成共识，输出项目的细化实施计划、项目风险列表及应对措施。</w:t>
      </w:r>
    </w:p>
    <w:p w14:paraId="15F4D37B">
      <w:pPr>
        <w:pStyle w:val="6"/>
        <w:keepNext w:val="0"/>
        <w:keepLines w:val="0"/>
        <w:pageBreakBefore w:val="0"/>
        <w:widowControl w:val="0"/>
        <w:kinsoku/>
        <w:wordWrap w:val="0"/>
        <w:overflowPunct/>
        <w:topLinePunct w:val="0"/>
        <w:autoSpaceDE/>
        <w:autoSpaceDN/>
        <w:bidi w:val="0"/>
        <w:adjustRightInd/>
        <w:snapToGrid/>
        <w:textAlignment w:val="auto"/>
        <w:rPr>
          <w:rFonts w:hint="eastAsia"/>
          <w:highlight w:val="none"/>
          <w:lang w:eastAsia="zh-CN"/>
        </w:rPr>
      </w:pPr>
      <w:bookmarkStart w:id="248" w:name="_Toc1758358218"/>
      <w:bookmarkStart w:id="249" w:name="_Toc13040"/>
      <w:bookmarkStart w:id="250" w:name="_Toc4888"/>
      <w:bookmarkStart w:id="251" w:name="_Toc5093"/>
      <w:r>
        <w:rPr>
          <w:rFonts w:hint="eastAsia"/>
          <w:highlight w:val="none"/>
          <w:lang w:eastAsia="zh-CN"/>
        </w:rPr>
        <w:t>环境准备</w:t>
      </w:r>
      <w:bookmarkEnd w:id="248"/>
      <w:bookmarkEnd w:id="249"/>
      <w:bookmarkEnd w:id="250"/>
      <w:bookmarkEnd w:id="251"/>
    </w:p>
    <w:p w14:paraId="3A79B1EA">
      <w:pPr>
        <w:keepNext w:val="0"/>
        <w:keepLines w:val="0"/>
        <w:pageBreakBefore w:val="0"/>
        <w:widowControl w:val="0"/>
        <w:numPr>
          <w:ilvl w:val="0"/>
          <w:numId w:val="0"/>
        </w:numPr>
        <w:kinsoku/>
        <w:wordWrap w:val="0"/>
        <w:overflowPunct/>
        <w:topLinePunct w:val="0"/>
        <w:autoSpaceDE/>
        <w:autoSpaceDN/>
        <w:bidi w:val="0"/>
        <w:adjustRightInd/>
        <w:snapToGrid/>
        <w:ind w:firstLine="480"/>
        <w:textAlignment w:val="auto"/>
        <w:rPr>
          <w:rFonts w:hint="eastAsia"/>
          <w:highlight w:val="none"/>
          <w:lang w:eastAsia="zh-CN"/>
        </w:rPr>
      </w:pPr>
      <w:r>
        <w:rPr>
          <w:rFonts w:hint="eastAsia"/>
          <w:highlight w:val="none"/>
          <w:lang w:val="en-US" w:eastAsia="zh-CN"/>
        </w:rPr>
        <w:t>协助招标人</w:t>
      </w:r>
      <w:r>
        <w:rPr>
          <w:rFonts w:hint="eastAsia"/>
          <w:highlight w:val="none"/>
          <w:lang w:eastAsia="zh-CN"/>
        </w:rPr>
        <w:t>生产环境软硬件准备，主要包括服务器资源部署、操作系统部署、部署系统、软件准备、网络申请等。</w:t>
      </w:r>
    </w:p>
    <w:p w14:paraId="1FC20FF9">
      <w:pPr>
        <w:pStyle w:val="6"/>
        <w:keepNext w:val="0"/>
        <w:keepLines w:val="0"/>
        <w:pageBreakBefore w:val="0"/>
        <w:widowControl w:val="0"/>
        <w:kinsoku/>
        <w:wordWrap w:val="0"/>
        <w:overflowPunct/>
        <w:topLinePunct w:val="0"/>
        <w:autoSpaceDE/>
        <w:autoSpaceDN/>
        <w:bidi w:val="0"/>
        <w:adjustRightInd/>
        <w:snapToGrid/>
        <w:textAlignment w:val="auto"/>
        <w:rPr>
          <w:rFonts w:hint="eastAsia"/>
          <w:highlight w:val="none"/>
          <w:lang w:eastAsia="zh-CN"/>
        </w:rPr>
      </w:pPr>
      <w:bookmarkStart w:id="252" w:name="_Toc16916"/>
      <w:bookmarkStart w:id="253" w:name="_Toc1204103559"/>
      <w:bookmarkStart w:id="254" w:name="_Toc9947"/>
      <w:bookmarkStart w:id="255" w:name="_Toc25588"/>
      <w:r>
        <w:rPr>
          <w:rFonts w:hint="eastAsia"/>
          <w:highlight w:val="none"/>
          <w:lang w:eastAsia="zh-CN"/>
        </w:rPr>
        <w:t>系统初始化</w:t>
      </w:r>
      <w:bookmarkEnd w:id="252"/>
      <w:bookmarkEnd w:id="253"/>
      <w:bookmarkEnd w:id="254"/>
      <w:bookmarkEnd w:id="255"/>
    </w:p>
    <w:p w14:paraId="50049779">
      <w:pPr>
        <w:keepNext w:val="0"/>
        <w:keepLines w:val="0"/>
        <w:pageBreakBefore w:val="0"/>
        <w:widowControl w:val="0"/>
        <w:numPr>
          <w:ilvl w:val="0"/>
          <w:numId w:val="0"/>
        </w:numPr>
        <w:kinsoku/>
        <w:wordWrap w:val="0"/>
        <w:overflowPunct/>
        <w:topLinePunct w:val="0"/>
        <w:autoSpaceDE/>
        <w:autoSpaceDN/>
        <w:bidi w:val="0"/>
        <w:adjustRightInd/>
        <w:snapToGrid/>
        <w:ind w:firstLine="480"/>
        <w:textAlignment w:val="auto"/>
        <w:rPr>
          <w:rFonts w:hint="eastAsia"/>
          <w:highlight w:val="none"/>
          <w:lang w:eastAsia="zh-CN"/>
        </w:rPr>
      </w:pPr>
      <w:r>
        <w:rPr>
          <w:rFonts w:hint="eastAsia"/>
          <w:highlight w:val="none"/>
          <w:lang w:eastAsia="zh-CN"/>
        </w:rPr>
        <w:t>协助招标</w:t>
      </w:r>
      <w:r>
        <w:rPr>
          <w:rFonts w:hint="eastAsia"/>
          <w:highlight w:val="none"/>
          <w:lang w:val="en-US" w:eastAsia="zh-CN"/>
        </w:rPr>
        <w:t>人</w:t>
      </w:r>
      <w:r>
        <w:rPr>
          <w:rFonts w:hint="eastAsia"/>
          <w:highlight w:val="none"/>
          <w:lang w:eastAsia="zh-CN"/>
        </w:rPr>
        <w:t>进行系统数据收集，为招标</w:t>
      </w:r>
      <w:r>
        <w:rPr>
          <w:rFonts w:hint="eastAsia"/>
          <w:highlight w:val="none"/>
          <w:lang w:val="en-US" w:eastAsia="zh-CN"/>
        </w:rPr>
        <w:t>人</w:t>
      </w:r>
      <w:r>
        <w:rPr>
          <w:rFonts w:hint="eastAsia"/>
          <w:highlight w:val="none"/>
          <w:lang w:eastAsia="zh-CN"/>
        </w:rPr>
        <w:t>在基础数据收集过程中提供答疑等指导工作。</w:t>
      </w:r>
    </w:p>
    <w:p w14:paraId="4DC7D742">
      <w:pPr>
        <w:pStyle w:val="6"/>
        <w:keepNext w:val="0"/>
        <w:keepLines w:val="0"/>
        <w:pageBreakBefore w:val="0"/>
        <w:widowControl w:val="0"/>
        <w:kinsoku/>
        <w:wordWrap w:val="0"/>
        <w:overflowPunct/>
        <w:topLinePunct w:val="0"/>
        <w:autoSpaceDE/>
        <w:autoSpaceDN/>
        <w:bidi w:val="0"/>
        <w:adjustRightInd/>
        <w:snapToGrid/>
        <w:textAlignment w:val="auto"/>
        <w:rPr>
          <w:rFonts w:hint="eastAsia"/>
          <w:highlight w:val="none"/>
          <w:lang w:eastAsia="zh-CN"/>
        </w:rPr>
      </w:pPr>
      <w:bookmarkStart w:id="256" w:name="_Toc1630110432"/>
      <w:bookmarkStart w:id="257" w:name="_Toc28447"/>
      <w:bookmarkStart w:id="258" w:name="_Toc25936"/>
      <w:bookmarkStart w:id="259" w:name="_Toc30648"/>
      <w:r>
        <w:rPr>
          <w:rFonts w:hint="eastAsia"/>
          <w:highlight w:val="none"/>
          <w:lang w:eastAsia="zh-CN"/>
        </w:rPr>
        <w:t>集成调试</w:t>
      </w:r>
      <w:bookmarkEnd w:id="256"/>
      <w:bookmarkEnd w:id="257"/>
      <w:bookmarkEnd w:id="258"/>
      <w:bookmarkEnd w:id="259"/>
    </w:p>
    <w:p w14:paraId="03883108">
      <w:pPr>
        <w:keepNext w:val="0"/>
        <w:keepLines w:val="0"/>
        <w:pageBreakBefore w:val="0"/>
        <w:widowControl w:val="0"/>
        <w:numPr>
          <w:ilvl w:val="0"/>
          <w:numId w:val="0"/>
        </w:numPr>
        <w:kinsoku/>
        <w:wordWrap w:val="0"/>
        <w:overflowPunct/>
        <w:topLinePunct w:val="0"/>
        <w:autoSpaceDE/>
        <w:autoSpaceDN/>
        <w:bidi w:val="0"/>
        <w:adjustRightInd/>
        <w:snapToGrid/>
        <w:ind w:firstLine="480"/>
        <w:textAlignment w:val="auto"/>
        <w:rPr>
          <w:rFonts w:hint="eastAsia"/>
          <w:highlight w:val="none"/>
          <w:lang w:eastAsia="zh-CN"/>
        </w:rPr>
      </w:pPr>
      <w:r>
        <w:rPr>
          <w:rFonts w:hint="eastAsia"/>
          <w:highlight w:val="none"/>
          <w:lang w:eastAsia="zh-CN"/>
        </w:rPr>
        <w:t>确保各软件模块或子系统在集成后能够协同工作，满足系统整体的功能、性能和稳定性要求。</w:t>
      </w:r>
    </w:p>
    <w:p w14:paraId="7D3F1853">
      <w:pPr>
        <w:pStyle w:val="6"/>
        <w:keepNext w:val="0"/>
        <w:keepLines w:val="0"/>
        <w:pageBreakBefore w:val="0"/>
        <w:widowControl w:val="0"/>
        <w:kinsoku/>
        <w:wordWrap w:val="0"/>
        <w:overflowPunct/>
        <w:topLinePunct w:val="0"/>
        <w:autoSpaceDE/>
        <w:autoSpaceDN/>
        <w:bidi w:val="0"/>
        <w:adjustRightInd/>
        <w:snapToGrid/>
        <w:textAlignment w:val="auto"/>
        <w:rPr>
          <w:rFonts w:hint="default"/>
          <w:highlight w:val="none"/>
          <w:lang w:val="en-US" w:eastAsia="zh-CN"/>
        </w:rPr>
      </w:pPr>
      <w:bookmarkStart w:id="260" w:name="_Toc1817145845"/>
      <w:bookmarkStart w:id="261" w:name="_Toc21536"/>
      <w:bookmarkStart w:id="262" w:name="_Toc11382"/>
      <w:bookmarkStart w:id="263" w:name="_Toc27881"/>
      <w:r>
        <w:rPr>
          <w:rFonts w:hint="eastAsia"/>
          <w:highlight w:val="none"/>
          <w:lang w:val="en-US" w:eastAsia="zh-CN"/>
        </w:rPr>
        <w:t>初验验收</w:t>
      </w:r>
      <w:bookmarkEnd w:id="260"/>
      <w:bookmarkEnd w:id="261"/>
      <w:bookmarkEnd w:id="262"/>
      <w:bookmarkEnd w:id="263"/>
    </w:p>
    <w:p w14:paraId="735FA0FE">
      <w:pPr>
        <w:keepNext w:val="0"/>
        <w:keepLines w:val="0"/>
        <w:pageBreakBefore w:val="0"/>
        <w:widowControl w:val="0"/>
        <w:numPr>
          <w:ilvl w:val="0"/>
          <w:numId w:val="0"/>
        </w:numPr>
        <w:kinsoku/>
        <w:wordWrap w:val="0"/>
        <w:overflowPunct/>
        <w:topLinePunct w:val="0"/>
        <w:autoSpaceDE/>
        <w:autoSpaceDN/>
        <w:bidi w:val="0"/>
        <w:adjustRightInd/>
        <w:snapToGrid/>
        <w:ind w:firstLine="480"/>
        <w:textAlignment w:val="auto"/>
        <w:rPr>
          <w:rFonts w:hint="default"/>
          <w:highlight w:val="none"/>
          <w:lang w:val="en-US" w:eastAsia="zh-CN"/>
        </w:rPr>
      </w:pPr>
      <w:r>
        <w:rPr>
          <w:rFonts w:hint="default"/>
          <w:highlight w:val="none"/>
          <w:lang w:val="en-US" w:eastAsia="zh-CN"/>
        </w:rPr>
        <w:t>系统</w:t>
      </w:r>
      <w:r>
        <w:rPr>
          <w:rFonts w:hint="eastAsia"/>
          <w:highlight w:val="none"/>
          <w:lang w:val="en-US" w:eastAsia="zh-CN"/>
        </w:rPr>
        <w:t>通过</w:t>
      </w:r>
      <w:r>
        <w:rPr>
          <w:rFonts w:hint="default"/>
          <w:highlight w:val="none"/>
          <w:lang w:val="en-US" w:eastAsia="zh-CN"/>
        </w:rPr>
        <w:t>招</w:t>
      </w:r>
      <w:r>
        <w:rPr>
          <w:rFonts w:hint="eastAsia"/>
          <w:highlight w:val="none"/>
          <w:lang w:val="en-US" w:eastAsia="zh-CN"/>
        </w:rPr>
        <w:t>标人</w:t>
      </w:r>
      <w:r>
        <w:rPr>
          <w:rFonts w:hint="default"/>
          <w:highlight w:val="none"/>
          <w:lang w:val="en-US" w:eastAsia="zh-CN"/>
        </w:rPr>
        <w:t>组织的功能、性能、安全测试；提交初步验收相关资料并通过审查时，投标</w:t>
      </w:r>
      <w:r>
        <w:rPr>
          <w:rFonts w:hint="eastAsia"/>
          <w:highlight w:val="none"/>
          <w:lang w:val="en-US" w:eastAsia="zh-CN"/>
        </w:rPr>
        <w:t>人</w:t>
      </w:r>
      <w:r>
        <w:rPr>
          <w:rFonts w:hint="default"/>
          <w:highlight w:val="none"/>
          <w:lang w:val="en-US" w:eastAsia="zh-CN"/>
        </w:rPr>
        <w:t>可申请初步验收，招标</w:t>
      </w:r>
      <w:r>
        <w:rPr>
          <w:rFonts w:hint="eastAsia"/>
          <w:highlight w:val="none"/>
          <w:lang w:val="en-US" w:eastAsia="zh-CN"/>
        </w:rPr>
        <w:t>人</w:t>
      </w:r>
      <w:r>
        <w:rPr>
          <w:rFonts w:hint="default"/>
          <w:highlight w:val="none"/>
          <w:lang w:val="en-US" w:eastAsia="zh-CN"/>
        </w:rPr>
        <w:t>审批投标</w:t>
      </w:r>
      <w:r>
        <w:rPr>
          <w:rFonts w:hint="eastAsia"/>
          <w:highlight w:val="none"/>
          <w:lang w:val="en-US" w:eastAsia="zh-CN"/>
        </w:rPr>
        <w:t>人</w:t>
      </w:r>
      <w:r>
        <w:rPr>
          <w:rFonts w:hint="default"/>
          <w:highlight w:val="none"/>
          <w:lang w:val="en-US" w:eastAsia="zh-CN"/>
        </w:rPr>
        <w:t>提交的初步验收申请，当确定项目满足验收条件后组织验收</w:t>
      </w:r>
      <w:r>
        <w:rPr>
          <w:rFonts w:hint="eastAsia"/>
          <w:highlight w:val="none"/>
          <w:lang w:val="en-US" w:eastAsia="zh-CN"/>
        </w:rPr>
        <w:t>。</w:t>
      </w:r>
    </w:p>
    <w:p w14:paraId="37990B6F">
      <w:pPr>
        <w:pStyle w:val="6"/>
        <w:keepNext w:val="0"/>
        <w:keepLines w:val="0"/>
        <w:pageBreakBefore w:val="0"/>
        <w:widowControl w:val="0"/>
        <w:kinsoku/>
        <w:wordWrap w:val="0"/>
        <w:overflowPunct/>
        <w:topLinePunct w:val="0"/>
        <w:autoSpaceDE/>
        <w:autoSpaceDN/>
        <w:bidi w:val="0"/>
        <w:adjustRightInd/>
        <w:snapToGrid/>
        <w:textAlignment w:val="auto"/>
        <w:rPr>
          <w:rFonts w:hint="eastAsia"/>
          <w:highlight w:val="none"/>
          <w:lang w:eastAsia="zh-CN"/>
        </w:rPr>
      </w:pPr>
      <w:bookmarkStart w:id="264" w:name="_Toc8636"/>
      <w:bookmarkStart w:id="265" w:name="_Toc14238"/>
      <w:bookmarkStart w:id="266" w:name="_Toc1405272928"/>
      <w:bookmarkStart w:id="267" w:name="_Toc7173"/>
      <w:r>
        <w:rPr>
          <w:rFonts w:hint="eastAsia"/>
          <w:highlight w:val="none"/>
          <w:lang w:eastAsia="zh-CN"/>
        </w:rPr>
        <w:t>试运行</w:t>
      </w:r>
      <w:bookmarkEnd w:id="264"/>
      <w:bookmarkEnd w:id="265"/>
      <w:bookmarkEnd w:id="266"/>
      <w:bookmarkEnd w:id="267"/>
    </w:p>
    <w:p w14:paraId="3D89959C">
      <w:pPr>
        <w:keepNext w:val="0"/>
        <w:keepLines w:val="0"/>
        <w:pageBreakBefore w:val="0"/>
        <w:widowControl w:val="0"/>
        <w:numPr>
          <w:ilvl w:val="0"/>
          <w:numId w:val="0"/>
        </w:numPr>
        <w:kinsoku/>
        <w:wordWrap w:val="0"/>
        <w:overflowPunct/>
        <w:topLinePunct w:val="0"/>
        <w:autoSpaceDE/>
        <w:autoSpaceDN/>
        <w:bidi w:val="0"/>
        <w:adjustRightInd/>
        <w:snapToGrid/>
        <w:ind w:firstLine="480"/>
        <w:textAlignment w:val="auto"/>
        <w:rPr>
          <w:rFonts w:hint="eastAsia"/>
          <w:highlight w:val="none"/>
          <w:lang w:eastAsia="zh-CN"/>
        </w:rPr>
      </w:pPr>
      <w:r>
        <w:rPr>
          <w:rFonts w:hint="eastAsia"/>
          <w:highlight w:val="none"/>
          <w:lang w:eastAsia="zh-CN"/>
        </w:rPr>
        <w:t>为确保系统正式运行前各项功能正常、稳定、可靠，组织各方开展系统试运行工作，</w:t>
      </w:r>
      <w:r>
        <w:rPr>
          <w:rFonts w:hint="eastAsia"/>
          <w:highlight w:val="none"/>
          <w:lang w:val="en-US" w:eastAsia="zh-CN"/>
        </w:rPr>
        <w:t>本项目试运行时间不少于1个月</w:t>
      </w:r>
      <w:r>
        <w:rPr>
          <w:rFonts w:hint="eastAsia"/>
          <w:highlight w:val="none"/>
          <w:lang w:eastAsia="zh-CN"/>
        </w:rPr>
        <w:t>。</w:t>
      </w:r>
    </w:p>
    <w:p w14:paraId="56CA0DB1">
      <w:pPr>
        <w:pStyle w:val="6"/>
        <w:keepNext w:val="0"/>
        <w:keepLines w:val="0"/>
        <w:pageBreakBefore w:val="0"/>
        <w:widowControl w:val="0"/>
        <w:kinsoku/>
        <w:wordWrap w:val="0"/>
        <w:overflowPunct/>
        <w:topLinePunct w:val="0"/>
        <w:autoSpaceDE/>
        <w:autoSpaceDN/>
        <w:bidi w:val="0"/>
        <w:adjustRightInd/>
        <w:snapToGrid/>
        <w:textAlignment w:val="auto"/>
        <w:rPr>
          <w:rFonts w:hint="default"/>
          <w:highlight w:val="none"/>
          <w:lang w:val="en-US" w:eastAsia="zh-CN"/>
        </w:rPr>
      </w:pPr>
      <w:bookmarkStart w:id="268" w:name="_Toc396951190"/>
      <w:bookmarkStart w:id="269" w:name="_Toc12784"/>
      <w:bookmarkStart w:id="270" w:name="_Toc481"/>
      <w:bookmarkStart w:id="271" w:name="_Toc19010"/>
      <w:r>
        <w:rPr>
          <w:rFonts w:hint="eastAsia"/>
          <w:highlight w:val="none"/>
          <w:lang w:val="en-US" w:eastAsia="zh-CN"/>
        </w:rPr>
        <w:t>竣工验收</w:t>
      </w:r>
      <w:bookmarkEnd w:id="268"/>
      <w:bookmarkEnd w:id="269"/>
      <w:bookmarkEnd w:id="270"/>
      <w:bookmarkEnd w:id="271"/>
    </w:p>
    <w:p w14:paraId="7F166234">
      <w:pPr>
        <w:keepNext w:val="0"/>
        <w:keepLines w:val="0"/>
        <w:pageBreakBefore w:val="0"/>
        <w:widowControl w:val="0"/>
        <w:numPr>
          <w:ilvl w:val="0"/>
          <w:numId w:val="0"/>
        </w:numPr>
        <w:kinsoku/>
        <w:wordWrap w:val="0"/>
        <w:overflowPunct/>
        <w:topLinePunct w:val="0"/>
        <w:autoSpaceDE/>
        <w:autoSpaceDN/>
        <w:bidi w:val="0"/>
        <w:adjustRightInd/>
        <w:snapToGrid/>
        <w:ind w:firstLine="480"/>
        <w:textAlignment w:val="auto"/>
        <w:rPr>
          <w:rFonts w:hint="default"/>
          <w:highlight w:val="none"/>
          <w:lang w:val="en-US" w:eastAsia="zh-CN"/>
        </w:rPr>
      </w:pPr>
      <w:r>
        <w:rPr>
          <w:rFonts w:hint="eastAsia"/>
          <w:highlight w:val="none"/>
          <w:lang w:val="en-US" w:eastAsia="zh-CN"/>
        </w:rPr>
        <w:t>试运行结束后，投标人</w:t>
      </w:r>
      <w:r>
        <w:rPr>
          <w:rFonts w:hint="default"/>
          <w:highlight w:val="none"/>
          <w:lang w:val="en-US" w:eastAsia="zh-CN"/>
        </w:rPr>
        <w:t>提交竣工验收相关资料并</w:t>
      </w:r>
      <w:r>
        <w:rPr>
          <w:rFonts w:hint="eastAsia"/>
          <w:highlight w:val="none"/>
          <w:lang w:val="en-US" w:eastAsia="zh-CN"/>
        </w:rPr>
        <w:t>通过</w:t>
      </w:r>
      <w:r>
        <w:rPr>
          <w:rFonts w:hint="default"/>
          <w:highlight w:val="none"/>
          <w:lang w:val="en-US" w:eastAsia="zh-CN"/>
        </w:rPr>
        <w:t>审查时，投标</w:t>
      </w:r>
      <w:r>
        <w:rPr>
          <w:rFonts w:hint="eastAsia"/>
          <w:highlight w:val="none"/>
          <w:lang w:val="en-US" w:eastAsia="zh-CN"/>
        </w:rPr>
        <w:t>人</w:t>
      </w:r>
      <w:r>
        <w:rPr>
          <w:rFonts w:hint="default"/>
          <w:highlight w:val="none"/>
          <w:lang w:val="en-US" w:eastAsia="zh-CN"/>
        </w:rPr>
        <w:t>可申请项目竣工验收，招标</w:t>
      </w:r>
      <w:r>
        <w:rPr>
          <w:rFonts w:hint="eastAsia"/>
          <w:highlight w:val="none"/>
          <w:lang w:val="en-US" w:eastAsia="zh-CN"/>
        </w:rPr>
        <w:t>人</w:t>
      </w:r>
      <w:r>
        <w:rPr>
          <w:rFonts w:hint="default"/>
          <w:highlight w:val="none"/>
          <w:lang w:val="en-US" w:eastAsia="zh-CN"/>
        </w:rPr>
        <w:t>审批投标</w:t>
      </w:r>
      <w:r>
        <w:rPr>
          <w:rFonts w:hint="eastAsia"/>
          <w:highlight w:val="none"/>
          <w:lang w:val="en-US" w:eastAsia="zh-CN"/>
        </w:rPr>
        <w:t>人</w:t>
      </w:r>
      <w:r>
        <w:rPr>
          <w:rFonts w:hint="default"/>
          <w:highlight w:val="none"/>
          <w:lang w:val="en-US" w:eastAsia="zh-CN"/>
        </w:rPr>
        <w:t>提交的项目竣工验收申请，确定项目满足验收条件后组织验收</w:t>
      </w:r>
      <w:r>
        <w:rPr>
          <w:rFonts w:hint="eastAsia"/>
          <w:highlight w:val="none"/>
          <w:lang w:val="en-US" w:eastAsia="zh-CN"/>
        </w:rPr>
        <w:t>。</w:t>
      </w:r>
    </w:p>
    <w:p w14:paraId="1C116F2A">
      <w:pPr>
        <w:pStyle w:val="4"/>
        <w:bidi w:val="0"/>
        <w:rPr>
          <w:rFonts w:hint="eastAsia"/>
          <w:color w:val="auto"/>
          <w:highlight w:val="none"/>
        </w:rPr>
      </w:pPr>
      <w:bookmarkStart w:id="272" w:name="_Toc9471"/>
      <w:bookmarkStart w:id="273" w:name="_Toc27856"/>
      <w:bookmarkStart w:id="274" w:name="_Toc24963"/>
      <w:bookmarkStart w:id="275" w:name="_Toc1474442748"/>
      <w:bookmarkStart w:id="276" w:name="_Toc2566"/>
      <w:bookmarkStart w:id="277" w:name="_Toc26569"/>
      <w:bookmarkStart w:id="278" w:name="_Toc8522"/>
      <w:bookmarkStart w:id="279" w:name="_Toc9089876"/>
      <w:r>
        <w:rPr>
          <w:rFonts w:hint="eastAsia"/>
          <w:color w:val="auto"/>
          <w:highlight w:val="none"/>
          <w:lang w:val="en-US" w:eastAsia="zh-CN"/>
        </w:rPr>
        <w:t>工作成果交付</w:t>
      </w:r>
      <w:bookmarkEnd w:id="272"/>
      <w:bookmarkEnd w:id="273"/>
      <w:bookmarkEnd w:id="274"/>
      <w:bookmarkEnd w:id="275"/>
      <w:bookmarkEnd w:id="276"/>
      <w:bookmarkEnd w:id="277"/>
      <w:bookmarkEnd w:id="278"/>
    </w:p>
    <w:p w14:paraId="6BD17320">
      <w:pPr>
        <w:spacing w:line="360" w:lineRule="auto"/>
        <w:ind w:firstLine="480"/>
        <w:jc w:val="left"/>
        <w:rPr>
          <w:rFonts w:hAnsi="宋体"/>
          <w:color w:val="auto"/>
          <w:kern w:val="0"/>
          <w:szCs w:val="24"/>
          <w:highlight w:val="none"/>
        </w:rPr>
      </w:pPr>
      <w:r>
        <w:rPr>
          <w:rFonts w:hint="eastAsia" w:ascii="宋体" w:hAnsi="宋体" w:cs="宋体"/>
          <w:color w:val="auto"/>
          <w:kern w:val="0"/>
          <w:szCs w:val="24"/>
          <w:highlight w:val="none"/>
          <w:lang w:eastAsia="zh-CN" w:bidi="ar"/>
        </w:rPr>
        <w:t>投标人</w:t>
      </w:r>
      <w:r>
        <w:rPr>
          <w:rFonts w:hint="eastAsia" w:ascii="宋体" w:hAnsi="宋体" w:cs="宋体"/>
          <w:color w:val="auto"/>
          <w:kern w:val="0"/>
          <w:szCs w:val="24"/>
          <w:highlight w:val="none"/>
          <w:lang w:bidi="ar"/>
        </w:rPr>
        <w:t>应在合同规定时间内，</w:t>
      </w:r>
      <w:r>
        <w:rPr>
          <w:rFonts w:hint="eastAsia" w:ascii="宋体" w:hAnsi="宋体" w:cs="宋体"/>
          <w:color w:val="auto"/>
          <w:kern w:val="0"/>
          <w:szCs w:val="24"/>
          <w:highlight w:val="none"/>
          <w:lang w:val="en-US" w:eastAsia="zh-CN" w:bidi="ar"/>
        </w:rPr>
        <w:t>协助招标人</w:t>
      </w:r>
      <w:r>
        <w:rPr>
          <w:rFonts w:hint="eastAsia" w:ascii="宋体" w:hAnsi="宋体" w:cs="宋体"/>
          <w:color w:val="auto"/>
          <w:kern w:val="0"/>
          <w:szCs w:val="24"/>
          <w:highlight w:val="none"/>
          <w:lang w:bidi="ar"/>
        </w:rPr>
        <w:t>将招标范围内所界定的工作完成，并向</w:t>
      </w:r>
      <w:r>
        <w:rPr>
          <w:rFonts w:hint="eastAsia" w:ascii="宋体" w:hAnsi="宋体" w:cs="宋体"/>
          <w:color w:val="auto"/>
          <w:kern w:val="0"/>
          <w:szCs w:val="24"/>
          <w:highlight w:val="none"/>
          <w:lang w:eastAsia="zh-CN" w:bidi="ar"/>
        </w:rPr>
        <w:t>招标人</w:t>
      </w:r>
      <w:r>
        <w:rPr>
          <w:rFonts w:hint="eastAsia" w:ascii="宋体" w:hAnsi="宋体" w:cs="宋体"/>
          <w:color w:val="auto"/>
          <w:kern w:val="0"/>
          <w:szCs w:val="24"/>
          <w:highlight w:val="none"/>
          <w:lang w:bidi="ar"/>
        </w:rPr>
        <w:t>提交，但不限于以下交付项：</w:t>
      </w:r>
    </w:p>
    <w:p w14:paraId="05F7FCFB">
      <w:pPr>
        <w:keepNext w:val="0"/>
        <w:keepLines w:val="0"/>
        <w:pageBreakBefore w:val="0"/>
        <w:numPr>
          <w:ilvl w:val="0"/>
          <w:numId w:val="21"/>
        </w:numPr>
        <w:tabs>
          <w:tab w:val="clear" w:pos="0"/>
        </w:tabs>
        <w:kinsoku/>
        <w:overflowPunct/>
        <w:topLinePunct w:val="0"/>
        <w:autoSpaceDE w:val="0"/>
        <w:autoSpaceDN w:val="0"/>
        <w:bidi w:val="0"/>
        <w:adjustRightInd w:val="0"/>
        <w:snapToGrid/>
        <w:spacing w:beforeAutospacing="0" w:afterAutospacing="0" w:line="360" w:lineRule="auto"/>
        <w:ind w:left="0" w:leftChars="0" w:firstLine="480" w:firstLineChars="200"/>
        <w:textAlignment w:val="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满足本文件的项目目标和相应的技术要求、业务要求且最终运行良好的应用软件系统；</w:t>
      </w:r>
    </w:p>
    <w:p w14:paraId="0AB399D1">
      <w:pPr>
        <w:keepNext w:val="0"/>
        <w:keepLines w:val="0"/>
        <w:pageBreakBefore w:val="0"/>
        <w:numPr>
          <w:ilvl w:val="0"/>
          <w:numId w:val="21"/>
        </w:numPr>
        <w:tabs>
          <w:tab w:val="clear" w:pos="0"/>
        </w:tabs>
        <w:kinsoku/>
        <w:overflowPunct/>
        <w:topLinePunct w:val="0"/>
        <w:autoSpaceDE w:val="0"/>
        <w:autoSpaceDN w:val="0"/>
        <w:bidi w:val="0"/>
        <w:adjustRightInd w:val="0"/>
        <w:snapToGrid/>
        <w:spacing w:beforeAutospacing="0" w:afterAutospacing="0" w:line="360" w:lineRule="auto"/>
        <w:ind w:left="0" w:leftChars="0" w:firstLine="480" w:firstLineChars="200"/>
        <w:textAlignment w:val="auto"/>
        <w:rPr>
          <w:rFonts w:hint="eastAsia" w:ascii="宋体" w:hAnsi="宋体" w:cs="宋体"/>
          <w:color w:val="auto"/>
          <w:szCs w:val="24"/>
          <w:highlight w:val="none"/>
          <w:lang w:val="en-US" w:eastAsia="zh-CN" w:bidi="ar"/>
        </w:rPr>
      </w:pPr>
      <w:r>
        <w:rPr>
          <w:rFonts w:hint="eastAsia" w:ascii="宋体" w:hAnsi="宋体" w:cs="宋体"/>
          <w:color w:val="auto"/>
          <w:szCs w:val="24"/>
          <w:highlight w:val="none"/>
          <w:lang w:val="en-US" w:eastAsia="zh-CN" w:bidi="ar"/>
        </w:rPr>
        <w:t>满足确保系统正常运行所需的管理、运营及维护有关的全套技术文件：</w:t>
      </w:r>
      <w:r>
        <w:rPr>
          <w:rFonts w:hint="eastAsia" w:ascii="宋体" w:hAnsi="宋体" w:cs="宋体" w:eastAsiaTheme="minorEastAsia"/>
          <w:color w:val="auto"/>
          <w:sz w:val="24"/>
          <w:szCs w:val="24"/>
          <w:highlight w:val="none"/>
          <w:vertAlign w:val="baseline"/>
          <w:lang w:val="en-US" w:eastAsia="zh-CN" w:bidi="ar"/>
        </w:rPr>
        <w:t>包括不限于：</w:t>
      </w:r>
    </w:p>
    <w:p w14:paraId="4DC5D9D2">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系统设计方案</w:t>
      </w:r>
    </w:p>
    <w:p w14:paraId="469D1AF3">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系统测试方案</w:t>
      </w:r>
    </w:p>
    <w:p w14:paraId="689CBFD1">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测试用例</w:t>
      </w:r>
    </w:p>
    <w:p w14:paraId="11E74078">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出厂测试报告</w:t>
      </w:r>
    </w:p>
    <w:p w14:paraId="4B0DC4C8">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试运行报告</w:t>
      </w:r>
    </w:p>
    <w:p w14:paraId="2B78D1A9">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操作手册</w:t>
      </w:r>
    </w:p>
    <w:p w14:paraId="35715253">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维护手册</w:t>
      </w:r>
    </w:p>
    <w:p w14:paraId="04F18701">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软件模块源代码及相关脚本（源代码中应有必要、符合规范的中文注释）</w:t>
      </w:r>
    </w:p>
    <w:p w14:paraId="35E0738A">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系统部署说明书</w:t>
      </w:r>
    </w:p>
    <w:p w14:paraId="01BB12A8">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系统数据维护手册</w:t>
      </w:r>
    </w:p>
    <w:p w14:paraId="5FA2B47B">
      <w:pPr>
        <w:keepNext w:val="0"/>
        <w:keepLines w:val="0"/>
        <w:pageBreakBefore w:val="0"/>
        <w:widowControl w:val="0"/>
        <w:numPr>
          <w:ilvl w:val="0"/>
          <w:numId w:val="22"/>
        </w:numPr>
        <w:kinsoku/>
        <w:wordWrap/>
        <w:overflowPunct/>
        <w:topLinePunct w:val="0"/>
        <w:autoSpaceDE/>
        <w:autoSpaceDN/>
        <w:bidi w:val="0"/>
        <w:adjustRightInd/>
        <w:snapToGrid/>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系统配置手册</w:t>
      </w:r>
    </w:p>
    <w:p w14:paraId="454F870F">
      <w:pPr>
        <w:pStyle w:val="19"/>
        <w:keepNext w:val="0"/>
        <w:keepLines w:val="0"/>
        <w:pageBreakBefore w:val="0"/>
        <w:numPr>
          <w:ilvl w:val="0"/>
          <w:numId w:val="0"/>
        </w:numPr>
        <w:kinsoku/>
        <w:overflowPunct/>
        <w:topLinePunct w:val="0"/>
        <w:bidi w:val="0"/>
        <w:snapToGrid/>
        <w:spacing w:before="0" w:beforeAutospacing="0" w:after="0" w:afterAutospacing="0" w:line="360" w:lineRule="auto"/>
        <w:ind w:left="0" w:leftChars="0" w:firstLine="480" w:firstLineChars="200"/>
        <w:jc w:val="both"/>
        <w:textAlignment w:val="auto"/>
        <w:rPr>
          <w:rFonts w:ascii="宋体" w:hAnsi="宋体" w:cs="宋体"/>
          <w:color w:val="auto"/>
          <w:kern w:val="0"/>
          <w:szCs w:val="24"/>
          <w:highlight w:val="none"/>
          <w:lang w:bidi="ar"/>
        </w:rPr>
      </w:pPr>
      <w:r>
        <w:rPr>
          <w:rFonts w:hint="eastAsia" w:ascii="宋体" w:hAnsi="宋体" w:cs="宋体"/>
          <w:color w:val="auto"/>
          <w:kern w:val="0"/>
          <w:szCs w:val="24"/>
          <w:highlight w:val="none"/>
          <w:lang w:bidi="ar"/>
        </w:rPr>
        <w:t>提交文档不限于此，以</w:t>
      </w:r>
      <w:r>
        <w:rPr>
          <w:rFonts w:hint="eastAsia" w:cs="宋体"/>
          <w:color w:val="auto"/>
          <w:kern w:val="0"/>
          <w:szCs w:val="24"/>
          <w:highlight w:val="none"/>
          <w:lang w:eastAsia="zh-CN" w:bidi="ar"/>
        </w:rPr>
        <w:t>招标人</w:t>
      </w:r>
      <w:r>
        <w:rPr>
          <w:rFonts w:hint="eastAsia" w:ascii="宋体" w:hAnsi="宋体" w:cs="宋体"/>
          <w:color w:val="auto"/>
          <w:kern w:val="0"/>
          <w:szCs w:val="24"/>
          <w:highlight w:val="none"/>
          <w:lang w:bidi="ar"/>
        </w:rPr>
        <w:t>要求为主。</w:t>
      </w:r>
    </w:p>
    <w:p w14:paraId="56B29D14">
      <w:pPr>
        <w:pStyle w:val="2"/>
        <w:spacing w:line="360" w:lineRule="auto"/>
        <w:rPr>
          <w:color w:val="auto"/>
          <w:highlight w:val="none"/>
        </w:rPr>
      </w:pPr>
    </w:p>
    <w:p w14:paraId="485C4E6E">
      <w:pPr>
        <w:pStyle w:val="4"/>
        <w:spacing w:line="360" w:lineRule="auto"/>
        <w:rPr>
          <w:color w:val="auto"/>
          <w:highlight w:val="none"/>
        </w:rPr>
      </w:pPr>
      <w:bookmarkStart w:id="280" w:name="_Toc25144"/>
      <w:bookmarkStart w:id="281" w:name="_Toc15623"/>
      <w:bookmarkStart w:id="282" w:name="_Toc24128"/>
      <w:bookmarkStart w:id="283" w:name="_Toc19081"/>
      <w:bookmarkStart w:id="284" w:name="_Toc1145462903"/>
      <w:bookmarkStart w:id="285" w:name="_Toc20684"/>
      <w:bookmarkStart w:id="286" w:name="_Toc4061"/>
      <w:r>
        <w:rPr>
          <w:rFonts w:hint="eastAsia"/>
          <w:color w:val="auto"/>
          <w:highlight w:val="none"/>
        </w:rPr>
        <w:t>项目售后服务</w:t>
      </w:r>
      <w:r>
        <w:rPr>
          <w:color w:val="auto"/>
          <w:highlight w:val="none"/>
        </w:rPr>
        <w:t>要求</w:t>
      </w:r>
      <w:bookmarkEnd w:id="279"/>
      <w:bookmarkEnd w:id="280"/>
      <w:bookmarkEnd w:id="281"/>
      <w:bookmarkEnd w:id="282"/>
      <w:bookmarkEnd w:id="283"/>
      <w:bookmarkEnd w:id="284"/>
      <w:bookmarkEnd w:id="285"/>
      <w:bookmarkEnd w:id="286"/>
    </w:p>
    <w:p w14:paraId="09B6800B">
      <w:pPr>
        <w:pStyle w:val="5"/>
        <w:spacing w:line="360" w:lineRule="auto"/>
        <w:rPr>
          <w:color w:val="auto"/>
          <w:highlight w:val="none"/>
        </w:rPr>
      </w:pPr>
      <w:bookmarkStart w:id="287" w:name="_Toc114153337"/>
      <w:bookmarkStart w:id="288" w:name="_Toc8097"/>
      <w:bookmarkStart w:id="289" w:name="_Toc24449"/>
      <w:bookmarkStart w:id="290" w:name="_Toc7095"/>
      <w:bookmarkStart w:id="291" w:name="_Toc1450"/>
      <w:bookmarkStart w:id="292" w:name="_Toc18774"/>
      <w:bookmarkStart w:id="293" w:name="_Toc17948"/>
      <w:bookmarkStart w:id="294" w:name="_Toc1751599013"/>
      <w:r>
        <w:rPr>
          <w:rFonts w:hint="eastAsia"/>
          <w:color w:val="auto"/>
          <w:highlight w:val="none"/>
        </w:rPr>
        <w:t>质保服务</w:t>
      </w:r>
      <w:bookmarkEnd w:id="287"/>
      <w:bookmarkEnd w:id="288"/>
      <w:bookmarkEnd w:id="289"/>
      <w:bookmarkEnd w:id="290"/>
      <w:bookmarkEnd w:id="291"/>
      <w:bookmarkEnd w:id="292"/>
      <w:bookmarkEnd w:id="293"/>
      <w:bookmarkEnd w:id="294"/>
    </w:p>
    <w:p w14:paraId="465FBC33">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bookmarkStart w:id="295" w:name="_Hlk114148820"/>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必须对提交的软件产品（含第三方产品和自主版权软件产品）提供</w:t>
      </w:r>
      <w:bookmarkStart w:id="296" w:name="_Hlk111054641"/>
      <w:r>
        <w:rPr>
          <w:rFonts w:hint="eastAsia" w:ascii="宋体" w:hAnsi="宋体" w:cs="宋体"/>
          <w:color w:val="auto"/>
          <w:szCs w:val="24"/>
          <w:highlight w:val="none"/>
          <w:lang w:bidi="ar"/>
        </w:rPr>
        <w:t>12个月的现场质保服务，技术人员更换需要经过</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同意。</w:t>
      </w:r>
      <w:bookmarkEnd w:id="296"/>
    </w:p>
    <w:bookmarkEnd w:id="295"/>
    <w:p w14:paraId="59AAE3C4">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bookmarkStart w:id="297" w:name="_Toc19718"/>
      <w:bookmarkStart w:id="298" w:name="_Toc30570"/>
      <w:r>
        <w:rPr>
          <w:rFonts w:hint="eastAsia" w:ascii="宋体" w:hAnsi="宋体" w:cs="宋体"/>
          <w:color w:val="auto"/>
          <w:szCs w:val="24"/>
          <w:highlight w:val="none"/>
          <w:lang w:bidi="ar"/>
        </w:rPr>
        <w:t>质保服务期间如果</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推出新的版本，如</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认为必要，</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应提供免费升级。在软件升级时，</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应派技术人员到场安装调试。</w:t>
      </w:r>
    </w:p>
    <w:p w14:paraId="65A0D2BE">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在维护期内，</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应向</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提供7×24小时的服务响应，保证</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可以随时找到相应的技术人员。维护期从系统验收之日起开始计算。</w:t>
      </w:r>
    </w:p>
    <w:p w14:paraId="02B47826">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若关于应用系统的要求和需求发生实质性需求变更时，在本项目保修服务期结束之前</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应免费对系统进行相应的修改。</w:t>
      </w:r>
    </w:p>
    <w:p w14:paraId="36B2875D">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在</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相关业务规范和技术规范修改后，</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应承诺提供软件升级服务。</w:t>
      </w:r>
    </w:p>
    <w:p w14:paraId="4D4F626F">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提供的软件升级不应造成本系统功能缺陷和性能下降。</w:t>
      </w:r>
    </w:p>
    <w:p w14:paraId="73D59456">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在质保服务期内，软件版本升级时，</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应提供相应的新版本软件功能说明书及修改说明书等相关技术文档。</w:t>
      </w:r>
    </w:p>
    <w:p w14:paraId="2F0214E5">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在系统质保服务期结束后，为满足业务发展需要，</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可以提供系统维护及技术支持、维修服务的内容，但此项费用不计入投标总价。</w:t>
      </w:r>
    </w:p>
    <w:p w14:paraId="5D4F0F7C">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应提出在质保服务期内所提供系统维护及技术支持、维修服务的内容如下：</w:t>
      </w:r>
    </w:p>
    <w:p w14:paraId="5EDBBA7C">
      <w:pPr>
        <w:pStyle w:val="19"/>
        <w:keepNext w:val="0"/>
        <w:keepLines w:val="0"/>
        <w:pageBreakBefore w:val="0"/>
        <w:widowControl w:val="0"/>
        <w:numPr>
          <w:ilvl w:val="0"/>
          <w:numId w:val="17"/>
        </w:numPr>
        <w:kinsoku/>
        <w:wordWrap w:val="0"/>
        <w:overflowPunct/>
        <w:topLinePunct w:val="0"/>
        <w:bidi w:val="0"/>
        <w:snapToGrid/>
        <w:spacing w:before="0" w:beforeAutospacing="0" w:after="0" w:afterAutospacing="0" w:line="360" w:lineRule="auto"/>
        <w:ind w:left="0" w:leftChars="0" w:firstLine="480" w:firstLineChars="200"/>
        <w:jc w:val="both"/>
        <w:textAlignment w:val="auto"/>
        <w:rPr>
          <w:rFonts w:hint="eastAsia"/>
          <w:color w:val="auto"/>
          <w:highlight w:val="none"/>
          <w:lang w:bidi="ar"/>
        </w:rPr>
      </w:pPr>
      <w:r>
        <w:rPr>
          <w:rFonts w:hint="eastAsia"/>
          <w:color w:val="auto"/>
          <w:highlight w:val="none"/>
          <w:lang w:bidi="ar"/>
        </w:rPr>
        <w:t>系统软件（合同中涉及的中间件、控件等）：如果相关系统软件配合应用软件需要进行升级时，可为用户提供技术支持。</w:t>
      </w:r>
    </w:p>
    <w:p w14:paraId="70E516A9">
      <w:pPr>
        <w:pStyle w:val="19"/>
        <w:keepNext w:val="0"/>
        <w:keepLines w:val="0"/>
        <w:pageBreakBefore w:val="0"/>
        <w:widowControl w:val="0"/>
        <w:numPr>
          <w:ilvl w:val="0"/>
          <w:numId w:val="17"/>
        </w:numPr>
        <w:kinsoku/>
        <w:wordWrap w:val="0"/>
        <w:overflowPunct/>
        <w:topLinePunct w:val="0"/>
        <w:bidi w:val="0"/>
        <w:snapToGrid/>
        <w:spacing w:before="0" w:beforeAutospacing="0" w:after="0" w:afterAutospacing="0" w:line="360" w:lineRule="auto"/>
        <w:ind w:left="0" w:leftChars="0" w:firstLine="480" w:firstLineChars="200"/>
        <w:jc w:val="both"/>
        <w:textAlignment w:val="auto"/>
        <w:rPr>
          <w:rFonts w:hint="eastAsia"/>
          <w:color w:val="auto"/>
          <w:highlight w:val="none"/>
          <w:lang w:bidi="ar"/>
        </w:rPr>
      </w:pPr>
      <w:r>
        <w:rPr>
          <w:rFonts w:hint="eastAsia"/>
          <w:color w:val="auto"/>
          <w:highlight w:val="none"/>
          <w:lang w:bidi="ar"/>
        </w:rPr>
        <w:t>当需要进行系统性能升级时，</w:t>
      </w:r>
      <w:r>
        <w:rPr>
          <w:rFonts w:hint="eastAsia"/>
          <w:color w:val="auto"/>
          <w:highlight w:val="none"/>
          <w:lang w:eastAsia="zh-CN" w:bidi="ar"/>
        </w:rPr>
        <w:t>投标人</w:t>
      </w:r>
      <w:r>
        <w:rPr>
          <w:rFonts w:hint="eastAsia"/>
          <w:color w:val="auto"/>
          <w:highlight w:val="none"/>
          <w:lang w:bidi="ar"/>
        </w:rPr>
        <w:t>承诺保证数据的平稳迁移，能方便调整系统，易于扩充升级。</w:t>
      </w:r>
    </w:p>
    <w:p w14:paraId="4B417348">
      <w:pPr>
        <w:keepNext w:val="0"/>
        <w:keepLines w:val="0"/>
        <w:pageBreakBefore w:val="0"/>
        <w:widowControl w:val="0"/>
        <w:numPr>
          <w:ilvl w:val="0"/>
          <w:numId w:val="23"/>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保证</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技术服务的质量和人员素质。</w:t>
      </w:r>
    </w:p>
    <w:p w14:paraId="1AB67E3E">
      <w:pPr>
        <w:pStyle w:val="5"/>
        <w:spacing w:line="360" w:lineRule="auto"/>
        <w:rPr>
          <w:color w:val="auto"/>
          <w:highlight w:val="none"/>
        </w:rPr>
      </w:pPr>
      <w:bookmarkStart w:id="299" w:name="_Toc114153338"/>
      <w:bookmarkStart w:id="300" w:name="_Toc26558"/>
      <w:bookmarkStart w:id="301" w:name="_Toc1418778415"/>
      <w:bookmarkStart w:id="302" w:name="_Toc5269"/>
      <w:bookmarkStart w:id="303" w:name="_Toc1086"/>
      <w:bookmarkStart w:id="304" w:name="_Toc2608"/>
      <w:bookmarkStart w:id="305" w:name="_Toc22981"/>
      <w:bookmarkStart w:id="306" w:name="_Toc6585"/>
      <w:r>
        <w:rPr>
          <w:rFonts w:hint="eastAsia"/>
          <w:color w:val="auto"/>
          <w:highlight w:val="none"/>
        </w:rPr>
        <w:t>售后服务</w:t>
      </w:r>
      <w:bookmarkEnd w:id="297"/>
      <w:bookmarkEnd w:id="298"/>
      <w:bookmarkEnd w:id="299"/>
      <w:bookmarkEnd w:id="300"/>
      <w:bookmarkEnd w:id="301"/>
      <w:bookmarkEnd w:id="302"/>
      <w:bookmarkEnd w:id="303"/>
      <w:bookmarkEnd w:id="304"/>
      <w:bookmarkEnd w:id="305"/>
      <w:bookmarkEnd w:id="306"/>
    </w:p>
    <w:p w14:paraId="33C176D2">
      <w:pPr>
        <w:keepNext w:val="0"/>
        <w:keepLines w:val="0"/>
        <w:pageBreakBefore w:val="0"/>
        <w:widowControl w:val="0"/>
        <w:numPr>
          <w:ilvl w:val="0"/>
          <w:numId w:val="2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bookmarkStart w:id="307" w:name="_Toc519794481"/>
      <w:bookmarkStart w:id="308" w:name="_Toc105680012"/>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应说明在本项目的技术维护队伍和实施组织方式、服务模式以及售后服务的开展方式。</w:t>
      </w:r>
    </w:p>
    <w:p w14:paraId="432465AD">
      <w:pPr>
        <w:keepNext w:val="0"/>
        <w:keepLines w:val="0"/>
        <w:pageBreakBefore w:val="0"/>
        <w:widowControl w:val="0"/>
        <w:numPr>
          <w:ilvl w:val="0"/>
          <w:numId w:val="2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bookmarkStart w:id="309" w:name="_Hlk113883139"/>
      <w:r>
        <w:rPr>
          <w:rFonts w:hint="eastAsia" w:ascii="宋体" w:hAnsi="宋体" w:cs="宋体"/>
          <w:color w:val="auto"/>
          <w:szCs w:val="24"/>
          <w:highlight w:val="none"/>
          <w:lang w:bidi="ar"/>
        </w:rPr>
        <w:t>在系统实施期间，</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须派出技术人员参加，</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有责任对其进行指导；在系统运行期间，</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应按照试运行要求，至少派驻1个项目经理，2个业务顾问和1个开发人员。</w:t>
      </w:r>
    </w:p>
    <w:bookmarkEnd w:id="309"/>
    <w:p w14:paraId="3982679C">
      <w:pPr>
        <w:keepNext w:val="0"/>
        <w:keepLines w:val="0"/>
        <w:pageBreakBefore w:val="0"/>
        <w:widowControl w:val="0"/>
        <w:numPr>
          <w:ilvl w:val="0"/>
          <w:numId w:val="2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应对其售后服务和技术支持方面的情况</w:t>
      </w:r>
      <w:r>
        <w:rPr>
          <w:rFonts w:hint="eastAsia" w:ascii="宋体" w:hAnsi="宋体" w:cs="宋体"/>
          <w:color w:val="auto"/>
          <w:szCs w:val="24"/>
          <w:highlight w:val="none"/>
          <w:lang w:val="en-US" w:eastAsia="zh-CN" w:bidi="ar"/>
        </w:rPr>
        <w:t>作</w:t>
      </w:r>
      <w:r>
        <w:rPr>
          <w:rFonts w:hint="eastAsia" w:ascii="宋体" w:hAnsi="宋体" w:cs="宋体"/>
          <w:color w:val="auto"/>
          <w:szCs w:val="24"/>
          <w:highlight w:val="none"/>
          <w:lang w:bidi="ar"/>
        </w:rPr>
        <w:t>出说明。</w:t>
      </w:r>
    </w:p>
    <w:p w14:paraId="26553E1C">
      <w:pPr>
        <w:keepNext w:val="0"/>
        <w:keepLines w:val="0"/>
        <w:pageBreakBefore w:val="0"/>
        <w:widowControl w:val="0"/>
        <w:numPr>
          <w:ilvl w:val="0"/>
          <w:numId w:val="2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系统初步验收后12个月为质保服务期。质保服务期内，</w:t>
      </w:r>
      <w:r>
        <w:rPr>
          <w:rFonts w:hint="eastAsia" w:ascii="宋体" w:hAnsi="宋体" w:cs="宋体"/>
          <w:color w:val="auto"/>
          <w:szCs w:val="24"/>
          <w:highlight w:val="none"/>
          <w:lang w:eastAsia="zh-CN" w:bidi="ar"/>
        </w:rPr>
        <w:t>投标人</w:t>
      </w:r>
      <w:r>
        <w:rPr>
          <w:rFonts w:hint="eastAsia" w:ascii="宋体" w:hAnsi="宋体" w:cs="宋体"/>
          <w:color w:val="auto"/>
          <w:szCs w:val="24"/>
          <w:highlight w:val="none"/>
          <w:lang w:bidi="ar"/>
        </w:rPr>
        <w:t>必须对提交的软件产品（含第三方产品和自主版权软件产品）提供12个月的免费现场服务，包含用户现场和维护现场。</w:t>
      </w:r>
    </w:p>
    <w:p w14:paraId="77D722C9">
      <w:pPr>
        <w:keepNext w:val="0"/>
        <w:keepLines w:val="0"/>
        <w:pageBreakBefore w:val="0"/>
        <w:widowControl w:val="0"/>
        <w:numPr>
          <w:ilvl w:val="0"/>
          <w:numId w:val="2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在质保服务期内，对于系统故障应立即响应。</w:t>
      </w:r>
    </w:p>
    <w:p w14:paraId="28D8251A">
      <w:pPr>
        <w:keepNext w:val="0"/>
        <w:keepLines w:val="0"/>
        <w:pageBreakBefore w:val="0"/>
        <w:widowControl w:val="0"/>
        <w:numPr>
          <w:ilvl w:val="0"/>
          <w:numId w:val="24"/>
        </w:numPr>
        <w:tabs>
          <w:tab w:val="clear" w:pos="0"/>
        </w:tabs>
        <w:kinsoku/>
        <w:wordWrap w:val="0"/>
        <w:overflowPunct/>
        <w:topLinePunct w:val="0"/>
        <w:autoSpaceDE w:val="0"/>
        <w:autoSpaceDN w:val="0"/>
        <w:bidi w:val="0"/>
        <w:adjustRightInd w:val="0"/>
        <w:snapToGrid/>
        <w:spacing w:line="360" w:lineRule="auto"/>
        <w:ind w:left="0" w:leftChars="0" w:firstLine="480" w:firstLineChars="200"/>
        <w:textAlignment w:val="auto"/>
        <w:rPr>
          <w:rFonts w:hint="eastAsia" w:ascii="宋体" w:hAnsi="宋体" w:cs="宋体"/>
          <w:color w:val="auto"/>
          <w:szCs w:val="24"/>
          <w:highlight w:val="none"/>
          <w:lang w:bidi="ar"/>
        </w:rPr>
      </w:pPr>
      <w:r>
        <w:rPr>
          <w:rFonts w:hint="eastAsia" w:ascii="宋体" w:hAnsi="宋体" w:cs="宋体"/>
          <w:color w:val="auto"/>
          <w:szCs w:val="24"/>
          <w:highlight w:val="none"/>
          <w:lang w:bidi="ar"/>
        </w:rPr>
        <w:t>质保服务期内所有服务是7×24小时中文服务，系统出现故障时，在5分钟内对</w:t>
      </w:r>
      <w:r>
        <w:rPr>
          <w:rFonts w:hint="eastAsia" w:ascii="宋体" w:hAnsi="宋体" w:cs="宋体"/>
          <w:color w:val="auto"/>
          <w:szCs w:val="24"/>
          <w:highlight w:val="none"/>
          <w:lang w:eastAsia="zh-CN" w:bidi="ar"/>
        </w:rPr>
        <w:t>招标人</w:t>
      </w:r>
      <w:r>
        <w:rPr>
          <w:rFonts w:hint="eastAsia" w:ascii="宋体" w:hAnsi="宋体" w:cs="宋体"/>
          <w:color w:val="auto"/>
          <w:szCs w:val="24"/>
          <w:highlight w:val="none"/>
          <w:lang w:bidi="ar"/>
        </w:rPr>
        <w:t>所提出的维修需求做出响应，对于由本项目开展导致的可能或已经被定为八级及以上信息系统事件情况，0.5小时内到场并解决。特别严重问题（受影响用户特别重要或反映强烈），1小时内到场并解决。紧急问题（受影响用户范围50%以上）2小时内到场并解决。重大问题（受影响用户范围30%以上，50%以下）4小时内到场并解决，普通问题（受影响用户范围30%以下）解决不超过8小时。对于在指定时间内无法解决的问题，要求提供备用方案并实施，直至问题解决，并对造成的损失承担全部责任。（质保服务时限以事件/问题发生之时计算）。</w:t>
      </w:r>
    </w:p>
    <w:bookmarkEnd w:id="307"/>
    <w:bookmarkEnd w:id="308"/>
    <w:p w14:paraId="61C3FD66">
      <w:pPr>
        <w:pStyle w:val="4"/>
        <w:rPr>
          <w:rFonts w:hint="eastAsia"/>
          <w:highlight w:val="none"/>
        </w:rPr>
      </w:pPr>
      <w:bookmarkStart w:id="310" w:name="_Toc26159"/>
      <w:bookmarkStart w:id="311" w:name="_Toc13183"/>
      <w:bookmarkStart w:id="312" w:name="_Toc16054"/>
      <w:r>
        <w:rPr>
          <w:rFonts w:hint="eastAsia"/>
          <w:highlight w:val="none"/>
        </w:rPr>
        <w:t>知识产权要求</w:t>
      </w:r>
      <w:bookmarkEnd w:id="310"/>
      <w:bookmarkEnd w:id="311"/>
      <w:bookmarkEnd w:id="312"/>
    </w:p>
    <w:p w14:paraId="6F87696B">
      <w:pPr>
        <w:pStyle w:val="5"/>
        <w:rPr>
          <w:rFonts w:hint="eastAsia"/>
          <w:highlight w:val="none"/>
        </w:rPr>
      </w:pPr>
      <w:bookmarkStart w:id="313" w:name="_Toc18897"/>
      <w:bookmarkStart w:id="314" w:name="_Toc23140"/>
      <w:bookmarkStart w:id="315" w:name="_Toc27591"/>
      <w:r>
        <w:rPr>
          <w:rFonts w:hint="eastAsia"/>
          <w:highlight w:val="none"/>
        </w:rPr>
        <w:t>权利保证与瑕疵担保</w:t>
      </w:r>
      <w:bookmarkEnd w:id="313"/>
      <w:bookmarkEnd w:id="314"/>
      <w:bookmarkEnd w:id="315"/>
    </w:p>
    <w:p w14:paraId="4B39EE3F">
      <w:pPr>
        <w:pStyle w:val="2"/>
        <w:ind w:left="0" w:leftChars="0" w:firstLine="420" w:firstLineChars="0"/>
        <w:rPr>
          <w:rFonts w:hint="eastAsia"/>
          <w:highlight w:val="none"/>
        </w:rPr>
      </w:pPr>
      <w:r>
        <w:rPr>
          <w:rFonts w:hint="eastAsia"/>
          <w:highlight w:val="none"/>
        </w:rPr>
        <w:t>投标人保证其提供的全部工具、模型、算法、方法论、技术文档、知识资产及服务均系合法取得或自主研发，不存在任何权利瑕疵，未侵犯任何第三方的专利权、著作权、商标权、商业秘密及其他知识产权。招标人及其关联公司在依约使用上述产品或服务的任何部分时，免受任何第三方基于知识产权侵权提出的权利主张、索赔、诉讼或行政调查。若发生此类情形：投标人应自费负责处理全部纠纷、应诉、和解或仲裁事宜；投标人应赔偿招标人因此遭受的全部损失，包括但不限于直接损失、诉讼费用、律师费、商誉损失及业务中断损失；若相关产品或服务被有权机关认定侵权，投标人应在招标人要求的合理期限内提供同等功能的替代方案，或退还相应价款。</w:t>
      </w:r>
    </w:p>
    <w:p w14:paraId="2F8DB195">
      <w:pPr>
        <w:pStyle w:val="5"/>
        <w:rPr>
          <w:rFonts w:hint="eastAsia"/>
          <w:highlight w:val="none"/>
        </w:rPr>
      </w:pPr>
      <w:bookmarkStart w:id="316" w:name="_Toc28891"/>
      <w:bookmarkStart w:id="317" w:name="_Toc26894"/>
      <w:bookmarkStart w:id="318" w:name="_Toc7874"/>
      <w:r>
        <w:rPr>
          <w:rFonts w:hint="eastAsia"/>
          <w:highlight w:val="none"/>
        </w:rPr>
        <w:t>已有知识产权的归属</w:t>
      </w:r>
      <w:bookmarkEnd w:id="316"/>
      <w:bookmarkEnd w:id="317"/>
      <w:bookmarkEnd w:id="318"/>
    </w:p>
    <w:p w14:paraId="3323395B">
      <w:pPr>
        <w:pStyle w:val="2"/>
        <w:ind w:left="0" w:leftChars="0" w:firstLine="420" w:firstLineChars="0"/>
        <w:rPr>
          <w:rFonts w:hint="eastAsia"/>
          <w:highlight w:val="none"/>
        </w:rPr>
      </w:pPr>
      <w:r>
        <w:rPr>
          <w:rFonts w:hint="eastAsia"/>
          <w:highlight w:val="none"/>
        </w:rPr>
        <w:t>招标人向投标人提供的全部资料、数据、企业内部信息及背景知识产权（以下简称"招标人资料"），其所有权及全部知识产权均归招标人所有。投标人仅得为履行本项目合同之目的，在本项目合同约定的项目范围内使用招标人资料，不得用于任何其他目的，不得向任何第三方披露、许可或转让。各方在签署本项目合同之前已独立创作或合法取得的知识产权（背景知识产权），仍归原权利人所有，不因本项目合同的履行而发生转移。</w:t>
      </w:r>
    </w:p>
    <w:p w14:paraId="45FEB7E6">
      <w:pPr>
        <w:pStyle w:val="5"/>
        <w:rPr>
          <w:rFonts w:hint="eastAsia"/>
          <w:highlight w:val="none"/>
        </w:rPr>
      </w:pPr>
      <w:bookmarkStart w:id="319" w:name="_Toc3875"/>
      <w:bookmarkStart w:id="320" w:name="_Toc27766"/>
      <w:bookmarkStart w:id="321" w:name="_Toc30510"/>
      <w:r>
        <w:rPr>
          <w:rFonts w:hint="eastAsia"/>
          <w:highlight w:val="none"/>
        </w:rPr>
        <w:t>项目成果的知识产权归属</w:t>
      </w:r>
      <w:bookmarkEnd w:id="319"/>
      <w:bookmarkEnd w:id="320"/>
      <w:bookmarkEnd w:id="321"/>
    </w:p>
    <w:p w14:paraId="41879F18">
      <w:pPr>
        <w:pStyle w:val="2"/>
        <w:ind w:left="0" w:leftChars="0" w:firstLine="420" w:firstLineChars="0"/>
        <w:rPr>
          <w:rFonts w:hint="eastAsia"/>
          <w:highlight w:val="none"/>
        </w:rPr>
      </w:pPr>
      <w:r>
        <w:rPr>
          <w:rFonts w:hint="eastAsia"/>
          <w:highlight w:val="none"/>
        </w:rPr>
        <w:t>因履行本项目合同所产生的全部技术成果、工作成果、交付物、文档、数据、源代码、算法模型、技术方案及其他知识产权成果（以下简称“项目成果”），其全部知识产权（包括但不限于著作权、专利权、商标权、商业秘密申请权等）自成果形成之日起即归招标人所有。中标人应在项目验收完成后，在招标人规定时间内，向招标人移交项目成果的全部源文件、技术文档、数据、操作手册、培训材料及相关知识产权权属证明文件，并配合招标人完成知识产权登记或确权手续。</w:t>
      </w:r>
    </w:p>
    <w:p w14:paraId="3CEC734A">
      <w:pPr>
        <w:pStyle w:val="5"/>
        <w:rPr>
          <w:rFonts w:hint="eastAsia"/>
          <w:highlight w:val="none"/>
        </w:rPr>
      </w:pPr>
      <w:bookmarkStart w:id="322" w:name="_Toc281"/>
      <w:bookmarkStart w:id="323" w:name="_Toc1425"/>
      <w:bookmarkStart w:id="324" w:name="_Toc31132"/>
      <w:r>
        <w:rPr>
          <w:rFonts w:hint="eastAsia"/>
          <w:highlight w:val="none"/>
        </w:rPr>
        <w:t>项目成果的使用许可</w:t>
      </w:r>
      <w:bookmarkEnd w:id="322"/>
      <w:bookmarkEnd w:id="323"/>
      <w:bookmarkEnd w:id="324"/>
    </w:p>
    <w:p w14:paraId="0A3A738B">
      <w:pPr>
        <w:pStyle w:val="2"/>
        <w:ind w:left="0" w:leftChars="0" w:firstLine="420" w:firstLineChars="0"/>
        <w:rPr>
          <w:rFonts w:hint="eastAsia"/>
          <w:highlight w:val="none"/>
        </w:rPr>
      </w:pPr>
      <w:r>
        <w:rPr>
          <w:rFonts w:hint="eastAsia"/>
          <w:highlight w:val="none"/>
        </w:rPr>
        <w:t>招标人对项目成果享有完整、独占、免费、永久、不可撤销的使用权、复制权、修改权、改编权、分发权及再许可权，无需另行征得中标人同意，亦无需支付额外费用。中标人如需将项目成果用于自身宣传、案例展示、学术研究或其他商业或非商业目的，须事先取得招标人的书面授权，且不得披露招标人保密信息。任何基于项目成果的复制件、演绎作品或改进成果，均应显著标明招标人的知识产权权属，中标人不得删除、篡改或隐匿原始权属标识。</w:t>
      </w:r>
    </w:p>
    <w:p w14:paraId="4C5309D1">
      <w:pPr>
        <w:pStyle w:val="5"/>
        <w:rPr>
          <w:rFonts w:hint="eastAsia"/>
          <w:highlight w:val="none"/>
        </w:rPr>
      </w:pPr>
      <w:bookmarkStart w:id="325" w:name="_Toc12105"/>
      <w:bookmarkStart w:id="326" w:name="_Toc12503"/>
      <w:bookmarkStart w:id="327" w:name="_Toc31556"/>
      <w:r>
        <w:rPr>
          <w:rFonts w:hint="eastAsia"/>
          <w:highlight w:val="none"/>
        </w:rPr>
        <w:t>合规使用与法律责任</w:t>
      </w:r>
      <w:bookmarkEnd w:id="325"/>
      <w:bookmarkEnd w:id="326"/>
      <w:bookmarkEnd w:id="327"/>
    </w:p>
    <w:p w14:paraId="61200403">
      <w:pPr>
        <w:pStyle w:val="2"/>
        <w:ind w:left="0" w:leftChars="0" w:firstLine="420" w:firstLineChars="0"/>
        <w:rPr>
          <w:highlight w:val="none"/>
        </w:rPr>
      </w:pPr>
      <w:r>
        <w:rPr>
          <w:rFonts w:hint="eastAsia"/>
          <w:highlight w:val="none"/>
        </w:rPr>
        <w:t>双方均应遵守中华人民共和国现行有效的知识产权法律法规，合法使用对方提供的资料及项目成果。任何一方违反本条规定给对方造成损失的，应承担相应的赔偿责任。</w:t>
      </w:r>
    </w:p>
    <w:p w14:paraId="2EA52955">
      <w:pPr>
        <w:pStyle w:val="2"/>
        <w:ind w:firstLine="480"/>
        <w:rPr>
          <w:color w:val="auto"/>
          <w:highlight w:val="none"/>
        </w:rPr>
      </w:pPr>
    </w:p>
    <w:p w14:paraId="5DE7E347">
      <w:pPr>
        <w:rPr>
          <w:color w:val="auto"/>
          <w:highlight w:val="none"/>
        </w:rPr>
      </w:pPr>
    </w:p>
    <w:sectPr>
      <w:footerReference r:id="rId9" w:type="first"/>
      <w:footerReference r:id="rId8" w:type="default"/>
      <w:pgSz w:w="11906" w:h="16838"/>
      <w:pgMar w:top="1440" w:right="1800" w:bottom="1440" w:left="1800" w:header="851" w:footer="992" w:gutter="0"/>
      <w:pgNumType w:fmt="decimal" w:start="1"/>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SimHei,Bold">
    <w:altName w:val="宋体"/>
    <w:panose1 w:val="00000000000000000000"/>
    <w:charset w:val="86"/>
    <w:family w:val="auto"/>
    <w:pitch w:val="default"/>
    <w:sig w:usb0="00000000" w:usb1="00000000" w:usb2="00000010" w:usb3="00000000" w:csb0="00040000" w:csb1="00000000"/>
  </w:font>
  <w:font w:name="Songti SC">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3284C">
    <w:pPr>
      <w:pStyle w:val="15"/>
      <w:ind w:firstLine="360"/>
      <w:jc w:val="center"/>
      <w:rPr>
        <w:sz w:val="24"/>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1BEC2">
    <w:pPr>
      <w:pStyle w:val="15"/>
      <w:ind w:firstLine="360"/>
      <w:jc w:val="center"/>
      <w:rPr>
        <w:sz w:val="24"/>
        <w:szCs w:val="22"/>
      </w:rPr>
    </w:pPr>
    <w:r>
      <w:rPr>
        <w:sz w:val="24"/>
      </w:rPr>
      <mc:AlternateContent>
        <mc:Choice Requires="wps">
          <w:drawing>
            <wp:anchor distT="0" distB="0" distL="114300" distR="114300" simplePos="0" relativeHeight="251659264" behindDoc="0" locked="0" layoutInCell="1" allowOverlap="1">
              <wp:simplePos x="0" y="0"/>
              <wp:positionH relativeFrom="margin">
                <wp:posOffset>2319655</wp:posOffset>
              </wp:positionH>
              <wp:positionV relativeFrom="paragraph">
                <wp:posOffset>167640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3D09D6">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2.65pt;margin-top:13.2pt;height:144pt;width:144pt;mso-position-horizontal-relative:margin;mso-wrap-style:none;z-index:251659264;mso-width-relative:page;mso-height-relative:page;" filled="f" stroked="f" coordsize="21600,21600" o:gfxdata="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JZ+NvVAAAACgEAAA8AAAAAAAAAAQAgAAAAIgAAAGRycy9kb3ducmV2LnhtbFBL&#10;AQIUABQAAAAIAIdO4kDhgNOOMgIAAGEEAAAOAAAAAAAAAAEAIAAAACQBAABkcnMvZTJvRG9jLnht&#10;bFBLBQYAAAAABgAGAFkBAADIBQAAAAA=&#10;">
              <v:fill on="f" focussize="0,0"/>
              <v:stroke on="f" weight="0.5pt"/>
              <v:imagedata o:title=""/>
              <o:lock v:ext="edit" aspectratio="f"/>
              <v:textbox inset="0mm,0mm,0mm,0mm" style="mso-fit-shape-to-text:t;">
                <w:txbxContent>
                  <w:p w14:paraId="3F3D09D6">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36331">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1D7A8">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1A1D7A8">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6841E5D">
        <w:pPr>
          <w:pStyle w:val="16"/>
          <w:ind w:firstLine="0" w:firstLineChars="0"/>
          <w:jc w:val="right"/>
          <w:rPr>
            <w:b/>
            <w:bCs/>
            <w:sz w:val="24"/>
            <w:szCs w:val="24"/>
          </w:rPr>
        </w:pPr>
        <w:r>
          <w:drawing>
            <wp:inline distT="0" distB="0" distL="0" distR="0">
              <wp:extent cx="1739900" cy="313690"/>
              <wp:effectExtent l="19050" t="0" r="0" b="0"/>
              <wp:docPr id="6" name="图片 8" descr="说明: 说明: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说明: 说明: LOGO.png"/>
                      <pic:cNvPicPr>
                        <a:picLocks noChangeAspect="1" noChangeArrowheads="1"/>
                      </pic:cNvPicPr>
                    </pic:nvPicPr>
                    <pic:blipFill>
                      <a:blip r:embed="rId1"/>
                      <a:srcRect/>
                      <a:stretch>
                        <a:fillRect/>
                      </a:stretch>
                    </pic:blipFill>
                    <pic:spPr>
                      <a:xfrm>
                        <a:off x="0" y="0"/>
                        <a:ext cx="1739900" cy="313690"/>
                      </a:xfrm>
                      <a:prstGeom prst="rect">
                        <a:avLst/>
                      </a:prstGeom>
                      <a:noFill/>
                      <a:ln w="9525">
                        <a:noFill/>
                        <a:miter lim="800000"/>
                        <a:headEnd/>
                        <a:tailEnd/>
                      </a:ln>
                    </pic:spPr>
                  </pic:pic>
                </a:graphicData>
              </a:graphic>
            </wp:inline>
          </w:drawing>
        </w:r>
        <w:r>
          <w:rPr>
            <w:lang w:val="zh-CN"/>
          </w:rPr>
          <w:t xml:space="preserve"> </w:t>
        </w:r>
        <w:r>
          <w:rPr>
            <w:rFonts w:hint="eastAsia"/>
            <w:lang w:val="zh-CN"/>
          </w:rPr>
          <w:t xml:space="preserve">  </w:t>
        </w:r>
        <w:r>
          <w:rPr>
            <w:lang w:val="zh-CN"/>
          </w:rPr>
          <w:t xml:space="preserve">          </w:t>
        </w:r>
        <w:r>
          <w:rPr>
            <w:rFonts w:hint="eastAsia"/>
            <w:lang w:val="en-US" w:eastAsia="zh-CN"/>
          </w:rPr>
          <w:t>空间能力提升</w:t>
        </w:r>
        <w:r>
          <w:rPr>
            <w:rFonts w:hint="eastAsia"/>
            <w:lang w:val="zh-CN"/>
          </w:rPr>
          <w:t>技术服务采购项目技术规范书</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B4853">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97DB09"/>
    <w:multiLevelType w:val="multilevel"/>
    <w:tmpl w:val="8997DB09"/>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1">
    <w:nsid w:val="954042D9"/>
    <w:multiLevelType w:val="singleLevel"/>
    <w:tmpl w:val="954042D9"/>
    <w:lvl w:ilvl="0" w:tentative="0">
      <w:start w:val="1"/>
      <w:numFmt w:val="decimal"/>
      <w:lvlText w:val="%1."/>
      <w:lvlJc w:val="left"/>
      <w:pPr>
        <w:ind w:left="425" w:hanging="425"/>
      </w:pPr>
      <w:rPr>
        <w:rFonts w:hint="default"/>
      </w:rPr>
    </w:lvl>
  </w:abstractNum>
  <w:abstractNum w:abstractNumId="2">
    <w:nsid w:val="99733EDD"/>
    <w:multiLevelType w:val="multilevel"/>
    <w:tmpl w:val="99733EDD"/>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3">
    <w:nsid w:val="B626B234"/>
    <w:multiLevelType w:val="singleLevel"/>
    <w:tmpl w:val="B626B234"/>
    <w:lvl w:ilvl="0" w:tentative="0">
      <w:start w:val="1"/>
      <w:numFmt w:val="decimal"/>
      <w:lvlText w:val="(%1)"/>
      <w:lvlJc w:val="left"/>
      <w:pPr>
        <w:tabs>
          <w:tab w:val="left" w:pos="420"/>
        </w:tabs>
        <w:ind w:left="845" w:hanging="425"/>
      </w:pPr>
      <w:rPr>
        <w:rFonts w:hint="default"/>
      </w:rPr>
    </w:lvl>
  </w:abstractNum>
  <w:abstractNum w:abstractNumId="4">
    <w:nsid w:val="C051B31A"/>
    <w:multiLevelType w:val="singleLevel"/>
    <w:tmpl w:val="C051B31A"/>
    <w:lvl w:ilvl="0" w:tentative="0">
      <w:start w:val="1"/>
      <w:numFmt w:val="decimal"/>
      <w:lvlText w:val="(%1)"/>
      <w:lvlJc w:val="left"/>
      <w:pPr>
        <w:tabs>
          <w:tab w:val="left" w:pos="420"/>
        </w:tabs>
        <w:ind w:left="845" w:hanging="425"/>
      </w:pPr>
      <w:rPr>
        <w:rFonts w:hint="default"/>
      </w:rPr>
    </w:lvl>
  </w:abstractNum>
  <w:abstractNum w:abstractNumId="5">
    <w:nsid w:val="CCB1CB49"/>
    <w:multiLevelType w:val="multilevel"/>
    <w:tmpl w:val="CCB1CB49"/>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6">
    <w:nsid w:val="DDDDFFBC"/>
    <w:multiLevelType w:val="multilevel"/>
    <w:tmpl w:val="DDDDFFBC"/>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7">
    <w:nsid w:val="E4636831"/>
    <w:multiLevelType w:val="singleLevel"/>
    <w:tmpl w:val="E4636831"/>
    <w:lvl w:ilvl="0" w:tentative="0">
      <w:start w:val="1"/>
      <w:numFmt w:val="bullet"/>
      <w:lvlText w:val=""/>
      <w:lvlJc w:val="left"/>
      <w:pPr>
        <w:ind w:left="420" w:hanging="420"/>
      </w:pPr>
      <w:rPr>
        <w:rFonts w:hint="default" w:ascii="Wingdings" w:hAnsi="Wingdings"/>
      </w:rPr>
    </w:lvl>
  </w:abstractNum>
  <w:abstractNum w:abstractNumId="8">
    <w:nsid w:val="FCFA1FE9"/>
    <w:multiLevelType w:val="singleLevel"/>
    <w:tmpl w:val="FCFA1FE9"/>
    <w:lvl w:ilvl="0" w:tentative="0">
      <w:start w:val="1"/>
      <w:numFmt w:val="decimal"/>
      <w:lvlText w:val="%1."/>
      <w:lvlJc w:val="left"/>
      <w:pPr>
        <w:ind w:left="425" w:hanging="425"/>
      </w:pPr>
      <w:rPr>
        <w:rFonts w:hint="default"/>
      </w:rPr>
    </w:lvl>
  </w:abstractNum>
  <w:abstractNum w:abstractNumId="9">
    <w:nsid w:val="FF3D3774"/>
    <w:multiLevelType w:val="singleLevel"/>
    <w:tmpl w:val="FF3D3774"/>
    <w:lvl w:ilvl="0" w:tentative="0">
      <w:start w:val="1"/>
      <w:numFmt w:val="decimal"/>
      <w:suff w:val="space"/>
      <w:lvlText w:val="%1."/>
      <w:lvlJc w:val="left"/>
    </w:lvl>
  </w:abstractNum>
  <w:abstractNum w:abstractNumId="10">
    <w:nsid w:val="002AD963"/>
    <w:multiLevelType w:val="multilevel"/>
    <w:tmpl w:val="002AD963"/>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11">
    <w:nsid w:val="05D66989"/>
    <w:multiLevelType w:val="multilevel"/>
    <w:tmpl w:val="05D66989"/>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12">
    <w:nsid w:val="06786AB5"/>
    <w:multiLevelType w:val="multilevel"/>
    <w:tmpl w:val="06786AB5"/>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3">
    <w:nsid w:val="0E35FBC5"/>
    <w:multiLevelType w:val="multilevel"/>
    <w:tmpl w:val="0E35FBC5"/>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14">
    <w:nsid w:val="3EAF5154"/>
    <w:multiLevelType w:val="singleLevel"/>
    <w:tmpl w:val="3EAF5154"/>
    <w:lvl w:ilvl="0" w:tentative="0">
      <w:start w:val="1"/>
      <w:numFmt w:val="decimal"/>
      <w:suff w:val="space"/>
      <w:lvlText w:val="%1."/>
      <w:lvlJc w:val="left"/>
    </w:lvl>
  </w:abstractNum>
  <w:abstractNum w:abstractNumId="15">
    <w:nsid w:val="4C8EC2A4"/>
    <w:multiLevelType w:val="multilevel"/>
    <w:tmpl w:val="4C8EC2A4"/>
    <w:lvl w:ilvl="0" w:tentative="0">
      <w:start w:val="1"/>
      <w:numFmt w:val="decimal"/>
      <w:suff w:val="space"/>
      <w:lvlText w:val="%1."/>
      <w:lvlJc w:val="left"/>
      <w:pPr>
        <w:ind w:left="1260" w:hanging="420"/>
      </w:pPr>
      <w:rPr>
        <w:rFonts w:hint="default" w:ascii="Times New Roman" w:hAnsi="Times New Roman" w:cs="Times New Roman"/>
      </w:rPr>
    </w:lvl>
    <w:lvl w:ilvl="1" w:tentative="0">
      <w:start w:val="1"/>
      <w:numFmt w:val="lowerLetter"/>
      <w:lvlText w:val="%2)"/>
      <w:lvlJc w:val="left"/>
      <w:pPr>
        <w:tabs>
          <w:tab w:val="left" w:pos="420"/>
        </w:tabs>
        <w:ind w:left="1680" w:hanging="420"/>
      </w:pPr>
      <w:rPr>
        <w:rFonts w:hint="default" w:ascii="Times New Roman" w:hAnsi="Times New Roman" w:cs="Times New Roman"/>
      </w:rPr>
    </w:lvl>
    <w:lvl w:ilvl="2" w:tentative="0">
      <w:start w:val="1"/>
      <w:numFmt w:val="lowerRoman"/>
      <w:lvlText w:val="%3."/>
      <w:lvlJc w:val="right"/>
      <w:pPr>
        <w:tabs>
          <w:tab w:val="left" w:pos="420"/>
        </w:tabs>
        <w:ind w:left="2100" w:hanging="420"/>
      </w:pPr>
      <w:rPr>
        <w:rFonts w:hint="default" w:ascii="Times New Roman" w:hAnsi="Times New Roman" w:cs="Times New Roman"/>
      </w:rPr>
    </w:lvl>
    <w:lvl w:ilvl="3" w:tentative="0">
      <w:start w:val="1"/>
      <w:numFmt w:val="decimal"/>
      <w:lvlText w:val="%4."/>
      <w:lvlJc w:val="left"/>
      <w:pPr>
        <w:tabs>
          <w:tab w:val="left" w:pos="420"/>
        </w:tabs>
        <w:ind w:left="2520" w:hanging="420"/>
      </w:pPr>
      <w:rPr>
        <w:rFonts w:hint="default" w:ascii="Times New Roman" w:hAnsi="Times New Roman" w:cs="Times New Roman"/>
      </w:rPr>
    </w:lvl>
    <w:lvl w:ilvl="4" w:tentative="0">
      <w:start w:val="1"/>
      <w:numFmt w:val="lowerLetter"/>
      <w:lvlText w:val="%5)"/>
      <w:lvlJc w:val="left"/>
      <w:pPr>
        <w:tabs>
          <w:tab w:val="left" w:pos="420"/>
        </w:tabs>
        <w:ind w:left="2940" w:hanging="420"/>
      </w:pPr>
      <w:rPr>
        <w:rFonts w:hint="default" w:ascii="Times New Roman" w:hAnsi="Times New Roman" w:cs="Times New Roman"/>
      </w:rPr>
    </w:lvl>
    <w:lvl w:ilvl="5" w:tentative="0">
      <w:start w:val="1"/>
      <w:numFmt w:val="lowerRoman"/>
      <w:lvlText w:val="%6."/>
      <w:lvlJc w:val="right"/>
      <w:pPr>
        <w:tabs>
          <w:tab w:val="left" w:pos="420"/>
        </w:tabs>
        <w:ind w:left="3360" w:hanging="420"/>
      </w:pPr>
      <w:rPr>
        <w:rFonts w:hint="default" w:ascii="Times New Roman" w:hAnsi="Times New Roman" w:cs="Times New Roman"/>
      </w:rPr>
    </w:lvl>
    <w:lvl w:ilvl="6" w:tentative="0">
      <w:start w:val="1"/>
      <w:numFmt w:val="decimal"/>
      <w:lvlText w:val="%7."/>
      <w:lvlJc w:val="left"/>
      <w:pPr>
        <w:tabs>
          <w:tab w:val="left" w:pos="420"/>
        </w:tabs>
        <w:ind w:left="3780" w:hanging="420"/>
      </w:pPr>
      <w:rPr>
        <w:rFonts w:hint="default" w:ascii="Times New Roman" w:hAnsi="Times New Roman" w:cs="Times New Roman"/>
      </w:rPr>
    </w:lvl>
    <w:lvl w:ilvl="7" w:tentative="0">
      <w:start w:val="1"/>
      <w:numFmt w:val="lowerLetter"/>
      <w:lvlText w:val="%8)"/>
      <w:lvlJc w:val="left"/>
      <w:pPr>
        <w:tabs>
          <w:tab w:val="left" w:pos="420"/>
        </w:tabs>
        <w:ind w:left="4200" w:hanging="420"/>
      </w:pPr>
      <w:rPr>
        <w:rFonts w:hint="default" w:ascii="Times New Roman" w:hAnsi="Times New Roman" w:cs="Times New Roman"/>
      </w:rPr>
    </w:lvl>
    <w:lvl w:ilvl="8" w:tentative="0">
      <w:start w:val="1"/>
      <w:numFmt w:val="lowerRoman"/>
      <w:lvlText w:val="%9."/>
      <w:lvlJc w:val="right"/>
      <w:pPr>
        <w:tabs>
          <w:tab w:val="left" w:pos="420"/>
        </w:tabs>
        <w:ind w:left="4620" w:hanging="420"/>
      </w:pPr>
      <w:rPr>
        <w:rFonts w:hint="default" w:ascii="Times New Roman" w:hAnsi="Times New Roman" w:cs="Times New Roman"/>
      </w:rPr>
    </w:lvl>
  </w:abstractNum>
  <w:abstractNum w:abstractNumId="16">
    <w:nsid w:val="4EAA246A"/>
    <w:multiLevelType w:val="multilevel"/>
    <w:tmpl w:val="4EAA246A"/>
    <w:lvl w:ilvl="0" w:tentative="0">
      <w:start w:val="1"/>
      <w:numFmt w:val="decimal"/>
      <w:lvlText w:val="%1)"/>
      <w:lvlJc w:val="left"/>
      <w:pPr>
        <w:ind w:left="420" w:hanging="420"/>
      </w:p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08035F2"/>
    <w:multiLevelType w:val="multilevel"/>
    <w:tmpl w:val="508035F2"/>
    <w:lvl w:ilvl="0" w:tentative="0">
      <w:start w:val="1"/>
      <w:numFmt w:val="decimal"/>
      <w:suff w:val="space"/>
      <w:lvlText w:val="%1."/>
      <w:lvlJc w:val="left"/>
      <w:pPr>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18">
    <w:nsid w:val="599D4D2C"/>
    <w:multiLevelType w:val="multilevel"/>
    <w:tmpl w:val="599D4D2C"/>
    <w:lvl w:ilvl="0" w:tentative="0">
      <w:start w:val="1"/>
      <w:numFmt w:val="bullet"/>
      <w:lvlText w:val=""/>
      <w:lvlJc w:val="left"/>
      <w:pPr>
        <w:tabs>
          <w:tab w:val="left" w:pos="0"/>
        </w:tabs>
        <w:ind w:left="960" w:hanging="480"/>
      </w:pPr>
      <w:rPr>
        <w:rFonts w:hint="default" w:ascii="Wingdings" w:hAnsi="Wingdings" w:cs="Wingdings"/>
      </w:rPr>
    </w:lvl>
    <w:lvl w:ilvl="1" w:tentative="0">
      <w:start w:val="1"/>
      <w:numFmt w:val="lowerLetter"/>
      <w:lvlText w:val="%2)"/>
      <w:lvlJc w:val="left"/>
      <w:pPr>
        <w:tabs>
          <w:tab w:val="left" w:pos="0"/>
        </w:tabs>
        <w:ind w:left="1440" w:hanging="480"/>
      </w:pPr>
      <w:rPr>
        <w:rFonts w:hint="default" w:ascii="Times New Roman" w:hAnsi="Times New Roman" w:cs="Times New Roman"/>
      </w:rPr>
    </w:lvl>
    <w:lvl w:ilvl="2" w:tentative="0">
      <w:start w:val="1"/>
      <w:numFmt w:val="lowerRoman"/>
      <w:lvlText w:val="%3."/>
      <w:lvlJc w:val="right"/>
      <w:pPr>
        <w:tabs>
          <w:tab w:val="left" w:pos="0"/>
        </w:tabs>
        <w:ind w:left="1920" w:hanging="480"/>
      </w:pPr>
      <w:rPr>
        <w:rFonts w:hint="default" w:ascii="Times New Roman" w:hAnsi="Times New Roman" w:cs="Times New Roman"/>
      </w:rPr>
    </w:lvl>
    <w:lvl w:ilvl="3" w:tentative="0">
      <w:start w:val="1"/>
      <w:numFmt w:val="decimal"/>
      <w:lvlText w:val="%4."/>
      <w:lvlJc w:val="left"/>
      <w:pPr>
        <w:tabs>
          <w:tab w:val="left" w:pos="0"/>
        </w:tabs>
        <w:ind w:left="2400" w:hanging="480"/>
      </w:pPr>
      <w:rPr>
        <w:rFonts w:hint="default" w:ascii="Times New Roman" w:hAnsi="Times New Roman" w:cs="Times New Roman"/>
      </w:rPr>
    </w:lvl>
    <w:lvl w:ilvl="4" w:tentative="0">
      <w:start w:val="1"/>
      <w:numFmt w:val="lowerLetter"/>
      <w:lvlText w:val="%5)"/>
      <w:lvlJc w:val="left"/>
      <w:pPr>
        <w:tabs>
          <w:tab w:val="left" w:pos="0"/>
        </w:tabs>
        <w:ind w:left="2880" w:hanging="480"/>
      </w:pPr>
      <w:rPr>
        <w:rFonts w:hint="default" w:ascii="Times New Roman" w:hAnsi="Times New Roman" w:cs="Times New Roman"/>
      </w:rPr>
    </w:lvl>
    <w:lvl w:ilvl="5" w:tentative="0">
      <w:start w:val="1"/>
      <w:numFmt w:val="lowerRoman"/>
      <w:lvlText w:val="%6."/>
      <w:lvlJc w:val="right"/>
      <w:pPr>
        <w:tabs>
          <w:tab w:val="left" w:pos="0"/>
        </w:tabs>
        <w:ind w:left="3360" w:hanging="480"/>
      </w:pPr>
      <w:rPr>
        <w:rFonts w:hint="default" w:ascii="Times New Roman" w:hAnsi="Times New Roman" w:cs="Times New Roman"/>
      </w:rPr>
    </w:lvl>
    <w:lvl w:ilvl="6" w:tentative="0">
      <w:start w:val="1"/>
      <w:numFmt w:val="decimal"/>
      <w:lvlText w:val="%7."/>
      <w:lvlJc w:val="left"/>
      <w:pPr>
        <w:tabs>
          <w:tab w:val="left" w:pos="0"/>
        </w:tabs>
        <w:ind w:left="3840" w:hanging="480"/>
      </w:pPr>
      <w:rPr>
        <w:rFonts w:hint="default" w:ascii="Times New Roman" w:hAnsi="Times New Roman" w:cs="Times New Roman"/>
      </w:rPr>
    </w:lvl>
    <w:lvl w:ilvl="7" w:tentative="0">
      <w:start w:val="1"/>
      <w:numFmt w:val="lowerLetter"/>
      <w:lvlText w:val="%8)"/>
      <w:lvlJc w:val="left"/>
      <w:pPr>
        <w:tabs>
          <w:tab w:val="left" w:pos="0"/>
        </w:tabs>
        <w:ind w:left="4320" w:hanging="480"/>
      </w:pPr>
      <w:rPr>
        <w:rFonts w:hint="default" w:ascii="Times New Roman" w:hAnsi="Times New Roman" w:cs="Times New Roman"/>
      </w:rPr>
    </w:lvl>
    <w:lvl w:ilvl="8" w:tentative="0">
      <w:start w:val="1"/>
      <w:numFmt w:val="lowerRoman"/>
      <w:lvlText w:val="%9."/>
      <w:lvlJc w:val="right"/>
      <w:pPr>
        <w:tabs>
          <w:tab w:val="left" w:pos="0"/>
        </w:tabs>
        <w:ind w:left="4800" w:hanging="480"/>
      </w:pPr>
      <w:rPr>
        <w:rFonts w:hint="default" w:ascii="Times New Roman" w:hAnsi="Times New Roman" w:cs="Times New Roman"/>
      </w:rPr>
    </w:lvl>
  </w:abstractNum>
  <w:abstractNum w:abstractNumId="19">
    <w:nsid w:val="654DFC5D"/>
    <w:multiLevelType w:val="multilevel"/>
    <w:tmpl w:val="654DFC5D"/>
    <w:lvl w:ilvl="0" w:tentative="0">
      <w:start w:val="1"/>
      <w:numFmt w:val="decimal"/>
      <w:pStyle w:val="4"/>
      <w:lvlText w:val="%1."/>
      <w:lvlJc w:val="left"/>
      <w:pPr>
        <w:ind w:left="432" w:hanging="432"/>
      </w:pPr>
      <w:rPr>
        <w:rFonts w:hint="default" w:ascii="黑体" w:hAnsi="黑体" w:eastAsia="黑体" w:cs="黑体"/>
        <w:sz w:val="30"/>
        <w:szCs w:val="30"/>
      </w:rPr>
    </w:lvl>
    <w:lvl w:ilvl="1" w:tentative="0">
      <w:start w:val="1"/>
      <w:numFmt w:val="decimal"/>
      <w:pStyle w:val="5"/>
      <w:lvlText w:val="%1.%2."/>
      <w:lvlJc w:val="left"/>
      <w:pPr>
        <w:ind w:left="575" w:hanging="575"/>
      </w:pPr>
      <w:rPr>
        <w:rFonts w:hint="default" w:ascii="黑体" w:hAnsi="黑体" w:eastAsia="黑体" w:cs="黑体"/>
        <w:sz w:val="28"/>
        <w:szCs w:val="28"/>
      </w:rPr>
    </w:lvl>
    <w:lvl w:ilvl="2" w:tentative="0">
      <w:start w:val="1"/>
      <w:numFmt w:val="decimal"/>
      <w:pStyle w:val="6"/>
      <w:lvlText w:val="%1.%2.%3."/>
      <w:lvlJc w:val="left"/>
      <w:pPr>
        <w:ind w:left="720" w:hanging="720"/>
      </w:pPr>
      <w:rPr>
        <w:rFonts w:hint="default" w:ascii="黑体" w:hAnsi="黑体" w:eastAsia="黑体" w:cs="黑体"/>
        <w:sz w:val="28"/>
        <w:szCs w:val="28"/>
      </w:rPr>
    </w:lvl>
    <w:lvl w:ilvl="3" w:tentative="0">
      <w:start w:val="1"/>
      <w:numFmt w:val="decimal"/>
      <w:pStyle w:val="7"/>
      <w:lvlText w:val="%1.%2.%3.%4."/>
      <w:lvlJc w:val="left"/>
      <w:pPr>
        <w:ind w:left="864" w:hanging="864"/>
      </w:pPr>
      <w:rPr>
        <w:rFonts w:hint="default" w:ascii="黑体" w:hAnsi="黑体" w:eastAsia="黑体" w:cs="黑体"/>
        <w:b/>
        <w:bCs/>
        <w:sz w:val="28"/>
        <w:szCs w:val="28"/>
      </w:rPr>
    </w:lvl>
    <w:lvl w:ilvl="4" w:tentative="0">
      <w:start w:val="1"/>
      <w:numFmt w:val="decimal"/>
      <w:pStyle w:val="8"/>
      <w:lvlText w:val="%1.%2.%3.%4.%5."/>
      <w:lvlJc w:val="left"/>
      <w:pPr>
        <w:ind w:left="1008" w:hanging="1008"/>
      </w:pPr>
      <w:rPr>
        <w:rFonts w:hint="default" w:ascii="黑体" w:hAnsi="黑体" w:eastAsia="黑体" w:cs="黑体"/>
        <w:sz w:val="28"/>
        <w:szCs w:val="28"/>
      </w:rPr>
    </w:lvl>
    <w:lvl w:ilvl="5" w:tentative="0">
      <w:start w:val="1"/>
      <w:numFmt w:val="decimal"/>
      <w:pStyle w:val="9"/>
      <w:lvlText w:val="%1.%2.%3.%4.%5.%6."/>
      <w:lvlJc w:val="left"/>
      <w:pPr>
        <w:ind w:left="1151" w:hanging="1151"/>
      </w:pPr>
      <w:rPr>
        <w:rFonts w:hint="default" w:ascii="黑体" w:hAnsi="黑体" w:eastAsia="黑体" w:cs="黑体"/>
        <w:sz w:val="28"/>
        <w:szCs w:val="28"/>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0">
    <w:nsid w:val="66E9848D"/>
    <w:multiLevelType w:val="singleLevel"/>
    <w:tmpl w:val="66E9848D"/>
    <w:lvl w:ilvl="0" w:tentative="0">
      <w:start w:val="1"/>
      <w:numFmt w:val="decimal"/>
      <w:lvlText w:val="%1."/>
      <w:lvlJc w:val="left"/>
      <w:pPr>
        <w:ind w:left="425" w:hanging="425"/>
      </w:pPr>
      <w:rPr>
        <w:rFonts w:hint="default"/>
      </w:rPr>
    </w:lvl>
  </w:abstractNum>
  <w:abstractNum w:abstractNumId="21">
    <w:nsid w:val="71B18B19"/>
    <w:multiLevelType w:val="multilevel"/>
    <w:tmpl w:val="71B18B19"/>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abstractNum w:abstractNumId="22">
    <w:nsid w:val="731F84ED"/>
    <w:multiLevelType w:val="singleLevel"/>
    <w:tmpl w:val="731F84ED"/>
    <w:lvl w:ilvl="0" w:tentative="0">
      <w:start w:val="1"/>
      <w:numFmt w:val="decimal"/>
      <w:lvlText w:val="(%1)"/>
      <w:lvlJc w:val="left"/>
      <w:pPr>
        <w:tabs>
          <w:tab w:val="left" w:pos="420"/>
        </w:tabs>
        <w:ind w:left="845" w:hanging="425"/>
      </w:pPr>
      <w:rPr>
        <w:rFonts w:hint="default"/>
      </w:rPr>
    </w:lvl>
  </w:abstractNum>
  <w:abstractNum w:abstractNumId="23">
    <w:nsid w:val="7F5554BC"/>
    <w:multiLevelType w:val="multilevel"/>
    <w:tmpl w:val="7F5554BC"/>
    <w:lvl w:ilvl="0" w:tentative="0">
      <w:start w:val="1"/>
      <w:numFmt w:val="decimal"/>
      <w:lvlText w:val="%1."/>
      <w:lvlJc w:val="left"/>
      <w:pPr>
        <w:tabs>
          <w:tab w:val="left" w:pos="0"/>
        </w:tabs>
        <w:ind w:left="840" w:hanging="420"/>
      </w:pPr>
      <w:rPr>
        <w:rFonts w:hint="default" w:ascii="Times New Roman" w:hAnsi="Times New Roman" w:cs="Times New Roman"/>
      </w:rPr>
    </w:lvl>
    <w:lvl w:ilvl="1" w:tentative="0">
      <w:start w:val="1"/>
      <w:numFmt w:val="lowerLetter"/>
      <w:lvlText w:val="%2)"/>
      <w:lvlJc w:val="left"/>
      <w:pPr>
        <w:tabs>
          <w:tab w:val="left" w:pos="0"/>
        </w:tabs>
        <w:ind w:left="1260" w:hanging="420"/>
      </w:pPr>
      <w:rPr>
        <w:rFonts w:hint="default" w:ascii="Times New Roman" w:hAnsi="Times New Roman" w:cs="Times New Roman"/>
      </w:rPr>
    </w:lvl>
    <w:lvl w:ilvl="2" w:tentative="0">
      <w:start w:val="1"/>
      <w:numFmt w:val="lowerRoman"/>
      <w:lvlText w:val="%3."/>
      <w:lvlJc w:val="right"/>
      <w:pPr>
        <w:tabs>
          <w:tab w:val="left" w:pos="0"/>
        </w:tabs>
        <w:ind w:left="1680" w:hanging="420"/>
      </w:pPr>
      <w:rPr>
        <w:rFonts w:hint="default" w:ascii="Times New Roman" w:hAnsi="Times New Roman" w:cs="Times New Roman"/>
      </w:rPr>
    </w:lvl>
    <w:lvl w:ilvl="3" w:tentative="0">
      <w:start w:val="1"/>
      <w:numFmt w:val="decimal"/>
      <w:lvlText w:val="%4."/>
      <w:lvlJc w:val="left"/>
      <w:pPr>
        <w:tabs>
          <w:tab w:val="left" w:pos="0"/>
        </w:tabs>
        <w:ind w:left="2100" w:hanging="420"/>
      </w:pPr>
      <w:rPr>
        <w:rFonts w:hint="default" w:ascii="Times New Roman" w:hAnsi="Times New Roman" w:cs="Times New Roman"/>
      </w:rPr>
    </w:lvl>
    <w:lvl w:ilvl="4" w:tentative="0">
      <w:start w:val="1"/>
      <w:numFmt w:val="lowerLetter"/>
      <w:lvlText w:val="%5)"/>
      <w:lvlJc w:val="left"/>
      <w:pPr>
        <w:tabs>
          <w:tab w:val="left" w:pos="0"/>
        </w:tabs>
        <w:ind w:left="2520" w:hanging="420"/>
      </w:pPr>
      <w:rPr>
        <w:rFonts w:hint="default" w:ascii="Times New Roman" w:hAnsi="Times New Roman" w:cs="Times New Roman"/>
      </w:rPr>
    </w:lvl>
    <w:lvl w:ilvl="5" w:tentative="0">
      <w:start w:val="1"/>
      <w:numFmt w:val="lowerRoman"/>
      <w:lvlText w:val="%6."/>
      <w:lvlJc w:val="right"/>
      <w:pPr>
        <w:tabs>
          <w:tab w:val="left" w:pos="0"/>
        </w:tabs>
        <w:ind w:left="2940" w:hanging="420"/>
      </w:pPr>
      <w:rPr>
        <w:rFonts w:hint="default" w:ascii="Times New Roman" w:hAnsi="Times New Roman" w:cs="Times New Roman"/>
      </w:rPr>
    </w:lvl>
    <w:lvl w:ilvl="6" w:tentative="0">
      <w:start w:val="1"/>
      <w:numFmt w:val="decimal"/>
      <w:lvlText w:val="%7."/>
      <w:lvlJc w:val="left"/>
      <w:pPr>
        <w:tabs>
          <w:tab w:val="left" w:pos="0"/>
        </w:tabs>
        <w:ind w:left="3360" w:hanging="420"/>
      </w:pPr>
      <w:rPr>
        <w:rFonts w:hint="default" w:ascii="Times New Roman" w:hAnsi="Times New Roman" w:cs="Times New Roman"/>
      </w:rPr>
    </w:lvl>
    <w:lvl w:ilvl="7" w:tentative="0">
      <w:start w:val="1"/>
      <w:numFmt w:val="lowerLetter"/>
      <w:lvlText w:val="%8)"/>
      <w:lvlJc w:val="left"/>
      <w:pPr>
        <w:tabs>
          <w:tab w:val="left" w:pos="0"/>
        </w:tabs>
        <w:ind w:left="3780" w:hanging="420"/>
      </w:pPr>
      <w:rPr>
        <w:rFonts w:hint="default" w:ascii="Times New Roman" w:hAnsi="Times New Roman" w:cs="Times New Roman"/>
      </w:rPr>
    </w:lvl>
    <w:lvl w:ilvl="8" w:tentative="0">
      <w:start w:val="1"/>
      <w:numFmt w:val="lowerRoman"/>
      <w:lvlText w:val="%9."/>
      <w:lvlJc w:val="right"/>
      <w:pPr>
        <w:tabs>
          <w:tab w:val="left" w:pos="0"/>
        </w:tabs>
        <w:ind w:left="4200" w:hanging="420"/>
      </w:pPr>
      <w:rPr>
        <w:rFonts w:hint="default" w:ascii="Times New Roman" w:hAnsi="Times New Roman" w:cs="Times New Roman"/>
      </w:rPr>
    </w:lvl>
  </w:abstractNum>
  <w:num w:numId="1">
    <w:abstractNumId w:val="19"/>
  </w:num>
  <w:num w:numId="2">
    <w:abstractNumId w:val="8"/>
  </w:num>
  <w:num w:numId="3">
    <w:abstractNumId w:val="9"/>
  </w:num>
  <w:num w:numId="4">
    <w:abstractNumId w:val="14"/>
  </w:num>
  <w:num w:numId="5">
    <w:abstractNumId w:val="1"/>
  </w:num>
  <w:num w:numId="6">
    <w:abstractNumId w:val="15"/>
  </w:num>
  <w:num w:numId="7">
    <w:abstractNumId w:val="3"/>
  </w:num>
  <w:num w:numId="8">
    <w:abstractNumId w:val="17"/>
  </w:num>
  <w:num w:numId="9">
    <w:abstractNumId w:val="20"/>
  </w:num>
  <w:num w:numId="10">
    <w:abstractNumId w:val="22"/>
  </w:num>
  <w:num w:numId="11">
    <w:abstractNumId w:val="4"/>
  </w:num>
  <w:num w:numId="12">
    <w:abstractNumId w:val="12"/>
  </w:num>
  <w:num w:numId="13">
    <w:abstractNumId w:val="16"/>
  </w:num>
  <w:num w:numId="14">
    <w:abstractNumId w:val="10"/>
  </w:num>
  <w:num w:numId="15">
    <w:abstractNumId w:val="21"/>
  </w:num>
  <w:num w:numId="16">
    <w:abstractNumId w:val="23"/>
  </w:num>
  <w:num w:numId="17">
    <w:abstractNumId w:val="18"/>
  </w:num>
  <w:num w:numId="18">
    <w:abstractNumId w:val="11"/>
  </w:num>
  <w:num w:numId="19">
    <w:abstractNumId w:val="5"/>
  </w:num>
  <w:num w:numId="20">
    <w:abstractNumId w:val="0"/>
  </w:num>
  <w:num w:numId="21">
    <w:abstractNumId w:val="2"/>
  </w:num>
  <w:num w:numId="22">
    <w:abstractNumId w:val="7"/>
  </w:num>
  <w:num w:numId="23">
    <w:abstractNumId w:val="6"/>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MDBkYzI5MGQwYjZhZGEyZDI2OGNiY2I3MmI1YWEifQ=="/>
  </w:docVars>
  <w:rsids>
    <w:rsidRoot w:val="53A507C7"/>
    <w:rsid w:val="00215AA4"/>
    <w:rsid w:val="003A4F32"/>
    <w:rsid w:val="003F79A9"/>
    <w:rsid w:val="00830478"/>
    <w:rsid w:val="00B2494E"/>
    <w:rsid w:val="01207B0A"/>
    <w:rsid w:val="017232EE"/>
    <w:rsid w:val="01A3100D"/>
    <w:rsid w:val="01DE1773"/>
    <w:rsid w:val="02315D47"/>
    <w:rsid w:val="02B7624C"/>
    <w:rsid w:val="02DA018C"/>
    <w:rsid w:val="02EA4873"/>
    <w:rsid w:val="03764359"/>
    <w:rsid w:val="03766107"/>
    <w:rsid w:val="0398355F"/>
    <w:rsid w:val="03A52548"/>
    <w:rsid w:val="04584036"/>
    <w:rsid w:val="046F18F0"/>
    <w:rsid w:val="04AF66AF"/>
    <w:rsid w:val="04B30C95"/>
    <w:rsid w:val="04CE3D21"/>
    <w:rsid w:val="04D024CB"/>
    <w:rsid w:val="04E84DE3"/>
    <w:rsid w:val="04F626DD"/>
    <w:rsid w:val="04F75026"/>
    <w:rsid w:val="05654685"/>
    <w:rsid w:val="056D52E8"/>
    <w:rsid w:val="058D5B2B"/>
    <w:rsid w:val="05906E9F"/>
    <w:rsid w:val="05A52CD4"/>
    <w:rsid w:val="05E76E48"/>
    <w:rsid w:val="062E0F1B"/>
    <w:rsid w:val="06DD649D"/>
    <w:rsid w:val="06F51163"/>
    <w:rsid w:val="07126147"/>
    <w:rsid w:val="076B5857"/>
    <w:rsid w:val="07BC60B3"/>
    <w:rsid w:val="07F04710"/>
    <w:rsid w:val="080A1514"/>
    <w:rsid w:val="08116E03"/>
    <w:rsid w:val="088B6C92"/>
    <w:rsid w:val="08E21B49"/>
    <w:rsid w:val="08FD4BD5"/>
    <w:rsid w:val="093C74AB"/>
    <w:rsid w:val="099A7863"/>
    <w:rsid w:val="09F41468"/>
    <w:rsid w:val="09F47D86"/>
    <w:rsid w:val="0A516F86"/>
    <w:rsid w:val="0A764C3F"/>
    <w:rsid w:val="0AB85257"/>
    <w:rsid w:val="0AD57BB7"/>
    <w:rsid w:val="0B033689"/>
    <w:rsid w:val="0B310B66"/>
    <w:rsid w:val="0B6D6042"/>
    <w:rsid w:val="0B9E444D"/>
    <w:rsid w:val="0BF73B5D"/>
    <w:rsid w:val="0C0E7B0E"/>
    <w:rsid w:val="0C134D94"/>
    <w:rsid w:val="0C5B0590"/>
    <w:rsid w:val="0C7D22B4"/>
    <w:rsid w:val="0CB437FC"/>
    <w:rsid w:val="0CCF0636"/>
    <w:rsid w:val="0D2A3ABE"/>
    <w:rsid w:val="0D780CCE"/>
    <w:rsid w:val="0D95362E"/>
    <w:rsid w:val="0E100F06"/>
    <w:rsid w:val="0E462B7A"/>
    <w:rsid w:val="0E574D87"/>
    <w:rsid w:val="0E5C414B"/>
    <w:rsid w:val="0E664FCA"/>
    <w:rsid w:val="0E912047"/>
    <w:rsid w:val="0ECF491D"/>
    <w:rsid w:val="0EEA1757"/>
    <w:rsid w:val="0F01062B"/>
    <w:rsid w:val="0F0C3DC3"/>
    <w:rsid w:val="0F1B4006"/>
    <w:rsid w:val="0FBD4AAE"/>
    <w:rsid w:val="0FD50C1C"/>
    <w:rsid w:val="0FDD04C9"/>
    <w:rsid w:val="10667503"/>
    <w:rsid w:val="10803511"/>
    <w:rsid w:val="10A32505"/>
    <w:rsid w:val="10A342B4"/>
    <w:rsid w:val="10AD5132"/>
    <w:rsid w:val="10C5422A"/>
    <w:rsid w:val="10ED552F"/>
    <w:rsid w:val="110E3E23"/>
    <w:rsid w:val="110F03FA"/>
    <w:rsid w:val="1162251E"/>
    <w:rsid w:val="117D2D56"/>
    <w:rsid w:val="11951E4E"/>
    <w:rsid w:val="11C10E95"/>
    <w:rsid w:val="11DD1FB7"/>
    <w:rsid w:val="122C785E"/>
    <w:rsid w:val="123F625E"/>
    <w:rsid w:val="126A32DB"/>
    <w:rsid w:val="12E82452"/>
    <w:rsid w:val="132058E6"/>
    <w:rsid w:val="13217712"/>
    <w:rsid w:val="13427DB4"/>
    <w:rsid w:val="135875D7"/>
    <w:rsid w:val="135B05C0"/>
    <w:rsid w:val="135D3C80"/>
    <w:rsid w:val="136E5EA7"/>
    <w:rsid w:val="137F43C2"/>
    <w:rsid w:val="13D025B9"/>
    <w:rsid w:val="14262F73"/>
    <w:rsid w:val="14435ECB"/>
    <w:rsid w:val="14C667C2"/>
    <w:rsid w:val="14F275B8"/>
    <w:rsid w:val="154012FF"/>
    <w:rsid w:val="15AC6074"/>
    <w:rsid w:val="162E4201"/>
    <w:rsid w:val="16813B09"/>
    <w:rsid w:val="169D0A06"/>
    <w:rsid w:val="16EC09F5"/>
    <w:rsid w:val="1720040C"/>
    <w:rsid w:val="17215F32"/>
    <w:rsid w:val="173B1A33"/>
    <w:rsid w:val="175207E1"/>
    <w:rsid w:val="17BCF891"/>
    <w:rsid w:val="18073849"/>
    <w:rsid w:val="184E71FB"/>
    <w:rsid w:val="18C22193"/>
    <w:rsid w:val="191E487C"/>
    <w:rsid w:val="198D10B9"/>
    <w:rsid w:val="1998697F"/>
    <w:rsid w:val="19DB686C"/>
    <w:rsid w:val="19F17E3E"/>
    <w:rsid w:val="1A393593"/>
    <w:rsid w:val="1AF04599"/>
    <w:rsid w:val="1B4072CF"/>
    <w:rsid w:val="1BFEF36B"/>
    <w:rsid w:val="1C705992"/>
    <w:rsid w:val="1CA94A00"/>
    <w:rsid w:val="1CFE23A9"/>
    <w:rsid w:val="1CFF6D16"/>
    <w:rsid w:val="1D4209B0"/>
    <w:rsid w:val="1D6E17A5"/>
    <w:rsid w:val="1DB21FDA"/>
    <w:rsid w:val="1E733517"/>
    <w:rsid w:val="1E744009"/>
    <w:rsid w:val="1E96C44F"/>
    <w:rsid w:val="1EA96937"/>
    <w:rsid w:val="1EAE454F"/>
    <w:rsid w:val="1F0D0973"/>
    <w:rsid w:val="1F5DA0FC"/>
    <w:rsid w:val="1F617814"/>
    <w:rsid w:val="1FC7E4A5"/>
    <w:rsid w:val="1FF7063F"/>
    <w:rsid w:val="200C59D1"/>
    <w:rsid w:val="201C4630"/>
    <w:rsid w:val="20490CC8"/>
    <w:rsid w:val="20832C3C"/>
    <w:rsid w:val="208F6602"/>
    <w:rsid w:val="20EC5803"/>
    <w:rsid w:val="21331170"/>
    <w:rsid w:val="215313DE"/>
    <w:rsid w:val="21754DC8"/>
    <w:rsid w:val="217A2E0F"/>
    <w:rsid w:val="217A5F54"/>
    <w:rsid w:val="21DE69A0"/>
    <w:rsid w:val="220300C0"/>
    <w:rsid w:val="22233C11"/>
    <w:rsid w:val="227710FC"/>
    <w:rsid w:val="22BD2FB3"/>
    <w:rsid w:val="22CA6694"/>
    <w:rsid w:val="23502079"/>
    <w:rsid w:val="23CD5478"/>
    <w:rsid w:val="23F30C56"/>
    <w:rsid w:val="248A3369"/>
    <w:rsid w:val="24C06D8A"/>
    <w:rsid w:val="24EA0151"/>
    <w:rsid w:val="24F353B2"/>
    <w:rsid w:val="250A19BC"/>
    <w:rsid w:val="252D5322"/>
    <w:rsid w:val="25C91C6F"/>
    <w:rsid w:val="25F56F08"/>
    <w:rsid w:val="261A3D91"/>
    <w:rsid w:val="26A36964"/>
    <w:rsid w:val="270B7BFD"/>
    <w:rsid w:val="270E5DB3"/>
    <w:rsid w:val="275A34C6"/>
    <w:rsid w:val="279A1B15"/>
    <w:rsid w:val="28481571"/>
    <w:rsid w:val="28F96D0F"/>
    <w:rsid w:val="297B7724"/>
    <w:rsid w:val="29826D04"/>
    <w:rsid w:val="29B63453"/>
    <w:rsid w:val="29C110EC"/>
    <w:rsid w:val="2A005E7B"/>
    <w:rsid w:val="2A027E45"/>
    <w:rsid w:val="2A0911D4"/>
    <w:rsid w:val="2A0C5D48"/>
    <w:rsid w:val="2A4B17EC"/>
    <w:rsid w:val="2AB50A44"/>
    <w:rsid w:val="2AB56C65"/>
    <w:rsid w:val="2AF14141"/>
    <w:rsid w:val="2B2142FB"/>
    <w:rsid w:val="2B5446D0"/>
    <w:rsid w:val="2B7729D2"/>
    <w:rsid w:val="2B7B6DE1"/>
    <w:rsid w:val="2BB50EAC"/>
    <w:rsid w:val="2BD66E93"/>
    <w:rsid w:val="2C161986"/>
    <w:rsid w:val="2CAE7E10"/>
    <w:rsid w:val="2E7035CF"/>
    <w:rsid w:val="2E782484"/>
    <w:rsid w:val="2EDF2503"/>
    <w:rsid w:val="2F104DB2"/>
    <w:rsid w:val="2F4D56BE"/>
    <w:rsid w:val="2FD7142C"/>
    <w:rsid w:val="2FD98815"/>
    <w:rsid w:val="2FEA115F"/>
    <w:rsid w:val="300761B5"/>
    <w:rsid w:val="30240B15"/>
    <w:rsid w:val="30AE03DF"/>
    <w:rsid w:val="30B319D3"/>
    <w:rsid w:val="30DC319E"/>
    <w:rsid w:val="31104BF6"/>
    <w:rsid w:val="31322DBE"/>
    <w:rsid w:val="31540F86"/>
    <w:rsid w:val="31864EB8"/>
    <w:rsid w:val="329158A4"/>
    <w:rsid w:val="32A7158A"/>
    <w:rsid w:val="32E75442"/>
    <w:rsid w:val="32F3C4EF"/>
    <w:rsid w:val="32F93915"/>
    <w:rsid w:val="332C877D"/>
    <w:rsid w:val="338964EA"/>
    <w:rsid w:val="34030A42"/>
    <w:rsid w:val="34E01737"/>
    <w:rsid w:val="35156C7E"/>
    <w:rsid w:val="358B0CEF"/>
    <w:rsid w:val="358D2CB9"/>
    <w:rsid w:val="35C71A7C"/>
    <w:rsid w:val="35D46B3A"/>
    <w:rsid w:val="36315D3A"/>
    <w:rsid w:val="363C0E86"/>
    <w:rsid w:val="365B2DB7"/>
    <w:rsid w:val="3667175C"/>
    <w:rsid w:val="366A2FFA"/>
    <w:rsid w:val="36D668E1"/>
    <w:rsid w:val="374E9AB9"/>
    <w:rsid w:val="37652D78"/>
    <w:rsid w:val="379FCA28"/>
    <w:rsid w:val="37E62B54"/>
    <w:rsid w:val="37EF563A"/>
    <w:rsid w:val="37F86636"/>
    <w:rsid w:val="3911239D"/>
    <w:rsid w:val="396401D4"/>
    <w:rsid w:val="396C7089"/>
    <w:rsid w:val="39D709A6"/>
    <w:rsid w:val="3A145757"/>
    <w:rsid w:val="3A172CF3"/>
    <w:rsid w:val="3A683CF4"/>
    <w:rsid w:val="3A877E92"/>
    <w:rsid w:val="3B0B739D"/>
    <w:rsid w:val="3B872B08"/>
    <w:rsid w:val="3B894A95"/>
    <w:rsid w:val="3B8B4960"/>
    <w:rsid w:val="3B9B3361"/>
    <w:rsid w:val="3BE70C49"/>
    <w:rsid w:val="3BEF702F"/>
    <w:rsid w:val="3BFF9AE9"/>
    <w:rsid w:val="3C21415B"/>
    <w:rsid w:val="3C5C5193"/>
    <w:rsid w:val="3C717F61"/>
    <w:rsid w:val="3C94492D"/>
    <w:rsid w:val="3CBD0327"/>
    <w:rsid w:val="3D5B18EE"/>
    <w:rsid w:val="3DD44C86"/>
    <w:rsid w:val="3DD5344F"/>
    <w:rsid w:val="3DE23DBE"/>
    <w:rsid w:val="3DEE63B1"/>
    <w:rsid w:val="3DF970BB"/>
    <w:rsid w:val="3E0C2BE9"/>
    <w:rsid w:val="3E546A69"/>
    <w:rsid w:val="3E7D16D9"/>
    <w:rsid w:val="3E7D5E97"/>
    <w:rsid w:val="3EDF0AEC"/>
    <w:rsid w:val="3F3E5024"/>
    <w:rsid w:val="3F593C0C"/>
    <w:rsid w:val="3F5E0FD4"/>
    <w:rsid w:val="3F693FEB"/>
    <w:rsid w:val="3F7D5B4C"/>
    <w:rsid w:val="3F962DBA"/>
    <w:rsid w:val="3FBDBDF1"/>
    <w:rsid w:val="3FDF0CA1"/>
    <w:rsid w:val="3FEBE61F"/>
    <w:rsid w:val="3FF5E7D4"/>
    <w:rsid w:val="3FFC08B7"/>
    <w:rsid w:val="3FFF4174"/>
    <w:rsid w:val="3FFF6281"/>
    <w:rsid w:val="3FFF7202"/>
    <w:rsid w:val="401C35B7"/>
    <w:rsid w:val="404B17A6"/>
    <w:rsid w:val="41006A35"/>
    <w:rsid w:val="417D0085"/>
    <w:rsid w:val="423170C2"/>
    <w:rsid w:val="42402E61"/>
    <w:rsid w:val="4246491B"/>
    <w:rsid w:val="42FF4ACA"/>
    <w:rsid w:val="432B3B11"/>
    <w:rsid w:val="43317379"/>
    <w:rsid w:val="4332664E"/>
    <w:rsid w:val="43A06081"/>
    <w:rsid w:val="43CA332A"/>
    <w:rsid w:val="447137A5"/>
    <w:rsid w:val="44A818BD"/>
    <w:rsid w:val="44BA514C"/>
    <w:rsid w:val="452D3B70"/>
    <w:rsid w:val="45356EC9"/>
    <w:rsid w:val="4545710C"/>
    <w:rsid w:val="45763C62"/>
    <w:rsid w:val="45803914"/>
    <w:rsid w:val="45B93656"/>
    <w:rsid w:val="45CC3FCC"/>
    <w:rsid w:val="45EE77A4"/>
    <w:rsid w:val="461B60BF"/>
    <w:rsid w:val="461C6669"/>
    <w:rsid w:val="46236D21"/>
    <w:rsid w:val="46596E7B"/>
    <w:rsid w:val="46855518"/>
    <w:rsid w:val="468752A2"/>
    <w:rsid w:val="47005BCD"/>
    <w:rsid w:val="47024A0F"/>
    <w:rsid w:val="470F4AF2"/>
    <w:rsid w:val="471A6376"/>
    <w:rsid w:val="473FDF8F"/>
    <w:rsid w:val="47571378"/>
    <w:rsid w:val="47B57E4D"/>
    <w:rsid w:val="47BD14CF"/>
    <w:rsid w:val="47BE4F54"/>
    <w:rsid w:val="47D44777"/>
    <w:rsid w:val="48515DC8"/>
    <w:rsid w:val="48800AE6"/>
    <w:rsid w:val="48847F4B"/>
    <w:rsid w:val="488E0DCA"/>
    <w:rsid w:val="48C90054"/>
    <w:rsid w:val="48D80297"/>
    <w:rsid w:val="491A440C"/>
    <w:rsid w:val="495E69EE"/>
    <w:rsid w:val="49747FC0"/>
    <w:rsid w:val="4A2F70DF"/>
    <w:rsid w:val="4A372D9B"/>
    <w:rsid w:val="4A471230"/>
    <w:rsid w:val="4ABA5EA6"/>
    <w:rsid w:val="4AF72C27"/>
    <w:rsid w:val="4B5C51AF"/>
    <w:rsid w:val="4B77A58B"/>
    <w:rsid w:val="4B810772"/>
    <w:rsid w:val="4C3B3017"/>
    <w:rsid w:val="4C4C5224"/>
    <w:rsid w:val="4C675291"/>
    <w:rsid w:val="4C720404"/>
    <w:rsid w:val="4C7B2FED"/>
    <w:rsid w:val="4C8A5D4C"/>
    <w:rsid w:val="4CC25E71"/>
    <w:rsid w:val="4CD44C91"/>
    <w:rsid w:val="4D491763"/>
    <w:rsid w:val="4D550108"/>
    <w:rsid w:val="4DBDCAFB"/>
    <w:rsid w:val="4DC31265"/>
    <w:rsid w:val="4DEB45C9"/>
    <w:rsid w:val="4E192EE4"/>
    <w:rsid w:val="4E5403C0"/>
    <w:rsid w:val="4E986DD2"/>
    <w:rsid w:val="4EA2112B"/>
    <w:rsid w:val="4EBCEF24"/>
    <w:rsid w:val="4EE334F2"/>
    <w:rsid w:val="4EEF75E2"/>
    <w:rsid w:val="4EF37BD9"/>
    <w:rsid w:val="4F1F277C"/>
    <w:rsid w:val="4F31425D"/>
    <w:rsid w:val="4F495A4B"/>
    <w:rsid w:val="4F4E3061"/>
    <w:rsid w:val="4FBFB954"/>
    <w:rsid w:val="4FDC241B"/>
    <w:rsid w:val="4FE41291"/>
    <w:rsid w:val="50446212"/>
    <w:rsid w:val="504E03B2"/>
    <w:rsid w:val="507E1724"/>
    <w:rsid w:val="50E27F05"/>
    <w:rsid w:val="50F11EF6"/>
    <w:rsid w:val="51283EFD"/>
    <w:rsid w:val="517B3EB5"/>
    <w:rsid w:val="51E8374D"/>
    <w:rsid w:val="521340EE"/>
    <w:rsid w:val="52166A8F"/>
    <w:rsid w:val="521C456F"/>
    <w:rsid w:val="526A01B2"/>
    <w:rsid w:val="52741030"/>
    <w:rsid w:val="52773616"/>
    <w:rsid w:val="53316F22"/>
    <w:rsid w:val="53332C9A"/>
    <w:rsid w:val="538F59F6"/>
    <w:rsid w:val="53913CC5"/>
    <w:rsid w:val="53A414A2"/>
    <w:rsid w:val="53A507C7"/>
    <w:rsid w:val="54224ABC"/>
    <w:rsid w:val="547C241E"/>
    <w:rsid w:val="550A17D8"/>
    <w:rsid w:val="551371FA"/>
    <w:rsid w:val="55A25CD6"/>
    <w:rsid w:val="56296860"/>
    <w:rsid w:val="567B41B8"/>
    <w:rsid w:val="56981066"/>
    <w:rsid w:val="56FA0445"/>
    <w:rsid w:val="57032983"/>
    <w:rsid w:val="570E6FF0"/>
    <w:rsid w:val="57323268"/>
    <w:rsid w:val="573A3ECB"/>
    <w:rsid w:val="574865E8"/>
    <w:rsid w:val="57DC3B41"/>
    <w:rsid w:val="57FB365A"/>
    <w:rsid w:val="584C035A"/>
    <w:rsid w:val="58D2085F"/>
    <w:rsid w:val="592B4413"/>
    <w:rsid w:val="5988716F"/>
    <w:rsid w:val="59981AA8"/>
    <w:rsid w:val="59C12681"/>
    <w:rsid w:val="59D800F7"/>
    <w:rsid w:val="59D81EA5"/>
    <w:rsid w:val="59ED3476"/>
    <w:rsid w:val="5A405C9C"/>
    <w:rsid w:val="5B1F3B03"/>
    <w:rsid w:val="5B3C46B5"/>
    <w:rsid w:val="5B5437AD"/>
    <w:rsid w:val="5B555777"/>
    <w:rsid w:val="5B5A2D8E"/>
    <w:rsid w:val="5B865931"/>
    <w:rsid w:val="5B99254A"/>
    <w:rsid w:val="5BB93F58"/>
    <w:rsid w:val="5BBE6F2E"/>
    <w:rsid w:val="5C45759A"/>
    <w:rsid w:val="5C910A31"/>
    <w:rsid w:val="5CBB98CB"/>
    <w:rsid w:val="5CC63537"/>
    <w:rsid w:val="5D304264"/>
    <w:rsid w:val="5D5F17BB"/>
    <w:rsid w:val="5D9E1657"/>
    <w:rsid w:val="5D9EA40D"/>
    <w:rsid w:val="5DA74303"/>
    <w:rsid w:val="5DBEA494"/>
    <w:rsid w:val="5E225DE5"/>
    <w:rsid w:val="5E761C8C"/>
    <w:rsid w:val="5E7D67DE"/>
    <w:rsid w:val="5E8343A9"/>
    <w:rsid w:val="5EBB2005"/>
    <w:rsid w:val="5EC155FD"/>
    <w:rsid w:val="5ED370DF"/>
    <w:rsid w:val="5EE7D478"/>
    <w:rsid w:val="5EFB56CE"/>
    <w:rsid w:val="5F182D44"/>
    <w:rsid w:val="5F5542E4"/>
    <w:rsid w:val="5F571ABE"/>
    <w:rsid w:val="5F77FC06"/>
    <w:rsid w:val="5FB4B518"/>
    <w:rsid w:val="5FBB46DC"/>
    <w:rsid w:val="5FBBE7B2"/>
    <w:rsid w:val="5FBED9A2"/>
    <w:rsid w:val="5FCB425A"/>
    <w:rsid w:val="5FCE186F"/>
    <w:rsid w:val="5FD29FF7"/>
    <w:rsid w:val="5FD715C7"/>
    <w:rsid w:val="5FD72CD1"/>
    <w:rsid w:val="5FD96AD3"/>
    <w:rsid w:val="5FF53085"/>
    <w:rsid w:val="5FFD3927"/>
    <w:rsid w:val="601B60FA"/>
    <w:rsid w:val="60327E35"/>
    <w:rsid w:val="608C0A5A"/>
    <w:rsid w:val="609C7FF1"/>
    <w:rsid w:val="60D274A6"/>
    <w:rsid w:val="61450D22"/>
    <w:rsid w:val="61581B1D"/>
    <w:rsid w:val="616E30EF"/>
    <w:rsid w:val="617D6EF4"/>
    <w:rsid w:val="61A13A37"/>
    <w:rsid w:val="61C15914"/>
    <w:rsid w:val="62500A46"/>
    <w:rsid w:val="62775FD3"/>
    <w:rsid w:val="62F53AC8"/>
    <w:rsid w:val="6335193F"/>
    <w:rsid w:val="633D721D"/>
    <w:rsid w:val="63A004CD"/>
    <w:rsid w:val="63A64CE9"/>
    <w:rsid w:val="640146EE"/>
    <w:rsid w:val="64030466"/>
    <w:rsid w:val="646D768E"/>
    <w:rsid w:val="6531219C"/>
    <w:rsid w:val="653C73CC"/>
    <w:rsid w:val="65A923B7"/>
    <w:rsid w:val="65D748D8"/>
    <w:rsid w:val="65EB7404"/>
    <w:rsid w:val="65F31BDB"/>
    <w:rsid w:val="663F505A"/>
    <w:rsid w:val="665E3732"/>
    <w:rsid w:val="666F1DE3"/>
    <w:rsid w:val="6672542F"/>
    <w:rsid w:val="6673146D"/>
    <w:rsid w:val="66E300DB"/>
    <w:rsid w:val="6712451C"/>
    <w:rsid w:val="67187EF5"/>
    <w:rsid w:val="671E1113"/>
    <w:rsid w:val="67242BCD"/>
    <w:rsid w:val="674943E2"/>
    <w:rsid w:val="675D13F2"/>
    <w:rsid w:val="677B47B7"/>
    <w:rsid w:val="67AC671F"/>
    <w:rsid w:val="680227E3"/>
    <w:rsid w:val="681317B4"/>
    <w:rsid w:val="68297D70"/>
    <w:rsid w:val="6848469A"/>
    <w:rsid w:val="685F3791"/>
    <w:rsid w:val="68817BAC"/>
    <w:rsid w:val="68D4AC00"/>
    <w:rsid w:val="691C6E3B"/>
    <w:rsid w:val="69454CF5"/>
    <w:rsid w:val="69D34437"/>
    <w:rsid w:val="69F57F63"/>
    <w:rsid w:val="6A9C6FA2"/>
    <w:rsid w:val="6AC65801"/>
    <w:rsid w:val="6ADC556D"/>
    <w:rsid w:val="6AFE3735"/>
    <w:rsid w:val="6B0B7C00"/>
    <w:rsid w:val="6B7400EC"/>
    <w:rsid w:val="6B76151E"/>
    <w:rsid w:val="6B7AF209"/>
    <w:rsid w:val="6B802C69"/>
    <w:rsid w:val="6B961BC0"/>
    <w:rsid w:val="6BBF4CD1"/>
    <w:rsid w:val="6BDEF939"/>
    <w:rsid w:val="6BEA5EA8"/>
    <w:rsid w:val="6BFA6D8F"/>
    <w:rsid w:val="6C18223C"/>
    <w:rsid w:val="6C315445"/>
    <w:rsid w:val="6CC938CF"/>
    <w:rsid w:val="6D5C4743"/>
    <w:rsid w:val="6DA00AD4"/>
    <w:rsid w:val="6DAC7479"/>
    <w:rsid w:val="6DCEBEFE"/>
    <w:rsid w:val="6DDE33AA"/>
    <w:rsid w:val="6E5721D5"/>
    <w:rsid w:val="6E66587A"/>
    <w:rsid w:val="6EA445F4"/>
    <w:rsid w:val="6EE558AB"/>
    <w:rsid w:val="6F67BF22"/>
    <w:rsid w:val="6F7F47AB"/>
    <w:rsid w:val="6FAF3C41"/>
    <w:rsid w:val="6FB618EA"/>
    <w:rsid w:val="6FCF56A0"/>
    <w:rsid w:val="6FDF5444"/>
    <w:rsid w:val="6FEBAC74"/>
    <w:rsid w:val="6FF696FB"/>
    <w:rsid w:val="6FFB6181"/>
    <w:rsid w:val="703B0F88"/>
    <w:rsid w:val="708B7819"/>
    <w:rsid w:val="715A543E"/>
    <w:rsid w:val="717C7162"/>
    <w:rsid w:val="719426FE"/>
    <w:rsid w:val="71FE319C"/>
    <w:rsid w:val="71FF95DD"/>
    <w:rsid w:val="720F7FD6"/>
    <w:rsid w:val="721BBB63"/>
    <w:rsid w:val="723D0FE7"/>
    <w:rsid w:val="7295497F"/>
    <w:rsid w:val="73016C7D"/>
    <w:rsid w:val="731C29AB"/>
    <w:rsid w:val="73463ECB"/>
    <w:rsid w:val="736D4036"/>
    <w:rsid w:val="73974727"/>
    <w:rsid w:val="739B6209"/>
    <w:rsid w:val="739E5AB6"/>
    <w:rsid w:val="7452064E"/>
    <w:rsid w:val="74794F05"/>
    <w:rsid w:val="74AB66DC"/>
    <w:rsid w:val="74B11819"/>
    <w:rsid w:val="74C44225"/>
    <w:rsid w:val="74EB6AD9"/>
    <w:rsid w:val="75144A21"/>
    <w:rsid w:val="75363ACC"/>
    <w:rsid w:val="7537705F"/>
    <w:rsid w:val="75894543"/>
    <w:rsid w:val="75930F1E"/>
    <w:rsid w:val="75BC2223"/>
    <w:rsid w:val="75D27C98"/>
    <w:rsid w:val="75DB28B6"/>
    <w:rsid w:val="75FF9D54"/>
    <w:rsid w:val="762C70B2"/>
    <w:rsid w:val="767E1BCE"/>
    <w:rsid w:val="76C7496A"/>
    <w:rsid w:val="76DF266D"/>
    <w:rsid w:val="76FB3A04"/>
    <w:rsid w:val="77004391"/>
    <w:rsid w:val="7730586D"/>
    <w:rsid w:val="777D15DF"/>
    <w:rsid w:val="77AF0E4B"/>
    <w:rsid w:val="77B0C21E"/>
    <w:rsid w:val="77FB50A8"/>
    <w:rsid w:val="77FE6B23"/>
    <w:rsid w:val="78054355"/>
    <w:rsid w:val="78517D4B"/>
    <w:rsid w:val="78623556"/>
    <w:rsid w:val="78686E6C"/>
    <w:rsid w:val="78E21CFE"/>
    <w:rsid w:val="79382508"/>
    <w:rsid w:val="79AE27CB"/>
    <w:rsid w:val="79B74AA6"/>
    <w:rsid w:val="79D7D367"/>
    <w:rsid w:val="79DF4CD5"/>
    <w:rsid w:val="7A0559C3"/>
    <w:rsid w:val="7A4822D7"/>
    <w:rsid w:val="7AEF7249"/>
    <w:rsid w:val="7B6FCA6C"/>
    <w:rsid w:val="7B77C123"/>
    <w:rsid w:val="7BAB3A11"/>
    <w:rsid w:val="7BDF0A19"/>
    <w:rsid w:val="7BF53033"/>
    <w:rsid w:val="7BF9F978"/>
    <w:rsid w:val="7BFF4335"/>
    <w:rsid w:val="7BFF4650"/>
    <w:rsid w:val="7BFF8F27"/>
    <w:rsid w:val="7BFFE536"/>
    <w:rsid w:val="7C2D3E7B"/>
    <w:rsid w:val="7C666285"/>
    <w:rsid w:val="7C832D67"/>
    <w:rsid w:val="7CEC561B"/>
    <w:rsid w:val="7CFD071E"/>
    <w:rsid w:val="7D45D8EF"/>
    <w:rsid w:val="7D703D24"/>
    <w:rsid w:val="7D9F2B56"/>
    <w:rsid w:val="7DCC1E16"/>
    <w:rsid w:val="7DDFBD42"/>
    <w:rsid w:val="7DE467BB"/>
    <w:rsid w:val="7DF48FE2"/>
    <w:rsid w:val="7DF7FAFE"/>
    <w:rsid w:val="7DFF0881"/>
    <w:rsid w:val="7E301F07"/>
    <w:rsid w:val="7E5E656D"/>
    <w:rsid w:val="7E7057F8"/>
    <w:rsid w:val="7E747B3F"/>
    <w:rsid w:val="7EBD7EE1"/>
    <w:rsid w:val="7ED56104"/>
    <w:rsid w:val="7EE6733C"/>
    <w:rsid w:val="7F5F1B83"/>
    <w:rsid w:val="7F63F0F1"/>
    <w:rsid w:val="7F76743C"/>
    <w:rsid w:val="7F7A0138"/>
    <w:rsid w:val="7F7DDBA0"/>
    <w:rsid w:val="7F7F443D"/>
    <w:rsid w:val="7FB9378A"/>
    <w:rsid w:val="7FBB574C"/>
    <w:rsid w:val="7FBDD54F"/>
    <w:rsid w:val="7FDC2CE1"/>
    <w:rsid w:val="7FE3E09F"/>
    <w:rsid w:val="7FEF025A"/>
    <w:rsid w:val="7FF71AFB"/>
    <w:rsid w:val="7FFBE8DE"/>
    <w:rsid w:val="7FFD6AE2"/>
    <w:rsid w:val="8B3A950D"/>
    <w:rsid w:val="8FA52C5D"/>
    <w:rsid w:val="8FEAC4DD"/>
    <w:rsid w:val="8FFBE648"/>
    <w:rsid w:val="97BF2A81"/>
    <w:rsid w:val="99FC6F3F"/>
    <w:rsid w:val="9BF33D22"/>
    <w:rsid w:val="9CEFEF58"/>
    <w:rsid w:val="9EFE2C0F"/>
    <w:rsid w:val="9F7568E9"/>
    <w:rsid w:val="9FD6A787"/>
    <w:rsid w:val="A47F59CD"/>
    <w:rsid w:val="ABB778D4"/>
    <w:rsid w:val="ABFFCC73"/>
    <w:rsid w:val="ADF5ED6D"/>
    <w:rsid w:val="AF1F1BBB"/>
    <w:rsid w:val="AFF3212F"/>
    <w:rsid w:val="B3BF19CC"/>
    <w:rsid w:val="B4FFE184"/>
    <w:rsid w:val="B6CFFF9D"/>
    <w:rsid w:val="B6D727D7"/>
    <w:rsid w:val="B85E6CBF"/>
    <w:rsid w:val="BAE6105A"/>
    <w:rsid w:val="BB57116B"/>
    <w:rsid w:val="BBEFD1C4"/>
    <w:rsid w:val="BBF89B67"/>
    <w:rsid w:val="BBFE020D"/>
    <w:rsid w:val="BBFF0087"/>
    <w:rsid w:val="BC46CD4E"/>
    <w:rsid w:val="BCDFDDD8"/>
    <w:rsid w:val="BCF78148"/>
    <w:rsid w:val="BCFF6D12"/>
    <w:rsid w:val="BDFDFD4C"/>
    <w:rsid w:val="BEBFB848"/>
    <w:rsid w:val="BF9572D7"/>
    <w:rsid w:val="BFBF2206"/>
    <w:rsid w:val="BFBF3DF5"/>
    <w:rsid w:val="BFEBFD21"/>
    <w:rsid w:val="BFEDC98A"/>
    <w:rsid w:val="BFFC5673"/>
    <w:rsid w:val="C41F5142"/>
    <w:rsid w:val="C7FF7AB8"/>
    <w:rsid w:val="C9A775EE"/>
    <w:rsid w:val="CB9EFEBA"/>
    <w:rsid w:val="CC4B64D8"/>
    <w:rsid w:val="CF7697EF"/>
    <w:rsid w:val="CF7B1652"/>
    <w:rsid w:val="CFDDEA3F"/>
    <w:rsid w:val="CFEEF495"/>
    <w:rsid w:val="D1FB6DC0"/>
    <w:rsid w:val="D37D84E1"/>
    <w:rsid w:val="D4F744A4"/>
    <w:rsid w:val="D7BF0C83"/>
    <w:rsid w:val="D7DF2189"/>
    <w:rsid w:val="D7F82472"/>
    <w:rsid w:val="DB5BA071"/>
    <w:rsid w:val="DBAF88BB"/>
    <w:rsid w:val="DBBF15CB"/>
    <w:rsid w:val="DBFC8106"/>
    <w:rsid w:val="DD2B7D2A"/>
    <w:rsid w:val="DDBEEB53"/>
    <w:rsid w:val="DE27EA03"/>
    <w:rsid w:val="DEA727D4"/>
    <w:rsid w:val="DEDF37C5"/>
    <w:rsid w:val="DFA911F4"/>
    <w:rsid w:val="DFEFDDE3"/>
    <w:rsid w:val="DFFD1A9B"/>
    <w:rsid w:val="DFFF8FB5"/>
    <w:rsid w:val="E1DC3AAB"/>
    <w:rsid w:val="E377E24F"/>
    <w:rsid w:val="E3FFD1D0"/>
    <w:rsid w:val="E57F274F"/>
    <w:rsid w:val="E67FADE4"/>
    <w:rsid w:val="E7DD9055"/>
    <w:rsid w:val="E8F7BBE5"/>
    <w:rsid w:val="E8F89426"/>
    <w:rsid w:val="E9DD22F0"/>
    <w:rsid w:val="EBAFFC9E"/>
    <w:rsid w:val="EBDFB515"/>
    <w:rsid w:val="EC59EBAA"/>
    <w:rsid w:val="EDA973BE"/>
    <w:rsid w:val="EF4FE93A"/>
    <w:rsid w:val="EF8FEDCE"/>
    <w:rsid w:val="EFAEEF9F"/>
    <w:rsid w:val="EFCCB4D4"/>
    <w:rsid w:val="F2F388B7"/>
    <w:rsid w:val="F3302E34"/>
    <w:rsid w:val="F3FDC10B"/>
    <w:rsid w:val="F63F4CF6"/>
    <w:rsid w:val="F6ADB1C1"/>
    <w:rsid w:val="F6BF1008"/>
    <w:rsid w:val="F76E35A4"/>
    <w:rsid w:val="F7AFD045"/>
    <w:rsid w:val="F7D66AAE"/>
    <w:rsid w:val="F7DED2E8"/>
    <w:rsid w:val="F7FB786F"/>
    <w:rsid w:val="F8BFF264"/>
    <w:rsid w:val="FA1E1E7D"/>
    <w:rsid w:val="FAFF5CD1"/>
    <w:rsid w:val="FBBF88BC"/>
    <w:rsid w:val="FBE70B63"/>
    <w:rsid w:val="FBEB39E9"/>
    <w:rsid w:val="FBF7CA0E"/>
    <w:rsid w:val="FBFB89FA"/>
    <w:rsid w:val="FBFF7B19"/>
    <w:rsid w:val="FDE3D36C"/>
    <w:rsid w:val="FDF4F836"/>
    <w:rsid w:val="FDFF9892"/>
    <w:rsid w:val="FEB7D756"/>
    <w:rsid w:val="FEF77921"/>
    <w:rsid w:val="FEFCC214"/>
    <w:rsid w:val="FEFFC907"/>
    <w:rsid w:val="FEFFDDAD"/>
    <w:rsid w:val="FF33B4CF"/>
    <w:rsid w:val="FF7B0F6E"/>
    <w:rsid w:val="FF7D1992"/>
    <w:rsid w:val="FF7D841E"/>
    <w:rsid w:val="FF975A83"/>
    <w:rsid w:val="FF993A94"/>
    <w:rsid w:val="FF9B4CBF"/>
    <w:rsid w:val="FFABC68B"/>
    <w:rsid w:val="FFB9F435"/>
    <w:rsid w:val="FFDB8450"/>
    <w:rsid w:val="FFDEAAD1"/>
    <w:rsid w:val="FFDEB41C"/>
    <w:rsid w:val="FFEAF579"/>
    <w:rsid w:val="FFFBE950"/>
    <w:rsid w:val="FFFD1354"/>
    <w:rsid w:val="FFFE127C"/>
    <w:rsid w:val="FFFF319B"/>
    <w:rsid w:val="FFFFBB1F"/>
    <w:rsid w:val="FFFFC7A4"/>
    <w:rsid w:val="FFFFDF53"/>
    <w:rsid w:val="FFFFE9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9" w:semiHidden="0" w:name="heading 5"/>
    <w:lsdException w:qFormat="1" w:uiPriority="0" w:semiHidden="0" w:name="heading 6"/>
    <w:lsdException w:qFormat="1" w:uiPriority="0" w:semiHidden="0" w:name="heading 7"/>
    <w:lsdException w:qFormat="1"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wordWrap w:val="0"/>
      <w:spacing w:line="360" w:lineRule="auto"/>
      <w:ind w:firstLine="1124" w:firstLineChars="200"/>
      <w:jc w:val="both"/>
    </w:pPr>
    <w:rPr>
      <w:rFonts w:eastAsia="宋体" w:asciiTheme="minorEastAsia" w:hAnsiTheme="minorEastAsia" w:cstheme="minorEastAsia"/>
      <w:color w:val="auto"/>
      <w:kern w:val="2"/>
      <w:sz w:val="24"/>
      <w:szCs w:val="22"/>
      <w:highlight w:val="none"/>
      <w:lang w:val="en-US" w:eastAsia="zh-CN" w:bidi="ar-SA"/>
    </w:rPr>
  </w:style>
  <w:style w:type="paragraph" w:styleId="4">
    <w:name w:val="heading 1"/>
    <w:basedOn w:val="1"/>
    <w:next w:val="1"/>
    <w:qFormat/>
    <w:uiPriority w:val="0"/>
    <w:pPr>
      <w:keepNext/>
      <w:keepLines/>
      <w:numPr>
        <w:ilvl w:val="0"/>
        <w:numId w:val="1"/>
      </w:numPr>
      <w:ind w:left="0" w:firstLine="0" w:firstLineChars="0"/>
      <w:outlineLvl w:val="0"/>
    </w:pPr>
    <w:rPr>
      <w:rFonts w:ascii="Calibri" w:hAnsi="Calibri" w:eastAsiaTheme="majorEastAsia" w:cstheme="minorBidi"/>
      <w:b/>
      <w:bCs/>
      <w:kern w:val="44"/>
      <w:sz w:val="30"/>
      <w:szCs w:val="44"/>
    </w:rPr>
  </w:style>
  <w:style w:type="paragraph" w:styleId="5">
    <w:name w:val="heading 2"/>
    <w:basedOn w:val="1"/>
    <w:next w:val="1"/>
    <w:unhideWhenUsed/>
    <w:qFormat/>
    <w:uiPriority w:val="0"/>
    <w:pPr>
      <w:keepNext/>
      <w:keepLines/>
      <w:numPr>
        <w:ilvl w:val="1"/>
        <w:numId w:val="1"/>
      </w:numPr>
      <w:spacing w:line="480" w:lineRule="auto"/>
      <w:ind w:left="0" w:firstLine="0" w:firstLineChars="0"/>
      <w:outlineLvl w:val="1"/>
    </w:pPr>
    <w:rPr>
      <w:rFonts w:asciiTheme="majorAscii" w:hAnsiTheme="majorAscii" w:eastAsiaTheme="majorEastAsia" w:cstheme="majorBidi"/>
      <w:b/>
      <w:bCs/>
      <w:sz w:val="28"/>
      <w:szCs w:val="32"/>
      <w:lang w:val="en-US" w:eastAsia="zh-CN" w:bidi="ar-SA"/>
    </w:rPr>
  </w:style>
  <w:style w:type="paragraph" w:styleId="6">
    <w:name w:val="heading 3"/>
    <w:next w:val="1"/>
    <w:link w:val="25"/>
    <w:unhideWhenUsed/>
    <w:qFormat/>
    <w:uiPriority w:val="0"/>
    <w:pPr>
      <w:keepNext/>
      <w:keepLines/>
      <w:numPr>
        <w:ilvl w:val="2"/>
        <w:numId w:val="1"/>
      </w:numPr>
      <w:spacing w:line="480" w:lineRule="auto"/>
      <w:ind w:left="0" w:firstLine="0" w:firstLineChars="0"/>
      <w:outlineLvl w:val="2"/>
    </w:pPr>
    <w:rPr>
      <w:rFonts w:ascii="Calibri" w:hAnsi="Calibri" w:eastAsiaTheme="majorEastAsia" w:cstheme="minorBidi"/>
      <w:b/>
      <w:bCs/>
      <w:sz w:val="28"/>
      <w:szCs w:val="32"/>
      <w:lang w:val="en-US" w:eastAsia="zh-CN" w:bidi="ar-SA"/>
    </w:rPr>
  </w:style>
  <w:style w:type="paragraph" w:styleId="7">
    <w:name w:val="heading 4"/>
    <w:basedOn w:val="1"/>
    <w:next w:val="1"/>
    <w:unhideWhenUsed/>
    <w:qFormat/>
    <w:uiPriority w:val="9"/>
    <w:pPr>
      <w:keepNext/>
      <w:keepLines/>
      <w:numPr>
        <w:ilvl w:val="3"/>
        <w:numId w:val="1"/>
      </w:numPr>
      <w:bidi w:val="0"/>
      <w:spacing w:line="480" w:lineRule="auto"/>
      <w:ind w:left="0" w:leftChars="0" w:firstLine="0" w:firstLineChars="0"/>
      <w:outlineLvl w:val="3"/>
    </w:pPr>
    <w:rPr>
      <w:rFonts w:asciiTheme="majorAscii" w:hAnsiTheme="majorAscii" w:eastAsiaTheme="majorEastAsia" w:cstheme="majorBidi"/>
      <w:b/>
      <w:bCs/>
      <w:sz w:val="28"/>
      <w:szCs w:val="28"/>
    </w:rPr>
  </w:style>
  <w:style w:type="paragraph" w:styleId="8">
    <w:name w:val="heading 5"/>
    <w:basedOn w:val="1"/>
    <w:next w:val="1"/>
    <w:qFormat/>
    <w:uiPriority w:val="9"/>
    <w:pPr>
      <w:keepNext/>
      <w:keepLines/>
      <w:numPr>
        <w:ilvl w:val="4"/>
        <w:numId w:val="1"/>
      </w:numPr>
      <w:spacing w:line="360" w:lineRule="auto"/>
      <w:ind w:left="0" w:leftChars="0" w:firstLine="0" w:firstLineChars="0"/>
      <w:outlineLvl w:val="4"/>
    </w:pPr>
    <w:rPr>
      <w:rFonts w:ascii="Calibri" w:hAnsi="Calibri" w:eastAsiaTheme="majorEastAsia" w:cstheme="minorBidi"/>
      <w:b/>
      <w:sz w:val="28"/>
    </w:rPr>
  </w:style>
  <w:style w:type="paragraph" w:styleId="9">
    <w:name w:val="heading 6"/>
    <w:basedOn w:val="1"/>
    <w:next w:val="1"/>
    <w:unhideWhenUsed/>
    <w:qFormat/>
    <w:uiPriority w:val="0"/>
    <w:pPr>
      <w:keepNext/>
      <w:keepLines/>
      <w:numPr>
        <w:ilvl w:val="5"/>
        <w:numId w:val="1"/>
      </w:numPr>
      <w:spacing w:beforeLines="0" w:beforeAutospacing="0" w:afterLines="0" w:afterAutospacing="0" w:line="480" w:lineRule="auto"/>
      <w:ind w:left="0" w:firstLine="0" w:firstLineChars="0"/>
      <w:outlineLvl w:val="5"/>
    </w:pPr>
    <w:rPr>
      <w:rFonts w:ascii="Arial" w:hAnsi="Arial" w:eastAsiaTheme="majorEastAsia"/>
      <w:b/>
      <w:sz w:val="28"/>
    </w:rPr>
  </w:style>
  <w:style w:type="paragraph" w:styleId="10">
    <w:name w:val="heading 7"/>
    <w:basedOn w:val="1"/>
    <w:next w:val="1"/>
    <w:link w:val="26"/>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rPr>
  </w:style>
  <w:style w:type="paragraph" w:styleId="11">
    <w:name w:val="heading 8"/>
    <w:basedOn w:val="1"/>
    <w:next w:val="1"/>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Theme="majorEastAsia"/>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rPr>
      <w:rFonts w:ascii="Times New Roman" w:hAnsi="Times New Roman"/>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3">
    <w:name w:val="annotation text"/>
    <w:basedOn w:val="1"/>
    <w:qFormat/>
    <w:uiPriority w:val="0"/>
    <w:pPr>
      <w:jc w:val="left"/>
    </w:pPr>
  </w:style>
  <w:style w:type="paragraph" w:styleId="14">
    <w:name w:val="toc 3"/>
    <w:basedOn w:val="1"/>
    <w:next w:val="1"/>
    <w:qFormat/>
    <w:uiPriority w:val="0"/>
    <w:pPr>
      <w:ind w:left="840" w:leftChars="400"/>
    </w:p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toc 2"/>
    <w:basedOn w:val="1"/>
    <w:next w:val="1"/>
    <w:unhideWhenUsed/>
    <w:qFormat/>
    <w:uiPriority w:val="39"/>
    <w:pPr>
      <w:ind w:left="420" w:leftChars="200"/>
    </w:pPr>
  </w:style>
  <w:style w:type="paragraph" w:styleId="19">
    <w:name w:val="Normal (Web)"/>
    <w:basedOn w:val="1"/>
    <w:unhideWhenUsed/>
    <w:qFormat/>
    <w:uiPriority w:val="99"/>
    <w:pPr>
      <w:widowControl/>
      <w:spacing w:before="100" w:beforeAutospacing="1" w:after="100" w:afterAutospacing="1"/>
      <w:ind w:firstLine="0" w:firstLineChars="0"/>
      <w:jc w:val="left"/>
    </w:pPr>
    <w:rPr>
      <w:rFonts w:ascii="宋体" w:hAnsi="宋体" w:eastAsia="宋体" w:cs="宋体"/>
      <w:kern w:val="0"/>
      <w:szCs w:val="24"/>
    </w:rPr>
  </w:style>
  <w:style w:type="character" w:styleId="22">
    <w:name w:val="Strong"/>
    <w:basedOn w:val="21"/>
    <w:qFormat/>
    <w:uiPriority w:val="0"/>
    <w:rPr>
      <w:b/>
    </w:rPr>
  </w:style>
  <w:style w:type="paragraph" w:customStyle="1" w:styleId="23">
    <w:name w:val="form-control-static8"/>
    <w:basedOn w:val="1"/>
    <w:qFormat/>
    <w:uiPriority w:val="0"/>
    <w:pPr>
      <w:jc w:val="left"/>
    </w:pPr>
    <w:rPr>
      <w:rFonts w:cs="Times New Roman"/>
      <w:kern w:val="0"/>
    </w:rPr>
  </w:style>
  <w:style w:type="paragraph" w:styleId="24">
    <w:name w:val="List Paragraph"/>
    <w:basedOn w:val="1"/>
    <w:qFormat/>
    <w:uiPriority w:val="34"/>
    <w:pPr>
      <w:ind w:firstLine="420"/>
    </w:pPr>
  </w:style>
  <w:style w:type="character" w:customStyle="1" w:styleId="25">
    <w:name w:val="标题 3 字符1"/>
    <w:link w:val="6"/>
    <w:qFormat/>
    <w:uiPriority w:val="0"/>
    <w:rPr>
      <w:rFonts w:ascii="Calibri" w:hAnsi="Calibri" w:eastAsiaTheme="majorEastAsia" w:cstheme="minorBidi"/>
      <w:b/>
      <w:bCs/>
      <w:sz w:val="28"/>
      <w:szCs w:val="32"/>
      <w:lang w:val="en-US" w:eastAsia="zh-CN" w:bidi="ar-SA"/>
    </w:rPr>
  </w:style>
  <w:style w:type="character" w:customStyle="1" w:styleId="26">
    <w:name w:val="标题 7 Char"/>
    <w:link w:val="10"/>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0472e4c9-0708-46b5-b581-7b3aabcae7b2</errorID>
      <errorWord>(</errorWord>
      <group>L1_Format</group>
      <groupName>格式问题</groupName>
      <ability>L2_HalfPunc_CN</ability>
      <abilityName>全半角问题</abilityName>
      <candidateList>
        <item>（</item>
      </candidateList>
      <explain>文本全半角错误。</explain>
      <paraID>69C2BC9E</paraID>
      <start>16</start>
      <end>17</end>
      <status>unmodified</status>
      <modifiedWord/>
      <trackRevisions>false</trackRevisions>
    </reviewItem>
    <reviewItem>
      <errorID>284afd06-4fd9-405a-9def-3cade6e20edb</errorID>
      <errorWord>)</errorWord>
      <group>L1_Format</group>
      <groupName>格式问题</groupName>
      <ability>L2_HalfPunc_CN</ability>
      <abilityName>全半角问题</abilityName>
      <candidateList>
        <item>）</item>
      </candidateList>
      <explain>文本全半角错误。</explain>
      <paraID>69C2BC9E</paraID>
      <start>19</start>
      <end>20</end>
      <status>unmodified</status>
      <modifiedWord/>
      <trackRevisions>false</trackRevisions>
    </reviewItem>
    <reviewItem>
      <errorID>de1f51da-6890-4998-a962-94ddf79b20ea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588F46AC</paraID>
      <start>0</start>
      <end>2</end>
      <status>unmodified</status>
      <modifiedWord/>
      <trackRevisions>false</trackRevisions>
    </reviewItem>
    <reviewItem>
      <errorID>45a914b1-d804-49e7-a38c-cff20394d444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4D857C2</paraID>
      <start>0</start>
      <end>2</end>
      <status>unmodified</status>
      <modifiedWord/>
      <trackRevisions>false</trackRevisions>
    </reviewItem>
    <reviewItem>
      <errorID>3bde628a-1d8e-4d75-932e-bad1726ebab0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450C0D29</paraID>
      <start>0</start>
      <end>2</end>
      <status>unmodified</status>
      <modifiedWord/>
      <trackRevisions>false</trackRevisions>
    </reviewItem>
    <reviewItem>
      <errorID>9576a110-2d69-44a3-baa0-cbbf97508e03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2D9E0B3C</paraID>
      <start>0</start>
      <end>2</end>
      <status>unmodified</status>
      <modifiedWord/>
      <trackRevisions>false</trackRevisions>
    </reviewItem>
    <reviewItem>
      <errorID>80a9c8c1-a599-47c7-aa49-1593c4702431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695EF9CF</paraID>
      <start>0</start>
      <end>2</end>
      <status>unmodified</status>
      <modifiedWord/>
      <trackRevisions>false</trackRevisions>
    </reviewItem>
    <reviewItem>
      <errorID>a6de2493-2aa7-42c0-a942-90c3a61ee5bb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7BC7831F</paraID>
      <start>0</start>
      <end>2</end>
      <status>unmodified</status>
      <modifiedWord/>
      <trackRevisions>false</trackRevisions>
    </reviewItem>
    <reviewItem>
      <errorID>84f8934a-e921-45c1-a4a1-15c153afc740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58C0D1F5</paraID>
      <start>0</start>
      <end>2</end>
      <status>unmodified</status>
      <modifiedWord/>
      <trackRevisions>false</trackRevisions>
    </reviewItem>
    <reviewItem>
      <errorID>aa89d8d0-c934-4046-a88a-3e2d4469f7ba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593FBFAB</paraID>
      <start>0</start>
      <end>2</end>
      <status>unmodified</status>
      <modifiedWord/>
      <trackRevisions>false</trackRevisions>
    </reviewItem>
    <reviewItem>
      <errorID>d318f8e1-58e5-4a8a-bb3b-5fe0f5e0039a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657BC482</paraID>
      <start>0</start>
      <end>2</end>
      <status>unmodified</status>
      <modifiedWord/>
      <trackRevisions>false</trackRevisions>
    </reviewItem>
    <reviewItem>
      <errorID>d4098c9c-e54b-4ebc-bd24-7ee0cee784fc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5274358C</paraID>
      <start>0</start>
      <end>3</end>
      <status>unmodified</status>
      <modifiedWord/>
      <trackRevisions>false</trackRevisions>
    </reviewItem>
    <reviewItem>
      <errorID>fd7689eb-4d19-4250-a766-fd6c698d0a12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474E3F59</paraID>
      <start>0</start>
      <end>3</end>
      <status>unmodified</status>
      <modifiedWord/>
      <trackRevisions>false</trackRevisions>
    </reviewItem>
    <reviewItem>
      <errorID>938422f3-b5d8-450c-afa6-c0f35aa8475a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2DE5D703</paraID>
      <start>0</start>
      <end>3</end>
      <status>unmodified</status>
      <modifiedWord/>
      <trackRevisions>false</trackRevisions>
    </reviewItem>
    <reviewItem>
      <errorID>21e37b61-6318-4e3d-b392-31d808d6732c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65675DCD</paraID>
      <start>0</start>
      <end>3</end>
      <status>unmodified</status>
      <modifiedWord/>
      <trackRevisions>false</trackRevisions>
    </reviewItem>
    <reviewItem>
      <errorID>cda025a3-5c9a-479a-8dd4-a355bc36af40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30E3349F</paraID>
      <start>0</start>
      <end>3</end>
      <status>unmodified</status>
      <modifiedWord/>
      <trackRevisions>false</trackRevisions>
    </reviewItem>
    <reviewItem>
      <errorID>8585109d-f920-4032-aa65-4ab46cd13b2c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5DA2338D</paraID>
      <start>0</start>
      <end>3</end>
      <status>unmodified</status>
      <modifiedWord/>
      <trackRevisions>false</trackRevisions>
    </reviewItem>
    <reviewItem>
      <errorID>370eaf93-df47-4412-a961-9bacbae795bb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34EB7773</paraID>
      <start>0</start>
      <end>3</end>
      <status>unmodified</status>
      <modifiedWord/>
      <trackRevisions>false</trackRevisions>
    </reviewItem>
    <reviewItem>
      <errorID>bd87c4f8-0b30-4d92-81ac-1ca0f2da0cc2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342DD895</paraID>
      <start>0</start>
      <end>3</end>
      <status>unmodified</status>
      <modifiedWord/>
      <trackRevisions>false</trackRevisions>
    </reviewItem>
    <reviewItem>
      <errorID>7b7156c3-6c9c-4cc0-85c8-e24aad80220f</errorID>
      <errorWord>“双碳”战略</errorWord>
      <group>L1_Word</group>
      <groupName>字词问题</groupName>
      <ability>L2_Typo</ability>
      <abilityName>字词错误</abilityName>
      <candidateList>
        <item>“双碳”目标</item>
      </candidateList>
      <explain/>
      <paraID>499F7A59</paraID>
      <start>1</start>
      <end>7</end>
      <status>unmodified</status>
      <modifiedWord/>
      <trackRevisions>false</trackRevisions>
    </reviewItem>
    <reviewItem>
      <errorID>564301d8-ddd0-45e8-9ac0-128a4a676ad0</errorID>
      <errorWord>。。</errorWord>
      <group>L1_Punc</group>
      <groupName>标点问题</groupName>
      <ability>L2_Punc_CN</ability>
      <abilityName>标点符号问题</abilityName>
      <candidateList>
        <item>。</item>
      </candidateList>
      <explain/>
      <paraID>3C455DF3</paraID>
      <start>338</start>
      <end>340</end>
      <status>unmodified</status>
      <modifiedWord/>
      <trackRevisions>false</trackRevisions>
    </reviewItem>
    <reviewItem>
      <errorID>1d85505c-4248-4385-9414-a17b1f732084</errorID>
      <errorWord>-</errorWord>
      <group>L1_Format</group>
      <groupName>格式问题</groupName>
      <ability>L2_HalfPunc_CN</ability>
      <abilityName>全半角问题</abilityName>
      <candidateList>
        <item>－</item>
      </candidateList>
      <explain>文本全半角错误。</explain>
      <paraID>398EFD38</paraID>
      <start>4</start>
      <end>5</end>
      <status>modified</status>
      <modifiedWord>－</modifiedWord>
      <trackRevisions>false</trackRevisions>
    </reviewItem>
    <reviewItem>
      <errorID>8c8aae11-5b3b-4d08-bcb5-981ea11d06cb</errorID>
      <errorWord>进</errorWord>
      <group>L1_Word</group>
      <groupName>字词问题</groupName>
      <ability>L2_Typo</ability>
      <abilityName>字词错误</abilityName>
      <candidateList>
        <item>进入</item>
      </candidateList>
      <explain>〈动〉支进到某个范围或某个时期里：～学校｜～新阶段◇～角色。</explain>
      <paraID>105FA2FA</paraID>
      <start>34</start>
      <end>35</end>
      <status>unmodified</status>
      <modifiedWord/>
      <trackRevisions>false</trackRevisions>
    </reviewItem>
    <reviewItem>
      <errorID>64ca9eeb-0e7e-4b06-a62a-92f438ddbee7</errorID>
      <errorWord>-</errorWord>
      <group>L1_Format</group>
      <groupName>格式问题</groupName>
      <ability>L2_HalfPunc_CN</ability>
      <abilityName>全半角问题</abilityName>
      <candidateList>
        <item>－</item>
      </candidateList>
      <explain>文本全半角错误。</explain>
      <paraID>4537255E</paraID>
      <start>4</start>
      <end>5</end>
      <status>modified</status>
      <modifiedWord>－</modifiedWord>
      <trackRevisions>false</trackRevisions>
    </reviewItem>
    <reviewItem>
      <errorID>7fe172db-3d7d-4748-83c9-8aa526195140</errorID>
      <errorWord>-</errorWord>
      <group>L1_Format</group>
      <groupName>格式问题</groupName>
      <ability>L2_HalfPunc_CN</ability>
      <abilityName>全半角问题</abilityName>
      <candidateList>
        <item>－</item>
      </candidateList>
      <explain>文本全半角错误。</explain>
      <paraID>6C2B3B56</paraID>
      <start>4</start>
      <end>5</end>
      <status>modified</status>
      <modifiedWord>－</modifiedWord>
      <trackRevisions>false</trackRevisions>
    </reviewItem>
    <reviewItem>
      <errorID>255ca51d-cf7d-46bf-80dd-48ef8327c772</errorID>
      <errorWord>;</errorWord>
      <group>L1_Format</group>
      <groupName>格式问题</groupName>
      <ability>L2_HalfPunc_CN</ability>
      <abilityName>全半角问题</abilityName>
      <candidateList>
        <item>；</item>
      </candidateList>
      <explain>文本全半角错误。</explain>
      <paraID>71BDC1BF</paraID>
      <start>15</start>
      <end>16</end>
      <status>modified</status>
      <modifiedWord>；</modifiedWord>
      <trackRevisions>false</trackRevisions>
    </reviewItem>
    <reviewItem>
      <errorID>3227199c-6585-4aec-ae7c-f537eea89406</errorID>
      <errorWord>;</errorWord>
      <group>L1_Format</group>
      <groupName>格式问题</groupName>
      <ability>L2_HalfPunc_CN</ability>
      <abilityName>全半角问题</abilityName>
      <candidateList>
        <item>；</item>
      </candidateList>
      <explain>文本全半角错误。</explain>
      <paraID>3871A542</paraID>
      <start>54</start>
      <end>55</end>
      <status>modified</status>
      <modifiedWord>；</modifiedWord>
      <trackRevisions>false</trackRevisions>
    </reviewItem>
    <reviewItem>
      <errorID>948acd88-381e-4fff-8fc0-59967ed452e2</errorID>
      <errorWord>;</errorWord>
      <group>L1_Format</group>
      <groupName>格式问题</groupName>
      <ability>L2_HalfPunc_CN</ability>
      <abilityName>全半角问题</abilityName>
      <candidateList>
        <item>；</item>
      </candidateList>
      <explain>文本全半角错误。</explain>
      <paraID>59B0630A</paraID>
      <start>58</start>
      <end>59</end>
      <status>modified</status>
      <modifiedWord>；</modifiedWord>
      <trackRevisions>false</trackRevisions>
    </reviewItem>
    <reviewItem>
      <errorID>aa9695a6-75e0-41da-b92f-4a5db363a4ad</errorID>
      <errorWord>-</errorWord>
      <group>L1_Format</group>
      <groupName>格式问题</groupName>
      <ability>L2_HalfPunc_CN</ability>
      <abilityName>全半角问题</abilityName>
      <candidateList>
        <item>－</item>
      </candidateList>
      <explain>文本全半角错误。</explain>
      <paraID>699B8420</paraID>
      <start>4</start>
      <end>5</end>
      <status>modified</status>
      <modifiedWord>－</modifiedWord>
      <trackRevisions>false</trackRevisions>
    </reviewItem>
    <reviewItem>
      <errorID>00cb8f66-77da-47ec-8cbc-c6f6082660f8</errorID>
      <errorWord>-</errorWord>
      <group>L1_Format</group>
      <groupName>格式问题</groupName>
      <ability>L2_HalfPunc_CN</ability>
      <abilityName>全半角问题</abilityName>
      <candidateList>
        <item>－</item>
      </candidateList>
      <explain>文本全半角错误。</explain>
      <paraID>1449E61E</paraID>
      <start>6</start>
      <end>7</end>
      <status>modified</status>
      <modifiedWord>－</modifiedWord>
      <trackRevisions>false</trackRevisions>
    </reviewItem>
    <reviewItem>
      <errorID>d2431b7d-48fe-4e0a-bda1-c5a160206e1c</errorID>
      <errorWord>-</errorWord>
      <group>L1_Format</group>
      <groupName>格式问题</groupName>
      <ability>L2_HalfPunc_CN</ability>
      <abilityName>全半角问题</abilityName>
      <candidateList>
        <item>－</item>
      </candidateList>
      <explain>文本全半角错误。</explain>
      <paraID>  FA5CF0</paraID>
      <start>6</start>
      <end>7</end>
      <status>modified</status>
      <modifiedWord>－</modifiedWord>
      <trackRevisions>false</trackRevisions>
    </reviewItem>
    <reviewItem>
      <errorID>b6088768-5d11-4b65-b25e-bb20ea7206c0</errorID>
      <errorWord>-</errorWord>
      <group>L1_Format</group>
      <groupName>格式问题</groupName>
      <ability>L2_HalfPunc_CN</ability>
      <abilityName>全半角问题</abilityName>
      <candidateList>
        <item>－</item>
      </candidateList>
      <explain>文本全半角错误。</explain>
      <paraID>7279D43D</paraID>
      <start>40</start>
      <end>41</end>
      <status>modified</status>
      <modifiedWord>－</modifiedWord>
      <trackRevisions>false</trackRevisions>
    </reviewItem>
    <reviewItem>
      <errorID>8a8edc32-6053-43df-9e8b-c010bdfbd759</errorID>
      <errorWord>-</errorWord>
      <group>L1_Format</group>
      <groupName>格式问题</groupName>
      <ability>L2_HalfPunc_CN</ability>
      <abilityName>全半角问题</abilityName>
      <candidateList>
        <item>－</item>
      </candidateList>
      <explain>文本全半角错误。</explain>
      <paraID>19EFCB92</paraID>
      <start>37</start>
      <end>38</end>
      <status>modified</status>
      <modifiedWord>－</modifiedWord>
      <trackRevisions>false</trackRevisions>
    </reviewItem>
    <reviewItem>
      <errorID>4c8ca124-c818-4a51-9a12-84d32e0a5cb8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397E20B4</paraID>
      <start>51</start>
      <end>52</end>
      <status>unmodified</status>
      <modifiedWord/>
      <trackRevisions>false</trackRevisions>
    </reviewItem>
    <reviewItem>
      <errorID>a546c998-c71b-4171-b818-72b2d30434ef</errorID>
      <errorWord>&lt;</errorWord>
      <group>L1_Format</group>
      <groupName>格式问题</groupName>
      <ability>L2_HalfPunc_CN</ability>
      <abilityName>全半角问题</abilityName>
      <candidateList>
        <item>〈</item>
      </candidateList>
      <explain>文本全半角错误。</explain>
      <paraID>1161C1A8</paraID>
      <start>14</start>
      <end>15</end>
      <status>modified</status>
      <modifiedWord>〈</modifiedWord>
      <trackRevisions>false</trackRevisions>
    </reviewItem>
    <reviewItem>
      <errorID>d8d764af-1c26-4028-9102-e354caccb953</errorID>
      <errorWord>&gt;，</errorWord>
      <group>L1_Punc</group>
      <groupName>标点问题</groupName>
      <ability>L2_Punc_CN</ability>
      <abilityName>标点符号问题</abilityName>
      <candidateList>
        <item>&gt;</item>
      </candidateList>
      <explain/>
      <paraID>1161C1A8</paraID>
      <start>21</start>
      <end>22</end>
      <status>modified</status>
      <modifiedWord>&gt;</modifiedWord>
      <trackRevisions>false</trackRevisions>
    </reviewItem>
    <reviewItem>
      <errorID>1b2d7d92-7afd-4d89-8ea0-8ea478070f29</errorID>
      <errorWord>-</errorWord>
      <group>L1_Format</group>
      <groupName>格式问题</groupName>
      <ability>L2_HalfPunc_CN</ability>
      <abilityName>全半角问题</abilityName>
      <candidateList>
        <item>－</item>
      </candidateList>
      <explain>文本全半角错误。</explain>
      <paraID>1E95B8E2</paraID>
      <start>4</start>
      <end>5</end>
      <status>modified</status>
      <modifiedWord>－</modifiedWord>
      <trackRevisions>false</trackRevisions>
    </reviewItem>
    <reviewItem>
      <errorID>b8f5cd22-cb41-4b2e-a31d-641b4bd62405</errorID>
      <errorWord>-</errorWord>
      <group>L1_Format</group>
      <groupName>格式问题</groupName>
      <ability>L2_HalfPunc_CN</ability>
      <abilityName>全半角问题</abilityName>
      <candidateList>
        <item>－</item>
      </candidateList>
      <explain>文本全半角错误。</explain>
      <paraID>2C07B0AA</paraID>
      <start>4</start>
      <end>5</end>
      <status>modified</status>
      <modifiedWord>－</modifiedWord>
      <trackRevisions>false</trackRevisions>
    </reviewItem>
    <reviewItem>
      <errorID>b7c11d33-f054-4674-9b34-0c96782ff174</errorID>
      <errorWord>原始数据的</errorWord>
      <group>L1_Word</group>
      <groupName>字词问题</groupName>
      <ability>L2_Typo</ability>
      <abilityName>字词错误</abilityName>
      <candidateList>
        <item>原始数据</item>
      </candidateList>
      <explain/>
      <paraID>64CACAAD</paraID>
      <start>13</start>
      <end>18</end>
      <status>unmodified</status>
      <modifiedWord/>
      <trackRevisions>false</trackRevisions>
    </reviewItem>
    <reviewItem>
      <errorID>215557c5-5e39-4cd0-bd54-39a450f7f2b7</errorID>
      <errorWord>模版</errorWord>
      <group>L1_Word</group>
      <groupName>字词问题</groupName>
      <ability>L2_Typo</ability>
      <abilityName>字词错误</abilityName>
      <candidateList>
        <item>模板</item>
      </candidateList>
      <explain>存在发音相同字词的误用。</explain>
      <paraID>57B906AD</paraID>
      <start>26</start>
      <end>28</end>
      <status>unmodified</status>
      <modifiedWord/>
      <trackRevisions>false</trackRevisions>
    </reviewItem>
    <reviewItem>
      <errorID>e9c7ac88-be1b-4243-92aa-a6c0b5305202</errorID>
      <errorWord>作</errorWord>
      <group>L1_Word</group>
      <groupName>字词问题</groupName>
      <ability>L2_Typo</ability>
      <abilityName>字词错误</abilityName>
      <candidateList>
        <item>做</item>
      </candidateList>
      <explain>存在发音相同字词的误用。</explain>
      <paraID>6D4E8C00</paraID>
      <start>22</start>
      <end>23</end>
      <status>unmodified</status>
      <modifiedWord/>
      <trackRevisions>false</trackRevisions>
    </reviewItem>
    <reviewItem>
      <errorID>e7190b5b-658d-45d0-b453-42f2107c4ff8</errorID>
      <errorWord>达</errorWord>
      <group>L1_Word</group>
      <groupName>字词问题</groupName>
      <ability>L2_Typo</ability>
      <abilityName>字词错误</abilityName>
      <candidateList>
        <item>达到</item>
      </candidateList>
      <explain>〈动〉到（多指抽象事物或程度）：达得到｜达不到｜目的没有～｜～国际水平。</explain>
      <paraID>1859558F</paraID>
      <start>51</start>
      <end>52</end>
      <status>unmodified</status>
      <modifiedWord/>
      <trackRevisions>false</trackRevisions>
    </reviewItem>
    <reviewItem>
      <errorID>17a3ce24-284c-48e1-a3fa-b0fb872e13c4</errorID>
      <errorWord>阶段中</errorWord>
      <group>L1_Word</group>
      <groupName>字词问题</groupName>
      <ability>L2_Typo</ability>
      <abilityName>字词错误</abilityName>
      <candidateList>
        <item>阶段</item>
      </candidateList>
      <explain/>
      <paraID>321F8F62</paraID>
      <start>123</start>
      <end>126</end>
      <status>unmodified</status>
      <modifiedWord/>
      <trackRevisions>false</trackRevisions>
    </reviewItem>
    <reviewItem>
      <errorID>b0fc82c7-bf78-4681-9a97-74c9a9058a94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62C18C71</paraID>
      <start>3</start>
      <end>6</end>
      <status>unmodified</status>
      <modifiedWord/>
      <trackRevisions>false</trackRevisions>
    </reviewItem>
    <reviewItem>
      <errorID>c301da0c-1b47-4fb0-9c1c-c51f041fb724</errorID>
      <errorWord>法律、法规</errorWord>
      <group>L1_Word</group>
      <groupName>字词问题</groupName>
      <ability>L2_Typo</ability>
      <abilityName>字词错误</abilityName>
      <candidateList>
        <item>法律法规</item>
      </candidateList>
      <explain/>
      <paraID> 8A90953</paraID>
      <start>12</start>
      <end>17</end>
      <status>unmodified</status>
      <modifiedWord/>
      <trackRevisions>false</trackRevisions>
    </reviewItem>
    <reviewItem>
      <errorID>149e018f-dae6-43dd-929b-a52d6d1ce1ec</errorID>
      <errorWord>,</errorWord>
      <group>L1_Format</group>
      <groupName>格式问题</groupName>
      <ability>L2_HalfPunc_CN</ability>
      <abilityName>全半角问题</abilityName>
      <candidateList>
        <item>，</item>
      </candidateList>
      <explain>文本全半角错误。</explain>
      <paraID>23C0292F</paraID>
      <start>79</start>
      <end>80</end>
      <status>modified</status>
      <modifiedWord>，</modifiedWord>
      <trackRevisions>false</trackRevisions>
    </reviewItem>
    <reviewItem>
      <errorID>652f9d3b-f78f-450c-97ed-6465e51fcdea</errorID>
      <errorWord>,</errorWord>
      <group>L1_Format</group>
      <groupName>格式问题</groupName>
      <ability>L2_HalfPunc_CN</ability>
      <abilityName>全半角问题</abilityName>
      <candidateList>
        <item>，</item>
      </candidateList>
      <explain>文本全半角错误。</explain>
      <paraID>44DB618C</paraID>
      <start>22</start>
      <end>23</end>
      <status>modified</status>
      <modifiedWord>，</modifiedWord>
      <trackRevisions>false</trackRevisions>
    </reviewItem>
    <reviewItem>
      <errorID>0fdabe9c-7e16-476a-8f5f-1c2b807c9a8d</errorID>
      <errorWord>,</errorWord>
      <group>L1_Format</group>
      <groupName>格式问题</groupName>
      <ability>L2_HalfPunc_CN</ability>
      <abilityName>全半角问题</abilityName>
      <candidateList>
        <item>，</item>
      </candidateList>
      <explain>文本全半角错误。</explain>
      <paraID>63F33A82</paraID>
      <start>46</start>
      <end>47</end>
      <status>modified</status>
      <modifiedWord>，</modifiedWord>
      <trackRevisions>false</trackRevisions>
    </reviewItem>
    <reviewItem>
      <errorID>576ca3f0-b396-4002-94af-71b7b3b1943f</errorID>
      <errorWord>提高</errorWord>
      <group>L1_Grammar</group>
      <groupName>语法问题</groupName>
      <ability>L2_Grammar</ability>
      <abilityName>语法错误</abilityName>
      <candidateList>
        <item>增强</item>
      </candidateList>
      <explain>“提高～意识”搭配不当，建议修改为“增强～意识”。</explain>
      <paraID>6F4D1DD1</paraID>
      <start>37</start>
      <end>39</end>
      <status>unmodified</status>
      <modifiedWord/>
      <trackRevisions>false</trackRevisions>
    </reviewItem>
    <reviewItem>
      <errorID>7e26d775-8de0-4a0b-9a23-b1b33f563dac</errorID>
      <errorWord>,</errorWord>
      <group>L1_Format</group>
      <groupName>格式问题</groupName>
      <ability>L2_HalfPunc_CN</ability>
      <abilityName>全半角问题</abilityName>
      <candidateList>
        <item>，</item>
      </candidateList>
      <explain>文本全半角错误。</explain>
      <paraID>245C8D4C</paraID>
      <start>42</start>
      <end>43</end>
      <status>modified</status>
      <modifiedWord>，</modifiedWord>
      <trackRevisions>false</trackRevisions>
    </reviewItem>
    <reviewItem>
      <errorID>d0859df7-357e-4729-ba23-cf7d43c635e1</errorID>
      <errorWord>法律、法规</errorWord>
      <group>L1_Word</group>
      <groupName>字词问题</groupName>
      <ability>L2_Typo</ability>
      <abilityName>字词错误</abilityName>
      <candidateList>
        <item>法律法规</item>
      </candidateList>
      <explain/>
      <paraID>4763C778</paraID>
      <start>94</start>
      <end>99</end>
      <status>unmodified</status>
      <modifiedWord/>
      <trackRevisions>false</trackRevisions>
    </reviewItem>
    <reviewItem>
      <errorID>eb5075a1-bcfe-4f10-b52d-13882c9bbb47</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4763C778</paraID>
      <start>589</start>
      <end>590</end>
      <status>unmodified</status>
      <modifiedWord/>
      <trackRevisions>false</trackRevisions>
    </reviewItem>
    <reviewItem>
      <errorID>34b454cc-b916-479c-acbf-10bc4c9ad5d0</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4763C778</paraID>
      <start>683</start>
      <end>684</end>
      <status>unmodified</status>
      <modifiedWord/>
      <trackRevisions>false</trackRevisions>
    </reviewItem>
    <reviewItem>
      <errorID>1ca2c132-a537-4e11-9da9-df908baefdb2</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4763C778</paraID>
      <start>814</start>
      <end>815</end>
      <status>unmodified</status>
      <modifiedWord/>
      <trackRevisions>false</trackRevisions>
    </reviewItem>
    <reviewItem>
      <errorID>e0eddb2e-d3fd-4ec0-ae4b-4bdab889b8a6</errorID>
      <errorWord>法律、法规</errorWord>
      <group>L1_Word</group>
      <groupName>字词问题</groupName>
      <ability>L2_Typo</ability>
      <abilityName>字词错误</abilityName>
      <candidateList>
        <item>法律法规</item>
      </candidateList>
      <explain/>
      <paraID>4763C778</paraID>
      <start>1104</start>
      <end>1109</end>
      <status>unmodified</status>
      <modifiedWord/>
      <trackRevisions>false</trackRevisions>
    </reviewItem>
    <reviewItem>
      <errorID>cf8c5da9-da66-4202-ba58-22b65569d087</errorID>
      <errorWord>包括不限于</errorWord>
      <group>L1_Word</group>
      <groupName>字词问题</groupName>
      <ability>L2_Typo</ability>
      <abilityName>字词错误</abilityName>
      <candidateList>
        <item>包括但不限于</item>
      </candidateList>
      <explain/>
      <paraID>40F45CF2</paraID>
      <start>0</start>
      <end>5</end>
      <status>unmodified</status>
      <modifiedWord/>
      <trackRevisions>false</trackRevisions>
    </reviewItem>
    <reviewItem>
      <errorID>1881b75e-34de-4e10-8c87-7dad26498a63</errorID>
      <errorWord>做出</errorWord>
      <group>L1_Word</group>
      <groupName>字词问题</groupName>
      <ability>L2_Typo</ability>
      <abilityName>字词错误</abilityName>
      <candidateList>
        <item>作出</item>
      </candidateList>
      <explain/>
      <paraID>29C0EFD9</paraID>
      <start>20</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5a0cbc-c771-4e50-921c-011342fc0585}">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17915</Words>
  <Characters>18662</Characters>
  <Lines>0</Lines>
  <Paragraphs>0</Paragraphs>
  <TotalTime>4</TotalTime>
  <ScaleCrop>false</ScaleCrop>
  <LinksUpToDate>false</LinksUpToDate>
  <CharactersWithSpaces>18840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2023-06-11T09:22:00Z</dcterms:created>
  <dc:creator>刘彦</dc:creator>
  <cp:lastModifiedBy>Kevin</cp:lastModifiedBy>
  <dcterms:modified xsi:type="dcterms:W3CDTF">2026-09-04T03:30:50Z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5083966BEC23493CBB424270613633B7_13</vt:lpwstr>
  </property>
  <property fmtid="{D5CDD505-2E9C-101B-9397-08002B2CF9AE}" pid="4" name="KSOTemplateDocerSaveRecord">
    <vt:lpwstr>eyJoZGlkIjoiNmFhZWFlY2E2ZDFiN2UyMDg2ODQ3ZDQxMzI3OWRkY2QiLCJ1c2VySWQiOiIxMjg5OTM5ODgxIn0=</vt:lpwstr>
  </property>
</Properties>
</file>