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FF0000"/>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贵州500千伏毕节西输变电工程监理</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贵州电网有限责任公司</w:t>
            </w:r>
            <w:r>
              <w:rPr>
                <w:rFonts w:hint="eastAsia" w:ascii="宋体"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毕节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南方电网规划〔2024〕147号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黔能源审（2025）354号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黔电计财〔2026〕24号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FFC000"/>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FFC000"/>
                <w:kern w:val="0"/>
                <w:sz w:val="21"/>
                <w:szCs w:val="21"/>
                <w:highlight w:val="none"/>
                <w:u w:val="none"/>
                <w:vertAlign w:val="baseline"/>
                <w:lang w:val="en-US" w:eastAsia="zh-CN"/>
              </w:rPr>
            </w:pPr>
            <w:r>
              <w:rPr>
                <w:rFonts w:hint="eastAsia" w:ascii="宋体" w:hAnsi="宋体" w:eastAsia="宋体" w:cs="宋体"/>
                <w:b/>
                <w:bCs/>
                <w:snapToGrid w:val="0"/>
                <w:color w:val="000000" w:themeColor="text1"/>
                <w:kern w:val="0"/>
                <w:sz w:val="21"/>
                <w:szCs w:val="21"/>
                <w:highlight w:val="none"/>
                <w:u w:val="none"/>
                <w:vertAlign w:val="baseline"/>
                <w:lang w:val="en-US" w:eastAsia="zh-CN"/>
                <w14:textFill>
                  <w14:solidFill>
                    <w14:schemeClr w14:val="tx1"/>
                  </w14:solidFill>
                </w14:textFill>
              </w:rPr>
              <w:t>初设批复文号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eastAsia="宋体" w:cs="宋体"/>
                <w:b w:val="0"/>
                <w:bCs w:val="0"/>
                <w:snapToGrid w:val="0"/>
                <w:color w:val="000000" w:themeColor="text1"/>
                <w:kern w:val="0"/>
                <w:sz w:val="21"/>
                <w:szCs w:val="21"/>
                <w:highlight w:val="none"/>
                <w:u w:val="none"/>
                <w:vertAlign w:val="baseline"/>
                <w:lang w:val="en-US" w:eastAsia="zh-CN"/>
                <w14:textFill>
                  <w14:solidFill>
                    <w14:schemeClr w14:val="tx1"/>
                  </w14:solidFill>
                </w14:textFill>
              </w:rPr>
              <w:t>南方电网工程〔2026〕25号</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200" w:right="0" w:rightChars="0"/>
        <w:jc w:val="left"/>
        <w:textAlignment w:val="center"/>
        <w:rPr>
          <w:rFonts w:hint="eastAsia" w:ascii="宋体" w:hAnsi="宋体" w:eastAsia="宋体" w:cs="宋体"/>
          <w:b/>
          <w:bCs/>
          <w:sz w:val="21"/>
          <w:szCs w:val="21"/>
        </w:rPr>
      </w:pPr>
      <w:r>
        <w:rPr>
          <w:rFonts w:hint="eastAsia" w:ascii="宋体" w:hAnsi="宋体" w:cs="宋体"/>
          <w:b/>
          <w:bCs/>
          <w:color w:val="auto"/>
          <w:kern w:val="2"/>
          <w:sz w:val="21"/>
          <w:szCs w:val="21"/>
          <w:highlight w:val="none"/>
          <w:u w:val="none"/>
          <w:lang w:val="en-US" w:eastAsia="zh-CN" w:bidi="ar-SA"/>
        </w:rPr>
        <w:t>（一）</w:t>
      </w:r>
      <w:r>
        <w:rPr>
          <w:rFonts w:hint="eastAsia" w:ascii="宋体" w:hAnsi="宋体" w:eastAsia="宋体" w:cs="宋体"/>
          <w:b/>
          <w:bCs/>
          <w:color w:val="000000"/>
          <w:spacing w:val="0"/>
          <w:position w:val="0"/>
          <w:sz w:val="21"/>
          <w:szCs w:val="21"/>
        </w:rPr>
        <w:t>500 千伏毕节西变电站新建工程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34"/>
        <w:jc w:val="left"/>
        <w:textAlignment w:val="center"/>
        <w:rPr>
          <w:rFonts w:hint="eastAsia" w:ascii="宋体" w:hAnsi="宋体" w:eastAsia="宋体" w:cs="宋体"/>
          <w:sz w:val="21"/>
          <w:szCs w:val="21"/>
        </w:rPr>
      </w:pPr>
      <w:r>
        <w:rPr>
          <w:rFonts w:hint="eastAsia" w:ascii="宋体" w:hAnsi="宋体" w:eastAsia="宋体" w:cs="宋体"/>
          <w:color w:val="000000"/>
          <w:spacing w:val="0"/>
          <w:position w:val="0"/>
          <w:sz w:val="21"/>
          <w:szCs w:val="21"/>
        </w:rPr>
        <w:t>本期建设1000兆伏安主变2组、500千伏出线2回、220千伏出线3回，本期新建主变低压侧各装设1组60兆乏低压并联电容器和1组60兆乏静止无功发生器。</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0"/>
        <w:jc w:val="left"/>
        <w:textAlignment w:val="center"/>
        <w:rPr>
          <w:rFonts w:hint="eastAsia" w:ascii="宋体" w:hAnsi="宋体" w:eastAsia="宋体" w:cs="宋体"/>
          <w:sz w:val="21"/>
          <w:szCs w:val="21"/>
        </w:rPr>
      </w:pPr>
      <w:r>
        <w:rPr>
          <w:rFonts w:hint="eastAsia" w:ascii="宋体" w:hAnsi="宋体" w:eastAsia="宋体" w:cs="宋体"/>
          <w:color w:val="000000"/>
          <w:spacing w:val="0"/>
          <w:position w:val="0"/>
          <w:sz w:val="21"/>
          <w:szCs w:val="21"/>
        </w:rPr>
        <w:t>500千伏采用1个半断路器接线，本期安装7台断路器，220千伏采用双母线双分段接线，本期安装9台断路器，35千伏采用单母线单元接线，本期安装8台断路器。</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36"/>
        <w:jc w:val="left"/>
        <w:textAlignment w:val="center"/>
        <w:rPr>
          <w:rFonts w:hint="eastAsia" w:ascii="宋体" w:hAnsi="宋体" w:eastAsia="宋体" w:cs="宋体"/>
          <w:sz w:val="21"/>
          <w:szCs w:val="21"/>
        </w:rPr>
      </w:pPr>
      <w:r>
        <w:rPr>
          <w:rFonts w:hint="eastAsia" w:ascii="宋体" w:hAnsi="宋体" w:eastAsia="宋体" w:cs="宋体"/>
          <w:color w:val="000000"/>
          <w:spacing w:val="0"/>
          <w:position w:val="0"/>
          <w:sz w:val="21"/>
          <w:szCs w:val="21"/>
        </w:rPr>
        <w:t>主变压器采用单相、自耦、油浸式无励磁调压变压器；500千伏及220千伏采用GIS设备；35千伏采用罐式断路器。</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36"/>
        <w:jc w:val="left"/>
        <w:textAlignment w:val="center"/>
        <w:rPr>
          <w:sz w:val="21"/>
          <w:szCs w:val="21"/>
        </w:rPr>
      </w:pPr>
      <w:r>
        <w:rPr>
          <w:rFonts w:hint="eastAsia" w:ascii="宋体" w:hAnsi="宋体" w:eastAsia="宋体" w:cs="宋体"/>
          <w:color w:val="000000"/>
          <w:spacing w:val="0"/>
          <w:position w:val="0"/>
          <w:sz w:val="21"/>
          <w:szCs w:val="21"/>
        </w:rPr>
        <w:t>本工程按最终规模一次征地，全站总征地面积8</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48公顷。</w:t>
      </w:r>
    </w:p>
    <w:p>
      <w:pPr>
        <w:pStyle w:val="1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200" w:right="0" w:rightChars="0"/>
        <w:jc w:val="left"/>
        <w:textAlignment w:val="center"/>
        <w:rPr>
          <w:rFonts w:hint="eastAsia" w:ascii="宋体" w:hAnsi="宋体" w:eastAsia="宋体" w:cs="宋体"/>
          <w:b/>
          <w:bCs/>
          <w:sz w:val="21"/>
          <w:szCs w:val="21"/>
        </w:rPr>
      </w:pPr>
      <w:r>
        <w:rPr>
          <w:rFonts w:hint="eastAsia" w:ascii="宋体" w:hAnsi="宋体" w:cs="宋体"/>
          <w:b/>
          <w:bCs/>
          <w:color w:val="auto"/>
          <w:kern w:val="2"/>
          <w:sz w:val="21"/>
          <w:szCs w:val="21"/>
          <w:highlight w:val="none"/>
          <w:u w:val="none"/>
          <w:lang w:val="en-US" w:eastAsia="zh-CN" w:bidi="ar-SA"/>
        </w:rPr>
        <w:t>（二）</w:t>
      </w:r>
      <w:r>
        <w:rPr>
          <w:rFonts w:hint="eastAsia" w:ascii="宋体" w:hAnsi="宋体" w:eastAsia="宋体" w:cs="宋体"/>
          <w:b/>
          <w:bCs/>
          <w:color w:val="000000"/>
          <w:spacing w:val="0"/>
          <w:position w:val="0"/>
          <w:sz w:val="21"/>
          <w:szCs w:val="21"/>
        </w:rPr>
        <w:t>500 千伏撒奢线π接入毕节西变500 千伏线路工程（含光纤通信工程）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30"/>
        <w:jc w:val="left"/>
        <w:textAlignment w:val="center"/>
        <w:rPr>
          <w:rFonts w:hint="eastAsia" w:ascii="宋体" w:hAnsi="宋体" w:eastAsia="宋体" w:cs="宋体"/>
          <w:sz w:val="21"/>
          <w:szCs w:val="21"/>
        </w:rPr>
      </w:pPr>
      <w:r>
        <w:rPr>
          <w:rFonts w:hint="eastAsia" w:ascii="宋体" w:hAnsi="宋体" w:eastAsia="宋体" w:cs="宋体"/>
          <w:color w:val="000000"/>
          <w:spacing w:val="0"/>
          <w:position w:val="0"/>
          <w:sz w:val="21"/>
          <w:szCs w:val="21"/>
        </w:rPr>
        <w:t>将500千伏乌撒～奢香第一回线开断接入500千伏毕节西站，新建线路长度10</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8千米，其中乌撒侧新建解口线路长度约5</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7千米，奢香侧新建解口线路长度约5</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1千米。全线按单回路架设。</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28"/>
        <w:jc w:val="left"/>
        <w:textAlignment w:val="center"/>
        <w:rPr>
          <w:rFonts w:hint="eastAsia" w:ascii="宋体" w:hAnsi="宋体" w:eastAsia="宋体" w:cs="宋体"/>
          <w:sz w:val="21"/>
          <w:szCs w:val="21"/>
        </w:rPr>
      </w:pPr>
      <w:r>
        <w:rPr>
          <w:rFonts w:hint="eastAsia" w:ascii="宋体" w:hAnsi="宋体" w:eastAsia="宋体" w:cs="宋体"/>
          <w:color w:val="000000"/>
          <w:spacing w:val="0"/>
          <w:position w:val="0"/>
          <w:sz w:val="21"/>
          <w:szCs w:val="21"/>
        </w:rPr>
        <w:t>设计基本风速取27 米/秒，覆冰厚度为20 毫米、30 毫米，长度分别为5</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9千米、4</w:t>
      </w:r>
      <w:r>
        <w:rPr>
          <w:rFonts w:hint="eastAsia" w:ascii="宋体" w:hAnsi="宋体" w:eastAsia="宋体" w:cs="宋体"/>
          <w:color w:val="000000"/>
          <w:spacing w:val="0"/>
          <w:position w:val="0"/>
          <w:sz w:val="21"/>
          <w:szCs w:val="21"/>
          <w:lang w:val="en-US" w:eastAsia="zh-CN"/>
        </w:rPr>
        <w:t>.</w:t>
      </w:r>
      <w:r>
        <w:rPr>
          <w:rFonts w:hint="eastAsia" w:ascii="宋体" w:hAnsi="宋体" w:eastAsia="宋体" w:cs="宋体"/>
          <w:color w:val="000000"/>
          <w:spacing w:val="0"/>
          <w:position w:val="0"/>
          <w:sz w:val="21"/>
          <w:szCs w:val="21"/>
        </w:rPr>
        <w:t>9 千米；导线在20毫米冰区采用JL/LB20A-400/50 铝包钢芯铝绞线，30毫米冰区采用 JLHA1/G1A-400/50 钢芯铝合金绞线，每相4分裂。</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2"/>
        <w:jc w:val="left"/>
        <w:textAlignment w:val="center"/>
        <w:rPr>
          <w:sz w:val="21"/>
          <w:szCs w:val="21"/>
        </w:rPr>
      </w:pPr>
      <w:r>
        <w:rPr>
          <w:rFonts w:hint="eastAsia" w:ascii="宋体" w:hAnsi="宋体" w:eastAsia="宋体" w:cs="宋体"/>
          <w:color w:val="000000"/>
          <w:spacing w:val="0"/>
          <w:position w:val="0"/>
          <w:sz w:val="21"/>
          <w:szCs w:val="21"/>
        </w:rPr>
        <w:t>新建线路采用自立式铁塔，因地制宜采用挖孔桩基础、岩石基础。</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6"/>
        <w:jc w:val="left"/>
        <w:textAlignment w:val="center"/>
        <w:rPr>
          <w:rFonts w:hint="eastAsia" w:ascii="宋体" w:hAnsi="宋体" w:eastAsia="宋体" w:cs="宋体"/>
          <w:color w:val="000000"/>
          <w:spacing w:val="0"/>
          <w:position w:val="0"/>
          <w:sz w:val="21"/>
          <w:szCs w:val="21"/>
        </w:rPr>
      </w:pPr>
      <w:r>
        <w:rPr>
          <w:rFonts w:ascii="宋体" w:hAnsi="宋体" w:eastAsia="宋体" w:cs="宋体"/>
          <w:color w:val="000000"/>
          <w:spacing w:val="0"/>
          <w:position w:val="0"/>
          <w:sz w:val="21"/>
          <w:szCs w:val="21"/>
        </w:rPr>
        <w:t>随毕节西</w:t>
      </w:r>
      <w:r>
        <w:rPr>
          <w:rFonts w:hint="eastAsia" w:ascii="MS Gothic" w:hAnsi="MS Gothic" w:eastAsia="MS Gothic" w:cs="MS Gothic"/>
          <w:color w:val="000000"/>
          <w:spacing w:val="0"/>
          <w:position w:val="0"/>
          <w:sz w:val="21"/>
          <w:szCs w:val="21"/>
        </w:rPr>
        <w:t>～</w:t>
      </w:r>
      <w:r>
        <w:rPr>
          <w:rFonts w:ascii="宋体" w:hAnsi="宋体" w:eastAsia="宋体" w:cs="宋体"/>
          <w:color w:val="000000"/>
          <w:spacing w:val="0"/>
          <w:position w:val="0"/>
          <w:sz w:val="21"/>
          <w:szCs w:val="21"/>
        </w:rPr>
        <w:t>乌撒新建</w:t>
      </w:r>
      <w:r>
        <w:rPr>
          <w:rFonts w:hint="default" w:ascii="Times New Roman" w:hAnsi="Times New Roman" w:cs="Times New Roman"/>
          <w:color w:val="000000"/>
          <w:spacing w:val="0"/>
          <w:position w:val="0"/>
          <w:sz w:val="21"/>
          <w:szCs w:val="21"/>
        </w:rPr>
        <w:t>500</w:t>
      </w:r>
      <w:r>
        <w:rPr>
          <w:rFonts w:ascii="宋体" w:hAnsi="宋体" w:eastAsia="宋体" w:cs="宋体"/>
          <w:color w:val="000000"/>
          <w:spacing w:val="0"/>
          <w:position w:val="0"/>
          <w:sz w:val="21"/>
          <w:szCs w:val="21"/>
        </w:rPr>
        <w:t>千伏线路和毕节西</w:t>
      </w:r>
      <w:r>
        <w:rPr>
          <w:rFonts w:hint="eastAsia" w:ascii="MS Gothic" w:hAnsi="MS Gothic" w:eastAsia="MS Gothic" w:cs="MS Gothic"/>
          <w:color w:val="000000"/>
          <w:spacing w:val="0"/>
          <w:position w:val="0"/>
          <w:sz w:val="21"/>
          <w:szCs w:val="21"/>
        </w:rPr>
        <w:t>～</w:t>
      </w:r>
      <w:r>
        <w:rPr>
          <w:rFonts w:ascii="宋体" w:hAnsi="宋体" w:eastAsia="宋体" w:cs="宋体"/>
          <w:color w:val="000000"/>
          <w:spacing w:val="0"/>
          <w:position w:val="0"/>
          <w:sz w:val="21"/>
          <w:szCs w:val="21"/>
        </w:rPr>
        <w:t>奢香新建</w:t>
      </w:r>
      <w:r>
        <w:rPr>
          <w:rFonts w:hint="default" w:ascii="Times New Roman" w:hAnsi="Times New Roman" w:cs="Times New Roman"/>
          <w:color w:val="000000"/>
          <w:spacing w:val="0"/>
          <w:position w:val="0"/>
          <w:sz w:val="21"/>
          <w:szCs w:val="21"/>
        </w:rPr>
        <w:t>500</w:t>
      </w:r>
      <w:r>
        <w:rPr>
          <w:rFonts w:ascii="宋体" w:hAnsi="宋体" w:eastAsia="宋体" w:cs="宋体"/>
          <w:color w:val="000000"/>
          <w:spacing w:val="0"/>
          <w:position w:val="0"/>
          <w:sz w:val="21"/>
          <w:szCs w:val="21"/>
        </w:rPr>
        <w:t>千伏线路各架设</w:t>
      </w:r>
      <w:r>
        <w:rPr>
          <w:rFonts w:hint="default" w:ascii="Times New Roman" w:hAnsi="Times New Roman" w:cs="Times New Roman"/>
          <w:color w:val="000000"/>
          <w:spacing w:val="0"/>
          <w:position w:val="0"/>
          <w:sz w:val="21"/>
          <w:szCs w:val="21"/>
        </w:rPr>
        <w:t>1</w:t>
      </w:r>
      <w:r>
        <w:rPr>
          <w:rFonts w:ascii="宋体" w:hAnsi="宋体" w:eastAsia="宋体" w:cs="宋体"/>
          <w:color w:val="000000"/>
          <w:spacing w:val="0"/>
          <w:position w:val="0"/>
          <w:sz w:val="21"/>
          <w:szCs w:val="21"/>
        </w:rPr>
        <w:t>根</w:t>
      </w:r>
      <w:r>
        <w:rPr>
          <w:rFonts w:hint="default" w:ascii="Times New Roman" w:hAnsi="Times New Roman" w:cs="Times New Roman"/>
          <w:color w:val="000000"/>
          <w:spacing w:val="0"/>
          <w:position w:val="0"/>
          <w:sz w:val="21"/>
          <w:szCs w:val="21"/>
        </w:rPr>
        <w:t xml:space="preserve">36 </w:t>
      </w:r>
      <w:r>
        <w:rPr>
          <w:rFonts w:ascii="宋体" w:hAnsi="宋体" w:eastAsia="宋体" w:cs="宋体"/>
          <w:color w:val="000000"/>
          <w:spacing w:val="0"/>
          <w:position w:val="0"/>
          <w:sz w:val="21"/>
          <w:szCs w:val="21"/>
        </w:rPr>
        <w:t>芯</w:t>
      </w:r>
      <w:r>
        <w:rPr>
          <w:rFonts w:hint="default" w:ascii="Times New Roman" w:hAnsi="Times New Roman" w:cs="Times New Roman"/>
          <w:color w:val="000000"/>
          <w:spacing w:val="0"/>
          <w:position w:val="0"/>
          <w:sz w:val="21"/>
          <w:szCs w:val="21"/>
        </w:rPr>
        <w:t>OPGW</w:t>
      </w:r>
      <w:r>
        <w:rPr>
          <w:rFonts w:ascii="宋体" w:hAnsi="宋体" w:eastAsia="宋体" w:cs="宋体"/>
          <w:color w:val="000000"/>
          <w:spacing w:val="0"/>
          <w:position w:val="0"/>
          <w:sz w:val="21"/>
          <w:szCs w:val="21"/>
        </w:rPr>
        <w:t>；随毕节西</w:t>
      </w:r>
      <w:r>
        <w:rPr>
          <w:rFonts w:hint="eastAsia" w:ascii="MS Gothic" w:hAnsi="MS Gothic" w:eastAsia="MS Gothic" w:cs="MS Gothic"/>
          <w:color w:val="000000"/>
          <w:spacing w:val="0"/>
          <w:position w:val="0"/>
          <w:sz w:val="21"/>
          <w:szCs w:val="21"/>
        </w:rPr>
        <w:t>～</w:t>
      </w:r>
      <w:r>
        <w:rPr>
          <w:rFonts w:ascii="宋体" w:hAnsi="宋体" w:eastAsia="宋体" w:cs="宋体"/>
          <w:color w:val="000000"/>
          <w:spacing w:val="0"/>
          <w:position w:val="0"/>
          <w:sz w:val="21"/>
          <w:szCs w:val="21"/>
        </w:rPr>
        <w:t>罗州</w:t>
      </w:r>
      <w:r>
        <w:rPr>
          <w:rFonts w:hint="default" w:ascii="Times New Roman" w:hAnsi="Times New Roman" w:cs="Times New Roman"/>
          <w:color w:val="000000"/>
          <w:spacing w:val="0"/>
          <w:position w:val="0"/>
          <w:sz w:val="21"/>
          <w:szCs w:val="21"/>
        </w:rPr>
        <w:t>35</w:t>
      </w:r>
      <w:r>
        <w:rPr>
          <w:rFonts w:ascii="宋体" w:hAnsi="宋体" w:eastAsia="宋体" w:cs="宋体"/>
          <w:color w:val="000000"/>
          <w:spacing w:val="0"/>
          <w:position w:val="0"/>
          <w:sz w:val="21"/>
          <w:szCs w:val="21"/>
        </w:rPr>
        <w:t>千伏站用电源通道建设</w:t>
      </w:r>
      <w:r>
        <w:rPr>
          <w:rFonts w:hint="default" w:ascii="Times New Roman" w:hAnsi="Times New Roman" w:cs="Times New Roman"/>
          <w:color w:val="000000"/>
          <w:spacing w:val="0"/>
          <w:position w:val="0"/>
          <w:sz w:val="21"/>
          <w:szCs w:val="21"/>
        </w:rPr>
        <w:t>1</w:t>
      </w:r>
      <w:r>
        <w:rPr>
          <w:rFonts w:ascii="宋体" w:hAnsi="宋体" w:eastAsia="宋体" w:cs="宋体"/>
          <w:color w:val="000000"/>
          <w:spacing w:val="0"/>
          <w:position w:val="0"/>
          <w:sz w:val="21"/>
          <w:szCs w:val="21"/>
        </w:rPr>
        <w:t>根</w:t>
      </w:r>
      <w:r>
        <w:rPr>
          <w:rFonts w:hint="default" w:ascii="Times New Roman" w:hAnsi="Times New Roman" w:cs="Times New Roman"/>
          <w:color w:val="000000"/>
          <w:spacing w:val="0"/>
          <w:position w:val="0"/>
          <w:sz w:val="21"/>
          <w:szCs w:val="21"/>
        </w:rPr>
        <w:t xml:space="preserve">36 </w:t>
      </w:r>
      <w:r>
        <w:rPr>
          <w:rFonts w:ascii="宋体" w:hAnsi="宋体" w:eastAsia="宋体" w:cs="宋体"/>
          <w:color w:val="000000"/>
          <w:spacing w:val="0"/>
          <w:position w:val="0"/>
          <w:sz w:val="21"/>
          <w:szCs w:val="21"/>
        </w:rPr>
        <w:t>芯</w:t>
      </w:r>
      <w:r>
        <w:rPr>
          <w:rFonts w:hint="default" w:ascii="Times New Roman" w:hAnsi="Times New Roman" w:cs="Times New Roman"/>
          <w:color w:val="000000"/>
          <w:spacing w:val="0"/>
          <w:position w:val="0"/>
          <w:sz w:val="21"/>
          <w:szCs w:val="21"/>
        </w:rPr>
        <w:t>ADSS</w:t>
      </w:r>
      <w:r>
        <w:rPr>
          <w:rFonts w:ascii="宋体" w:hAnsi="宋体" w:eastAsia="宋体" w:cs="宋体"/>
          <w:color w:val="000000"/>
          <w:spacing w:val="0"/>
          <w:position w:val="0"/>
          <w:sz w:val="21"/>
          <w:szCs w:val="21"/>
        </w:rPr>
        <w:t>光缆。并同步建设贵州省新</w:t>
      </w:r>
      <w:r>
        <w:rPr>
          <w:rFonts w:hint="default" w:ascii="Times New Roman" w:hAnsi="Times New Roman" w:cs="Times New Roman"/>
          <w:color w:val="000000"/>
          <w:spacing w:val="0"/>
          <w:position w:val="0"/>
          <w:sz w:val="21"/>
          <w:szCs w:val="21"/>
        </w:rPr>
        <w:t>A</w:t>
      </w:r>
      <w:r>
        <w:rPr>
          <w:rFonts w:ascii="宋体" w:hAnsi="宋体" w:eastAsia="宋体" w:cs="宋体"/>
          <w:color w:val="000000"/>
          <w:spacing w:val="0"/>
          <w:position w:val="0"/>
          <w:sz w:val="21"/>
          <w:szCs w:val="21"/>
        </w:rPr>
        <w:t>网、保底通信网（贵州省域）和毕节地区</w:t>
      </w:r>
      <w:r>
        <w:rPr>
          <w:rFonts w:hint="default" w:ascii="Times New Roman" w:hAnsi="Times New Roman" w:cs="Times New Roman"/>
          <w:color w:val="000000"/>
          <w:spacing w:val="0"/>
          <w:position w:val="0"/>
          <w:sz w:val="21"/>
          <w:szCs w:val="21"/>
        </w:rPr>
        <w:t xml:space="preserve">B </w:t>
      </w:r>
      <w:r>
        <w:rPr>
          <w:rFonts w:ascii="宋体" w:hAnsi="宋体" w:eastAsia="宋体" w:cs="宋体"/>
          <w:color w:val="000000"/>
          <w:spacing w:val="0"/>
          <w:position w:val="0"/>
          <w:sz w:val="21"/>
          <w:szCs w:val="21"/>
        </w:rPr>
        <w:t>网相关光纤通信电路</w:t>
      </w:r>
      <w:r>
        <w:rPr>
          <w:rFonts w:hint="eastAsia" w:ascii="宋体" w:hAnsi="宋体" w:eastAsia="宋体" w:cs="宋体"/>
          <w:color w:val="000000"/>
          <w:spacing w:val="0"/>
          <w:position w:val="0"/>
          <w:sz w:val="21"/>
          <w:szCs w:val="21"/>
        </w:rPr>
        <w:t>。</w:t>
      </w:r>
    </w:p>
    <w:p>
      <w:pPr>
        <w:pStyle w:val="10"/>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bookmarkStart w:id="0" w:name="施工招标范围综合"/>
    </w:p>
    <w:bookmarkEnd w:id="0"/>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default" w:ascii="宋体" w:hAnsi="宋体" w:cs="宋体"/>
          <w:b w:val="0"/>
          <w:bCs w:val="0"/>
          <w:snapToGrid w:val="0"/>
          <w:color w:val="auto"/>
          <w:kern w:val="0"/>
          <w:sz w:val="21"/>
          <w:szCs w:val="21"/>
          <w:highlight w:val="none"/>
          <w:u w:val="none"/>
          <w:lang w:val="en-US" w:eastAsia="zh-CN"/>
        </w:rPr>
        <w:t>工程施工准备（含三通一平）、施工、竣工结算、缺陷责任期、</w:t>
      </w:r>
      <w:r>
        <w:rPr>
          <w:rFonts w:hint="eastAsia" w:ascii="宋体" w:hAnsi="宋体" w:cs="宋体"/>
          <w:b w:val="0"/>
          <w:bCs w:val="0"/>
          <w:snapToGrid w:val="0"/>
          <w:color w:val="auto"/>
          <w:kern w:val="0"/>
          <w:sz w:val="21"/>
          <w:szCs w:val="21"/>
          <w:highlight w:val="none"/>
          <w:u w:val="none"/>
          <w:lang w:val="en-US" w:eastAsia="zh-CN"/>
        </w:rPr>
        <w:t>保修阶段、</w:t>
      </w:r>
      <w:r>
        <w:rPr>
          <w:rFonts w:hint="default" w:ascii="宋体" w:hAnsi="宋体" w:cs="宋体"/>
          <w:b w:val="0"/>
          <w:bCs w:val="0"/>
          <w:snapToGrid w:val="0"/>
          <w:color w:val="auto"/>
          <w:kern w:val="0"/>
          <w:sz w:val="21"/>
          <w:szCs w:val="21"/>
          <w:highlight w:val="none"/>
          <w:u w:val="none"/>
          <w:lang w:val="en-US" w:eastAsia="zh-CN"/>
        </w:rPr>
        <w:t>达标投产创优、电子化移交阶段的监理服务工作，包括110kV及以上工程环境监理和35kV及以上工程水土保持监理的各项工作</w:t>
      </w:r>
      <w:r>
        <w:rPr>
          <w:rFonts w:hint="eastAsia" w:ascii="宋体" w:hAnsi="宋体" w:cs="宋体"/>
          <w:b w:val="0"/>
          <w:bCs w:val="0"/>
          <w:snapToGrid w:val="0"/>
          <w:color w:val="auto"/>
          <w:kern w:val="0"/>
          <w:sz w:val="21"/>
          <w:szCs w:val="21"/>
          <w:highlight w:val="none"/>
          <w:u w:val="none"/>
          <w:lang w:val="en-US" w:eastAsia="zh-CN"/>
        </w:rPr>
        <w:t>。</w:t>
      </w:r>
    </w:p>
    <w:p>
      <w:pPr>
        <w:pStyle w:val="10"/>
        <w:adjustRightInd w:val="0"/>
        <w:snapToGrid w:val="0"/>
        <w:spacing w:line="360" w:lineRule="auto"/>
        <w:ind w:firstLine="562" w:firstLineChars="200"/>
        <w:jc w:val="center"/>
        <w:rPr>
          <w:rFonts w:hAnsi="宋体" w:cs="宋体"/>
          <w:b/>
          <w:bCs/>
          <w:snapToGrid w:val="0"/>
          <w:sz w:val="28"/>
          <w:szCs w:val="28"/>
        </w:rPr>
      </w:pPr>
      <w:r>
        <w:rPr>
          <w:rFonts w:hint="eastAsia" w:hAnsi="宋体" w:cs="宋体"/>
          <w:b/>
          <w:bCs/>
          <w:snapToGrid w:val="0"/>
          <w:sz w:val="28"/>
          <w:szCs w:val="28"/>
        </w:rPr>
        <w:t>项目名称：</w:t>
      </w:r>
      <w:r>
        <w:rPr>
          <w:rFonts w:hint="eastAsia" w:hAnsi="宋体" w:cs="宋体"/>
          <w:b/>
          <w:sz w:val="28"/>
          <w:szCs w:val="28"/>
        </w:rPr>
        <w:t>500千伏长新输变电工程（超高压公司部分）</w:t>
      </w:r>
    </w:p>
    <w:p>
      <w:pPr>
        <w:pStyle w:val="10"/>
        <w:adjustRightInd w:val="0"/>
        <w:snapToGrid w:val="0"/>
        <w:spacing w:line="360" w:lineRule="auto"/>
        <w:jc w:val="center"/>
        <w:rPr>
          <w:rFonts w:hAnsi="宋体" w:cs="宋体"/>
          <w:snapToGrid w:val="0"/>
          <w:sz w:val="28"/>
          <w:szCs w:val="28"/>
        </w:rPr>
      </w:pPr>
      <w:r>
        <w:rPr>
          <w:rFonts w:hint="eastAsia" w:hAnsi="宋体" w:cs="宋体"/>
          <w:b/>
          <w:sz w:val="28"/>
          <w:szCs w:val="28"/>
        </w:rPr>
        <w:t>监理</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4"/>
                <w:szCs w:val="24"/>
              </w:rPr>
            </w:pPr>
            <w:r>
              <w:rPr>
                <w:rFonts w:hint="eastAsia" w:hAnsi="宋体" w:cs="宋体"/>
                <w:b/>
                <w:bCs/>
                <w:snapToGrid w:val="0"/>
                <w:sz w:val="24"/>
                <w:szCs w:val="24"/>
              </w:rPr>
              <w:t>序号</w:t>
            </w:r>
          </w:p>
        </w:tc>
        <w:tc>
          <w:tcPr>
            <w:tcW w:w="2911" w:type="dxa"/>
            <w:vAlign w:val="center"/>
          </w:tcPr>
          <w:p>
            <w:pPr>
              <w:pStyle w:val="10"/>
              <w:snapToGrid w:val="0"/>
              <w:jc w:val="center"/>
              <w:rPr>
                <w:rFonts w:hAnsi="宋体" w:cs="宋体"/>
                <w:b/>
                <w:bCs/>
                <w:snapToGrid w:val="0"/>
                <w:sz w:val="24"/>
                <w:szCs w:val="24"/>
              </w:rPr>
            </w:pPr>
            <w:r>
              <w:rPr>
                <w:rFonts w:hint="eastAsia" w:hAnsi="宋体" w:cs="宋体"/>
                <w:b/>
                <w:bCs/>
                <w:snapToGrid w:val="0"/>
                <w:sz w:val="24"/>
                <w:szCs w:val="24"/>
              </w:rPr>
              <w:t>文件名称</w:t>
            </w:r>
          </w:p>
        </w:tc>
        <w:tc>
          <w:tcPr>
            <w:tcW w:w="3476" w:type="dxa"/>
            <w:vAlign w:val="center"/>
          </w:tcPr>
          <w:p>
            <w:pPr>
              <w:pStyle w:val="10"/>
              <w:snapToGrid w:val="0"/>
              <w:jc w:val="center"/>
              <w:rPr>
                <w:rFonts w:hAnsi="宋体" w:cs="宋体"/>
                <w:b/>
                <w:bCs/>
                <w:snapToGrid w:val="0"/>
                <w:sz w:val="24"/>
                <w:szCs w:val="24"/>
              </w:rPr>
            </w:pPr>
            <w:r>
              <w:rPr>
                <w:rFonts w:hint="eastAsia" w:hAnsi="宋体" w:cs="宋体"/>
                <w:b/>
                <w:bCs/>
                <w:snapToGrid w:val="0"/>
                <w:sz w:val="24"/>
                <w:szCs w:val="24"/>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1</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可研批复文号</w:t>
            </w:r>
          </w:p>
        </w:tc>
        <w:tc>
          <w:tcPr>
            <w:tcW w:w="3476" w:type="dxa"/>
            <w:vAlign w:val="center"/>
          </w:tcPr>
          <w:p>
            <w:pPr>
              <w:pStyle w:val="10"/>
              <w:snapToGrid w:val="0"/>
              <w:jc w:val="center"/>
              <w:rPr>
                <w:rFonts w:hAnsi="宋体" w:cs="宋体"/>
                <w:snapToGrid w:val="0"/>
                <w:sz w:val="21"/>
                <w:szCs w:val="21"/>
              </w:rPr>
            </w:pPr>
            <w:r>
              <w:rPr>
                <w:rFonts w:hint="eastAsia" w:hAnsi="宋体" w:cs="宋体"/>
                <w:sz w:val="21"/>
                <w:szCs w:val="21"/>
              </w:rPr>
              <w:t>南方电网规划〔2025〕34号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2</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项目备案文号</w:t>
            </w:r>
          </w:p>
        </w:tc>
        <w:tc>
          <w:tcPr>
            <w:tcW w:w="3476" w:type="dxa"/>
            <w:vAlign w:val="center"/>
          </w:tcPr>
          <w:p>
            <w:pPr>
              <w:pStyle w:val="10"/>
              <w:snapToGrid w:val="0"/>
              <w:jc w:val="center"/>
              <w:rPr>
                <w:rFonts w:hAnsi="宋体" w:cs="宋体"/>
                <w:snapToGrid w:val="0"/>
                <w:sz w:val="21"/>
                <w:szCs w:val="21"/>
              </w:rPr>
            </w:pPr>
            <w:r>
              <w:rPr>
                <w:rFonts w:hint="eastAsia" w:hAnsi="宋体" w:cs="宋体"/>
                <w:sz w:val="21"/>
                <w:szCs w:val="21"/>
              </w:rPr>
              <w:t>云发改能源[2025]948号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3</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初设批复文号</w:t>
            </w:r>
          </w:p>
        </w:tc>
        <w:tc>
          <w:tcPr>
            <w:tcW w:w="3476" w:type="dxa"/>
            <w:vAlign w:val="center"/>
          </w:tcPr>
          <w:p>
            <w:pPr>
              <w:pStyle w:val="10"/>
              <w:snapToGrid w:val="0"/>
              <w:jc w:val="center"/>
              <w:rPr>
                <w:rFonts w:ascii="宋体" w:hAnsi="宋体" w:cs="宋体"/>
                <w:snapToGrid w:val="0"/>
                <w:kern w:val="0"/>
                <w:szCs w:val="21"/>
                <w:highlight w:val="yellow"/>
              </w:rPr>
            </w:pPr>
            <w:r>
              <w:rPr>
                <w:rFonts w:hint="eastAsia" w:hAnsi="宋体" w:cs="宋体"/>
                <w:sz w:val="21"/>
                <w:szCs w:val="21"/>
              </w:rPr>
              <w:t>南方电网工程〔2026〕2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4</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资金落实情况</w:t>
            </w:r>
          </w:p>
        </w:tc>
        <w:tc>
          <w:tcPr>
            <w:tcW w:w="3476" w:type="dxa"/>
            <w:vAlign w:val="center"/>
          </w:tcPr>
          <w:p>
            <w:pPr>
              <w:pStyle w:val="10"/>
              <w:snapToGrid w:val="0"/>
              <w:jc w:val="center"/>
              <w:rPr>
                <w:rFonts w:hAnsi="宋体" w:cs="宋体"/>
                <w:snapToGrid w:val="0"/>
                <w:sz w:val="21"/>
                <w:szCs w:val="21"/>
                <w:highlight w:val="yellow"/>
              </w:rPr>
            </w:pPr>
            <w:r>
              <w:rPr>
                <w:rFonts w:hint="eastAsia" w:hAnsi="宋体" w:cs="宋体"/>
                <w:sz w:val="21"/>
                <w:szCs w:val="21"/>
              </w:rPr>
              <w:t>南方电网规划〔2025〕30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5</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施工图预算批复文号</w:t>
            </w:r>
          </w:p>
        </w:tc>
        <w:tc>
          <w:tcPr>
            <w:tcW w:w="3476" w:type="dxa"/>
            <w:vAlign w:val="center"/>
          </w:tcPr>
          <w:p>
            <w:pPr>
              <w:pStyle w:val="10"/>
              <w:snapToGrid w:val="0"/>
              <w:jc w:val="center"/>
              <w:rPr>
                <w:rFonts w:hAnsi="宋体" w:cs="宋体"/>
                <w:snapToGrid w:val="0"/>
                <w:sz w:val="21"/>
                <w:szCs w:val="21"/>
              </w:rPr>
            </w:pPr>
            <w:r>
              <w:rPr>
                <w:rFonts w:hint="eastAsia" w:hAnsi="宋体" w:cs="宋体"/>
                <w:snapToGrid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6</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项目建设单位</w:t>
            </w:r>
          </w:p>
        </w:tc>
        <w:tc>
          <w:tcPr>
            <w:tcW w:w="3476" w:type="dxa"/>
            <w:vAlign w:val="center"/>
          </w:tcPr>
          <w:p>
            <w:pPr>
              <w:pStyle w:val="10"/>
              <w:snapToGrid w:val="0"/>
              <w:jc w:val="center"/>
              <w:rPr>
                <w:rFonts w:hAnsi="宋体" w:cs="宋体"/>
                <w:snapToGrid w:val="0"/>
                <w:sz w:val="21"/>
                <w:szCs w:val="21"/>
              </w:rPr>
            </w:pPr>
            <w:r>
              <w:rPr>
                <w:rFonts w:hint="eastAsia" w:hAnsi="宋体" w:cs="宋体"/>
                <w:snapToGrid w:val="0"/>
                <w:sz w:val="21"/>
                <w:szCs w:val="21"/>
              </w:rPr>
              <w:t>南网超高压公司大理局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7</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项目建设地点</w:t>
            </w:r>
          </w:p>
        </w:tc>
        <w:tc>
          <w:tcPr>
            <w:tcW w:w="3476" w:type="dxa"/>
            <w:vAlign w:val="center"/>
          </w:tcPr>
          <w:p>
            <w:pPr>
              <w:pStyle w:val="10"/>
              <w:snapToGrid w:val="0"/>
              <w:jc w:val="center"/>
              <w:rPr>
                <w:rFonts w:hAnsi="宋体" w:cs="宋体"/>
                <w:snapToGrid w:val="0"/>
                <w:sz w:val="21"/>
                <w:szCs w:val="21"/>
              </w:rPr>
            </w:pPr>
            <w:r>
              <w:rPr>
                <w:rFonts w:hint="eastAsia" w:ascii="Times New Roman" w:hAnsi="Times New Roman"/>
                <w:szCs w:val="24"/>
                <w:lang w:val="zh-CN"/>
              </w:rPr>
              <w:t>云南省大理白族自治州剑川县</w:t>
            </w:r>
            <w:r>
              <w:rPr>
                <w:rFonts w:hint="eastAsia" w:ascii="Times New Roman" w:hAnsi="Times New Roman"/>
                <w:szCs w:val="24"/>
              </w:rPr>
              <w:t>±</w:t>
            </w:r>
            <w:r>
              <w:rPr>
                <w:rFonts w:ascii="Times New Roman" w:hAnsi="Times New Roman"/>
                <w:szCs w:val="24"/>
                <w:lang w:val="zh-CN"/>
              </w:rPr>
              <w:t>8</w:t>
            </w:r>
            <w:r>
              <w:rPr>
                <w:rFonts w:hint="eastAsia" w:ascii="Times New Roman" w:hAnsi="Times New Roman"/>
                <w:szCs w:val="24"/>
                <w:lang w:val="zh-CN"/>
              </w:rPr>
              <w:t>00kV新松换流站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8</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前期的设计或咨询服务单位名称</w:t>
            </w:r>
          </w:p>
        </w:tc>
        <w:tc>
          <w:tcPr>
            <w:tcW w:w="3476" w:type="dxa"/>
            <w:vAlign w:val="center"/>
          </w:tcPr>
          <w:p>
            <w:pPr>
              <w:pStyle w:val="10"/>
              <w:snapToGrid w:val="0"/>
              <w:jc w:val="center"/>
              <w:rPr>
                <w:rFonts w:hAnsi="宋体" w:cs="宋体"/>
                <w:snapToGrid w:val="0"/>
                <w:sz w:val="21"/>
                <w:szCs w:val="21"/>
              </w:rPr>
            </w:pPr>
            <w:r>
              <w:rPr>
                <w:rFonts w:hint="eastAsia" w:hAnsi="宋体" w:cs="宋体"/>
                <w:sz w:val="21"/>
                <w:szCs w:val="21"/>
              </w:rPr>
              <w:t>中国能源建设集团广东省电力设计研究院有限公司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9</w:t>
            </w:r>
          </w:p>
        </w:tc>
        <w:tc>
          <w:tcPr>
            <w:tcW w:w="2911" w:type="dxa"/>
            <w:vAlign w:val="center"/>
          </w:tcPr>
          <w:p>
            <w:pPr>
              <w:pStyle w:val="10"/>
              <w:snapToGrid w:val="0"/>
              <w:jc w:val="center"/>
              <w:rPr>
                <w:rFonts w:hAnsi="宋体" w:cs="宋体"/>
                <w:b/>
                <w:bCs/>
                <w:snapToGrid w:val="0"/>
                <w:sz w:val="21"/>
                <w:szCs w:val="21"/>
              </w:rPr>
            </w:pPr>
            <w:r>
              <w:rPr>
                <w:rFonts w:hint="eastAsia" w:hAnsi="宋体" w:cs="宋体"/>
                <w:b/>
                <w:bCs/>
                <w:snapToGrid w:val="0"/>
                <w:sz w:val="21"/>
                <w:szCs w:val="21"/>
              </w:rPr>
              <w:t>项目监理单位</w:t>
            </w:r>
          </w:p>
        </w:tc>
        <w:tc>
          <w:tcPr>
            <w:tcW w:w="3476" w:type="dxa"/>
            <w:vAlign w:val="center"/>
          </w:tcPr>
          <w:p>
            <w:pPr>
              <w:pStyle w:val="10"/>
              <w:snapToGrid w:val="0"/>
              <w:jc w:val="center"/>
              <w:rPr>
                <w:rFonts w:hAnsi="宋体" w:cs="宋体"/>
                <w:snapToGrid w:val="0"/>
                <w:sz w:val="21"/>
                <w:szCs w:val="21"/>
              </w:rPr>
            </w:pPr>
            <w:r>
              <w:rPr>
                <w:rFonts w:hint="eastAsia" w:hAnsi="宋体" w:cs="宋体"/>
                <w:snapToGrid w:val="0"/>
                <w:sz w:val="21"/>
                <w:szCs w:val="21"/>
              </w:rPr>
              <w:t>/</w:t>
            </w:r>
          </w:p>
        </w:tc>
      </w:tr>
    </w:tbl>
    <w:p>
      <w:pPr>
        <w:pStyle w:val="10"/>
        <w:spacing w:line="360" w:lineRule="auto"/>
        <w:jc w:val="left"/>
        <w:outlineLvl w:val="0"/>
        <w:rPr>
          <w:rFonts w:hAnsi="宋体" w:cs="宋体"/>
          <w:b/>
          <w:bCs/>
          <w:snapToGrid w:val="0"/>
          <w:sz w:val="28"/>
          <w:szCs w:val="28"/>
        </w:rPr>
      </w:pPr>
    </w:p>
    <w:p>
      <w:pPr>
        <w:pStyle w:val="10"/>
        <w:adjustRightInd w:val="0"/>
        <w:snapToGrid w:val="0"/>
        <w:spacing w:line="360" w:lineRule="auto"/>
        <w:rPr>
          <w:rFonts w:hAnsi="宋体" w:cs="宋体"/>
          <w:b/>
          <w:sz w:val="24"/>
          <w:szCs w:val="24"/>
        </w:rPr>
      </w:pPr>
      <w:r>
        <w:rPr>
          <w:rFonts w:hint="eastAsia" w:hAnsi="宋体" w:cs="宋体"/>
          <w:b/>
          <w:sz w:val="24"/>
          <w:szCs w:val="24"/>
        </w:rPr>
        <w:t>一、项目概况</w:t>
      </w:r>
      <w:bookmarkStart w:id="1" w:name="_Toc4755"/>
      <w:bookmarkStart w:id="2" w:name="_Toc13498"/>
      <w:bookmarkStart w:id="3" w:name="_Toc28718"/>
    </w:p>
    <w:bookmarkEnd w:id="1"/>
    <w:bookmarkEnd w:id="2"/>
    <w:bookmarkEnd w:id="3"/>
    <w:p>
      <w:pPr>
        <w:pStyle w:val="10"/>
        <w:adjustRightInd w:val="0"/>
        <w:snapToGrid w:val="0"/>
        <w:spacing w:line="360" w:lineRule="auto"/>
        <w:ind w:firstLine="422" w:firstLineChars="200"/>
        <w:rPr>
          <w:rFonts w:hAnsi="宋体" w:cs="宋体"/>
          <w:b/>
          <w:sz w:val="21"/>
          <w:szCs w:val="21"/>
        </w:rPr>
      </w:pPr>
      <w:r>
        <w:rPr>
          <w:rFonts w:hint="eastAsia" w:hAnsi="宋体" w:cs="宋体"/>
          <w:b/>
          <w:sz w:val="21"/>
          <w:szCs w:val="21"/>
        </w:rPr>
        <w:t>（一）500千伏长新输变电工程（超高压公司部分）监理</w:t>
      </w:r>
    </w:p>
    <w:p>
      <w:pPr>
        <w:pStyle w:val="10"/>
        <w:adjustRightInd w:val="0"/>
        <w:snapToGrid w:val="0"/>
        <w:spacing w:line="360" w:lineRule="auto"/>
        <w:ind w:firstLine="422" w:firstLineChars="200"/>
        <w:jc w:val="left"/>
        <w:rPr>
          <w:rFonts w:hAnsi="宋体" w:cs="宋体"/>
          <w:b/>
          <w:sz w:val="21"/>
          <w:szCs w:val="21"/>
        </w:rPr>
      </w:pPr>
      <w:r>
        <w:rPr>
          <w:rFonts w:hint="eastAsia" w:hAnsi="宋体" w:cs="宋体"/>
          <w:b/>
          <w:sz w:val="21"/>
          <w:szCs w:val="21"/>
        </w:rPr>
        <w:t>※变电部分:</w:t>
      </w:r>
    </w:p>
    <w:p>
      <w:pPr>
        <w:autoSpaceDE w:val="0"/>
        <w:autoSpaceDN w:val="0"/>
        <w:adjustRightInd w:val="0"/>
        <w:snapToGrid w:val="0"/>
        <w:spacing w:line="360" w:lineRule="auto"/>
        <w:ind w:firstLine="422" w:firstLineChars="200"/>
        <w:jc w:val="left"/>
        <w:rPr>
          <w:rFonts w:ascii="宋体" w:hAnsi="宋体" w:cs="宋体"/>
          <w:b/>
          <w:bCs/>
          <w:szCs w:val="21"/>
        </w:rPr>
      </w:pPr>
      <w:r>
        <w:rPr>
          <w:rFonts w:hint="eastAsia" w:ascii="宋体" w:hAnsi="宋体" w:cs="宋体"/>
          <w:b/>
          <w:szCs w:val="21"/>
        </w:rPr>
        <w:t>变电</w:t>
      </w:r>
      <w:r>
        <w:rPr>
          <w:rFonts w:hint="eastAsia" w:ascii="宋体" w:hAnsi="宋体" w:cs="宋体"/>
          <w:b/>
          <w:bCs/>
          <w:szCs w:val="21"/>
        </w:rPr>
        <w:t>建筑工程：</w:t>
      </w:r>
    </w:p>
    <w:p>
      <w:pPr>
        <w:tabs>
          <w:tab w:val="left" w:pos="1146"/>
        </w:tabs>
        <w:snapToGrid w:val="0"/>
        <w:spacing w:line="360" w:lineRule="auto"/>
        <w:ind w:firstLine="420" w:firstLineChars="200"/>
        <w:jc w:val="left"/>
        <w:rPr>
          <w:rFonts w:ascii="宋体" w:hAnsi="宋体" w:cs="宋体"/>
          <w:bCs/>
          <w:szCs w:val="21"/>
        </w:rPr>
      </w:pPr>
      <w:r>
        <w:rPr>
          <w:rFonts w:hint="eastAsia" w:ascii="宋体" w:hAnsi="宋体" w:cs="宋体"/>
          <w:bCs/>
          <w:szCs w:val="21"/>
        </w:rPr>
        <w:t>本项目不涉及。</w:t>
      </w:r>
    </w:p>
    <w:p>
      <w:pPr>
        <w:autoSpaceDE w:val="0"/>
        <w:autoSpaceDN w:val="0"/>
        <w:adjustRightInd w:val="0"/>
        <w:snapToGrid w:val="0"/>
        <w:spacing w:line="360" w:lineRule="auto"/>
        <w:ind w:firstLine="422" w:firstLineChars="200"/>
        <w:jc w:val="left"/>
        <w:rPr>
          <w:rFonts w:ascii="宋体" w:hAnsi="宋体" w:cs="宋体"/>
          <w:bCs/>
          <w:szCs w:val="21"/>
        </w:rPr>
      </w:pPr>
      <w:r>
        <w:rPr>
          <w:rFonts w:hint="eastAsia" w:ascii="宋体" w:hAnsi="宋体" w:cs="宋体"/>
          <w:b/>
          <w:szCs w:val="21"/>
        </w:rPr>
        <w:t>变电</w:t>
      </w:r>
      <w:r>
        <w:rPr>
          <w:rFonts w:hint="eastAsia" w:ascii="宋体" w:hAnsi="宋体" w:cs="宋体"/>
          <w:b/>
          <w:bCs/>
          <w:szCs w:val="21"/>
        </w:rPr>
        <w:t>安装工程：</w:t>
      </w:r>
    </w:p>
    <w:p>
      <w:pPr>
        <w:pStyle w:val="10"/>
        <w:adjustRightInd w:val="0"/>
        <w:snapToGrid w:val="0"/>
        <w:spacing w:line="360" w:lineRule="auto"/>
        <w:ind w:firstLine="420" w:firstLineChars="200"/>
        <w:jc w:val="left"/>
        <w:rPr>
          <w:rFonts w:hAnsi="宋体" w:cs="宋体"/>
          <w:bCs/>
          <w:sz w:val="21"/>
          <w:szCs w:val="21"/>
        </w:rPr>
      </w:pPr>
      <w:r>
        <w:rPr>
          <w:rFonts w:hint="eastAsia" w:hAnsi="宋体" w:cs="宋体"/>
          <w:bCs/>
          <w:sz w:val="21"/>
          <w:szCs w:val="21"/>
        </w:rPr>
        <w:t>电气二次：更换2面线路保护屏，并完成新增设备与其前期设备相应二次接线，对站内监控系统、故障录波、保信子站、同步相量、直流站控系统等进行调试及扩充，R</w:t>
      </w:r>
      <w:r>
        <w:rPr>
          <w:rFonts w:hAnsi="宋体" w:cs="宋体"/>
          <w:bCs/>
          <w:sz w:val="21"/>
          <w:szCs w:val="21"/>
        </w:rPr>
        <w:t>TDS</w:t>
      </w:r>
      <w:r>
        <w:rPr>
          <w:rFonts w:hint="eastAsia" w:hAnsi="宋体" w:cs="宋体"/>
          <w:bCs/>
          <w:sz w:val="21"/>
          <w:szCs w:val="21"/>
        </w:rPr>
        <w:t>仿真试验及联调。</w:t>
      </w:r>
    </w:p>
    <w:p>
      <w:pPr>
        <w:pStyle w:val="10"/>
        <w:adjustRightInd w:val="0"/>
        <w:snapToGrid w:val="0"/>
        <w:spacing w:line="360" w:lineRule="auto"/>
        <w:ind w:firstLine="420" w:firstLineChars="200"/>
        <w:jc w:val="left"/>
        <w:rPr>
          <w:rFonts w:hAnsi="宋体" w:cs="宋体"/>
          <w:bCs/>
          <w:sz w:val="21"/>
          <w:szCs w:val="21"/>
        </w:rPr>
      </w:pPr>
      <w:r>
        <w:rPr>
          <w:rFonts w:hint="eastAsia" w:hAnsi="宋体" w:cs="宋体"/>
          <w:bCs/>
          <w:sz w:val="21"/>
          <w:szCs w:val="21"/>
        </w:rPr>
        <w:t>系统二次：系统二次：长新变接入系统后，全接线方式下新松换流站稳控装置直流双极闭锁情况下需增加切除长新变下新能源机组的控制措施，详细的策略改造方案按南网总调直调稳控系统控制策略建设及改造需求执行。</w:t>
      </w:r>
    </w:p>
    <w:p>
      <w:pPr>
        <w:pStyle w:val="10"/>
        <w:adjustRightInd w:val="0"/>
        <w:snapToGrid w:val="0"/>
        <w:spacing w:line="360" w:lineRule="auto"/>
        <w:ind w:firstLine="420" w:firstLineChars="200"/>
        <w:jc w:val="left"/>
        <w:rPr>
          <w:rFonts w:hAnsi="宋体" w:cs="宋体"/>
          <w:bCs/>
          <w:sz w:val="21"/>
          <w:szCs w:val="21"/>
        </w:rPr>
      </w:pPr>
      <w:r>
        <w:rPr>
          <w:rFonts w:hint="eastAsia" w:hAnsi="宋体" w:cs="宋体"/>
          <w:bCs/>
          <w:sz w:val="21"/>
          <w:szCs w:val="21"/>
        </w:rPr>
        <w:t>长新变接入系统后需要对新松换流站原有孤岛判别装置设计改造、包括控制策略修改，详细的策略改造方案按南网总调直调稳控系统控制策略建设及改造需求执行。</w:t>
      </w:r>
    </w:p>
    <w:p>
      <w:pPr>
        <w:pStyle w:val="10"/>
        <w:adjustRightInd w:val="0"/>
        <w:snapToGrid w:val="0"/>
        <w:spacing w:line="360" w:lineRule="auto"/>
        <w:ind w:firstLine="420" w:firstLineChars="200"/>
        <w:jc w:val="left"/>
        <w:rPr>
          <w:rFonts w:hAnsi="宋体" w:cs="宋体"/>
          <w:bCs/>
          <w:sz w:val="21"/>
          <w:szCs w:val="21"/>
        </w:rPr>
      </w:pPr>
      <w:r>
        <w:rPr>
          <w:rFonts w:hint="eastAsia" w:hAnsi="宋体" w:cs="宋体"/>
          <w:bCs/>
          <w:sz w:val="21"/>
          <w:szCs w:val="21"/>
        </w:rPr>
        <w:t>稳控装置、孤岛判别装置需进行RTDS仿真试验及联调。</w:t>
      </w:r>
    </w:p>
    <w:p>
      <w:pPr>
        <w:pStyle w:val="10"/>
        <w:adjustRightInd w:val="0"/>
        <w:snapToGrid w:val="0"/>
        <w:spacing w:line="360" w:lineRule="auto"/>
        <w:ind w:firstLine="420" w:firstLineChars="200"/>
        <w:jc w:val="left"/>
        <w:rPr>
          <w:rFonts w:hAnsi="宋体" w:cs="宋体"/>
          <w:bCs/>
          <w:sz w:val="21"/>
          <w:szCs w:val="21"/>
        </w:rPr>
      </w:pPr>
    </w:p>
    <w:p>
      <w:pPr>
        <w:pStyle w:val="10"/>
        <w:adjustRightInd w:val="0"/>
        <w:snapToGrid w:val="0"/>
        <w:spacing w:line="360" w:lineRule="auto"/>
        <w:ind w:firstLine="422" w:firstLineChars="200"/>
        <w:jc w:val="left"/>
        <w:rPr>
          <w:rFonts w:hAnsi="宋体" w:cs="宋体"/>
          <w:b/>
          <w:sz w:val="21"/>
          <w:szCs w:val="21"/>
        </w:rPr>
      </w:pPr>
      <w:r>
        <w:rPr>
          <w:rFonts w:hint="eastAsia" w:hAnsi="宋体" w:cs="宋体"/>
          <w:b/>
          <w:sz w:val="21"/>
          <w:szCs w:val="21"/>
        </w:rPr>
        <w:t>变电水工工程：</w:t>
      </w:r>
    </w:p>
    <w:p>
      <w:pPr>
        <w:pStyle w:val="10"/>
        <w:adjustRightInd w:val="0"/>
        <w:snapToGrid w:val="0"/>
        <w:spacing w:line="360" w:lineRule="auto"/>
        <w:ind w:firstLine="420" w:firstLineChars="200"/>
        <w:jc w:val="left"/>
        <w:rPr>
          <w:rFonts w:hAnsi="宋体" w:cs="宋体"/>
          <w:b/>
          <w:sz w:val="21"/>
          <w:szCs w:val="21"/>
        </w:rPr>
      </w:pPr>
      <w:r>
        <w:rPr>
          <w:rFonts w:hint="eastAsia" w:hAnsi="宋体" w:cs="宋体"/>
          <w:bCs/>
          <w:sz w:val="21"/>
          <w:szCs w:val="21"/>
        </w:rPr>
        <w:t>本项目不涉及。</w:t>
      </w:r>
    </w:p>
    <w:p>
      <w:pPr>
        <w:pStyle w:val="10"/>
        <w:adjustRightInd w:val="0"/>
        <w:snapToGrid w:val="0"/>
        <w:spacing w:line="360" w:lineRule="auto"/>
        <w:ind w:firstLine="422" w:firstLineChars="200"/>
        <w:jc w:val="left"/>
        <w:rPr>
          <w:rFonts w:hAnsi="宋体" w:cs="宋体"/>
          <w:b/>
          <w:sz w:val="21"/>
          <w:szCs w:val="21"/>
        </w:rPr>
      </w:pPr>
      <w:r>
        <w:rPr>
          <w:rFonts w:hint="eastAsia" w:hAnsi="宋体" w:cs="宋体"/>
          <w:b/>
          <w:sz w:val="21"/>
          <w:szCs w:val="21"/>
        </w:rPr>
        <w:t>※架空线路部分:</w:t>
      </w:r>
    </w:p>
    <w:p>
      <w:pPr>
        <w:tabs>
          <w:tab w:val="left" w:pos="1146"/>
        </w:tabs>
        <w:snapToGrid w:val="0"/>
        <w:spacing w:line="360" w:lineRule="auto"/>
        <w:ind w:firstLine="420" w:firstLineChars="200"/>
        <w:jc w:val="left"/>
        <w:rPr>
          <w:rFonts w:ascii="宋体" w:hAnsi="宋体" w:cs="宋体"/>
          <w:bCs/>
          <w:szCs w:val="21"/>
        </w:rPr>
      </w:pPr>
      <w:r>
        <w:rPr>
          <w:rFonts w:hint="eastAsia" w:ascii="宋体" w:hAnsi="宋体" w:cs="宋体"/>
          <w:bCs/>
          <w:szCs w:val="21"/>
        </w:rPr>
        <w:t>本项目不涉及。</w:t>
      </w:r>
    </w:p>
    <w:p>
      <w:pPr>
        <w:pStyle w:val="10"/>
        <w:adjustRightInd w:val="0"/>
        <w:snapToGrid w:val="0"/>
        <w:spacing w:line="360" w:lineRule="auto"/>
        <w:ind w:firstLine="422" w:firstLineChars="200"/>
        <w:jc w:val="left"/>
        <w:rPr>
          <w:rFonts w:hAnsi="宋体" w:cs="宋体"/>
          <w:b/>
          <w:color w:val="auto"/>
          <w:sz w:val="21"/>
          <w:szCs w:val="21"/>
        </w:rPr>
      </w:pPr>
      <w:r>
        <w:rPr>
          <w:rFonts w:hint="eastAsia" w:hAnsi="宋体" w:cs="宋体"/>
          <w:b/>
          <w:color w:val="auto"/>
          <w:sz w:val="21"/>
          <w:szCs w:val="21"/>
        </w:rPr>
        <w:t>※通信部分：</w:t>
      </w:r>
    </w:p>
    <w:p>
      <w:pPr>
        <w:tabs>
          <w:tab w:val="left" w:pos="1146"/>
        </w:tabs>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本期工程需要在新松换南网主干ASON网设备上</w:t>
      </w:r>
      <w:r>
        <w:rPr>
          <w:rFonts w:ascii="宋体" w:hAnsi="宋体" w:cs="宋体"/>
          <w:bCs/>
          <w:color w:val="auto"/>
          <w:szCs w:val="21"/>
        </w:rPr>
        <w:t>配置1块STM-64光接口板</w:t>
      </w:r>
      <w:r>
        <w:rPr>
          <w:rFonts w:hint="eastAsia" w:ascii="宋体" w:hAnsi="宋体" w:cs="宋体"/>
          <w:bCs/>
          <w:color w:val="auto"/>
          <w:szCs w:val="21"/>
        </w:rPr>
        <w:t>，配合开通1条长新变</w:t>
      </w:r>
      <w:r>
        <w:rPr>
          <w:rFonts w:ascii="宋体" w:hAnsi="宋体" w:cs="宋体"/>
          <w:bCs/>
          <w:color w:val="auto"/>
          <w:szCs w:val="21"/>
        </w:rPr>
        <w:t>至</w:t>
      </w:r>
      <w:r>
        <w:rPr>
          <w:rFonts w:hint="eastAsia" w:ascii="宋体" w:hAnsi="宋体" w:cs="宋体"/>
          <w:bCs/>
          <w:color w:val="auto"/>
          <w:szCs w:val="21"/>
        </w:rPr>
        <w:t>新松换</w:t>
      </w:r>
      <w:r>
        <w:rPr>
          <w:rFonts w:ascii="宋体" w:hAnsi="宋体" w:cs="宋体"/>
          <w:bCs/>
          <w:color w:val="auto"/>
          <w:szCs w:val="21"/>
        </w:rPr>
        <w:t>10Gb/s光链路</w:t>
      </w:r>
      <w:r>
        <w:rPr>
          <w:rFonts w:hint="eastAsia" w:ascii="宋体" w:hAnsi="宋体" w:cs="宋体"/>
          <w:bCs/>
          <w:color w:val="auto"/>
          <w:szCs w:val="21"/>
        </w:rPr>
        <w:t>。</w:t>
      </w:r>
    </w:p>
    <w:p>
      <w:pPr>
        <w:tabs>
          <w:tab w:val="left" w:pos="1146"/>
        </w:tabs>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本期工程长新变将解口传输新网</w:t>
      </w:r>
      <w:r>
        <w:rPr>
          <w:rFonts w:ascii="宋体" w:hAnsi="宋体" w:cs="宋体"/>
          <w:bCs/>
          <w:color w:val="auto"/>
          <w:szCs w:val="21"/>
        </w:rPr>
        <w:t>A</w:t>
      </w:r>
      <w:r>
        <w:rPr>
          <w:rFonts w:hint="eastAsia" w:ascii="宋体" w:hAnsi="宋体" w:cs="宋体"/>
          <w:bCs/>
          <w:color w:val="auto"/>
          <w:szCs w:val="21"/>
        </w:rPr>
        <w:t>云南省域1条苗尾电站至新松换1</w:t>
      </w:r>
      <w:r>
        <w:rPr>
          <w:rFonts w:ascii="宋体" w:hAnsi="宋体" w:cs="宋体"/>
          <w:bCs/>
          <w:color w:val="auto"/>
          <w:szCs w:val="21"/>
        </w:rPr>
        <w:t>0</w:t>
      </w:r>
      <w:r>
        <w:rPr>
          <w:rFonts w:hint="eastAsia" w:ascii="宋体" w:hAnsi="宋体" w:cs="宋体"/>
          <w:bCs/>
          <w:color w:val="auto"/>
          <w:szCs w:val="21"/>
        </w:rPr>
        <w:t>G链路接入长新变，苗尾电站和新松换板卡利旧。本期只需更换1个光模块，并配合调整1条长新变</w:t>
      </w:r>
      <w:r>
        <w:rPr>
          <w:rFonts w:ascii="宋体" w:hAnsi="宋体" w:cs="宋体"/>
          <w:bCs/>
          <w:color w:val="auto"/>
          <w:szCs w:val="21"/>
        </w:rPr>
        <w:t>至</w:t>
      </w:r>
      <w:r>
        <w:rPr>
          <w:rFonts w:hint="eastAsia" w:ascii="宋体" w:hAnsi="宋体" w:cs="宋体"/>
          <w:bCs/>
          <w:color w:val="auto"/>
          <w:szCs w:val="21"/>
        </w:rPr>
        <w:t>新松换</w:t>
      </w:r>
      <w:r>
        <w:rPr>
          <w:rFonts w:ascii="宋体" w:hAnsi="宋体" w:cs="宋体"/>
          <w:bCs/>
          <w:color w:val="auto"/>
          <w:szCs w:val="21"/>
        </w:rPr>
        <w:t>10</w:t>
      </w:r>
      <w:r>
        <w:rPr>
          <w:rFonts w:hint="eastAsia" w:ascii="宋体" w:hAnsi="宋体" w:cs="宋体"/>
          <w:bCs/>
          <w:color w:val="auto"/>
          <w:szCs w:val="21"/>
        </w:rPr>
        <w:t>M</w:t>
      </w:r>
      <w:r>
        <w:rPr>
          <w:rFonts w:ascii="宋体" w:hAnsi="宋体" w:cs="宋体"/>
          <w:bCs/>
          <w:color w:val="auto"/>
          <w:szCs w:val="21"/>
        </w:rPr>
        <w:t>b/s光链路</w:t>
      </w:r>
      <w:r>
        <w:rPr>
          <w:rFonts w:hint="eastAsia" w:ascii="宋体" w:hAnsi="宋体" w:cs="宋体"/>
          <w:bCs/>
          <w:color w:val="auto"/>
          <w:szCs w:val="21"/>
        </w:rPr>
        <w:t>。</w:t>
      </w:r>
    </w:p>
    <w:p>
      <w:pPr>
        <w:tabs>
          <w:tab w:val="left" w:pos="1146"/>
        </w:tabs>
        <w:snapToGrid w:val="0"/>
        <w:spacing w:line="360" w:lineRule="auto"/>
        <w:ind w:firstLine="420" w:firstLineChars="200"/>
        <w:jc w:val="left"/>
        <w:rPr>
          <w:rFonts w:ascii="宋体" w:hAnsi="宋体" w:cs="宋体"/>
          <w:b w:val="0"/>
          <w:bCs/>
          <w:color w:val="auto"/>
          <w:szCs w:val="21"/>
        </w:rPr>
      </w:pPr>
      <w:r>
        <w:rPr>
          <w:rFonts w:hint="eastAsia" w:ascii="宋体" w:hAnsi="宋体" w:cs="宋体"/>
          <w:b w:val="0"/>
          <w:bCs/>
          <w:color w:val="auto"/>
          <w:szCs w:val="21"/>
        </w:rPr>
        <w:t>本期工程新松换无需在</w:t>
      </w:r>
      <w:r>
        <w:rPr>
          <w:rFonts w:ascii="宋体" w:hAnsi="宋体" w:cs="宋体"/>
          <w:b w:val="0"/>
          <w:bCs/>
          <w:color w:val="auto"/>
          <w:szCs w:val="21"/>
        </w:rPr>
        <w:t>云南省干传输新B网</w:t>
      </w:r>
      <w:r>
        <w:rPr>
          <w:rFonts w:hint="eastAsia" w:ascii="宋体" w:hAnsi="宋体" w:cs="宋体"/>
          <w:b w:val="0"/>
          <w:bCs/>
          <w:color w:val="auto"/>
          <w:szCs w:val="21"/>
        </w:rPr>
        <w:t>上配置板卡，只需配合调整1条长新变</w:t>
      </w:r>
      <w:r>
        <w:rPr>
          <w:rFonts w:ascii="宋体" w:hAnsi="宋体" w:cs="宋体"/>
          <w:b w:val="0"/>
          <w:bCs/>
          <w:color w:val="auto"/>
          <w:szCs w:val="21"/>
        </w:rPr>
        <w:t>至</w:t>
      </w:r>
      <w:r>
        <w:rPr>
          <w:rFonts w:hint="eastAsia" w:ascii="宋体" w:hAnsi="宋体" w:cs="宋体"/>
          <w:b w:val="0"/>
          <w:bCs/>
          <w:color w:val="auto"/>
          <w:szCs w:val="21"/>
        </w:rPr>
        <w:t>新松换</w:t>
      </w:r>
      <w:r>
        <w:rPr>
          <w:rFonts w:ascii="宋体" w:hAnsi="宋体" w:cs="宋体"/>
          <w:b w:val="0"/>
          <w:bCs/>
          <w:color w:val="auto"/>
          <w:szCs w:val="21"/>
        </w:rPr>
        <w:t>622</w:t>
      </w:r>
      <w:r>
        <w:rPr>
          <w:rFonts w:hint="eastAsia" w:ascii="宋体" w:hAnsi="宋体" w:cs="宋体"/>
          <w:b w:val="0"/>
          <w:bCs/>
          <w:color w:val="auto"/>
          <w:szCs w:val="21"/>
        </w:rPr>
        <w:t>M</w:t>
      </w:r>
      <w:r>
        <w:rPr>
          <w:rFonts w:ascii="宋体" w:hAnsi="宋体" w:cs="宋体"/>
          <w:b w:val="0"/>
          <w:bCs/>
          <w:color w:val="auto"/>
          <w:szCs w:val="21"/>
        </w:rPr>
        <w:t>b/s光链路</w:t>
      </w:r>
      <w:r>
        <w:rPr>
          <w:rFonts w:hint="eastAsia" w:ascii="宋体" w:hAnsi="宋体" w:cs="宋体"/>
          <w:b w:val="0"/>
          <w:bCs/>
          <w:color w:val="auto"/>
          <w:szCs w:val="21"/>
        </w:rPr>
        <w:t>。</w:t>
      </w:r>
    </w:p>
    <w:p>
      <w:pPr>
        <w:pStyle w:val="10"/>
        <w:adjustRightInd w:val="0"/>
        <w:snapToGrid w:val="0"/>
        <w:spacing w:line="360" w:lineRule="auto"/>
        <w:ind w:firstLine="420" w:firstLineChars="200"/>
        <w:rPr>
          <w:rFonts w:hAnsi="宋体" w:cs="宋体"/>
          <w:b w:val="0"/>
          <w:bCs/>
          <w:sz w:val="21"/>
          <w:szCs w:val="21"/>
        </w:rPr>
      </w:pPr>
      <w:r>
        <w:rPr>
          <w:rFonts w:hint="eastAsia" w:hAnsi="宋体" w:cs="宋体"/>
          <w:b w:val="0"/>
          <w:bCs/>
          <w:sz w:val="21"/>
          <w:szCs w:val="21"/>
          <w:u w:val="single"/>
        </w:rPr>
        <w:t>具体建设规模以施工图纸为准。</w:t>
      </w:r>
    </w:p>
    <w:p>
      <w:pPr>
        <w:pStyle w:val="10"/>
        <w:snapToGrid w:val="0"/>
        <w:spacing w:line="360" w:lineRule="auto"/>
        <w:jc w:val="left"/>
        <w:outlineLvl w:val="0"/>
        <w:rPr>
          <w:rFonts w:hAnsi="宋体" w:cs="宋体"/>
          <w:b w:val="0"/>
          <w:bCs/>
          <w:snapToGrid w:val="0"/>
          <w:sz w:val="24"/>
          <w:szCs w:val="24"/>
        </w:rPr>
      </w:pPr>
      <w:r>
        <w:rPr>
          <w:rFonts w:hint="eastAsia" w:hAnsi="宋体" w:cs="宋体"/>
          <w:b w:val="0"/>
          <w:bCs/>
          <w:snapToGrid w:val="0"/>
          <w:sz w:val="24"/>
          <w:szCs w:val="24"/>
        </w:rPr>
        <w:t>二、采购范围</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cs="宋体"/>
          <w:b w:val="0"/>
          <w:bCs/>
          <w:snapToGrid w:val="0"/>
          <w:sz w:val="21"/>
          <w:szCs w:val="21"/>
        </w:rPr>
      </w:pPr>
      <w:r>
        <w:rPr>
          <w:rFonts w:hint="eastAsia" w:hAnsi="宋体" w:cs="宋体"/>
          <w:b w:val="0"/>
          <w:bCs/>
          <w:snapToGrid w:val="0"/>
          <w:sz w:val="21"/>
          <w:szCs w:val="21"/>
        </w:rPr>
        <w:t>包括施工准备、施工（含通信）、竣工结算、缺陷责任期、电子化移交的全过程监理。按照建设单位要求使用工程信息管理系统。</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bookmarkStart w:id="4" w:name="_GoBack"/>
      <w:bookmarkEnd w:id="4"/>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9"/>
        <w:rPr>
          <w:rFonts w:hint="eastAsia" w:hAnsi="宋体" w:cs="宋体"/>
          <w:b/>
          <w:bCs/>
          <w:snapToGrid w:val="0"/>
          <w:sz w:val="21"/>
          <w:szCs w:val="21"/>
        </w:rPr>
      </w:pPr>
    </w:p>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500千伏习水～诗乡第二回线路工程监理</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贵州电网有限责任公司</w:t>
            </w:r>
            <w:r>
              <w:rPr>
                <w:rFonts w:hint="eastAsia" w:ascii="宋体"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遵义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南方电网规划〔2023〕135号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黔能源审〔2025〕353号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黔电计财〔2026〕21号</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一、建设规模</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2" w:firstLineChars="200"/>
        <w:jc w:val="left"/>
        <w:textAlignment w:val="center"/>
        <w:rPr>
          <w:rFonts w:hint="eastAsia" w:ascii="宋体" w:hAnsi="宋体" w:eastAsia="宋体" w:cs="宋体"/>
          <w:b/>
          <w:bCs/>
          <w:sz w:val="21"/>
          <w:szCs w:val="21"/>
          <w:shd w:val="clear" w:color="auto" w:fill="auto"/>
        </w:rPr>
      </w:pPr>
      <w:r>
        <w:rPr>
          <w:rFonts w:hint="eastAsia" w:ascii="宋体" w:hAnsi="宋体" w:eastAsia="宋体" w:cs="宋体"/>
          <w:b/>
          <w:bCs/>
          <w:color w:val="000000"/>
          <w:spacing w:val="0"/>
          <w:position w:val="0"/>
          <w:sz w:val="21"/>
          <w:szCs w:val="21"/>
          <w:shd w:val="clear" w:color="auto" w:fill="auto"/>
        </w:rPr>
        <w:t>（</w:t>
      </w:r>
      <w:r>
        <w:rPr>
          <w:rFonts w:hint="eastAsia" w:ascii="宋体" w:hAnsi="宋体" w:eastAsia="宋体" w:cs="宋体"/>
          <w:b/>
          <w:bCs/>
          <w:color w:val="000000"/>
          <w:spacing w:val="0"/>
          <w:position w:val="0"/>
          <w:sz w:val="21"/>
          <w:szCs w:val="21"/>
          <w:shd w:val="clear" w:color="auto" w:fill="auto"/>
          <w:lang w:eastAsia="zh-CN"/>
        </w:rPr>
        <w:t>一</w:t>
      </w:r>
      <w:r>
        <w:rPr>
          <w:rFonts w:hint="eastAsia" w:ascii="宋体" w:hAnsi="宋体" w:eastAsia="宋体" w:cs="宋体"/>
          <w:b/>
          <w:bCs/>
          <w:color w:val="000000"/>
          <w:spacing w:val="0"/>
          <w:position w:val="0"/>
          <w:sz w:val="21"/>
          <w:szCs w:val="21"/>
          <w:shd w:val="clear" w:color="auto" w:fill="auto"/>
        </w:rPr>
        <w:t>）500千伏习水～诗乡第二回线路工程（含光纤通信工程）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color w:val="000000"/>
          <w:spacing w:val="0"/>
          <w:position w:val="0"/>
          <w:sz w:val="21"/>
          <w:szCs w:val="21"/>
          <w:shd w:val="clear" w:color="auto" w:fill="auto"/>
        </w:rPr>
      </w:pPr>
      <w:r>
        <w:rPr>
          <w:rFonts w:hint="eastAsia" w:ascii="宋体" w:hAnsi="宋体" w:eastAsia="宋体" w:cs="宋体"/>
          <w:color w:val="000000"/>
          <w:spacing w:val="0"/>
          <w:position w:val="0"/>
          <w:sz w:val="21"/>
          <w:szCs w:val="21"/>
          <w:shd w:val="clear" w:color="auto" w:fill="auto"/>
        </w:rPr>
        <w:t>新建500千伏习水～诗乡第二回线路，线路长度约113</w:t>
      </w:r>
      <w:r>
        <w:rPr>
          <w:rFonts w:hint="eastAsia" w:ascii="宋体" w:hAnsi="宋体" w:eastAsia="宋体" w:cs="宋体"/>
          <w:color w:val="000000"/>
          <w:spacing w:val="0"/>
          <w:position w:val="0"/>
          <w:sz w:val="21"/>
          <w:szCs w:val="21"/>
          <w:shd w:val="clear" w:color="auto" w:fill="auto"/>
          <w:lang w:val="en-US" w:eastAsia="zh-CN"/>
        </w:rPr>
        <w:t>.</w:t>
      </w:r>
      <w:r>
        <w:rPr>
          <w:rFonts w:hint="eastAsia" w:ascii="宋体" w:hAnsi="宋体" w:eastAsia="宋体" w:cs="宋体"/>
          <w:color w:val="000000"/>
          <w:spacing w:val="0"/>
          <w:position w:val="0"/>
          <w:sz w:val="21"/>
          <w:szCs w:val="21"/>
          <w:shd w:val="clear" w:color="auto" w:fill="auto"/>
        </w:rPr>
        <w:t>5千米，其中利用已建的习水～诗乡第一回线路预留的同塔双回路挂线7</w:t>
      </w:r>
      <w:r>
        <w:rPr>
          <w:rFonts w:hint="eastAsia" w:ascii="宋体" w:hAnsi="宋体" w:eastAsia="宋体" w:cs="宋体"/>
          <w:color w:val="000000"/>
          <w:spacing w:val="0"/>
          <w:position w:val="0"/>
          <w:sz w:val="21"/>
          <w:szCs w:val="21"/>
          <w:shd w:val="clear" w:color="auto" w:fill="auto"/>
          <w:lang w:val="en-US" w:eastAsia="zh-CN"/>
        </w:rPr>
        <w:t>.</w:t>
      </w:r>
      <w:r>
        <w:rPr>
          <w:rFonts w:hint="eastAsia" w:ascii="宋体" w:hAnsi="宋体" w:eastAsia="宋体" w:cs="宋体"/>
          <w:color w:val="000000"/>
          <w:spacing w:val="0"/>
          <w:position w:val="0"/>
          <w:sz w:val="21"/>
          <w:szCs w:val="21"/>
          <w:shd w:val="clear" w:color="auto" w:fill="auto"/>
        </w:rPr>
        <w:t>8千米，其余105 .7千米新建线路按单回路架设。新建线路导线截面采用4×400平方毫米，导线允许温度按80摄氏度设计。</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color w:val="000000"/>
          <w:spacing w:val="0"/>
          <w:position w:val="0"/>
          <w:sz w:val="21"/>
          <w:szCs w:val="21"/>
          <w:shd w:val="clear" w:color="auto" w:fill="auto"/>
        </w:rPr>
      </w:pPr>
      <w:r>
        <w:rPr>
          <w:rFonts w:hint="eastAsia" w:ascii="宋体" w:hAnsi="宋体" w:eastAsia="宋体" w:cs="宋体"/>
          <w:color w:val="000000"/>
          <w:spacing w:val="0"/>
          <w:position w:val="0"/>
          <w:sz w:val="21"/>
          <w:szCs w:val="21"/>
          <w:shd w:val="clear" w:color="auto" w:fill="auto"/>
        </w:rPr>
        <w:t>建设配套的通信光缆。</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2" w:firstLineChars="200"/>
        <w:jc w:val="left"/>
        <w:textAlignment w:val="center"/>
        <w:rPr>
          <w:rFonts w:hint="eastAsia" w:ascii="宋体" w:hAnsi="宋体" w:eastAsia="宋体" w:cs="宋体"/>
          <w:b/>
          <w:bCs/>
          <w:sz w:val="21"/>
          <w:szCs w:val="21"/>
          <w:shd w:val="clear" w:color="auto" w:fill="auto"/>
        </w:rPr>
      </w:pPr>
      <w:r>
        <w:rPr>
          <w:rFonts w:hint="eastAsia" w:ascii="宋体" w:hAnsi="宋体" w:eastAsia="宋体" w:cs="宋体"/>
          <w:b/>
          <w:bCs/>
          <w:color w:val="000000"/>
          <w:spacing w:val="0"/>
          <w:position w:val="0"/>
          <w:sz w:val="21"/>
          <w:szCs w:val="21"/>
          <w:shd w:val="clear" w:color="auto" w:fill="auto"/>
        </w:rPr>
        <w:t>（</w:t>
      </w:r>
      <w:r>
        <w:rPr>
          <w:rFonts w:hint="eastAsia" w:ascii="宋体" w:hAnsi="宋体" w:eastAsia="宋体" w:cs="宋体"/>
          <w:b/>
          <w:bCs/>
          <w:color w:val="000000"/>
          <w:spacing w:val="0"/>
          <w:position w:val="0"/>
          <w:sz w:val="21"/>
          <w:szCs w:val="21"/>
          <w:shd w:val="clear" w:color="auto" w:fill="auto"/>
          <w:lang w:eastAsia="zh-CN"/>
        </w:rPr>
        <w:t>二</w:t>
      </w:r>
      <w:r>
        <w:rPr>
          <w:rFonts w:hint="eastAsia" w:ascii="宋体" w:hAnsi="宋体" w:eastAsia="宋体" w:cs="宋体"/>
          <w:b/>
          <w:bCs/>
          <w:color w:val="000000"/>
          <w:spacing w:val="0"/>
          <w:position w:val="0"/>
          <w:sz w:val="21"/>
          <w:szCs w:val="21"/>
          <w:shd w:val="clear" w:color="auto" w:fill="auto"/>
        </w:rPr>
        <w:t>）500 千伏习水站扩建工程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color w:val="000000"/>
          <w:spacing w:val="0"/>
          <w:position w:val="0"/>
          <w:sz w:val="21"/>
          <w:szCs w:val="21"/>
          <w:shd w:val="clear" w:color="auto" w:fill="auto"/>
        </w:rPr>
      </w:pPr>
      <w:r>
        <w:rPr>
          <w:rFonts w:hint="eastAsia" w:ascii="宋体" w:hAnsi="宋体" w:eastAsia="宋体" w:cs="宋体"/>
          <w:color w:val="000000"/>
          <w:spacing w:val="0"/>
          <w:position w:val="0"/>
          <w:sz w:val="21"/>
          <w:szCs w:val="21"/>
          <w:shd w:val="clear" w:color="auto" w:fill="auto"/>
        </w:rPr>
        <w:t>500 千伏习水站扩建至诗乡站出线间隔1个，本期工程在习水站主变低压侧加装1组6 万千乏低压电抗器。</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color w:val="000000"/>
          <w:spacing w:val="0"/>
          <w:position w:val="0"/>
          <w:sz w:val="21"/>
          <w:szCs w:val="21"/>
          <w:shd w:val="clear" w:color="auto" w:fill="auto"/>
        </w:rPr>
      </w:pPr>
      <w:r>
        <w:rPr>
          <w:rFonts w:hint="eastAsia" w:ascii="宋体" w:hAnsi="宋体" w:eastAsia="宋体" w:cs="宋体"/>
          <w:color w:val="000000"/>
          <w:spacing w:val="0"/>
          <w:position w:val="0"/>
          <w:sz w:val="21"/>
          <w:szCs w:val="21"/>
          <w:shd w:val="clear" w:color="auto" w:fill="auto"/>
        </w:rPr>
        <w:t>建设配套二次系统工程。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2" w:firstLineChars="200"/>
        <w:jc w:val="left"/>
        <w:textAlignment w:val="center"/>
        <w:rPr>
          <w:rFonts w:hint="eastAsia" w:ascii="宋体" w:hAnsi="宋体" w:eastAsia="宋体" w:cs="宋体"/>
          <w:b/>
          <w:bCs/>
          <w:sz w:val="21"/>
          <w:szCs w:val="21"/>
          <w:shd w:val="clear" w:color="auto" w:fill="auto"/>
        </w:rPr>
      </w:pPr>
      <w:r>
        <w:rPr>
          <w:rFonts w:hint="eastAsia" w:ascii="宋体" w:hAnsi="宋体" w:eastAsia="宋体" w:cs="宋体"/>
          <w:b/>
          <w:bCs/>
          <w:color w:val="000000"/>
          <w:spacing w:val="0"/>
          <w:position w:val="0"/>
          <w:sz w:val="21"/>
          <w:szCs w:val="21"/>
          <w:shd w:val="clear" w:color="auto" w:fill="auto"/>
        </w:rPr>
        <w:t>（</w:t>
      </w:r>
      <w:r>
        <w:rPr>
          <w:rFonts w:hint="eastAsia" w:ascii="宋体" w:hAnsi="宋体" w:eastAsia="宋体" w:cs="宋体"/>
          <w:b/>
          <w:bCs/>
          <w:color w:val="000000"/>
          <w:spacing w:val="0"/>
          <w:position w:val="0"/>
          <w:sz w:val="21"/>
          <w:szCs w:val="21"/>
          <w:shd w:val="clear" w:color="auto" w:fill="auto"/>
          <w:lang w:eastAsia="zh-CN"/>
        </w:rPr>
        <w:t>三</w:t>
      </w:r>
      <w:r>
        <w:rPr>
          <w:rFonts w:hint="eastAsia" w:ascii="宋体" w:hAnsi="宋体" w:eastAsia="宋体" w:cs="宋体"/>
          <w:b/>
          <w:bCs/>
          <w:color w:val="000000"/>
          <w:spacing w:val="0"/>
          <w:position w:val="0"/>
          <w:sz w:val="21"/>
          <w:szCs w:val="21"/>
          <w:shd w:val="clear" w:color="auto" w:fill="auto"/>
        </w:rPr>
        <w:t>）500 千伏诗乡站扩建工程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sz w:val="21"/>
          <w:szCs w:val="21"/>
          <w:shd w:val="clear" w:color="auto" w:fill="auto"/>
        </w:rPr>
      </w:pPr>
      <w:r>
        <w:rPr>
          <w:rFonts w:hint="eastAsia" w:ascii="宋体" w:hAnsi="宋体" w:eastAsia="宋体" w:cs="宋体"/>
          <w:color w:val="000000"/>
          <w:spacing w:val="0"/>
          <w:position w:val="0"/>
          <w:sz w:val="21"/>
          <w:szCs w:val="21"/>
          <w:shd w:val="clear" w:color="auto" w:fill="auto"/>
        </w:rPr>
        <w:t>500 千伏诗乡站扩建至习水站出线间隔1 个。</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8"/>
        <w:jc w:val="left"/>
        <w:textAlignment w:val="center"/>
        <w:rPr>
          <w:rFonts w:hint="eastAsia" w:ascii="宋体" w:hAnsi="宋体" w:eastAsia="宋体" w:cs="宋体"/>
          <w:color w:val="000000"/>
          <w:spacing w:val="0"/>
          <w:position w:val="0"/>
          <w:sz w:val="21"/>
          <w:szCs w:val="21"/>
          <w:shd w:val="clear" w:color="auto" w:fill="auto"/>
        </w:rPr>
      </w:pPr>
      <w:r>
        <w:rPr>
          <w:rFonts w:hint="eastAsia" w:ascii="宋体" w:hAnsi="宋体" w:eastAsia="宋体" w:cs="宋体"/>
          <w:color w:val="000000"/>
          <w:spacing w:val="0"/>
          <w:position w:val="0"/>
          <w:sz w:val="21"/>
          <w:szCs w:val="21"/>
          <w:shd w:val="clear" w:color="auto" w:fill="auto"/>
        </w:rPr>
        <w:t>建设配套的二次系统工程。</w:t>
      </w:r>
    </w:p>
    <w:p>
      <w:pPr>
        <w:pStyle w:val="1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right="0" w:rightChars="0"/>
        <w:jc w:val="left"/>
        <w:textAlignment w:val="center"/>
        <w:rPr>
          <w:rFonts w:hint="eastAsia" w:ascii="宋体" w:hAnsi="宋体" w:eastAsia="宋体" w:cs="宋体"/>
          <w:b/>
          <w:bCs/>
          <w:color w:val="000000"/>
          <w:spacing w:val="0"/>
          <w:position w:val="0"/>
          <w:sz w:val="21"/>
          <w:szCs w:val="21"/>
          <w:shd w:val="clear" w:color="auto" w:fill="auto"/>
        </w:rPr>
      </w:pPr>
    </w:p>
    <w:p>
      <w:pPr>
        <w:pStyle w:val="10"/>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二、采购范围</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default" w:ascii="宋体" w:hAnsi="宋体" w:cs="宋体"/>
          <w:b w:val="0"/>
          <w:bCs w:val="0"/>
          <w:snapToGrid w:val="0"/>
          <w:color w:val="auto"/>
          <w:kern w:val="0"/>
          <w:sz w:val="21"/>
          <w:szCs w:val="21"/>
          <w:highlight w:val="none"/>
          <w:u w:val="none"/>
          <w:lang w:val="en-US" w:eastAsia="zh-CN"/>
        </w:rPr>
        <w:t>工程施工准备（含三通一平）、施工、竣工结算、缺陷责任期、</w:t>
      </w:r>
      <w:r>
        <w:rPr>
          <w:rFonts w:hint="eastAsia" w:ascii="宋体" w:hAnsi="宋体" w:cs="宋体"/>
          <w:b w:val="0"/>
          <w:bCs w:val="0"/>
          <w:snapToGrid w:val="0"/>
          <w:color w:val="auto"/>
          <w:kern w:val="0"/>
          <w:sz w:val="21"/>
          <w:szCs w:val="21"/>
          <w:highlight w:val="none"/>
          <w:u w:val="none"/>
          <w:lang w:val="en-US" w:eastAsia="zh-CN"/>
        </w:rPr>
        <w:t>保修阶段、</w:t>
      </w:r>
      <w:r>
        <w:rPr>
          <w:rFonts w:hint="default" w:ascii="宋体" w:hAnsi="宋体" w:cs="宋体"/>
          <w:b w:val="0"/>
          <w:bCs w:val="0"/>
          <w:snapToGrid w:val="0"/>
          <w:color w:val="auto"/>
          <w:kern w:val="0"/>
          <w:sz w:val="21"/>
          <w:szCs w:val="21"/>
          <w:highlight w:val="none"/>
          <w:u w:val="none"/>
          <w:lang w:val="en-US" w:eastAsia="zh-CN"/>
        </w:rPr>
        <w:t>达标投产创优、电子化移交阶段的监理服务工作，包括110kV及以上工程环境监理和35kV及以上工程水土保持监理的各项工作</w:t>
      </w:r>
      <w:r>
        <w:rPr>
          <w:rFonts w:hint="eastAsia" w:ascii="宋体" w:hAnsi="宋体" w:cs="宋体"/>
          <w:b w:val="0"/>
          <w:bCs w:val="0"/>
          <w:snapToGrid w:val="0"/>
          <w:color w:val="auto"/>
          <w:kern w:val="0"/>
          <w:sz w:val="21"/>
          <w:szCs w:val="21"/>
          <w:highlight w:val="none"/>
          <w:u w:val="none"/>
          <w:lang w:val="en-US" w:eastAsia="zh-CN"/>
        </w:rPr>
        <w:t>。</w:t>
      </w:r>
    </w:p>
    <w:p>
      <w:pPr>
        <w:rPr>
          <w:rFonts w:hint="eastAsia" w:eastAsiaTheme="minorEastAsia"/>
          <w:lang w:val="en-US" w:eastAsia="zh-CN"/>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outlineLvl w:val="9"/>
        <w:rPr>
          <w:rFonts w:hint="eastAsia" w:hAnsi="宋体" w:cs="宋体"/>
          <w:b/>
          <w:bCs/>
          <w:snapToGrid w:val="0"/>
          <w:sz w:val="21"/>
          <w:szCs w:val="21"/>
          <w:lang w:val="en-US" w:eastAsia="zh-CN"/>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outlineLvl w:val="9"/>
        <w:rPr>
          <w:rFonts w:hint="eastAsia" w:hAnsi="宋体" w:cs="宋体"/>
          <w:b/>
          <w:bCs/>
          <w:snapToGrid w:val="0"/>
          <w:sz w:val="21"/>
          <w:szCs w:val="21"/>
          <w:lang w:val="en-US" w:eastAsia="zh-CN"/>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outlineLvl w:val="9"/>
        <w:rPr>
          <w:rFonts w:hint="eastAsia" w:hAnsi="宋体" w:cs="宋体"/>
          <w:b/>
          <w:bCs/>
          <w:snapToGrid w:val="0"/>
          <w:sz w:val="21"/>
          <w:szCs w:val="21"/>
          <w:lang w:val="en-US" w:eastAsia="zh-CN"/>
        </w:rPr>
      </w:pP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outlineLvl w:val="9"/>
        <w:rPr>
          <w:rFonts w:hint="eastAsia" w:hAnsi="宋体" w:cs="宋体"/>
          <w:b/>
          <w:bCs/>
          <w:snapToGrid w:val="0"/>
          <w:sz w:val="21"/>
          <w:szCs w:val="21"/>
          <w:lang w:val="en-US" w:eastAsia="zh-CN"/>
        </w:rPr>
      </w:pPr>
    </w:p>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FF0000"/>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500千伏中部环网改造工程监理</w:t>
      </w:r>
    </w:p>
    <w:tbl>
      <w:tblPr>
        <w:tblStyle w:val="15"/>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贵阳、龙里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南方电网规划〔2025〕64号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黔能源审〔2026〕13号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黔电计财〔2026〕21号</w:t>
            </w:r>
          </w:p>
        </w:tc>
      </w:tr>
    </w:tbl>
    <w:p>
      <w:pPr>
        <w:pStyle w:val="10"/>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10"/>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一、建设规模</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2" w:firstLineChars="200"/>
        <w:jc w:val="left"/>
        <w:textAlignment w:val="center"/>
        <w:rPr>
          <w:rFonts w:hint="eastAsia" w:ascii="宋体" w:hAnsi="宋体" w:eastAsia="宋体" w:cs="宋体"/>
          <w:b/>
          <w:bCs/>
          <w:sz w:val="21"/>
          <w:szCs w:val="21"/>
        </w:rPr>
      </w:pPr>
      <w:r>
        <w:rPr>
          <w:rFonts w:hint="eastAsia" w:ascii="宋体" w:hAnsi="宋体" w:eastAsia="宋体" w:cs="宋体"/>
          <w:b/>
          <w:bCs/>
          <w:color w:val="000000"/>
          <w:spacing w:val="0"/>
          <w:position w:val="0"/>
          <w:sz w:val="21"/>
          <w:szCs w:val="21"/>
        </w:rPr>
        <w:t>（一）500kV醒狮站扩建工程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6"/>
        <w:jc w:val="left"/>
        <w:textAlignment w:val="center"/>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500千伏醒狮站扩建1个500千伏出线间隔。</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646"/>
        <w:jc w:val="left"/>
        <w:textAlignment w:val="center"/>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建设配套的二次系统工程</w:t>
      </w:r>
      <w:r>
        <w:rPr>
          <w:rFonts w:hint="eastAsia" w:ascii="宋体" w:hAnsi="宋体" w:eastAsia="宋体" w:cs="宋体"/>
          <w:color w:val="000000"/>
          <w:spacing w:val="0"/>
          <w:position w:val="0"/>
          <w:sz w:val="21"/>
          <w:szCs w:val="21"/>
          <w:lang w:eastAsia="zh-CN"/>
        </w:rPr>
        <w:t>。</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2" w:firstLineChars="200"/>
        <w:jc w:val="left"/>
        <w:textAlignment w:val="center"/>
        <w:rPr>
          <w:rFonts w:hint="eastAsia" w:ascii="宋体" w:hAnsi="宋体" w:eastAsia="宋体" w:cs="宋体"/>
          <w:b/>
          <w:bCs/>
          <w:sz w:val="21"/>
          <w:szCs w:val="21"/>
        </w:rPr>
      </w:pPr>
      <w:r>
        <w:rPr>
          <w:rFonts w:hint="eastAsia" w:ascii="宋体" w:hAnsi="宋体" w:eastAsia="宋体" w:cs="宋体"/>
          <w:b/>
          <w:bCs/>
          <w:color w:val="000000"/>
          <w:spacing w:val="0"/>
          <w:position w:val="0"/>
          <w:sz w:val="21"/>
          <w:szCs w:val="21"/>
        </w:rPr>
        <w:t>（二）青岩变-醒狮变500kV线路工程</w:t>
      </w:r>
    </w:p>
    <w:p>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54"/>
        <w:contextualSpacing/>
        <w:jc w:val="left"/>
        <w:textAlignment w:val="auto"/>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新建500千伏青岩～醒狮线路，线路路径长度约61千米，其中11千米线路按同塔双回路架设，其余新建线路按单回路架设，线路导线截面采用4×630平方毫米,导线允许温度按80摄氏度设计。</w:t>
      </w:r>
    </w:p>
    <w:p>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46"/>
        <w:contextualSpacing/>
        <w:jc w:val="left"/>
        <w:textAlignment w:val="auto"/>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建设配套的通信光缆。</w:t>
      </w:r>
    </w:p>
    <w:p>
      <w:pPr>
        <w:pStyle w:val="12"/>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leftChars="0" w:right="0" w:rightChars="0" w:firstLine="422" w:firstLineChars="200"/>
        <w:jc w:val="left"/>
        <w:textAlignment w:val="center"/>
        <w:rPr>
          <w:rFonts w:hint="eastAsia" w:ascii="宋体" w:hAnsi="宋体" w:eastAsia="宋体" w:cs="宋体"/>
          <w:b/>
          <w:bCs/>
          <w:color w:val="000000"/>
          <w:spacing w:val="0"/>
          <w:position w:val="0"/>
          <w:sz w:val="21"/>
          <w:szCs w:val="21"/>
          <w:lang w:eastAsia="zh-CN"/>
        </w:rPr>
      </w:pPr>
      <w:r>
        <w:rPr>
          <w:rFonts w:hint="eastAsia" w:ascii="宋体" w:hAnsi="宋体" w:eastAsia="宋体" w:cs="宋体"/>
          <w:b/>
          <w:bCs/>
          <w:color w:val="000000"/>
          <w:spacing w:val="0"/>
          <w:position w:val="0"/>
          <w:sz w:val="21"/>
          <w:szCs w:val="21"/>
          <w:lang w:eastAsia="zh-CN"/>
        </w:rPr>
        <w:t>青岩变~水场变500kV线路增容工程</w:t>
      </w:r>
    </w:p>
    <w:p>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46"/>
        <w:contextualSpacing/>
        <w:jc w:val="left"/>
        <w:textAlignment w:val="auto"/>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增容改造500千伏青岩～水场线路，改造线路路径长度约24千米，线路导线截面采用4×400平方毫米,导线允许温度按100摄氏度设计。</w:t>
      </w:r>
    </w:p>
    <w:p>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46"/>
        <w:contextualSpacing/>
        <w:jc w:val="left"/>
        <w:textAlignment w:val="auto"/>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建设配套的通信光缆。</w:t>
      </w:r>
    </w:p>
    <w:p>
      <w:pPr>
        <w:pStyle w:val="1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0" w:right="0" w:rightChars="0"/>
        <w:jc w:val="left"/>
        <w:textAlignment w:val="center"/>
        <w:rPr>
          <w:rFonts w:hint="eastAsia" w:ascii="宋体" w:hAnsi="宋体" w:eastAsia="宋体" w:cs="宋体"/>
          <w:b/>
          <w:bCs/>
          <w:color w:val="000000"/>
          <w:spacing w:val="0"/>
          <w:position w:val="0"/>
          <w:sz w:val="21"/>
          <w:szCs w:val="21"/>
        </w:rPr>
      </w:pPr>
    </w:p>
    <w:p>
      <w:pPr>
        <w:pStyle w:val="10"/>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二、采购范围</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cs="宋体"/>
          <w:b w:val="0"/>
          <w:bCs w:val="0"/>
          <w:snapToGrid w:val="0"/>
          <w:color w:val="auto"/>
          <w:kern w:val="0"/>
          <w:sz w:val="21"/>
          <w:szCs w:val="21"/>
          <w:highlight w:val="none"/>
          <w:u w:val="none"/>
          <w:lang w:val="en-US" w:eastAsia="zh-CN"/>
        </w:rPr>
      </w:pPr>
      <w:r>
        <w:rPr>
          <w:rFonts w:hint="default" w:ascii="宋体" w:hAnsi="宋体" w:cs="宋体"/>
          <w:b w:val="0"/>
          <w:bCs w:val="0"/>
          <w:snapToGrid w:val="0"/>
          <w:color w:val="auto"/>
          <w:kern w:val="0"/>
          <w:sz w:val="21"/>
          <w:szCs w:val="21"/>
          <w:highlight w:val="none"/>
          <w:u w:val="none"/>
          <w:lang w:val="en-US" w:eastAsia="zh-CN"/>
        </w:rPr>
        <w:t>工程施工准备（含三通一平）、施工、竣工结算、缺陷责任期、</w:t>
      </w:r>
      <w:r>
        <w:rPr>
          <w:rFonts w:hint="eastAsia" w:ascii="宋体" w:hAnsi="宋体" w:cs="宋体"/>
          <w:b w:val="0"/>
          <w:bCs w:val="0"/>
          <w:snapToGrid w:val="0"/>
          <w:color w:val="auto"/>
          <w:kern w:val="0"/>
          <w:sz w:val="21"/>
          <w:szCs w:val="21"/>
          <w:highlight w:val="none"/>
          <w:u w:val="none"/>
          <w:lang w:val="en-US" w:eastAsia="zh-CN"/>
        </w:rPr>
        <w:t>保修阶段、</w:t>
      </w:r>
      <w:r>
        <w:rPr>
          <w:rFonts w:hint="default" w:ascii="宋体" w:hAnsi="宋体" w:cs="宋体"/>
          <w:b w:val="0"/>
          <w:bCs w:val="0"/>
          <w:snapToGrid w:val="0"/>
          <w:color w:val="auto"/>
          <w:kern w:val="0"/>
          <w:sz w:val="21"/>
          <w:szCs w:val="21"/>
          <w:highlight w:val="none"/>
          <w:u w:val="none"/>
          <w:lang w:val="en-US" w:eastAsia="zh-CN"/>
        </w:rPr>
        <w:t>达标投产创优、电子化移交阶段的监理服务工作，包括110kV及以上工程环境监理和35kV及以上工程水土保持监理的各项工作</w:t>
      </w:r>
      <w:r>
        <w:rPr>
          <w:rFonts w:hint="eastAsia" w:ascii="宋体" w:hAnsi="宋体" w:cs="宋体"/>
          <w:b w:val="0"/>
          <w:bCs w:val="0"/>
          <w:snapToGrid w:val="0"/>
          <w:color w:val="auto"/>
          <w:kern w:val="0"/>
          <w:sz w:val="21"/>
          <w:szCs w:val="21"/>
          <w:highlight w:val="none"/>
          <w:u w:val="none"/>
          <w:lang w:val="en-US" w:eastAsia="zh-CN"/>
        </w:rPr>
        <w:t>。</w:t>
      </w:r>
    </w:p>
    <w:p>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outlineLvl w:val="9"/>
        <w:rPr>
          <w:rFonts w:hint="eastAsia" w:hAnsi="宋体" w:cs="宋体"/>
          <w:b/>
          <w:bCs/>
          <w:snapToGrid w:val="0"/>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Gothic">
    <w:panose1 w:val="020B0609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F47E8"/>
    <w:multiLevelType w:val="singleLevel"/>
    <w:tmpl w:val="273F47E8"/>
    <w:lvl w:ilvl="0" w:tentative="0">
      <w:start w:val="1"/>
      <w:numFmt w:val="chineseCounting"/>
      <w:suff w:val="nothing"/>
      <w:lvlText w:val="%1、"/>
      <w:lvlJc w:val="left"/>
      <w:pPr>
        <w:ind w:left="0" w:firstLine="420"/>
      </w:pPr>
      <w:rPr>
        <w:rFonts w:hint="eastAsia"/>
      </w:rPr>
    </w:lvl>
  </w:abstractNum>
  <w:abstractNum w:abstractNumId="1">
    <w:nsid w:val="736574C1"/>
    <w:multiLevelType w:val="singleLevel"/>
    <w:tmpl w:val="736574C1"/>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JmOGUyZmFiZDQ3NmE5NzU1OWEyZWQxZGI0NDIzNTMifQ=="/>
  </w:docVars>
  <w:rsids>
    <w:rsidRoot w:val="24F737D8"/>
    <w:rsid w:val="00503881"/>
    <w:rsid w:val="00675492"/>
    <w:rsid w:val="00C073B0"/>
    <w:rsid w:val="01000F1F"/>
    <w:rsid w:val="014D50AE"/>
    <w:rsid w:val="0270337E"/>
    <w:rsid w:val="028666F4"/>
    <w:rsid w:val="03413220"/>
    <w:rsid w:val="0465127D"/>
    <w:rsid w:val="04D31677"/>
    <w:rsid w:val="050E07AE"/>
    <w:rsid w:val="05B87515"/>
    <w:rsid w:val="06342E0F"/>
    <w:rsid w:val="068D71D9"/>
    <w:rsid w:val="07751D79"/>
    <w:rsid w:val="078B42EC"/>
    <w:rsid w:val="09F62510"/>
    <w:rsid w:val="0BC07002"/>
    <w:rsid w:val="0C6B30AA"/>
    <w:rsid w:val="0D0758F3"/>
    <w:rsid w:val="0D882D55"/>
    <w:rsid w:val="0D9432B7"/>
    <w:rsid w:val="0E7F20D3"/>
    <w:rsid w:val="10A919C2"/>
    <w:rsid w:val="11444D6C"/>
    <w:rsid w:val="116419AD"/>
    <w:rsid w:val="11DF6CFE"/>
    <w:rsid w:val="11FC1228"/>
    <w:rsid w:val="1221206F"/>
    <w:rsid w:val="12617BA5"/>
    <w:rsid w:val="13C71878"/>
    <w:rsid w:val="142C4DA5"/>
    <w:rsid w:val="14440D4B"/>
    <w:rsid w:val="15056A61"/>
    <w:rsid w:val="15F1120D"/>
    <w:rsid w:val="16BE50DE"/>
    <w:rsid w:val="17241016"/>
    <w:rsid w:val="17311749"/>
    <w:rsid w:val="18B14F30"/>
    <w:rsid w:val="18E57496"/>
    <w:rsid w:val="190C67D7"/>
    <w:rsid w:val="193066EB"/>
    <w:rsid w:val="196B23E3"/>
    <w:rsid w:val="1A2F2F81"/>
    <w:rsid w:val="1B1435D1"/>
    <w:rsid w:val="1B663F82"/>
    <w:rsid w:val="1B93527E"/>
    <w:rsid w:val="1BA9108A"/>
    <w:rsid w:val="1C660CB1"/>
    <w:rsid w:val="1D592E11"/>
    <w:rsid w:val="1EA379B5"/>
    <w:rsid w:val="1F960E22"/>
    <w:rsid w:val="20E776A4"/>
    <w:rsid w:val="216F4D5B"/>
    <w:rsid w:val="22755C37"/>
    <w:rsid w:val="22B30023"/>
    <w:rsid w:val="22BD2637"/>
    <w:rsid w:val="22D01CE9"/>
    <w:rsid w:val="23290A9A"/>
    <w:rsid w:val="24E46BF4"/>
    <w:rsid w:val="24F737D8"/>
    <w:rsid w:val="250E3A49"/>
    <w:rsid w:val="274170EE"/>
    <w:rsid w:val="2785030E"/>
    <w:rsid w:val="278F57AD"/>
    <w:rsid w:val="27E47C4B"/>
    <w:rsid w:val="281641CC"/>
    <w:rsid w:val="28F46A2A"/>
    <w:rsid w:val="296555D1"/>
    <w:rsid w:val="29A55C56"/>
    <w:rsid w:val="29FC239E"/>
    <w:rsid w:val="2BED7EC0"/>
    <w:rsid w:val="2BFF0E0F"/>
    <w:rsid w:val="2D8D50EF"/>
    <w:rsid w:val="2D8E3667"/>
    <w:rsid w:val="2E816236"/>
    <w:rsid w:val="2E9A5E18"/>
    <w:rsid w:val="2F362DFB"/>
    <w:rsid w:val="2F893A97"/>
    <w:rsid w:val="2FF65FF8"/>
    <w:rsid w:val="30035F08"/>
    <w:rsid w:val="300D195C"/>
    <w:rsid w:val="3044134F"/>
    <w:rsid w:val="30AF0437"/>
    <w:rsid w:val="30BF37B5"/>
    <w:rsid w:val="312C2AE5"/>
    <w:rsid w:val="315C7722"/>
    <w:rsid w:val="3178798B"/>
    <w:rsid w:val="3220664F"/>
    <w:rsid w:val="3244265D"/>
    <w:rsid w:val="32F2736E"/>
    <w:rsid w:val="35B73053"/>
    <w:rsid w:val="361736AD"/>
    <w:rsid w:val="36676B65"/>
    <w:rsid w:val="36905D28"/>
    <w:rsid w:val="36A54835"/>
    <w:rsid w:val="36D200CF"/>
    <w:rsid w:val="38382DC3"/>
    <w:rsid w:val="38F32560"/>
    <w:rsid w:val="39446F46"/>
    <w:rsid w:val="3B2A0F67"/>
    <w:rsid w:val="3BB261E1"/>
    <w:rsid w:val="3BCA27B8"/>
    <w:rsid w:val="3C114F9E"/>
    <w:rsid w:val="3C1E17EA"/>
    <w:rsid w:val="3C4A35F1"/>
    <w:rsid w:val="3E5F7274"/>
    <w:rsid w:val="3E9D7E49"/>
    <w:rsid w:val="3F9B7EF1"/>
    <w:rsid w:val="41334E92"/>
    <w:rsid w:val="415A7E63"/>
    <w:rsid w:val="42E701E3"/>
    <w:rsid w:val="43193F4E"/>
    <w:rsid w:val="447A4B7B"/>
    <w:rsid w:val="44A8314C"/>
    <w:rsid w:val="44D414C9"/>
    <w:rsid w:val="45AE252B"/>
    <w:rsid w:val="45BA6458"/>
    <w:rsid w:val="45C37365"/>
    <w:rsid w:val="460D1423"/>
    <w:rsid w:val="46472D5E"/>
    <w:rsid w:val="468E0BD5"/>
    <w:rsid w:val="469B4709"/>
    <w:rsid w:val="46A85B41"/>
    <w:rsid w:val="47CB2C71"/>
    <w:rsid w:val="486D0550"/>
    <w:rsid w:val="49332FB5"/>
    <w:rsid w:val="4B3A1BDA"/>
    <w:rsid w:val="4C1966EB"/>
    <w:rsid w:val="4D392B7F"/>
    <w:rsid w:val="4DC759F3"/>
    <w:rsid w:val="4DD3333C"/>
    <w:rsid w:val="4E040B17"/>
    <w:rsid w:val="4E571337"/>
    <w:rsid w:val="4EA560D6"/>
    <w:rsid w:val="4EAB70C1"/>
    <w:rsid w:val="525522E2"/>
    <w:rsid w:val="528404F0"/>
    <w:rsid w:val="52D338B6"/>
    <w:rsid w:val="53463775"/>
    <w:rsid w:val="53523D60"/>
    <w:rsid w:val="53AA5AAD"/>
    <w:rsid w:val="547776C9"/>
    <w:rsid w:val="54FA534C"/>
    <w:rsid w:val="55734D49"/>
    <w:rsid w:val="55C3156A"/>
    <w:rsid w:val="568B44FB"/>
    <w:rsid w:val="56AF0889"/>
    <w:rsid w:val="57593089"/>
    <w:rsid w:val="599017B7"/>
    <w:rsid w:val="5A492CEC"/>
    <w:rsid w:val="5BB642FD"/>
    <w:rsid w:val="5DE84119"/>
    <w:rsid w:val="5EB72BF2"/>
    <w:rsid w:val="5F755D6F"/>
    <w:rsid w:val="5F8E0C51"/>
    <w:rsid w:val="5FA845A7"/>
    <w:rsid w:val="5FE724D4"/>
    <w:rsid w:val="60240498"/>
    <w:rsid w:val="60395037"/>
    <w:rsid w:val="60546075"/>
    <w:rsid w:val="606769FA"/>
    <w:rsid w:val="608606DE"/>
    <w:rsid w:val="6124276B"/>
    <w:rsid w:val="6221150D"/>
    <w:rsid w:val="639D46DC"/>
    <w:rsid w:val="6424058D"/>
    <w:rsid w:val="660D707D"/>
    <w:rsid w:val="663511C3"/>
    <w:rsid w:val="663B2A3B"/>
    <w:rsid w:val="66604456"/>
    <w:rsid w:val="66836DEC"/>
    <w:rsid w:val="66C35559"/>
    <w:rsid w:val="66D91A76"/>
    <w:rsid w:val="67977F0F"/>
    <w:rsid w:val="68A96DAB"/>
    <w:rsid w:val="68B337CC"/>
    <w:rsid w:val="69311D38"/>
    <w:rsid w:val="6A287B5E"/>
    <w:rsid w:val="6A485E7E"/>
    <w:rsid w:val="6A6B37FA"/>
    <w:rsid w:val="6AA956E1"/>
    <w:rsid w:val="6B303A1A"/>
    <w:rsid w:val="6B4D54E3"/>
    <w:rsid w:val="6BE967C2"/>
    <w:rsid w:val="6C141EE0"/>
    <w:rsid w:val="6D897695"/>
    <w:rsid w:val="6DAA2FDF"/>
    <w:rsid w:val="6E121228"/>
    <w:rsid w:val="70525F03"/>
    <w:rsid w:val="70873960"/>
    <w:rsid w:val="70B81233"/>
    <w:rsid w:val="70D1495F"/>
    <w:rsid w:val="7129638F"/>
    <w:rsid w:val="73641402"/>
    <w:rsid w:val="740B2F29"/>
    <w:rsid w:val="74D71483"/>
    <w:rsid w:val="74E73186"/>
    <w:rsid w:val="74F238E6"/>
    <w:rsid w:val="76015DEA"/>
    <w:rsid w:val="763B2CF0"/>
    <w:rsid w:val="764E470D"/>
    <w:rsid w:val="76850D49"/>
    <w:rsid w:val="76EB7161"/>
    <w:rsid w:val="77E67240"/>
    <w:rsid w:val="7842124A"/>
    <w:rsid w:val="79435213"/>
    <w:rsid w:val="79527737"/>
    <w:rsid w:val="79D51B6D"/>
    <w:rsid w:val="7AF61F1B"/>
    <w:rsid w:val="7B2B3FE2"/>
    <w:rsid w:val="7B3B73B5"/>
    <w:rsid w:val="7C233754"/>
    <w:rsid w:val="7C766170"/>
    <w:rsid w:val="7CC45B07"/>
    <w:rsid w:val="7CC84BE5"/>
    <w:rsid w:val="7D26550D"/>
    <w:rsid w:val="7D2D6A7C"/>
    <w:rsid w:val="7D3A3102"/>
    <w:rsid w:val="7E3420E0"/>
    <w:rsid w:val="7E405052"/>
    <w:rsid w:val="7F1A0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Normal Indent"/>
    <w:basedOn w:val="1"/>
    <w:qFormat/>
    <w:uiPriority w:val="0"/>
    <w:pPr>
      <w:ind w:firstLine="420"/>
    </w:pPr>
    <w:rPr>
      <w:rFonts w:ascii="Times New Roman" w:hAnsi="Times New Roman" w:cs="Times New Roman"/>
      <w:kern w:val="0"/>
      <w:sz w:val="20"/>
      <w:szCs w:val="20"/>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toc 2"/>
    <w:basedOn w:val="1"/>
    <w:next w:val="1"/>
    <w:qFormat/>
    <w:uiPriority w:val="0"/>
    <w:pPr>
      <w:jc w:val="center"/>
    </w:pPr>
    <w:rPr>
      <w:rFonts w:ascii="仿宋_GB2312" w:hAnsi="宋体" w:eastAsia="仿宋_GB2312"/>
      <w:b/>
      <w:sz w:val="28"/>
      <w:szCs w:val="2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2"/>
    <w:next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正文（标准）"/>
    <w:basedOn w:val="1"/>
    <w:next w:val="1"/>
    <w:semiHidden/>
    <w:qFormat/>
    <w:uiPriority w:val="0"/>
    <w:pPr>
      <w:ind w:firstLine="525"/>
    </w:pPr>
    <w:rPr>
      <w:rFonts w:ascii="宋体" w:hAnsi="宋体"/>
      <w:szCs w:val="20"/>
    </w:rPr>
  </w:style>
  <w:style w:type="paragraph" w:customStyle="1" w:styleId="18">
    <w:name w:val="目录 21"/>
    <w:basedOn w:val="1"/>
    <w:next w:val="1"/>
    <w:qFormat/>
    <w:uiPriority w:val="0"/>
    <w:pPr>
      <w:spacing w:before="100" w:beforeAutospacing="1" w:after="100" w:afterAutospacing="1"/>
      <w:ind w:left="420" w:leftChars="200"/>
    </w:pPr>
  </w:style>
  <w:style w:type="paragraph" w:customStyle="1" w:styleId="19">
    <w:name w:val="_Style 5"/>
    <w:basedOn w:val="1"/>
    <w:qFormat/>
    <w:uiPriority w:val="0"/>
    <w:pPr>
      <w:adjustRightInd/>
      <w:spacing w:line="240" w:lineRule="auto"/>
      <w:ind w:firstLine="420" w:firstLineChars="200"/>
      <w:textAlignment w:val="auto"/>
    </w:pPr>
    <w:rPr>
      <w:rFonts w:ascii="Calibri" w:hAnsi="Calibri" w:eastAsia="宋体" w:cs="Times New Roman"/>
      <w:kern w:val="2"/>
      <w:sz w:val="21"/>
      <w:szCs w:val="22"/>
    </w:rPr>
  </w:style>
  <w:style w:type="paragraph" w:customStyle="1" w:styleId="20">
    <w:name w:val="报告正文"/>
    <w:basedOn w:val="1"/>
    <w:qFormat/>
    <w:uiPriority w:val="0"/>
    <w:pPr>
      <w:ind w:firstLine="200" w:firstLineChars="200"/>
      <w:textAlignment w:val="baseline"/>
    </w:pPr>
    <w:rPr>
      <w:color w:val="FF0000"/>
      <w:kern w:val="0"/>
    </w:rPr>
  </w:style>
  <w:style w:type="character" w:customStyle="1" w:styleId="21">
    <w:name w:val="font31"/>
    <w:basedOn w:val="16"/>
    <w:qFormat/>
    <w:uiPriority w:val="0"/>
    <w:rPr>
      <w:rFonts w:hint="default" w:ascii="Times New Roman" w:hAnsi="Times New Roman" w:cs="Times New Roman"/>
      <w:color w:val="000000"/>
      <w:sz w:val="22"/>
      <w:szCs w:val="22"/>
      <w:u w:val="none"/>
    </w:rPr>
  </w:style>
  <w:style w:type="character" w:customStyle="1" w:styleId="22">
    <w:name w:val="font11"/>
    <w:basedOn w:val="16"/>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7111</Words>
  <Characters>7982</Characters>
  <Lines>0</Lines>
  <Paragraphs>0</Paragraphs>
  <TotalTime>1</TotalTime>
  <ScaleCrop>false</ScaleCrop>
  <LinksUpToDate>false</LinksUpToDate>
  <CharactersWithSpaces>8069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韦将俊</cp:lastModifiedBy>
  <cp:lastPrinted>2022-02-11T02:00:00Z</cp:lastPrinted>
  <dcterms:modified xsi:type="dcterms:W3CDTF">2026-09-02T06:33:27Z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BB0C4F27AF5C473C8EBB8D8348A84610</vt:lpwstr>
  </property>
</Properties>
</file>