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t>南网新能院2026-2027年物业及其附属设施日常修缮施工</w:t>
      </w:r>
    </w:p>
    <w:p>
      <w:pPr>
        <w:jc w:val="center"/>
      </w:pPr>
      <w:r>
        <w:rPr>
          <w:rFonts w:ascii="方正小标宋_GBK" w:hAnsi="方正小标宋_GBK" w:eastAsia="方正小标宋_GBK" w:cs="方正小标宋_GBK"/>
          <w:sz w:val="32"/>
          <w:szCs w:val="32"/>
        </w:rPr>
        <w:t>结算审核项目报价书</w:t>
      </w:r>
    </w:p>
    <w:p>
      <w:pPr>
        <w:ind w:firstLine="63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总造价咨询费最高限价30000元。任务委托期间，单个项目的工程造价咨询费根据《广东省物价局关于调整我省建设工程造价咨询服务收费的复函》（粤价函[2011]742号）公布的收费标准×（1-报价下浮率）执行。本项目总造价咨询服务费=</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（单个项目造价咨询费）。</w:t>
      </w:r>
    </w:p>
    <w:p>
      <w:pPr>
        <w:ind w:firstLine="630"/>
        <w:rPr>
          <w:rFonts w:ascii="Arial" w:hAnsi="Arial" w:eastAsia="仿宋_GB2312" w:cs="Arial"/>
          <w:b/>
          <w:bCs/>
          <w:sz w:val="28"/>
          <w:szCs w:val="28"/>
        </w:rPr>
      </w:pPr>
      <w:r>
        <w:rPr>
          <w:rFonts w:hint="eastAsia" w:ascii="Arial" w:hAnsi="Arial" w:eastAsia="仿宋_GB2312" w:cs="Arial"/>
          <w:b/>
          <w:bCs/>
          <w:sz w:val="28"/>
          <w:szCs w:val="28"/>
        </w:rPr>
        <w:t>本次报价仅报下浮率。</w:t>
      </w:r>
    </w:p>
    <w:p>
      <w:pPr>
        <w:ind w:firstLine="630"/>
        <w:rPr>
          <w:rFonts w:hint="eastAsia" w:ascii="仿宋_GB2312" w:hAnsi="仿宋_GB2312" w:eastAsia="仿宋_GB2312" w:cs="仿宋_GB2312"/>
          <w:sz w:val="32"/>
          <w:szCs w:val="32"/>
        </w:rPr>
      </w:pPr>
      <w:r>
        <w:rPr>
          <w:rFonts w:ascii="Arial" w:hAnsi="Arial" w:eastAsia="仿宋_GB2312" w:cs="Arial"/>
          <w:sz w:val="32"/>
          <w:szCs w:val="32"/>
        </w:rPr>
        <w:t>南网新能院</w:t>
      </w:r>
      <w:r>
        <w:rPr>
          <w:rFonts w:ascii="仿宋_GB2312" w:hAnsi="仿宋_GB2312" w:eastAsia="仿宋_GB2312" w:cs="仿宋_GB2312"/>
          <w:sz w:val="32"/>
          <w:szCs w:val="32"/>
        </w:rPr>
        <w:t>2026-2027</w:t>
      </w:r>
      <w:r>
        <w:rPr>
          <w:rFonts w:ascii="Arial" w:hAnsi="Arial" w:eastAsia="仿宋_GB2312" w:cs="Arial"/>
          <w:sz w:val="32"/>
          <w:szCs w:val="32"/>
        </w:rPr>
        <w:t>年物业及其附属设施日常修缮施工结算审核项目</w:t>
      </w:r>
      <w:r>
        <w:rPr>
          <w:rFonts w:hint="eastAsia" w:ascii="Arial" w:hAnsi="Arial" w:eastAsia="仿宋_GB2312" w:cs="Arial"/>
          <w:sz w:val="32"/>
          <w:szCs w:val="32"/>
        </w:rPr>
        <w:t>下浮率为</w:t>
      </w:r>
      <w:r>
        <w:rPr>
          <w:rFonts w:hint="eastAsia" w:ascii="Arial" w:hAnsi="Arial" w:eastAsia="仿宋_GB2312" w:cs="Arial"/>
          <w:sz w:val="32"/>
          <w:szCs w:val="32"/>
          <w:u w:val="single"/>
        </w:rPr>
        <w:t xml:space="preserve">         。</w:t>
      </w:r>
      <w:bookmarkStart w:id="0" w:name="_GoBack"/>
      <w:bookmarkEnd w:id="0"/>
    </w:p>
    <w:p>
      <w:pPr>
        <w:ind w:firstLine="63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备注：</w:t>
      </w:r>
    </w:p>
    <w:p>
      <w:pPr>
        <w:ind w:firstLine="63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项目采用下浮率报价，报价下浮率≥0%，且不低于其成本均为有效报价；报价下浮率＞10%时，应在报价文件中附成本分析报告，充分说明单价和费用的组成、降低成本的合理措施及在其他工程中应用过的经验等。</w:t>
      </w:r>
    </w:p>
    <w:p>
      <w:pPr>
        <w:numPr>
          <w:ilvl w:val="0"/>
          <w:numId w:val="1"/>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如报价费率一致时候，依据南方电网公司发布的最新的造价咨询承包商评价结果得分优选供应商</w:t>
      </w:r>
      <w:r>
        <w:rPr>
          <w:rFonts w:hint="eastAsia" w:ascii="仿宋_GB2312" w:hAnsi="仿宋_GB2312" w:eastAsia="仿宋_GB2312" w:cs="仿宋_GB2312"/>
          <w:sz w:val="32"/>
          <w:szCs w:val="32"/>
          <w:lang w:eastAsia="zh-CN"/>
        </w:rPr>
        <w:t>。</w:t>
      </w:r>
    </w:p>
    <w:p>
      <w:pPr>
        <w:numPr>
          <w:ilvl w:val="0"/>
          <w:numId w:val="1"/>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根据复函规定，造价咨询费不足2000元的按照2000元收取。</w:t>
      </w:r>
    </w:p>
    <w:p>
      <w:pPr>
        <w:numPr>
          <w:ilvl w:val="0"/>
          <w:numId w:val="1"/>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实际结算价=实际委托的造价咨询项目数量*单个项目造价咨询费（元）*（1-下浮率）</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0AB143"/>
    <w:multiLevelType w:val="singleLevel"/>
    <w:tmpl w:val="B10AB14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4C2"/>
    <w:rsid w:val="00063165"/>
    <w:rsid w:val="002C4A77"/>
    <w:rsid w:val="00396764"/>
    <w:rsid w:val="004344C2"/>
    <w:rsid w:val="004D44B7"/>
    <w:rsid w:val="005B17E3"/>
    <w:rsid w:val="005D27FC"/>
    <w:rsid w:val="005E65C3"/>
    <w:rsid w:val="00675EA3"/>
    <w:rsid w:val="009D1889"/>
    <w:rsid w:val="00B43546"/>
    <w:rsid w:val="00CA271A"/>
    <w:rsid w:val="00D83624"/>
    <w:rsid w:val="00E16B30"/>
    <w:rsid w:val="02DA750A"/>
    <w:rsid w:val="09D83132"/>
    <w:rsid w:val="0E841061"/>
    <w:rsid w:val="150D4DC7"/>
    <w:rsid w:val="1E062CC3"/>
    <w:rsid w:val="208F2EFA"/>
    <w:rsid w:val="32D346FC"/>
    <w:rsid w:val="35EB1EAF"/>
    <w:rsid w:val="38A72D01"/>
    <w:rsid w:val="3DA62E18"/>
    <w:rsid w:val="3EF9580C"/>
    <w:rsid w:val="3F513F7A"/>
    <w:rsid w:val="421D12B9"/>
    <w:rsid w:val="50AE3CDA"/>
    <w:rsid w:val="5BC136A7"/>
    <w:rsid w:val="66173D55"/>
    <w:rsid w:val="665D41C9"/>
    <w:rsid w:val="68A01B59"/>
    <w:rsid w:val="69752891"/>
    <w:rsid w:val="735E2787"/>
    <w:rsid w:val="7729035C"/>
    <w:rsid w:val="77E61F76"/>
    <w:rsid w:val="7AD66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宋体" w:cs="Times New Roman"/>
      <w:kern w:val="2"/>
      <w:sz w:val="18"/>
      <w:szCs w:val="18"/>
    </w:rPr>
  </w:style>
  <w:style w:type="character" w:customStyle="1" w:styleId="7">
    <w:name w:val="页脚 字符"/>
    <w:basedOn w:val="5"/>
    <w:link w:val="2"/>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53</Words>
  <Characters>308</Characters>
  <Lines>2</Lines>
  <Paragraphs>1</Paragraphs>
  <TotalTime>1</TotalTime>
  <ScaleCrop>false</ScaleCrop>
  <LinksUpToDate>false</LinksUpToDate>
  <CharactersWithSpaces>360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2025-07-10T01:28:00Z</dcterms:created>
  <dc:creator>xiatian</dc:creator>
  <cp:lastModifiedBy>EF5FEF40142644C68188007CCD7D6CE2</cp:lastModifiedBy>
  <cp:lastPrinted>2025-07-10T02:02:00Z</cp:lastPrinted>
  <dcterms:modified xsi:type="dcterms:W3CDTF">2026-09-04T03:32:37Z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91B5C2E62BB340E6A8B9523D6C0780F4</vt:lpwstr>
  </property>
</Properties>
</file>