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360" w:line="360" w:lineRule="auto"/>
        <w:jc w:val="center"/>
      </w:pPr>
      <w:r>
        <w:rPr>
          <w:rFonts w:ascii="Arial" w:hAnsi="Arial" w:eastAsia="黑体"/>
          <w:b/>
          <w:color w:val="000000"/>
          <w:sz w:val="36"/>
        </w:rPr>
        <w:t>南方电网公司人的全面发展实验室展厅建设项目</w:t>
      </w:r>
      <w:r>
        <w:rPr>
          <w:rFonts w:ascii="Arial" w:hAnsi="Arial" w:eastAsia="黑体"/>
          <w:b/>
          <w:color w:val="000000"/>
          <w:sz w:val="36"/>
        </w:rPr>
        <w:br w:type="textWrapping"/>
      </w:r>
      <w:r>
        <w:rPr>
          <w:rFonts w:ascii="Arial" w:hAnsi="Arial" w:eastAsia="黑体"/>
          <w:b/>
          <w:color w:val="000000"/>
          <w:sz w:val="36"/>
        </w:rPr>
        <w:t>消防材料检测技术要求</w:t>
      </w:r>
    </w:p>
    <w:p>
      <w:pPr>
        <w:pStyle w:val="3"/>
      </w:pPr>
      <w:r>
        <w:rPr>
          <w:rFonts w:ascii="Arial" w:hAnsi="Arial" w:eastAsia="黑体"/>
          <w:b/>
          <w:color w:val="000000"/>
          <w:sz w:val="32"/>
        </w:rPr>
        <w:t>一、项目概况</w:t>
      </w:r>
    </w:p>
    <w:p>
      <w:pPr>
        <w:spacing w:line="360" w:lineRule="auto"/>
        <w:ind w:firstLine="480"/>
        <w:jc w:val="both"/>
      </w:pPr>
      <w:r>
        <w:rPr>
          <w:rFonts w:ascii="Arial" w:hAnsi="Arial" w:eastAsia="宋体"/>
          <w:b w:val="0"/>
          <w:sz w:val="24"/>
        </w:rPr>
        <w:t>本次进行消防材料检测的工程为南方电网公司人的全面发展实验室展厅建设项目（以下简称“本项目”），展厅位于南网人才发展中心（广州市黄埔区香山路2号）教学楼二楼露台区域（约166平方米），为在原有露台上加建的轻钢结构展厅。</w:t>
      </w:r>
    </w:p>
    <w:p>
      <w:pPr>
        <w:spacing w:line="360" w:lineRule="auto"/>
        <w:ind w:firstLine="480"/>
        <w:jc w:val="both"/>
      </w:pPr>
      <w:r>
        <w:rPr>
          <w:rFonts w:ascii="Arial" w:hAnsi="Arial" w:eastAsia="宋体"/>
          <w:b w:val="0"/>
          <w:sz w:val="24"/>
        </w:rPr>
        <w:t>本项目装修及主体工程所使用的装修材料、防火材料等消防材料，需委托独立第三方检测机构进行检测，检测结果作为工程质量验收及消防验收（备案）的技术依据。</w:t>
      </w:r>
    </w:p>
    <w:p>
      <w:pPr>
        <w:pStyle w:val="3"/>
      </w:pPr>
      <w:r>
        <w:rPr>
          <w:rFonts w:ascii="Arial" w:hAnsi="Arial" w:eastAsia="黑体"/>
          <w:b/>
          <w:color w:val="000000"/>
          <w:sz w:val="32"/>
        </w:rPr>
        <w:t>二、检测目的及范围</w:t>
      </w:r>
    </w:p>
    <w:p>
      <w:pPr>
        <w:spacing w:line="360" w:lineRule="auto"/>
        <w:ind w:firstLine="480"/>
        <w:jc w:val="both"/>
      </w:pPr>
      <w:r>
        <w:rPr>
          <w:rFonts w:ascii="Arial" w:hAnsi="Arial" w:eastAsia="宋体"/>
          <w:b/>
          <w:sz w:val="24"/>
        </w:rPr>
        <w:t>1.检测目的：</w:t>
      </w:r>
      <w:r>
        <w:rPr>
          <w:rFonts w:ascii="Arial" w:hAnsi="Arial" w:eastAsia="宋体"/>
          <w:b w:val="0"/>
          <w:sz w:val="24"/>
        </w:rPr>
        <w:t>通过对本项目所使用的装修材料、防火材料等消防材料的燃烧性能、耐火性能及相关技术指标进行第三方检测，验证其符合国家工程建设消防技术标准及施工图设计要求，为工程验收及投入使用提供技术资料和依据。</w:t>
      </w:r>
    </w:p>
    <w:p>
      <w:pPr>
        <w:spacing w:line="360" w:lineRule="auto"/>
        <w:ind w:firstLine="480"/>
        <w:jc w:val="both"/>
      </w:pPr>
      <w:r>
        <w:rPr>
          <w:rFonts w:ascii="Arial" w:hAnsi="Arial" w:eastAsia="宋体"/>
          <w:b/>
          <w:sz w:val="24"/>
        </w:rPr>
        <w:t>2.检测范围：</w:t>
      </w:r>
      <w:r>
        <w:rPr>
          <w:rFonts w:ascii="Arial" w:hAnsi="Arial" w:eastAsia="宋体"/>
          <w:b w:val="0"/>
          <w:sz w:val="24"/>
        </w:rPr>
        <w:t>本项目展厅装修工程及主体工程所涉及的消防材料，主要包括（具体以施工图设计文件及建设、监理单位见证确认的进场材料批次为准）：</w:t>
      </w:r>
    </w:p>
    <w:p>
      <w:pPr>
        <w:spacing w:line="360" w:lineRule="auto"/>
        <w:ind w:firstLine="480"/>
        <w:jc w:val="both"/>
      </w:pPr>
      <w:r>
        <w:rPr>
          <w:rFonts w:ascii="Arial" w:hAnsi="Arial" w:eastAsia="宋体"/>
          <w:b w:val="0"/>
          <w:sz w:val="24"/>
        </w:rPr>
        <w:t>（1）装修材料：顶棚、墙面、地面、隔断材料，固定家具、装饰织物、展台（展具）材料等；</w:t>
      </w:r>
    </w:p>
    <w:p>
      <w:pPr>
        <w:spacing w:line="360" w:lineRule="auto"/>
        <w:ind w:firstLine="480"/>
        <w:jc w:val="both"/>
      </w:pPr>
      <w:r>
        <w:rPr>
          <w:rFonts w:ascii="Arial" w:hAnsi="Arial" w:eastAsia="宋体"/>
          <w:b w:val="0"/>
          <w:sz w:val="24"/>
        </w:rPr>
        <w:t>（2）防火材料：防火板材、防火涂料、防火封堵材料及现场阻燃处理所使用的阻燃剂等；</w:t>
      </w:r>
    </w:p>
    <w:p>
      <w:pPr>
        <w:spacing w:line="360" w:lineRule="auto"/>
        <w:ind w:firstLine="480"/>
        <w:jc w:val="both"/>
      </w:pPr>
      <w:r>
        <w:rPr>
          <w:rFonts w:ascii="Arial" w:hAnsi="Arial" w:eastAsia="宋体"/>
          <w:b w:val="0"/>
          <w:sz w:val="24"/>
        </w:rPr>
        <w:t>（3）本工程露台加建轻钢结构涉及的钢结构焊缝、屋面防水材料等与主体结构安全相关的材料。</w:t>
      </w:r>
    </w:p>
    <w:p>
      <w:pPr>
        <w:pStyle w:val="3"/>
      </w:pPr>
      <w:r>
        <w:rPr>
          <w:rFonts w:ascii="Arial" w:hAnsi="Arial" w:eastAsia="黑体"/>
          <w:b/>
          <w:color w:val="000000"/>
          <w:sz w:val="32"/>
        </w:rPr>
        <w:t>三、第三方检测机构资质要求</w:t>
      </w:r>
    </w:p>
    <w:p>
      <w:pPr>
        <w:spacing w:line="360" w:lineRule="auto"/>
        <w:ind w:firstLine="480"/>
        <w:jc w:val="both"/>
      </w:pPr>
      <w:r>
        <w:rPr>
          <w:rFonts w:ascii="Arial" w:hAnsi="Arial" w:eastAsia="宋体"/>
          <w:b w:val="0"/>
          <w:sz w:val="24"/>
        </w:rPr>
        <w:t>本次消防材料检测工作必须由独立第三方专业机构实施，机构及人员需满足以下全部要求，采购方有权核验资质原件，资质不符、资料造假一律作废服务资格：</w:t>
      </w:r>
    </w:p>
    <w:p>
      <w:pPr>
        <w:spacing w:line="360" w:lineRule="auto"/>
        <w:ind w:firstLine="480"/>
        <w:jc w:val="both"/>
      </w:pPr>
      <w:r>
        <w:rPr>
          <w:rFonts w:ascii="Arial" w:hAnsi="Arial" w:eastAsia="宋体"/>
          <w:b/>
          <w:sz w:val="24"/>
        </w:rPr>
        <w:t>1.机构资质：</w:t>
      </w:r>
      <w:r>
        <w:rPr>
          <w:rFonts w:ascii="Arial" w:hAnsi="Arial" w:eastAsia="宋体"/>
          <w:b w:val="0"/>
          <w:sz w:val="24"/>
        </w:rPr>
        <w:t>具有工商行政管理部门（市场监督管理部门）核发的有效企业法人营业执照，同时具备以下资质：①质量技术监督部门（市场监督管理部门）颁发的CMA计量认证合格证书，且证书在有效期内，检测能力范围须覆盖建筑材料及制品的燃烧性能、耐火性能等本项目所需检测项目；②具备相应行业主管部门核发的建设工程质量检测机构资质证书（检测范围须涵盖本项目所需检测项目）；③已在广东省、广州市住房和城乡建设主管部门或相关行业主管部门备案。</w:t>
      </w:r>
    </w:p>
    <w:p>
      <w:pPr>
        <w:spacing w:line="360" w:lineRule="auto"/>
        <w:ind w:firstLine="480"/>
        <w:jc w:val="both"/>
      </w:pPr>
      <w:r>
        <w:rPr>
          <w:rFonts w:ascii="Arial" w:hAnsi="Arial" w:eastAsia="宋体"/>
          <w:b/>
          <w:sz w:val="24"/>
        </w:rPr>
        <w:t>2.人员资质：</w:t>
      </w:r>
      <w:r>
        <w:rPr>
          <w:rFonts w:ascii="Arial" w:hAnsi="Arial" w:eastAsia="宋体"/>
          <w:b w:val="0"/>
          <w:sz w:val="24"/>
        </w:rPr>
        <w:t>项目负责人应具有中级及以上职称，并具备相应的消防材料、建筑材料检测工作经验；检测人员应经培训考核合格并持证上岗；涉及见证取样检测的，应按见证制度配备见证人员并制作见证记录。</w:t>
      </w:r>
    </w:p>
    <w:p>
      <w:pPr>
        <w:spacing w:line="360" w:lineRule="auto"/>
        <w:ind w:firstLine="480"/>
        <w:jc w:val="both"/>
      </w:pPr>
      <w:r>
        <w:rPr>
          <w:rFonts w:ascii="Arial" w:hAnsi="Arial" w:eastAsia="宋体"/>
          <w:b/>
          <w:sz w:val="24"/>
        </w:rPr>
        <w:t>3.独立性要求：</w:t>
      </w:r>
      <w:r>
        <w:rPr>
          <w:rFonts w:ascii="Arial" w:hAnsi="Arial" w:eastAsia="宋体"/>
          <w:b w:val="0"/>
          <w:sz w:val="24"/>
        </w:rPr>
        <w:t>检测机构与本项目建设、设计、施工、监理单位及材料供应单位无任何隶属关系、利益关联，全程独立检测、独立判定、独立出具结论，对检测结果负责，不得推荐或监制建筑材料。</w:t>
      </w:r>
    </w:p>
    <w:p>
      <w:pPr>
        <w:pStyle w:val="3"/>
      </w:pPr>
      <w:r>
        <w:rPr>
          <w:rFonts w:ascii="Arial" w:hAnsi="Arial" w:eastAsia="黑体"/>
          <w:b/>
          <w:color w:val="000000"/>
          <w:sz w:val="32"/>
        </w:rPr>
        <w:t>四、检测依据</w:t>
      </w:r>
    </w:p>
    <w:p>
      <w:pPr>
        <w:spacing w:line="360" w:lineRule="auto"/>
        <w:ind w:firstLine="480"/>
        <w:jc w:val="both"/>
      </w:pPr>
      <w:r>
        <w:rPr>
          <w:rFonts w:ascii="Arial" w:hAnsi="Arial" w:eastAsia="宋体"/>
          <w:b w:val="0"/>
          <w:sz w:val="24"/>
        </w:rPr>
        <w:t>本检测工作的主要依据包括但不限于下列法律、法规、规章、规范及文件（如有更新，按最新有效版本执行）：</w:t>
      </w:r>
    </w:p>
    <w:p>
      <w:pPr>
        <w:spacing w:line="360" w:lineRule="auto"/>
        <w:ind w:firstLine="480"/>
        <w:jc w:val="both"/>
      </w:pPr>
      <w:r>
        <w:rPr>
          <w:rFonts w:ascii="Arial" w:hAnsi="Arial" w:eastAsia="宋体"/>
          <w:b w:val="0"/>
          <w:sz w:val="24"/>
        </w:rPr>
        <w:t>1.《中华人民共和国消防法》；</w:t>
      </w:r>
    </w:p>
    <w:p>
      <w:pPr>
        <w:spacing w:line="360" w:lineRule="auto"/>
        <w:ind w:firstLine="480"/>
        <w:jc w:val="both"/>
      </w:pPr>
      <w:r>
        <w:rPr>
          <w:rFonts w:ascii="Arial" w:hAnsi="Arial" w:eastAsia="宋体"/>
          <w:b w:val="0"/>
          <w:sz w:val="24"/>
        </w:rPr>
        <w:t>2.《建设工程质量管理条例》；</w:t>
      </w:r>
    </w:p>
    <w:p>
      <w:pPr>
        <w:spacing w:line="360" w:lineRule="auto"/>
        <w:ind w:firstLine="480"/>
        <w:jc w:val="both"/>
      </w:pPr>
      <w:r>
        <w:rPr>
          <w:rFonts w:ascii="Arial" w:hAnsi="Arial" w:eastAsia="宋体"/>
          <w:b w:val="0"/>
          <w:sz w:val="24"/>
        </w:rPr>
        <w:t>3.《建设工程质量检测管理办法》（住房和城乡建设部令第57号）；</w:t>
      </w:r>
    </w:p>
    <w:p>
      <w:pPr>
        <w:spacing w:line="360" w:lineRule="auto"/>
        <w:ind w:firstLine="480"/>
        <w:jc w:val="both"/>
      </w:pPr>
      <w:r>
        <w:rPr>
          <w:rFonts w:ascii="Arial" w:hAnsi="Arial" w:eastAsia="宋体"/>
          <w:b w:val="0"/>
          <w:sz w:val="24"/>
        </w:rPr>
        <w:t>4.《建筑材料及制品燃烧性能分级》（GB 8624）；</w:t>
      </w:r>
    </w:p>
    <w:p>
      <w:pPr>
        <w:spacing w:line="360" w:lineRule="auto"/>
        <w:ind w:firstLine="480"/>
        <w:jc w:val="both"/>
      </w:pPr>
      <w:r>
        <w:rPr>
          <w:rFonts w:ascii="Arial" w:hAnsi="Arial" w:eastAsia="宋体"/>
          <w:b w:val="0"/>
          <w:sz w:val="24"/>
        </w:rPr>
        <w:t>5.《建筑内部装修防火施工及验收规范》（GB 50354）；</w:t>
      </w:r>
    </w:p>
    <w:p>
      <w:pPr>
        <w:spacing w:line="360" w:lineRule="auto"/>
        <w:ind w:firstLine="480"/>
        <w:jc w:val="both"/>
      </w:pPr>
      <w:r>
        <w:rPr>
          <w:rFonts w:ascii="Arial" w:hAnsi="Arial" w:eastAsia="宋体"/>
          <w:b w:val="0"/>
          <w:sz w:val="24"/>
        </w:rPr>
        <w:t>6.《建筑内部装修设计防火规范》（GB 50222）；</w:t>
      </w:r>
    </w:p>
    <w:p>
      <w:pPr>
        <w:spacing w:line="360" w:lineRule="auto"/>
        <w:ind w:firstLine="480"/>
        <w:jc w:val="both"/>
      </w:pPr>
      <w:r>
        <w:rPr>
          <w:rFonts w:ascii="Arial" w:hAnsi="Arial" w:eastAsia="宋体"/>
          <w:b w:val="0"/>
          <w:sz w:val="24"/>
        </w:rPr>
        <w:t>7.《建筑材料不燃性试验方法》（GB/T 5464）；</w:t>
      </w:r>
    </w:p>
    <w:p>
      <w:pPr>
        <w:spacing w:line="360" w:lineRule="auto"/>
        <w:ind w:firstLine="480"/>
        <w:jc w:val="both"/>
      </w:pPr>
      <w:r>
        <w:rPr>
          <w:rFonts w:ascii="Arial" w:hAnsi="Arial" w:eastAsia="宋体"/>
          <w:b w:val="0"/>
          <w:sz w:val="24"/>
        </w:rPr>
        <w:t>8.《钢结构工程施工质量验收标准》（GB 50205）、《钢结构焊接规范》（GB 50661）（涉及钢结构焊缝检测时）；</w:t>
      </w:r>
    </w:p>
    <w:p>
      <w:pPr>
        <w:spacing w:line="360" w:lineRule="auto"/>
        <w:ind w:firstLine="480"/>
        <w:jc w:val="both"/>
      </w:pPr>
      <w:r>
        <w:rPr>
          <w:rFonts w:ascii="Arial" w:hAnsi="Arial" w:eastAsia="宋体"/>
          <w:b w:val="0"/>
          <w:sz w:val="24"/>
        </w:rPr>
        <w:t>9.《屋面工程质量验收规范》（GB 50207）及相关防水材料产品标准（涉及屋面防水材料检测时）；</w:t>
      </w:r>
    </w:p>
    <w:p>
      <w:pPr>
        <w:spacing w:line="360" w:lineRule="auto"/>
        <w:ind w:firstLine="480"/>
        <w:jc w:val="both"/>
      </w:pPr>
      <w:r>
        <w:rPr>
          <w:rFonts w:ascii="Arial" w:hAnsi="Arial" w:eastAsia="宋体"/>
          <w:b w:val="0"/>
          <w:sz w:val="24"/>
        </w:rPr>
        <w:t>10.广东省、广州市有关建设工程质量检测及消防安全的技术标准、管理规定；</w:t>
      </w:r>
    </w:p>
    <w:p>
      <w:pPr>
        <w:spacing w:line="360" w:lineRule="auto"/>
        <w:ind w:firstLine="480"/>
        <w:jc w:val="both"/>
      </w:pPr>
      <w:r>
        <w:rPr>
          <w:rFonts w:ascii="Arial" w:hAnsi="Arial" w:eastAsia="宋体"/>
          <w:b w:val="0"/>
          <w:sz w:val="24"/>
        </w:rPr>
        <w:t>11.委托单位提供的施工图设计文件、技术资料及其他相关技术标准。</w:t>
      </w:r>
    </w:p>
    <w:p>
      <w:pPr>
        <w:pStyle w:val="3"/>
      </w:pPr>
      <w:r>
        <w:rPr>
          <w:rFonts w:ascii="Arial" w:hAnsi="Arial" w:eastAsia="黑体"/>
          <w:b/>
          <w:color w:val="000000"/>
          <w:sz w:val="32"/>
        </w:rPr>
        <w:t>五、检测内容及技术要求</w:t>
      </w:r>
    </w:p>
    <w:p>
      <w:pPr>
        <w:pStyle w:val="4"/>
      </w:pPr>
      <w:r>
        <w:rPr>
          <w:rFonts w:ascii="Arial" w:hAnsi="Arial" w:eastAsia="黑体"/>
          <w:b/>
          <w:color w:val="000000"/>
          <w:sz w:val="28"/>
        </w:rPr>
        <w:t>（一）装修材料燃烧性能检测</w:t>
      </w:r>
    </w:p>
    <w:p>
      <w:pPr>
        <w:spacing w:line="360" w:lineRule="auto"/>
        <w:ind w:firstLine="480"/>
        <w:jc w:val="both"/>
      </w:pPr>
      <w:r>
        <w:rPr>
          <w:rFonts w:ascii="Arial" w:hAnsi="Arial" w:eastAsia="宋体"/>
          <w:b w:val="0"/>
          <w:sz w:val="24"/>
        </w:rPr>
        <w:t>1.检测对象：本项目顶棚、墙面、地面、隔断材料，固定家具、装饰织物、展台（展具）材料等装修材料。</w:t>
      </w:r>
    </w:p>
    <w:p>
      <w:pPr>
        <w:spacing w:line="360" w:lineRule="auto"/>
        <w:ind w:firstLine="480"/>
        <w:jc w:val="both"/>
      </w:pPr>
      <w:r>
        <w:rPr>
          <w:rFonts w:ascii="Arial" w:hAnsi="Arial" w:eastAsia="宋体"/>
          <w:b w:val="0"/>
          <w:sz w:val="24"/>
        </w:rPr>
        <w:t>2.检测项目：燃烧性能等级，包括不燃性、热值、单体燃烧性能、可燃性等指标，按《建筑材料及制品燃烧性能分级》（GB 8624）的规定进行分级判定（A、B1、B2级）。</w:t>
      </w:r>
    </w:p>
    <w:p>
      <w:pPr>
        <w:spacing w:line="360" w:lineRule="auto"/>
        <w:ind w:firstLine="480"/>
        <w:jc w:val="both"/>
      </w:pPr>
      <w:r>
        <w:rPr>
          <w:rFonts w:ascii="Arial" w:hAnsi="Arial" w:eastAsia="宋体"/>
          <w:b w:val="0"/>
          <w:sz w:val="24"/>
        </w:rPr>
        <w:t>3.技术要求：各部位装修材料的燃烧性能等级应符合施工图设计文件及《建筑内部装修设计防火规范》（GB 50222）的规定；展览性场所的展台（展具）材料燃烧性能等级应符合设计要求；与卤钨灯等高温照明灯具、电加热设备等贴邻部位的材料，应采用设计规定的难燃或不燃等级材料。</w:t>
      </w:r>
    </w:p>
    <w:p>
      <w:pPr>
        <w:pStyle w:val="4"/>
      </w:pPr>
      <w:r>
        <w:rPr>
          <w:rFonts w:ascii="Arial" w:hAnsi="Arial" w:eastAsia="黑体"/>
          <w:b/>
          <w:color w:val="000000"/>
          <w:sz w:val="28"/>
        </w:rPr>
        <w:t>（二）防火材料检测</w:t>
      </w:r>
    </w:p>
    <w:p>
      <w:pPr>
        <w:spacing w:line="360" w:lineRule="auto"/>
        <w:ind w:firstLine="480"/>
        <w:jc w:val="both"/>
      </w:pPr>
      <w:r>
        <w:rPr>
          <w:rFonts w:ascii="Arial" w:hAnsi="Arial" w:eastAsia="宋体"/>
          <w:b w:val="0"/>
          <w:sz w:val="24"/>
        </w:rPr>
        <w:t>1.防火板材：检测其燃烧性能等级及耐火性能，应符合设计文件及相应产品标准要求。</w:t>
      </w:r>
    </w:p>
    <w:p>
      <w:pPr>
        <w:spacing w:line="360" w:lineRule="auto"/>
        <w:ind w:firstLine="480"/>
        <w:jc w:val="both"/>
      </w:pPr>
      <w:r>
        <w:rPr>
          <w:rFonts w:ascii="Arial" w:hAnsi="Arial" w:eastAsia="宋体"/>
          <w:b w:val="0"/>
          <w:sz w:val="24"/>
        </w:rPr>
        <w:t>2.防火涂料、防火封堵材料（如涉及）：按相应产品标准检测其耐火性能、燃烧性能等技术指标。</w:t>
      </w:r>
    </w:p>
    <w:p>
      <w:pPr>
        <w:spacing w:line="360" w:lineRule="auto"/>
        <w:ind w:firstLine="480"/>
        <w:jc w:val="both"/>
      </w:pPr>
      <w:r>
        <w:rPr>
          <w:rFonts w:ascii="Arial" w:hAnsi="Arial" w:eastAsia="宋体"/>
          <w:b w:val="0"/>
          <w:sz w:val="24"/>
        </w:rPr>
        <w:t>3.现场进行阻燃处理所使用的阻燃剂、防火涂料，应按规定进行检验。</w:t>
      </w:r>
    </w:p>
    <w:p>
      <w:pPr>
        <w:pStyle w:val="4"/>
      </w:pPr>
      <w:r>
        <w:rPr>
          <w:rFonts w:ascii="Arial" w:hAnsi="Arial" w:eastAsia="黑体"/>
          <w:b/>
          <w:color w:val="000000"/>
          <w:sz w:val="28"/>
        </w:rPr>
        <w:t>（三）见证取样检验要求</w:t>
      </w:r>
    </w:p>
    <w:p>
      <w:pPr>
        <w:spacing w:line="360" w:lineRule="auto"/>
        <w:ind w:firstLine="480"/>
        <w:jc w:val="both"/>
      </w:pPr>
      <w:r>
        <w:rPr>
          <w:rFonts w:ascii="Arial" w:hAnsi="Arial" w:eastAsia="宋体"/>
          <w:b w:val="0"/>
          <w:sz w:val="24"/>
        </w:rPr>
        <w:t>1.涉及结构安全及主要使用功能的进场材料，应在建设单位或者监理单位监督下现场取样，并送具有相应资质等级的检测机构进行检测。</w:t>
      </w:r>
    </w:p>
    <w:p>
      <w:pPr>
        <w:spacing w:line="360" w:lineRule="auto"/>
        <w:ind w:firstLine="480"/>
        <w:jc w:val="both"/>
      </w:pPr>
      <w:r>
        <w:rPr>
          <w:rFonts w:ascii="Arial" w:hAnsi="Arial" w:eastAsia="宋体"/>
          <w:b w:val="0"/>
          <w:sz w:val="24"/>
        </w:rPr>
        <w:t>2.按《建筑内部装修防火施工及验收规范》（GB 50354）规定，B1、B2级装修材料以及现场进行阻燃处理所使用的阻燃剂、防火涂料等进场时应进行见证取样检验；现场阻燃处理后的木质材料、复合材料、纺织织物等应进行抽样检验，检验其燃烧性能。</w:t>
      </w:r>
    </w:p>
    <w:p>
      <w:pPr>
        <w:spacing w:line="360" w:lineRule="auto"/>
        <w:ind w:firstLine="480"/>
        <w:jc w:val="both"/>
      </w:pPr>
      <w:r>
        <w:rPr>
          <w:rFonts w:ascii="Arial" w:hAnsi="Arial" w:eastAsia="宋体"/>
          <w:b w:val="0"/>
          <w:sz w:val="24"/>
        </w:rPr>
        <w:t>3.检测试样应具有清晰、不易脱落的唯一性标识和封志；见证人员应制作见证记录，记录取样、制样、标识、封志、送检及现场检测等情况并签字确认。</w:t>
      </w:r>
    </w:p>
    <w:p>
      <w:pPr>
        <w:pStyle w:val="4"/>
      </w:pPr>
      <w:r>
        <w:rPr>
          <w:rFonts w:ascii="Arial" w:hAnsi="Arial" w:eastAsia="黑体"/>
          <w:b/>
          <w:color w:val="000000"/>
          <w:sz w:val="28"/>
        </w:rPr>
        <w:t>（四）其他相关材料检测（本工程涉及）</w:t>
      </w:r>
    </w:p>
    <w:p>
      <w:pPr>
        <w:spacing w:line="360" w:lineRule="auto"/>
        <w:ind w:firstLine="480"/>
        <w:jc w:val="both"/>
      </w:pPr>
      <w:r>
        <w:rPr>
          <w:rFonts w:ascii="Arial" w:hAnsi="Arial" w:eastAsia="宋体"/>
          <w:b w:val="0"/>
          <w:sz w:val="24"/>
        </w:rPr>
        <w:t>1.钢结构焊缝检测：本展厅为露台加建轻钢结构，涉及钢结构焊缝无损检测（如超声波探伤等），检测比例、数量及合格标准应符合设计文件及《钢结构焊接规范》（GB 50661）、《钢结构工程施工质量验收标准》（GB 50205）的要求。</w:t>
      </w:r>
    </w:p>
    <w:p>
      <w:pPr>
        <w:spacing w:line="360" w:lineRule="auto"/>
        <w:ind w:firstLine="480"/>
        <w:jc w:val="both"/>
      </w:pPr>
      <w:r>
        <w:rPr>
          <w:rFonts w:ascii="Arial" w:hAnsi="Arial" w:eastAsia="宋体"/>
          <w:b w:val="0"/>
          <w:sz w:val="24"/>
        </w:rPr>
        <w:t>2.屋面防水材料检测：露台屋面防水材料进场应按规定进行抽样检测，检测其拉伸性能、耐候性能等指标，应符合设计文件及相应产品标准要求。</w:t>
      </w:r>
    </w:p>
    <w:p>
      <w:pPr>
        <w:pStyle w:val="3"/>
      </w:pPr>
      <w:r>
        <w:rPr>
          <w:rFonts w:ascii="Arial" w:hAnsi="Arial" w:eastAsia="黑体"/>
          <w:b/>
          <w:color w:val="000000"/>
          <w:sz w:val="32"/>
        </w:rPr>
        <w:t>六、工作程序及检测方法</w:t>
      </w:r>
    </w:p>
    <w:p>
      <w:pPr>
        <w:spacing w:line="360" w:lineRule="auto"/>
        <w:ind w:firstLine="480"/>
        <w:jc w:val="both"/>
      </w:pPr>
      <w:r>
        <w:rPr>
          <w:rFonts w:ascii="Arial" w:hAnsi="Arial" w:eastAsia="宋体"/>
          <w:b w:val="0"/>
          <w:sz w:val="24"/>
        </w:rPr>
        <w:t>1.检测机构进场前应与建设单位、监理单位沟通，明确检测对象、批次、数量及进度安排，提交检测方案，经建设单位确认后实施。</w:t>
      </w:r>
    </w:p>
    <w:p>
      <w:pPr>
        <w:spacing w:line="360" w:lineRule="auto"/>
        <w:ind w:firstLine="480"/>
        <w:jc w:val="both"/>
      </w:pPr>
      <w:r>
        <w:rPr>
          <w:rFonts w:ascii="Arial" w:hAnsi="Arial" w:eastAsia="宋体"/>
          <w:b w:val="0"/>
          <w:sz w:val="24"/>
        </w:rPr>
        <w:t>2.检测机构在建设单位或监理单位见证下进行现场取样（见证取样），试样封志后送检测机构；检测试样由见证人员与送检人员共同签字确认。</w:t>
      </w:r>
    </w:p>
    <w:p>
      <w:pPr>
        <w:spacing w:line="360" w:lineRule="auto"/>
        <w:ind w:firstLine="480"/>
        <w:jc w:val="both"/>
      </w:pPr>
      <w:r>
        <w:rPr>
          <w:rFonts w:ascii="Arial" w:hAnsi="Arial" w:eastAsia="宋体"/>
          <w:b w:val="0"/>
          <w:sz w:val="24"/>
        </w:rPr>
        <w:t>3.检测机构按相应标准规定的试验方法进行检测，如实记录检测数据，出具检测报告及判定结论。</w:t>
      </w:r>
    </w:p>
    <w:p>
      <w:pPr>
        <w:spacing w:line="360" w:lineRule="auto"/>
        <w:ind w:firstLine="480"/>
        <w:jc w:val="both"/>
      </w:pPr>
      <w:r>
        <w:rPr>
          <w:rFonts w:ascii="Arial" w:hAnsi="Arial" w:eastAsia="宋体"/>
          <w:b w:val="0"/>
          <w:sz w:val="24"/>
        </w:rPr>
        <w:t>4.检测过程中发现检测项目不合格的，检测机构应及时报告建设单位，并提出书面整改意见；建设单位组织整改后，检测机构安排复检，复检合格后出具相应检测报告。</w:t>
      </w:r>
    </w:p>
    <w:p>
      <w:pPr>
        <w:spacing w:line="360" w:lineRule="auto"/>
        <w:ind w:firstLine="480"/>
        <w:jc w:val="both"/>
      </w:pPr>
      <w:r>
        <w:rPr>
          <w:rFonts w:ascii="Arial" w:hAnsi="Arial" w:eastAsia="宋体"/>
          <w:b w:val="0"/>
          <w:sz w:val="24"/>
        </w:rPr>
        <w:t>5.主要检测方法：不燃性试验按《建筑材料不燃性试验方法》（GB/T 5464）执行；燃烧性能分级试验按《建筑材料及制品燃烧性能分级》（GB 8624）规定的试验方法（热值、单体燃烧试验、可燃性试验等）执行；钢结构焊缝无损检测按相应无损检测标准执行；防水材料检测按相应产品标准执行。</w:t>
      </w:r>
    </w:p>
    <w:p>
      <w:pPr>
        <w:pStyle w:val="3"/>
      </w:pPr>
      <w:r>
        <w:rPr>
          <w:rFonts w:ascii="Arial" w:hAnsi="Arial" w:eastAsia="黑体"/>
          <w:b/>
          <w:color w:val="000000"/>
          <w:sz w:val="32"/>
        </w:rPr>
        <w:t>七、拟投入的仪器设备</w:t>
      </w:r>
    </w:p>
    <w:p>
      <w:pPr>
        <w:spacing w:line="360" w:lineRule="auto"/>
        <w:ind w:firstLine="480"/>
        <w:jc w:val="both"/>
      </w:pPr>
      <w:r>
        <w:rPr>
          <w:rFonts w:ascii="Arial" w:hAnsi="Arial" w:eastAsia="宋体"/>
          <w:b w:val="0"/>
          <w:sz w:val="24"/>
        </w:rPr>
        <w:t>1.燃烧性能检测相关设备（在检测机构实验室完成）：如热值测试仪、单体燃烧试验装置、可燃性试验仪等，均须经计量检定或校准合格。</w:t>
      </w:r>
    </w:p>
    <w:p>
      <w:pPr>
        <w:spacing w:line="360" w:lineRule="auto"/>
        <w:ind w:firstLine="480"/>
        <w:jc w:val="both"/>
      </w:pPr>
      <w:r>
        <w:rPr>
          <w:rFonts w:ascii="Arial" w:hAnsi="Arial" w:eastAsia="宋体"/>
          <w:b w:val="0"/>
          <w:sz w:val="24"/>
        </w:rPr>
        <w:t>2.现场取样及检测设备：钢材探伤仪（超声波探伤仪）、防水材料取样及检测设备、钢卷尺、游标卡尺、封志工具等。</w:t>
      </w:r>
    </w:p>
    <w:p>
      <w:pPr>
        <w:spacing w:line="360" w:lineRule="auto"/>
        <w:ind w:firstLine="480"/>
        <w:jc w:val="both"/>
      </w:pPr>
      <w:r>
        <w:rPr>
          <w:rFonts w:ascii="Arial" w:hAnsi="Arial" w:eastAsia="宋体"/>
          <w:b w:val="0"/>
          <w:sz w:val="24"/>
        </w:rPr>
        <w:t>3.检测仪器设备应满足相应检测标准要求，并按规定进行检定、校准和维护，保证检测数据真实可靠。</w:t>
      </w:r>
    </w:p>
    <w:p>
      <w:pPr>
        <w:pStyle w:val="3"/>
      </w:pPr>
      <w:r>
        <w:rPr>
          <w:rFonts w:ascii="Arial" w:hAnsi="Arial" w:eastAsia="黑体"/>
          <w:b/>
          <w:color w:val="000000"/>
          <w:sz w:val="32"/>
        </w:rPr>
        <w:t>八、进度安排</w:t>
      </w:r>
    </w:p>
    <w:p>
      <w:pPr>
        <w:spacing w:line="360" w:lineRule="auto"/>
        <w:ind w:firstLine="480"/>
        <w:jc w:val="both"/>
      </w:pPr>
      <w:r>
        <w:rPr>
          <w:rFonts w:ascii="Arial" w:hAnsi="Arial" w:eastAsia="宋体"/>
          <w:b w:val="0"/>
          <w:sz w:val="24"/>
        </w:rPr>
        <w:t>在提供具备现场工作的条件及相关资料的前提下，本次消防材料检测工作安排如下：检测机构自接到委托通知并确认检测条件后及时进场，现场取样及检测工作于</w:t>
      </w:r>
      <w:r>
        <w:rPr>
          <w:rFonts w:hint="eastAsia"/>
          <w:b w:val="0"/>
          <w:sz w:val="24"/>
          <w:lang w:val="en-US" w:eastAsia="zh-CN"/>
        </w:rPr>
        <w:t>1</w:t>
      </w:r>
      <w:r>
        <w:rPr>
          <w:rFonts w:ascii="Arial" w:hAnsi="Arial" w:eastAsia="宋体"/>
          <w:b w:val="0"/>
          <w:sz w:val="24"/>
        </w:rPr>
        <w:t>个工作日内完成；检测完成后于</w:t>
      </w:r>
      <w:r>
        <w:rPr>
          <w:rFonts w:hint="eastAsia"/>
          <w:b w:val="0"/>
          <w:sz w:val="24"/>
          <w:lang w:val="en-US" w:eastAsia="zh-CN"/>
        </w:rPr>
        <w:t>3</w:t>
      </w:r>
      <w:r>
        <w:rPr>
          <w:rFonts w:ascii="Arial" w:hAnsi="Arial" w:eastAsia="宋体"/>
          <w:b w:val="0"/>
          <w:sz w:val="24"/>
        </w:rPr>
        <w:t>个工作日内出具检测报告。因委托方原因或检测不合格需整改、复检的，工期相应顺延。具体检</w:t>
      </w:r>
      <w:bookmarkStart w:id="0" w:name="_GoBack"/>
      <w:bookmarkEnd w:id="0"/>
      <w:r>
        <w:rPr>
          <w:rFonts w:ascii="Arial" w:hAnsi="Arial" w:eastAsia="宋体"/>
          <w:b w:val="0"/>
          <w:sz w:val="24"/>
        </w:rPr>
        <w:t>测工期以双方合同约定为准。</w:t>
      </w:r>
    </w:p>
    <w:p>
      <w:pPr>
        <w:pStyle w:val="3"/>
      </w:pPr>
      <w:r>
        <w:rPr>
          <w:rFonts w:hint="eastAsia" w:ascii="Arial" w:hAnsi="Arial" w:eastAsia="黑体"/>
          <w:b/>
          <w:color w:val="000000"/>
          <w:sz w:val="32"/>
          <w:lang w:val="en-US" w:eastAsia="zh-CN"/>
        </w:rPr>
        <w:t>九</w:t>
      </w:r>
      <w:r>
        <w:rPr>
          <w:rFonts w:ascii="Arial" w:hAnsi="Arial" w:eastAsia="黑体"/>
          <w:b/>
          <w:color w:val="000000"/>
          <w:sz w:val="32"/>
        </w:rPr>
        <w:t>、需委托方配合的工作</w:t>
      </w:r>
    </w:p>
    <w:p>
      <w:pPr>
        <w:spacing w:line="360" w:lineRule="auto"/>
        <w:ind w:firstLine="480"/>
        <w:jc w:val="both"/>
      </w:pPr>
      <w:r>
        <w:rPr>
          <w:rFonts w:ascii="Arial" w:hAnsi="Arial" w:eastAsia="宋体"/>
          <w:b w:val="0"/>
          <w:sz w:val="24"/>
        </w:rPr>
        <w:t>1.提供施工图设计文件、材料进场清单及相关技术资料；</w:t>
      </w:r>
    </w:p>
    <w:p>
      <w:pPr>
        <w:spacing w:line="360" w:lineRule="auto"/>
        <w:ind w:firstLine="480"/>
        <w:jc w:val="both"/>
      </w:pPr>
      <w:r>
        <w:rPr>
          <w:rFonts w:ascii="Arial" w:hAnsi="Arial" w:eastAsia="宋体"/>
          <w:b w:val="0"/>
          <w:sz w:val="24"/>
        </w:rPr>
        <w:t>2.组织材料供应单位提供产品合格证、型式检验报告等质量证明文件；</w:t>
      </w:r>
    </w:p>
    <w:p>
      <w:pPr>
        <w:spacing w:line="360" w:lineRule="auto"/>
        <w:ind w:firstLine="480"/>
        <w:jc w:val="both"/>
      </w:pPr>
      <w:r>
        <w:rPr>
          <w:rFonts w:ascii="Arial" w:hAnsi="Arial" w:eastAsia="宋体"/>
          <w:b w:val="0"/>
          <w:sz w:val="24"/>
        </w:rPr>
        <w:t>3.提供检测现场的水电及必要的登高工具（人字梯、脚手架等）；</w:t>
      </w:r>
    </w:p>
    <w:p>
      <w:pPr>
        <w:spacing w:line="360" w:lineRule="auto"/>
        <w:ind w:firstLine="480"/>
        <w:jc w:val="both"/>
      </w:pPr>
      <w:r>
        <w:rPr>
          <w:rFonts w:ascii="Arial" w:hAnsi="Arial" w:eastAsia="宋体"/>
          <w:b w:val="0"/>
          <w:sz w:val="24"/>
        </w:rPr>
        <w:t>4.现场安排专人负责协调，提供现场工作条件并配合见证取样；</w:t>
      </w:r>
    </w:p>
    <w:p>
      <w:pPr>
        <w:spacing w:line="360" w:lineRule="auto"/>
        <w:ind w:firstLine="480"/>
        <w:jc w:val="both"/>
      </w:pPr>
      <w:r>
        <w:rPr>
          <w:rFonts w:ascii="Arial" w:hAnsi="Arial" w:eastAsia="宋体"/>
          <w:b w:val="0"/>
          <w:sz w:val="24"/>
        </w:rPr>
        <w:t>5.检测过程中，涉及相关设备操作的，由委托方人员配合实施。</w:t>
      </w:r>
    </w:p>
    <w:p>
      <w:pPr>
        <w:pStyle w:val="3"/>
      </w:pPr>
      <w:r>
        <w:rPr>
          <w:rFonts w:ascii="Arial" w:hAnsi="Arial" w:eastAsia="黑体"/>
          <w:b/>
          <w:color w:val="000000"/>
          <w:sz w:val="32"/>
        </w:rPr>
        <w:t>十、成果及报告要求</w:t>
      </w:r>
    </w:p>
    <w:p>
      <w:pPr>
        <w:spacing w:line="360" w:lineRule="auto"/>
        <w:ind w:firstLine="480"/>
        <w:jc w:val="both"/>
      </w:pPr>
      <w:r>
        <w:rPr>
          <w:rFonts w:ascii="Arial" w:hAnsi="Arial" w:eastAsia="宋体"/>
          <w:b w:val="0"/>
          <w:sz w:val="24"/>
        </w:rPr>
        <w:t>检测机构应向委托方提交以下成果文件，具体如下：</w:t>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24"/>
        <w:gridCol w:w="3024"/>
        <w:gridCol w:w="30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0" w:type="dxa"/>
            <w:shd w:val="clear" w:color="auto" w:fill="D9D9D9"/>
            <w:vAlign w:val="center"/>
          </w:tcPr>
          <w:p>
            <w:pPr>
              <w:spacing w:line="240" w:lineRule="auto"/>
              <w:jc w:val="center"/>
            </w:pPr>
            <w:r>
              <w:rPr>
                <w:rFonts w:ascii="Arial" w:hAnsi="Arial" w:eastAsia="宋体"/>
                <w:b/>
                <w:sz w:val="21"/>
              </w:rPr>
              <w:t>序号</w:t>
            </w:r>
          </w:p>
        </w:tc>
        <w:tc>
          <w:tcPr>
            <w:tcW w:w="1814" w:type="dxa"/>
            <w:shd w:val="clear" w:color="auto" w:fill="D9D9D9"/>
            <w:vAlign w:val="center"/>
          </w:tcPr>
          <w:p>
            <w:pPr>
              <w:spacing w:line="240" w:lineRule="auto"/>
              <w:jc w:val="center"/>
            </w:pPr>
            <w:r>
              <w:rPr>
                <w:rFonts w:ascii="Arial" w:hAnsi="Arial" w:eastAsia="宋体"/>
                <w:b/>
                <w:sz w:val="21"/>
              </w:rPr>
              <w:t>成果文件名称</w:t>
            </w:r>
          </w:p>
        </w:tc>
        <w:tc>
          <w:tcPr>
            <w:tcW w:w="6576" w:type="dxa"/>
            <w:shd w:val="clear" w:color="auto" w:fill="D9D9D9"/>
            <w:vAlign w:val="center"/>
          </w:tcPr>
          <w:p>
            <w:pPr>
              <w:spacing w:line="240" w:lineRule="auto"/>
              <w:jc w:val="center"/>
            </w:pPr>
            <w:r>
              <w:rPr>
                <w:rFonts w:ascii="Arial" w:hAnsi="Arial" w:eastAsia="宋体"/>
                <w:b/>
                <w:sz w:val="21"/>
              </w:rPr>
              <w:t>主要内容及要求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0" w:type="dxa"/>
            <w:vAlign w:val="center"/>
          </w:tcPr>
          <w:p>
            <w:pPr>
              <w:spacing w:line="240" w:lineRule="auto"/>
              <w:jc w:val="center"/>
            </w:pPr>
            <w:r>
              <w:rPr>
                <w:rFonts w:ascii="Arial" w:hAnsi="Arial" w:eastAsia="宋体"/>
                <w:b w:val="0"/>
                <w:sz w:val="21"/>
              </w:rPr>
              <w:t>1</w:t>
            </w:r>
          </w:p>
        </w:tc>
        <w:tc>
          <w:tcPr>
            <w:tcW w:w="1814" w:type="dxa"/>
            <w:vAlign w:val="center"/>
          </w:tcPr>
          <w:p>
            <w:pPr>
              <w:spacing w:line="240" w:lineRule="auto"/>
              <w:jc w:val="center"/>
            </w:pPr>
            <w:r>
              <w:rPr>
                <w:rFonts w:ascii="Arial" w:hAnsi="Arial" w:eastAsia="宋体"/>
                <w:b w:val="0"/>
                <w:sz w:val="21"/>
              </w:rPr>
              <w:t>检测方案</w:t>
            </w:r>
          </w:p>
        </w:tc>
        <w:tc>
          <w:tcPr>
            <w:tcW w:w="6576" w:type="dxa"/>
            <w:vAlign w:val="center"/>
          </w:tcPr>
          <w:p>
            <w:pPr>
              <w:spacing w:line="240" w:lineRule="auto"/>
              <w:jc w:val="left"/>
            </w:pPr>
            <w:r>
              <w:rPr>
                <w:rFonts w:ascii="Arial" w:hAnsi="Arial" w:eastAsia="宋体"/>
                <w:b w:val="0"/>
                <w:sz w:val="21"/>
              </w:rPr>
              <w:t>进场前提交，明确检测对象、检测项目、批次数量、进度安排，经建设单位确认后实施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0" w:type="dxa"/>
            <w:vAlign w:val="center"/>
          </w:tcPr>
          <w:p>
            <w:pPr>
              <w:spacing w:line="240" w:lineRule="auto"/>
              <w:jc w:val="center"/>
            </w:pPr>
            <w:r>
              <w:rPr>
                <w:rFonts w:ascii="Arial" w:hAnsi="Arial" w:eastAsia="宋体"/>
                <w:b w:val="0"/>
                <w:sz w:val="21"/>
              </w:rPr>
              <w:t>2</w:t>
            </w:r>
          </w:p>
        </w:tc>
        <w:tc>
          <w:tcPr>
            <w:tcW w:w="1814" w:type="dxa"/>
            <w:vAlign w:val="center"/>
          </w:tcPr>
          <w:p>
            <w:pPr>
              <w:spacing w:line="240" w:lineRule="auto"/>
              <w:jc w:val="center"/>
            </w:pPr>
            <w:r>
              <w:rPr>
                <w:rFonts w:ascii="Arial" w:hAnsi="Arial" w:eastAsia="宋体"/>
                <w:b w:val="0"/>
                <w:sz w:val="21"/>
              </w:rPr>
              <w:t>见证取样记录</w:t>
            </w:r>
          </w:p>
        </w:tc>
        <w:tc>
          <w:tcPr>
            <w:tcW w:w="6576" w:type="dxa"/>
            <w:vAlign w:val="center"/>
          </w:tcPr>
          <w:p>
            <w:pPr>
              <w:spacing w:line="240" w:lineRule="auto"/>
              <w:jc w:val="left"/>
            </w:pPr>
            <w:r>
              <w:rPr>
                <w:rFonts w:ascii="Arial" w:hAnsi="Arial" w:eastAsia="宋体"/>
                <w:b w:val="0"/>
                <w:sz w:val="21"/>
              </w:rPr>
              <w:t>由见证人员与送检人员签字确认，记录取样、制样、标识、封志、送检等情况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0" w:type="dxa"/>
            <w:vAlign w:val="center"/>
          </w:tcPr>
          <w:p>
            <w:pPr>
              <w:spacing w:line="240" w:lineRule="auto"/>
              <w:jc w:val="center"/>
            </w:pPr>
            <w:r>
              <w:rPr>
                <w:rFonts w:ascii="Arial" w:hAnsi="Arial" w:eastAsia="宋体"/>
                <w:b w:val="0"/>
                <w:sz w:val="21"/>
              </w:rPr>
              <w:t>3</w:t>
            </w:r>
          </w:p>
        </w:tc>
        <w:tc>
          <w:tcPr>
            <w:tcW w:w="1814" w:type="dxa"/>
            <w:vAlign w:val="center"/>
          </w:tcPr>
          <w:p>
            <w:pPr>
              <w:spacing w:line="240" w:lineRule="auto"/>
              <w:jc w:val="center"/>
            </w:pPr>
            <w:r>
              <w:rPr>
                <w:rFonts w:ascii="Arial" w:hAnsi="Arial" w:eastAsia="宋体"/>
                <w:b w:val="0"/>
                <w:sz w:val="21"/>
              </w:rPr>
              <w:t>检测报告</w:t>
            </w:r>
          </w:p>
        </w:tc>
        <w:tc>
          <w:tcPr>
            <w:tcW w:w="6576" w:type="dxa"/>
            <w:vAlign w:val="center"/>
          </w:tcPr>
          <w:p>
            <w:pPr>
              <w:spacing w:line="240" w:lineRule="auto"/>
              <w:jc w:val="left"/>
            </w:pPr>
            <w:r>
              <w:rPr>
                <w:rFonts w:ascii="Arial" w:hAnsi="Arial" w:eastAsia="宋体"/>
                <w:b w:val="0"/>
                <w:sz w:val="21"/>
              </w:rPr>
              <w:t>加盖检测机构CMA章及检测专用章，经检测人员、审核人员、授权签字人签署；报告中注明检测项目、代表数量（批次）、检测依据、检测数据及判定结论；一式两份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0" w:type="dxa"/>
            <w:vAlign w:val="center"/>
          </w:tcPr>
          <w:p>
            <w:pPr>
              <w:spacing w:line="240" w:lineRule="auto"/>
              <w:jc w:val="center"/>
            </w:pPr>
            <w:r>
              <w:rPr>
                <w:rFonts w:ascii="Arial" w:hAnsi="Arial" w:eastAsia="宋体"/>
                <w:b w:val="0"/>
                <w:sz w:val="21"/>
              </w:rPr>
              <w:t>4</w:t>
            </w:r>
          </w:p>
        </w:tc>
        <w:tc>
          <w:tcPr>
            <w:tcW w:w="1814" w:type="dxa"/>
            <w:vAlign w:val="center"/>
          </w:tcPr>
          <w:p>
            <w:pPr>
              <w:spacing w:line="240" w:lineRule="auto"/>
              <w:jc w:val="center"/>
            </w:pPr>
            <w:r>
              <w:rPr>
                <w:rFonts w:ascii="Arial" w:hAnsi="Arial" w:eastAsia="宋体"/>
                <w:b w:val="0"/>
                <w:sz w:val="21"/>
              </w:rPr>
              <w:t>整改及复检记录</w:t>
            </w:r>
          </w:p>
        </w:tc>
        <w:tc>
          <w:tcPr>
            <w:tcW w:w="6576" w:type="dxa"/>
            <w:vAlign w:val="center"/>
          </w:tcPr>
          <w:p>
            <w:pPr>
              <w:spacing w:line="240" w:lineRule="auto"/>
              <w:jc w:val="left"/>
            </w:pPr>
            <w:r>
              <w:rPr>
                <w:rFonts w:ascii="Arial" w:hAnsi="Arial" w:eastAsia="宋体"/>
                <w:b w:val="0"/>
                <w:sz w:val="21"/>
              </w:rPr>
              <w:t>检测不合格时出具书面整改意见；复检后出具复检报告并附整改情况说明</w:t>
            </w:r>
          </w:p>
        </w:tc>
      </w:tr>
    </w:tbl>
    <w:p>
      <w:pPr>
        <w:spacing w:line="360" w:lineRule="auto"/>
        <w:ind w:firstLine="480"/>
        <w:jc w:val="both"/>
      </w:pPr>
      <w:r>
        <w:rPr>
          <w:rFonts w:ascii="Arial" w:hAnsi="Arial" w:eastAsia="宋体"/>
          <w:b w:val="0"/>
          <w:sz w:val="24"/>
        </w:rPr>
        <w:t>检测报告应真实、准确、完整，符合《建设工程质量检测管理办法》的有关规定；非建设单位委托的检测机构出具的检测报告不得作为工程质量验收资料。</w:t>
      </w:r>
    </w:p>
    <w:p>
      <w:pPr>
        <w:pStyle w:val="3"/>
      </w:pPr>
      <w:r>
        <w:rPr>
          <w:rFonts w:ascii="Arial" w:hAnsi="Arial" w:eastAsia="黑体"/>
          <w:b/>
          <w:color w:val="000000"/>
          <w:sz w:val="32"/>
        </w:rPr>
        <w:t>十</w:t>
      </w:r>
      <w:r>
        <w:rPr>
          <w:rFonts w:hint="eastAsia" w:ascii="Arial" w:hAnsi="Arial" w:eastAsia="黑体"/>
          <w:b/>
          <w:color w:val="000000"/>
          <w:sz w:val="32"/>
          <w:lang w:val="en-US" w:eastAsia="zh-CN"/>
        </w:rPr>
        <w:t>一</w:t>
      </w:r>
      <w:r>
        <w:rPr>
          <w:rFonts w:ascii="Arial" w:hAnsi="Arial" w:eastAsia="黑体"/>
          <w:b/>
          <w:color w:val="000000"/>
          <w:sz w:val="32"/>
        </w:rPr>
        <w:t>、检测机构责任</w:t>
      </w:r>
    </w:p>
    <w:p>
      <w:pPr>
        <w:spacing w:line="360" w:lineRule="auto"/>
        <w:ind w:firstLine="480"/>
        <w:jc w:val="both"/>
      </w:pPr>
      <w:r>
        <w:rPr>
          <w:rFonts w:ascii="Arial" w:hAnsi="Arial" w:eastAsia="宋体"/>
          <w:b w:val="0"/>
          <w:sz w:val="24"/>
        </w:rPr>
        <w:t>1.按国家、地方有关技术规范和委托方要求，完成本合同约定的检测服务；</w:t>
      </w:r>
    </w:p>
    <w:p>
      <w:pPr>
        <w:spacing w:line="360" w:lineRule="auto"/>
        <w:ind w:firstLine="480"/>
        <w:jc w:val="both"/>
      </w:pPr>
      <w:r>
        <w:rPr>
          <w:rFonts w:ascii="Arial" w:hAnsi="Arial" w:eastAsia="宋体"/>
          <w:b w:val="0"/>
          <w:sz w:val="24"/>
        </w:rPr>
        <w:t>2.自备检测工作需要的各类仪器设备，并对检测仪器设备的检定、校准和正常使用负责；</w:t>
      </w:r>
    </w:p>
    <w:p>
      <w:pPr>
        <w:spacing w:line="360" w:lineRule="auto"/>
        <w:ind w:firstLine="480"/>
        <w:jc w:val="both"/>
      </w:pPr>
      <w:r>
        <w:rPr>
          <w:rFonts w:ascii="Arial" w:hAnsi="Arial" w:eastAsia="宋体"/>
          <w:b w:val="0"/>
          <w:sz w:val="24"/>
        </w:rPr>
        <w:t>3.按约定时间向委托方提交检测报告，报告应符合国家规范要求并加盖检测机构资质章，对报告真实性负责；</w:t>
      </w:r>
    </w:p>
    <w:p>
      <w:pPr>
        <w:spacing w:line="360" w:lineRule="auto"/>
        <w:ind w:firstLine="480"/>
        <w:jc w:val="both"/>
      </w:pPr>
      <w:r>
        <w:rPr>
          <w:rFonts w:ascii="Arial" w:hAnsi="Arial" w:eastAsia="宋体"/>
          <w:b w:val="0"/>
          <w:sz w:val="24"/>
        </w:rPr>
        <w:t>4.对检测数据及报告内容保密，未经委托方同意不得向第三方披露；</w:t>
      </w:r>
    </w:p>
    <w:p>
      <w:pPr>
        <w:spacing w:line="360" w:lineRule="auto"/>
        <w:ind w:firstLine="480"/>
        <w:jc w:val="both"/>
      </w:pPr>
      <w:r>
        <w:rPr>
          <w:rFonts w:ascii="Arial" w:hAnsi="Arial" w:eastAsia="宋体"/>
          <w:b w:val="0"/>
          <w:sz w:val="24"/>
        </w:rPr>
        <w:t>5.检测机构与所检测工程相关的建设、施工、监理单位及材料供应单位不得有隶属关系或者其他利害关系。</w:t>
      </w:r>
    </w:p>
    <w:p>
      <w:pPr>
        <w:pStyle w:val="3"/>
      </w:pPr>
      <w:r>
        <w:rPr>
          <w:rFonts w:ascii="Arial" w:hAnsi="Arial" w:eastAsia="黑体"/>
          <w:b/>
          <w:color w:val="000000"/>
          <w:sz w:val="32"/>
        </w:rPr>
        <w:t>十</w:t>
      </w:r>
      <w:r>
        <w:rPr>
          <w:rFonts w:hint="eastAsia" w:ascii="Arial" w:hAnsi="Arial" w:eastAsia="黑体"/>
          <w:b/>
          <w:color w:val="000000"/>
          <w:sz w:val="32"/>
          <w:lang w:val="en-US" w:eastAsia="zh-CN"/>
        </w:rPr>
        <w:t>二</w:t>
      </w:r>
      <w:r>
        <w:rPr>
          <w:rFonts w:ascii="Arial" w:hAnsi="Arial" w:eastAsia="黑体"/>
          <w:b/>
          <w:color w:val="000000"/>
          <w:sz w:val="32"/>
        </w:rPr>
        <w:t>、安全保证措施</w:t>
      </w:r>
    </w:p>
    <w:p>
      <w:pPr>
        <w:spacing w:line="360" w:lineRule="auto"/>
        <w:ind w:firstLine="480"/>
        <w:jc w:val="both"/>
      </w:pPr>
      <w:r>
        <w:rPr>
          <w:rFonts w:ascii="Arial" w:hAnsi="Arial" w:eastAsia="宋体"/>
          <w:b w:val="0"/>
          <w:sz w:val="24"/>
        </w:rPr>
        <w:t>1.建立健全检测安全管理体系，实行安全责任人制度，项目负责人为检测安全的第一责任人；</w:t>
      </w:r>
    </w:p>
    <w:p>
      <w:pPr>
        <w:spacing w:line="360" w:lineRule="auto"/>
        <w:ind w:firstLine="480"/>
        <w:jc w:val="both"/>
      </w:pPr>
      <w:r>
        <w:rPr>
          <w:rFonts w:ascii="Arial" w:hAnsi="Arial" w:eastAsia="宋体"/>
          <w:b w:val="0"/>
          <w:sz w:val="24"/>
        </w:rPr>
        <w:t>2.坚持全员安全教育，进场检测前进行安全技术交底，使检测人员熟悉检测区域、安全操作规程和注意事项；</w:t>
      </w:r>
    </w:p>
    <w:p>
      <w:pPr>
        <w:spacing w:line="360" w:lineRule="auto"/>
        <w:ind w:firstLine="480"/>
        <w:jc w:val="both"/>
      </w:pPr>
      <w:r>
        <w:rPr>
          <w:rFonts w:ascii="Arial" w:hAnsi="Arial" w:eastAsia="宋体"/>
          <w:b w:val="0"/>
          <w:sz w:val="24"/>
        </w:rPr>
        <w:t>3.现场检测严格遵守安全生产规定，正确使用安全帽、劳保鞋、安全带等劳保用品；</w:t>
      </w:r>
    </w:p>
    <w:p>
      <w:pPr>
        <w:spacing w:line="360" w:lineRule="auto"/>
        <w:ind w:firstLine="480"/>
        <w:jc w:val="both"/>
      </w:pPr>
      <w:r>
        <w:rPr>
          <w:rFonts w:ascii="Arial" w:hAnsi="Arial" w:eastAsia="宋体"/>
          <w:b w:val="0"/>
          <w:sz w:val="24"/>
        </w:rPr>
        <w:t>4.涉及电气操作、登高作业、探伤作业等的，按相应安全操作规程执行，必要时由委托方人员配合；</w:t>
      </w:r>
    </w:p>
    <w:p>
      <w:pPr>
        <w:spacing w:line="360" w:lineRule="auto"/>
        <w:ind w:firstLine="480"/>
        <w:jc w:val="both"/>
      </w:pPr>
      <w:r>
        <w:rPr>
          <w:rFonts w:ascii="Arial" w:hAnsi="Arial" w:eastAsia="宋体"/>
          <w:b w:val="0"/>
          <w:sz w:val="24"/>
        </w:rPr>
        <w:t>5.检测过程中不得随意进入非检测区域，不操作被检测系统之外的设备。</w:t>
      </w:r>
    </w:p>
    <w:p>
      <w:pPr>
        <w:pStyle w:val="3"/>
      </w:pPr>
      <w:r>
        <w:rPr>
          <w:rFonts w:ascii="Arial" w:hAnsi="Arial" w:eastAsia="黑体"/>
          <w:b/>
          <w:color w:val="000000"/>
          <w:sz w:val="32"/>
        </w:rPr>
        <w:t>十</w:t>
      </w:r>
      <w:r>
        <w:rPr>
          <w:rFonts w:hint="eastAsia" w:ascii="Arial" w:hAnsi="Arial" w:eastAsia="黑体"/>
          <w:b/>
          <w:color w:val="000000"/>
          <w:sz w:val="32"/>
          <w:lang w:val="en-US" w:eastAsia="zh-CN"/>
        </w:rPr>
        <w:t>三</w:t>
      </w:r>
      <w:r>
        <w:rPr>
          <w:rFonts w:ascii="Arial" w:hAnsi="Arial" w:eastAsia="黑体"/>
          <w:b/>
          <w:color w:val="000000"/>
          <w:sz w:val="32"/>
        </w:rPr>
        <w:t>、质量保证措施</w:t>
      </w:r>
    </w:p>
    <w:p>
      <w:pPr>
        <w:spacing w:line="360" w:lineRule="auto"/>
        <w:ind w:firstLine="480"/>
        <w:jc w:val="both"/>
      </w:pPr>
      <w:r>
        <w:rPr>
          <w:rFonts w:ascii="Arial" w:hAnsi="Arial" w:eastAsia="宋体"/>
          <w:b w:val="0"/>
          <w:sz w:val="24"/>
        </w:rPr>
        <w:t>1.从人员配备、培训组织上保证：抽调精干人员组成检测项目组，并在检测工作开始前对参加本次检测的人员进行技术培训，保证检测工作质量。</w:t>
      </w:r>
    </w:p>
    <w:p>
      <w:pPr>
        <w:spacing w:line="360" w:lineRule="auto"/>
        <w:ind w:firstLine="480"/>
        <w:jc w:val="both"/>
      </w:pPr>
      <w:r>
        <w:rPr>
          <w:rFonts w:ascii="Arial" w:hAnsi="Arial" w:eastAsia="宋体"/>
          <w:b w:val="0"/>
          <w:sz w:val="24"/>
        </w:rPr>
        <w:t>2.从计划安排上保证：按照实际项目需求，精心制定检测工作计划和具体实施方案，合理安排各项工作顺序，确保检测工作按时、保质完成。</w:t>
      </w:r>
    </w:p>
    <w:p>
      <w:pPr>
        <w:spacing w:line="360" w:lineRule="auto"/>
        <w:ind w:firstLine="480"/>
        <w:jc w:val="both"/>
      </w:pPr>
      <w:r>
        <w:rPr>
          <w:rFonts w:ascii="Arial" w:hAnsi="Arial" w:eastAsia="宋体"/>
          <w:b w:val="0"/>
          <w:sz w:val="24"/>
        </w:rPr>
        <w:t>3.从技术上保证：项目负责人全面负责技术和质量管理，制定专项检测方案，及时解决检测中出现的问题，并将相关情况及时与委托方沟通。</w:t>
      </w:r>
    </w:p>
    <w:p>
      <w:pPr>
        <w:spacing w:line="360" w:lineRule="auto"/>
        <w:ind w:firstLine="480"/>
        <w:jc w:val="both"/>
      </w:pPr>
      <w:r>
        <w:rPr>
          <w:rFonts w:ascii="Arial" w:hAnsi="Arial" w:eastAsia="宋体"/>
          <w:b w:val="0"/>
          <w:sz w:val="24"/>
        </w:rPr>
        <w:t>4.从制度上保证：建立严格的报告审核制度和检测档案管理制度，落实工作责任制，做到定岗、定人、定责、定时、定量；检测过程数据和结果数据、检测影像资料及检测报告按规定留存，保证检测活动全过程可追溯。</w:t>
      </w:r>
    </w:p>
    <w:sectPr>
      <w:pgSz w:w="11906" w:h="16838"/>
      <w:pgMar w:top="1417" w:right="1417" w:bottom="1417" w:left="1417"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ＭＳ 明朝">
    <w:altName w:val="Yu Gothic"/>
    <w:panose1 w:val="00000000000000000000"/>
    <w:charset w:val="80"/>
    <w:family w:val="roman"/>
    <w:pitch w:val="default"/>
    <w:sig w:usb0="00000000" w:usb1="00000000" w:usb2="00000010" w:usb3="00000000" w:csb0="00020000" w:csb1="00000000"/>
  </w:font>
  <w:font w:name="ＭＳ 明朝">
    <w:altName w:val="宋体"/>
    <w:panose1 w:val="00000000000000000000"/>
    <w:charset w:val="86"/>
    <w:family w:val="auto"/>
    <w:pitch w:val="default"/>
    <w:sig w:usb0="00000000" w:usb1="00000000" w:usb2="00000000" w:usb3="00000000" w:csb0="00000000" w:csb1="00000000"/>
  </w:font>
  <w:font w:name="MS Gothic">
    <w:panose1 w:val="020B0609070205080204"/>
    <w:charset w:val="80"/>
    <w:family w:val="auto"/>
    <w:pitch w:val="default"/>
    <w:sig w:usb0="E00002FF" w:usb1="6AC7FDFB" w:usb2="08000012" w:usb3="00000000" w:csb0="4002009F" w:csb1="DFD70000"/>
  </w:font>
  <w:font w:name="Courier">
    <w:altName w:val="Courier New"/>
    <w:panose1 w:val="02000500000000000000"/>
    <w:charset w:val="00"/>
    <w:family w:val="auto"/>
    <w:pitch w:val="default"/>
    <w:sig w:usb0="00000000" w:usb1="00000000" w:usb2="00000000" w:usb3="00000000" w:csb0="00000001" w:csb1="00000000"/>
  </w:font>
  <w:font w:name="ＭＳ 明朝">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E"/>
    <w:multiLevelType w:val="singleLevel"/>
    <w:tmpl w:val="FFFFFF7E"/>
    <w:lvl w:ilvl="0" w:tentative="0">
      <w:start w:val="1"/>
      <w:numFmt w:val="decimal"/>
      <w:pStyle w:val="20"/>
      <w:lvlText w:val="%1."/>
      <w:lvlJc w:val="left"/>
      <w:pPr>
        <w:tabs>
          <w:tab w:val="left" w:pos="1080"/>
        </w:tabs>
        <w:ind w:left="1080" w:hanging="360"/>
      </w:pPr>
    </w:lvl>
  </w:abstractNum>
  <w:abstractNum w:abstractNumId="1">
    <w:nsid w:val="FFFFFF7F"/>
    <w:multiLevelType w:val="singleLevel"/>
    <w:tmpl w:val="FFFFFF7F"/>
    <w:lvl w:ilvl="0" w:tentative="0">
      <w:start w:val="1"/>
      <w:numFmt w:val="decimal"/>
      <w:pStyle w:val="13"/>
      <w:lvlText w:val="%1."/>
      <w:lvlJc w:val="left"/>
      <w:pPr>
        <w:tabs>
          <w:tab w:val="left" w:pos="720"/>
        </w:tabs>
        <w:ind w:left="720" w:hanging="360"/>
      </w:pPr>
    </w:lvl>
  </w:abstractNum>
  <w:abstractNum w:abstractNumId="2">
    <w:nsid w:val="FFFFFF82"/>
    <w:multiLevelType w:val="singleLevel"/>
    <w:tmpl w:val="FFFFFF82"/>
    <w:lvl w:ilvl="0" w:tentative="0">
      <w:start w:val="1"/>
      <w:numFmt w:val="bullet"/>
      <w:pStyle w:val="18"/>
      <w:lvlText w:val=""/>
      <w:lvlJc w:val="left"/>
      <w:pPr>
        <w:tabs>
          <w:tab w:val="left" w:pos="1080"/>
        </w:tabs>
        <w:ind w:left="1080" w:hanging="360"/>
      </w:pPr>
      <w:rPr>
        <w:rFonts w:hint="default" w:ascii="Symbol" w:hAnsi="Symbol"/>
      </w:rPr>
    </w:lvl>
  </w:abstractNum>
  <w:abstractNum w:abstractNumId="3">
    <w:nsid w:val="FFFFFF83"/>
    <w:multiLevelType w:val="singleLevel"/>
    <w:tmpl w:val="FFFFFF83"/>
    <w:lvl w:ilvl="0" w:tentative="0">
      <w:start w:val="1"/>
      <w:numFmt w:val="bullet"/>
      <w:pStyle w:val="23"/>
      <w:lvlText w:val=""/>
      <w:lvlJc w:val="left"/>
      <w:pPr>
        <w:tabs>
          <w:tab w:val="left" w:pos="720"/>
        </w:tabs>
        <w:ind w:left="720" w:hanging="360"/>
      </w:pPr>
      <w:rPr>
        <w:rFonts w:hint="default" w:ascii="Symbol" w:hAnsi="Symbol"/>
      </w:rPr>
    </w:lvl>
  </w:abstractNum>
  <w:abstractNum w:abstractNumId="4">
    <w:nsid w:val="FFFFFF88"/>
    <w:multiLevelType w:val="singleLevel"/>
    <w:tmpl w:val="FFFFFF88"/>
    <w:lvl w:ilvl="0" w:tentative="0">
      <w:start w:val="1"/>
      <w:numFmt w:val="decimal"/>
      <w:pStyle w:val="14"/>
      <w:lvlText w:val="%1."/>
      <w:lvlJc w:val="left"/>
      <w:pPr>
        <w:tabs>
          <w:tab w:val="left" w:pos="360"/>
        </w:tabs>
        <w:ind w:left="360" w:hanging="360"/>
      </w:pPr>
    </w:lvl>
  </w:abstractNum>
  <w:abstractNum w:abstractNumId="5">
    <w:nsid w:val="FFFFFF89"/>
    <w:multiLevelType w:val="singleLevel"/>
    <w:tmpl w:val="FFFFFF89"/>
    <w:lvl w:ilvl="0" w:tentative="0">
      <w:start w:val="1"/>
      <w:numFmt w:val="bullet"/>
      <w:pStyle w:val="16"/>
      <w:lvlText w:val=""/>
      <w:lvlJc w:val="left"/>
      <w:pPr>
        <w:tabs>
          <w:tab w:val="left" w:pos="360"/>
        </w:tabs>
        <w:ind w:left="360" w:hanging="360"/>
      </w:pPr>
      <w:rPr>
        <w:rFonts w:hint="default" w:ascii="Symbol" w:hAnsi="Symbol"/>
      </w:rPr>
    </w:lvl>
  </w:abstractNum>
  <w:num w:numId="1">
    <w:abstractNumId w:val="1"/>
  </w:num>
  <w:num w:numId="2">
    <w:abstractNumId w:val="4"/>
  </w:num>
  <w:num w:numId="3">
    <w:abstractNumId w:val="5"/>
  </w:num>
  <w:num w:numId="4">
    <w:abstractNumId w:val="2"/>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 w:val="2DFD2C5C"/>
    <w:rsid w:val="3A706BE4"/>
    <w:rsid w:val="6BBA0516"/>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ja-JP"/>
  <w:clrSchemeMapping w:bg1="light1" w:t1="dark1" w:bg2="light2" w:t2="dark2" w:accent1="accent1" w:accent2="accent2" w:accent3="accent3" w:accent4="accent4" w:accent5="accent5" w:accent6="accent6" w:hyperlink="hyperlink" w:followedHyperlink="followedHyperlink"/>
  <w14:defaultImageDpi w14:val="300"/>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qFormat="1" w:uiPriority="99" w:semiHidden="0" w:name="macro"/>
    <w:lsdException w:uiPriority="99" w:name="toa heading"/>
    <w:lsdException w:qFormat="1" w:uiPriority="99" w:semiHidden="0" w:name="List"/>
    <w:lsdException w:qFormat="1" w:uiPriority="99" w:semiHidden="0" w:name="List Bullet"/>
    <w:lsdException w:qFormat="1" w:uiPriority="99" w:semiHidden="0" w:name="List Number"/>
    <w:lsdException w:qFormat="1" w:uiPriority="99" w:semiHidden="0" w:name="List 2"/>
    <w:lsdException w:qFormat="1" w:uiPriority="99" w:semiHidden="0" w:name="List 3"/>
    <w:lsdException w:uiPriority="99" w:name="List 4"/>
    <w:lsdException w:uiPriority="99" w:name="List 5"/>
    <w:lsdException w:qFormat="1" w:uiPriority="99" w:semiHidden="0" w:name="List Bullet 2"/>
    <w:lsdException w:qFormat="1" w:uiPriority="99" w:semiHidden="0" w:name="List Bullet 3"/>
    <w:lsdException w:uiPriority="99" w:name="List Bullet 4"/>
    <w:lsdException w:uiPriority="99" w:name="List Bullet 5"/>
    <w:lsdException w:uiPriority="99" w:semiHidden="0" w:name="List Number 2"/>
    <w:lsdException w:qFormat="1" w:uiPriority="99" w:semiHidden="0"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iPriority="99" w:semiHidden="0" w:name="Body Text"/>
    <w:lsdException w:uiPriority="99" w:name="Body Text Indent"/>
    <w:lsdException w:qFormat="1" w:uiPriority="99" w:semiHidden="0" w:name="List Continue"/>
    <w:lsdException w:qFormat="1" w:uiPriority="99" w:semiHidden="0" w:name="List Continue 2"/>
    <w:lsdException w:qFormat="1" w:uiPriority="99" w:semiHidden="0"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iPriority="99" w:semiHidden="0" w:name="Body Text 2"/>
    <w:lsdException w:qFormat="1" w:uiPriority="99" w:semiHidden="0"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unhideWhenUsed="0" w:uiPriority="70" w:semiHidden="0" w:name="Dark List Accent 4"/>
    <w:lsdException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unhideWhenUsed="0" w:uiPriority="69" w:semiHidden="0" w:name="Medium Grid 3 Accent 5"/>
    <w:lsdException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spacing w:before="0" w:after="0" w:line="360" w:lineRule="auto"/>
    </w:pPr>
    <w:rPr>
      <w:rFonts w:ascii="Arial" w:hAnsi="Arial" w:eastAsia="宋体" w:cstheme="minorBidi"/>
      <w:color w:val="000000"/>
      <w:sz w:val="24"/>
      <w:szCs w:val="22"/>
      <w:lang w:val="en-US" w:eastAsia="en-US" w:bidi="ar-SA"/>
    </w:rPr>
  </w:style>
  <w:style w:type="paragraph" w:styleId="3">
    <w:name w:val="heading 1"/>
    <w:basedOn w:val="1"/>
    <w:next w:val="1"/>
    <w:link w:val="138"/>
    <w:qFormat/>
    <w:uiPriority w:val="9"/>
    <w:pPr>
      <w:keepNext/>
      <w:keepLines/>
      <w:spacing w:before="280" w:after="120" w:line="360" w:lineRule="auto"/>
      <w:outlineLvl w:val="0"/>
    </w:pPr>
    <w:rPr>
      <w:rFonts w:asciiTheme="majorHAnsi" w:hAnsiTheme="majorHAnsi" w:eastAsiaTheme="majorEastAsia" w:cstheme="majorBidi"/>
      <w:b/>
      <w:bCs/>
      <w:color w:val="000000"/>
      <w:sz w:val="32"/>
      <w:szCs w:val="28"/>
    </w:rPr>
  </w:style>
  <w:style w:type="paragraph" w:styleId="4">
    <w:name w:val="heading 2"/>
    <w:basedOn w:val="1"/>
    <w:next w:val="1"/>
    <w:link w:val="139"/>
    <w:unhideWhenUsed/>
    <w:qFormat/>
    <w:uiPriority w:val="9"/>
    <w:pPr>
      <w:keepNext/>
      <w:keepLines/>
      <w:spacing w:before="220" w:after="100" w:line="360" w:lineRule="auto"/>
      <w:outlineLvl w:val="1"/>
    </w:pPr>
    <w:rPr>
      <w:rFonts w:asciiTheme="majorHAnsi" w:hAnsiTheme="majorHAnsi" w:eastAsiaTheme="majorEastAsia" w:cstheme="majorBidi"/>
      <w:b/>
      <w:bCs/>
      <w:color w:val="000000"/>
      <w:sz w:val="28"/>
      <w:szCs w:val="26"/>
    </w:rPr>
  </w:style>
  <w:style w:type="paragraph" w:styleId="5">
    <w:name w:val="heading 3"/>
    <w:basedOn w:val="1"/>
    <w:next w:val="1"/>
    <w:link w:val="140"/>
    <w:unhideWhenUsed/>
    <w:qFormat/>
    <w:uiPriority w:val="9"/>
    <w:pPr>
      <w:keepNext/>
      <w:keepLines/>
      <w:spacing w:before="200" w:after="0"/>
      <w:outlineLvl w:val="2"/>
    </w:pPr>
    <w:rPr>
      <w:rFonts w:asciiTheme="majorHAnsi" w:hAnsiTheme="majorHAnsi" w:eastAsiaTheme="majorEastAsia" w:cstheme="majorBidi"/>
      <w:b/>
      <w:bCs/>
      <w:color w:val="4F81BD" w:themeColor="accent1"/>
      <w14:textFill>
        <w14:solidFill>
          <w14:schemeClr w14:val="accent1"/>
        </w14:solidFill>
      </w14:textFill>
    </w:rPr>
  </w:style>
  <w:style w:type="paragraph" w:styleId="6">
    <w:name w:val="heading 4"/>
    <w:basedOn w:val="1"/>
    <w:next w:val="1"/>
    <w:link w:val="150"/>
    <w:semiHidden/>
    <w:unhideWhenUsed/>
    <w:qFormat/>
    <w:uiPriority w:val="9"/>
    <w:pPr>
      <w:keepNext/>
      <w:keepLines/>
      <w:spacing w:before="200" w:after="0"/>
      <w:outlineLvl w:val="3"/>
    </w:pPr>
    <w:rPr>
      <w:rFonts w:asciiTheme="majorHAnsi" w:hAnsiTheme="majorHAnsi" w:eastAsiaTheme="majorEastAsia" w:cstheme="majorBidi"/>
      <w:b/>
      <w:bCs/>
      <w:i/>
      <w:iCs/>
      <w:color w:val="4F81BD" w:themeColor="accent1"/>
      <w14:textFill>
        <w14:solidFill>
          <w14:schemeClr w14:val="accent1"/>
        </w14:solidFill>
      </w14:textFill>
    </w:rPr>
  </w:style>
  <w:style w:type="paragraph" w:styleId="7">
    <w:name w:val="heading 5"/>
    <w:basedOn w:val="1"/>
    <w:next w:val="1"/>
    <w:link w:val="151"/>
    <w:semiHidden/>
    <w:unhideWhenUsed/>
    <w:qFormat/>
    <w:uiPriority w:val="9"/>
    <w:pPr>
      <w:keepNext/>
      <w:keepLines/>
      <w:spacing w:before="200" w:after="0"/>
      <w:outlineLvl w:val="4"/>
    </w:pPr>
    <w:rPr>
      <w:rFonts w:asciiTheme="majorHAnsi" w:hAnsiTheme="majorHAnsi" w:eastAsiaTheme="majorEastAsia" w:cstheme="majorBidi"/>
      <w:color w:val="254061" w:themeColor="accent1" w:themeShade="80"/>
    </w:rPr>
  </w:style>
  <w:style w:type="paragraph" w:styleId="8">
    <w:name w:val="heading 6"/>
    <w:basedOn w:val="1"/>
    <w:next w:val="1"/>
    <w:link w:val="152"/>
    <w:semiHidden/>
    <w:unhideWhenUsed/>
    <w:qFormat/>
    <w:uiPriority w:val="9"/>
    <w:pPr>
      <w:keepNext/>
      <w:keepLines/>
      <w:spacing w:before="200" w:after="0"/>
      <w:outlineLvl w:val="5"/>
    </w:pPr>
    <w:rPr>
      <w:rFonts w:asciiTheme="majorHAnsi" w:hAnsiTheme="majorHAnsi" w:eastAsiaTheme="majorEastAsia" w:cstheme="majorBidi"/>
      <w:i/>
      <w:iCs/>
      <w:color w:val="254061" w:themeColor="accent1" w:themeShade="80"/>
    </w:rPr>
  </w:style>
  <w:style w:type="paragraph" w:styleId="9">
    <w:name w:val="heading 7"/>
    <w:basedOn w:val="1"/>
    <w:next w:val="1"/>
    <w:link w:val="153"/>
    <w:semiHidden/>
    <w:unhideWhenUsed/>
    <w:qFormat/>
    <w:uiPriority w:val="9"/>
    <w:pPr>
      <w:keepNext/>
      <w:keepLines/>
      <w:spacing w:before="200" w:after="0"/>
      <w:outlineLvl w:val="6"/>
    </w:pPr>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paragraph" w:styleId="10">
    <w:name w:val="heading 8"/>
    <w:basedOn w:val="1"/>
    <w:next w:val="1"/>
    <w:link w:val="154"/>
    <w:semiHidden/>
    <w:unhideWhenUsed/>
    <w:qFormat/>
    <w:uiPriority w:val="9"/>
    <w:pPr>
      <w:keepNext/>
      <w:keepLines/>
      <w:spacing w:before="200" w:after="0"/>
      <w:outlineLvl w:val="7"/>
    </w:pPr>
    <w:rPr>
      <w:rFonts w:asciiTheme="majorHAnsi" w:hAnsiTheme="majorHAnsi" w:eastAsiaTheme="majorEastAsia" w:cstheme="majorBidi"/>
      <w:color w:val="4F81BD" w:themeColor="accent1"/>
      <w:sz w:val="20"/>
      <w:szCs w:val="20"/>
      <w14:textFill>
        <w14:solidFill>
          <w14:schemeClr w14:val="accent1"/>
        </w14:solidFill>
      </w14:textFill>
    </w:rPr>
  </w:style>
  <w:style w:type="paragraph" w:styleId="11">
    <w:name w:val="heading 9"/>
    <w:basedOn w:val="1"/>
    <w:next w:val="1"/>
    <w:link w:val="155"/>
    <w:semiHidden/>
    <w:unhideWhenUsed/>
    <w:qFormat/>
    <w:uiPriority w:val="9"/>
    <w:pPr>
      <w:keepNext/>
      <w:keepLines/>
      <w:spacing w:before="200" w:after="0"/>
      <w:outlineLvl w:val="8"/>
    </w:pPr>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default="1" w:styleId="132">
    <w:name w:val="Default Paragraph Font"/>
    <w:semiHidden/>
    <w:unhideWhenUsed/>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2">
    <w:name w:val="macro"/>
    <w:link w:val="147"/>
    <w:unhideWhenUsed/>
    <w:qFormat/>
    <w:uiPriority w:val="99"/>
    <w:pPr>
      <w:tabs>
        <w:tab w:val="left" w:pos="576"/>
        <w:tab w:val="left" w:pos="1152"/>
        <w:tab w:val="left" w:pos="1728"/>
        <w:tab w:val="left" w:pos="2304"/>
        <w:tab w:val="left" w:pos="2880"/>
        <w:tab w:val="left" w:pos="3456"/>
        <w:tab w:val="left" w:pos="4032"/>
      </w:tabs>
      <w:spacing w:after="200" w:line="276" w:lineRule="auto"/>
    </w:pPr>
    <w:rPr>
      <w:rFonts w:ascii="Courier" w:hAnsi="Courier" w:eastAsiaTheme="minorEastAsia" w:cstheme="minorBidi"/>
      <w:sz w:val="20"/>
      <w:szCs w:val="20"/>
      <w:lang w:val="en-US" w:eastAsia="en-US" w:bidi="ar-SA"/>
    </w:rPr>
  </w:style>
  <w:style w:type="paragraph" w:styleId="12">
    <w:name w:val="List 3"/>
    <w:basedOn w:val="1"/>
    <w:unhideWhenUsed/>
    <w:qFormat/>
    <w:uiPriority w:val="99"/>
    <w:pPr>
      <w:ind w:left="1080" w:hanging="360"/>
      <w:contextualSpacing/>
    </w:pPr>
  </w:style>
  <w:style w:type="paragraph" w:styleId="13">
    <w:name w:val="List Number 2"/>
    <w:basedOn w:val="1"/>
    <w:unhideWhenUsed/>
    <w:uiPriority w:val="99"/>
    <w:pPr>
      <w:numPr>
        <w:ilvl w:val="0"/>
        <w:numId w:val="1"/>
      </w:numPr>
      <w:contextualSpacing/>
    </w:pPr>
  </w:style>
  <w:style w:type="paragraph" w:styleId="14">
    <w:name w:val="List Number"/>
    <w:basedOn w:val="1"/>
    <w:unhideWhenUsed/>
    <w:qFormat/>
    <w:uiPriority w:val="99"/>
    <w:pPr>
      <w:numPr>
        <w:ilvl w:val="0"/>
        <w:numId w:val="2"/>
      </w:numPr>
      <w:contextualSpacing/>
    </w:pPr>
  </w:style>
  <w:style w:type="paragraph" w:styleId="15">
    <w:name w:val="caption"/>
    <w:basedOn w:val="1"/>
    <w:next w:val="1"/>
    <w:semiHidden/>
    <w:unhideWhenUsed/>
    <w:qFormat/>
    <w:uiPriority w:val="35"/>
    <w:pPr>
      <w:spacing w:line="240" w:lineRule="auto"/>
    </w:pPr>
    <w:rPr>
      <w:b/>
      <w:bCs/>
      <w:color w:val="4F81BD" w:themeColor="accent1"/>
      <w:sz w:val="18"/>
      <w:szCs w:val="18"/>
      <w14:textFill>
        <w14:solidFill>
          <w14:schemeClr w14:val="accent1"/>
        </w14:solidFill>
      </w14:textFill>
    </w:rPr>
  </w:style>
  <w:style w:type="paragraph" w:styleId="16">
    <w:name w:val="List Bullet"/>
    <w:basedOn w:val="1"/>
    <w:unhideWhenUsed/>
    <w:qFormat/>
    <w:uiPriority w:val="99"/>
    <w:pPr>
      <w:numPr>
        <w:ilvl w:val="0"/>
        <w:numId w:val="3"/>
      </w:numPr>
      <w:contextualSpacing/>
    </w:pPr>
  </w:style>
  <w:style w:type="paragraph" w:styleId="17">
    <w:name w:val="Body Text 3"/>
    <w:basedOn w:val="1"/>
    <w:link w:val="146"/>
    <w:unhideWhenUsed/>
    <w:qFormat/>
    <w:uiPriority w:val="99"/>
    <w:pPr>
      <w:spacing w:after="120"/>
    </w:pPr>
    <w:rPr>
      <w:sz w:val="16"/>
      <w:szCs w:val="16"/>
    </w:rPr>
  </w:style>
  <w:style w:type="paragraph" w:styleId="18">
    <w:name w:val="List Bullet 3"/>
    <w:basedOn w:val="1"/>
    <w:unhideWhenUsed/>
    <w:qFormat/>
    <w:uiPriority w:val="99"/>
    <w:pPr>
      <w:numPr>
        <w:ilvl w:val="0"/>
        <w:numId w:val="4"/>
      </w:numPr>
      <w:contextualSpacing/>
    </w:pPr>
  </w:style>
  <w:style w:type="paragraph" w:styleId="19">
    <w:name w:val="Body Text"/>
    <w:basedOn w:val="1"/>
    <w:link w:val="144"/>
    <w:unhideWhenUsed/>
    <w:qFormat/>
    <w:uiPriority w:val="99"/>
    <w:pPr>
      <w:spacing w:after="120"/>
    </w:pPr>
  </w:style>
  <w:style w:type="paragraph" w:styleId="20">
    <w:name w:val="List Number 3"/>
    <w:basedOn w:val="1"/>
    <w:unhideWhenUsed/>
    <w:qFormat/>
    <w:uiPriority w:val="99"/>
    <w:pPr>
      <w:numPr>
        <w:ilvl w:val="0"/>
        <w:numId w:val="5"/>
      </w:numPr>
      <w:contextualSpacing/>
    </w:pPr>
  </w:style>
  <w:style w:type="paragraph" w:styleId="21">
    <w:name w:val="List 2"/>
    <w:basedOn w:val="1"/>
    <w:unhideWhenUsed/>
    <w:qFormat/>
    <w:uiPriority w:val="99"/>
    <w:pPr>
      <w:ind w:left="720" w:hanging="360"/>
      <w:contextualSpacing/>
    </w:pPr>
  </w:style>
  <w:style w:type="paragraph" w:styleId="22">
    <w:name w:val="List Continue"/>
    <w:basedOn w:val="1"/>
    <w:unhideWhenUsed/>
    <w:qFormat/>
    <w:uiPriority w:val="99"/>
    <w:pPr>
      <w:spacing w:after="120"/>
      <w:ind w:left="360"/>
      <w:contextualSpacing/>
    </w:pPr>
  </w:style>
  <w:style w:type="paragraph" w:styleId="23">
    <w:name w:val="List Bullet 2"/>
    <w:basedOn w:val="1"/>
    <w:unhideWhenUsed/>
    <w:qFormat/>
    <w:uiPriority w:val="99"/>
    <w:pPr>
      <w:numPr>
        <w:ilvl w:val="0"/>
        <w:numId w:val="6"/>
      </w:numPr>
      <w:contextualSpacing/>
    </w:pPr>
  </w:style>
  <w:style w:type="paragraph" w:styleId="24">
    <w:name w:val="footer"/>
    <w:basedOn w:val="1"/>
    <w:link w:val="136"/>
    <w:unhideWhenUsed/>
    <w:qFormat/>
    <w:uiPriority w:val="99"/>
    <w:pPr>
      <w:tabs>
        <w:tab w:val="center" w:pos="4680"/>
        <w:tab w:val="right" w:pos="9360"/>
      </w:tabs>
      <w:spacing w:after="0" w:line="240" w:lineRule="auto"/>
    </w:pPr>
  </w:style>
  <w:style w:type="paragraph" w:styleId="25">
    <w:name w:val="header"/>
    <w:basedOn w:val="1"/>
    <w:link w:val="135"/>
    <w:unhideWhenUsed/>
    <w:qFormat/>
    <w:uiPriority w:val="99"/>
    <w:pPr>
      <w:tabs>
        <w:tab w:val="center" w:pos="4680"/>
        <w:tab w:val="right" w:pos="9360"/>
      </w:tabs>
      <w:spacing w:after="0" w:line="240" w:lineRule="auto"/>
    </w:pPr>
  </w:style>
  <w:style w:type="paragraph" w:styleId="26">
    <w:name w:val="Subtitle"/>
    <w:basedOn w:val="1"/>
    <w:next w:val="1"/>
    <w:link w:val="142"/>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27">
    <w:name w:val="List"/>
    <w:basedOn w:val="1"/>
    <w:unhideWhenUsed/>
    <w:qFormat/>
    <w:uiPriority w:val="99"/>
    <w:pPr>
      <w:ind w:left="360" w:hanging="360"/>
      <w:contextualSpacing/>
    </w:pPr>
  </w:style>
  <w:style w:type="paragraph" w:styleId="28">
    <w:name w:val="Body Text 2"/>
    <w:basedOn w:val="1"/>
    <w:link w:val="145"/>
    <w:unhideWhenUsed/>
    <w:qFormat/>
    <w:uiPriority w:val="99"/>
    <w:pPr>
      <w:spacing w:after="120" w:line="480" w:lineRule="auto"/>
    </w:pPr>
  </w:style>
  <w:style w:type="paragraph" w:styleId="29">
    <w:name w:val="List Continue 2"/>
    <w:basedOn w:val="1"/>
    <w:unhideWhenUsed/>
    <w:qFormat/>
    <w:uiPriority w:val="99"/>
    <w:pPr>
      <w:spacing w:after="120"/>
      <w:ind w:left="720"/>
      <w:contextualSpacing/>
    </w:pPr>
  </w:style>
  <w:style w:type="paragraph" w:styleId="30">
    <w:name w:val="List Continue 3"/>
    <w:basedOn w:val="1"/>
    <w:unhideWhenUsed/>
    <w:qFormat/>
    <w:uiPriority w:val="99"/>
    <w:pPr>
      <w:spacing w:after="120"/>
      <w:ind w:left="1080"/>
      <w:contextualSpacing/>
    </w:pPr>
  </w:style>
  <w:style w:type="paragraph" w:styleId="31">
    <w:name w:val="Title"/>
    <w:basedOn w:val="1"/>
    <w:next w:val="1"/>
    <w:link w:val="141"/>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table" w:styleId="33">
    <w:name w:val="Table Grid"/>
    <w:basedOn w:val="32"/>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34">
    <w:name w:val="Light Shading"/>
    <w:basedOn w:val="32"/>
    <w:qFormat/>
    <w:uiPriority w:val="60"/>
    <w:pPr>
      <w:spacing w:after="0" w:line="240" w:lineRule="auto"/>
    </w:pPr>
    <w:rPr>
      <w:color w:val="000000" w:themeColor="text1" w:themeShade="BF"/>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left w:val="nil"/>
          <w:right w:val="nil"/>
          <w:insideH w:val="nil"/>
          <w:insideV w:val="nil"/>
        </w:tcBorders>
        <w:shd w:val="clear" w:color="auto" w:fill="BFBFBF" w:themeFill="text1" w:themeFillTint="3F"/>
      </w:tcPr>
    </w:tblStylePr>
  </w:style>
  <w:style w:type="table" w:styleId="35">
    <w:name w:val="Light Shading Accent 1"/>
    <w:basedOn w:val="32"/>
    <w:qFormat/>
    <w:uiPriority w:val="60"/>
    <w:pPr>
      <w:spacing w:after="0" w:line="240" w:lineRule="auto"/>
    </w:pPr>
    <w:rPr>
      <w:color w:val="376092" w:themeColor="accent1" w:themeShade="BF"/>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36">
    <w:name w:val="Light Shading Accent 2"/>
    <w:basedOn w:val="32"/>
    <w:qFormat/>
    <w:uiPriority w:val="60"/>
    <w:pPr>
      <w:spacing w:after="0" w:line="240" w:lineRule="auto"/>
    </w:pPr>
    <w:rPr>
      <w:color w:val="953735" w:themeColor="accent2" w:themeShade="BF"/>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left w:val="nil"/>
          <w:right w:val="nil"/>
          <w:insideH w:val="nil"/>
          <w:insideV w:val="nil"/>
        </w:tcBorders>
        <w:shd w:val="clear" w:color="auto" w:fill="EFD3D3" w:themeFill="accent2" w:themeFillTint="3F"/>
      </w:tcPr>
    </w:tblStylePr>
  </w:style>
  <w:style w:type="table" w:styleId="37">
    <w:name w:val="Light Shading Accent 3"/>
    <w:basedOn w:val="32"/>
    <w:qFormat/>
    <w:uiPriority w:val="60"/>
    <w:pPr>
      <w:spacing w:after="0" w:line="240" w:lineRule="auto"/>
    </w:pPr>
    <w:rPr>
      <w:color w:val="77933C" w:themeColor="accent3" w:themeShade="BF"/>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38">
    <w:name w:val="Light Shading Accent 4"/>
    <w:basedOn w:val="32"/>
    <w:qFormat/>
    <w:uiPriority w:val="60"/>
    <w:pPr>
      <w:spacing w:after="0" w:line="240" w:lineRule="auto"/>
    </w:pPr>
    <w:rPr>
      <w:color w:val="604A7B" w:themeColor="accent4" w:themeShade="BF"/>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39">
    <w:name w:val="Light Shading Accent 5"/>
    <w:basedOn w:val="32"/>
    <w:qFormat/>
    <w:uiPriority w:val="60"/>
    <w:pPr>
      <w:spacing w:after="0" w:line="240" w:lineRule="auto"/>
    </w:pPr>
    <w:rPr>
      <w:color w:val="31859C" w:themeColor="accent5" w:themeShade="BF"/>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left w:val="nil"/>
          <w:right w:val="nil"/>
          <w:insideH w:val="nil"/>
          <w:insideV w:val="nil"/>
        </w:tcBorders>
        <w:shd w:val="clear" w:color="auto" w:fill="D2EAF0" w:themeFill="accent5" w:themeFillTint="3F"/>
      </w:tcPr>
    </w:tblStylePr>
  </w:style>
  <w:style w:type="table" w:styleId="40">
    <w:name w:val="Light Shading Accent 6"/>
    <w:basedOn w:val="32"/>
    <w:qFormat/>
    <w:uiPriority w:val="60"/>
    <w:pPr>
      <w:spacing w:after="0" w:line="240" w:lineRule="auto"/>
    </w:pPr>
    <w:rPr>
      <w:color w:val="E46C0A" w:themeColor="accent6" w:themeShade="BF"/>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left w:val="nil"/>
          <w:right w:val="nil"/>
          <w:insideH w:val="nil"/>
          <w:insideV w:val="nil"/>
        </w:tcBorders>
        <w:shd w:val="clear" w:color="auto" w:fill="FDE5D1" w:themeFill="accent6" w:themeFillTint="3F"/>
      </w:tcPr>
    </w:tblStylePr>
  </w:style>
  <w:style w:type="table" w:styleId="41">
    <w:name w:val="Light List"/>
    <w:basedOn w:val="32"/>
    <w:qFormat/>
    <w:uiPriority w:val="61"/>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42">
    <w:name w:val="Light List Accent 1"/>
    <w:basedOn w:val="32"/>
    <w:qFormat/>
    <w:uiPriority w:val="61"/>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43">
    <w:name w:val="Light List Accent 2"/>
    <w:basedOn w:val="32"/>
    <w:qFormat/>
    <w:uiPriority w:val="61"/>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44">
    <w:name w:val="Light List Accent 3"/>
    <w:basedOn w:val="32"/>
    <w:qFormat/>
    <w:uiPriority w:val="61"/>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45">
    <w:name w:val="Light List Accent 4"/>
    <w:basedOn w:val="32"/>
    <w:qFormat/>
    <w:uiPriority w:val="61"/>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46">
    <w:name w:val="Light List Accent 5"/>
    <w:basedOn w:val="32"/>
    <w:qFormat/>
    <w:uiPriority w:val="61"/>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47">
    <w:name w:val="Light List Accent 6"/>
    <w:basedOn w:val="32"/>
    <w:qFormat/>
    <w:uiPriority w:val="61"/>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48">
    <w:name w:val="Light Grid"/>
    <w:basedOn w:val="32"/>
    <w:qFormat/>
    <w:uiPriority w:val="62"/>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BFBFBF"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shd w:val="clear" w:color="auto" w:fill="BFBFBF"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tcPr>
    </w:tblStylePr>
  </w:style>
  <w:style w:type="table" w:styleId="49">
    <w:name w:val="Light Grid Accent 1"/>
    <w:basedOn w:val="32"/>
    <w:qFormat/>
    <w:uiPriority w:val="62"/>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tcPr>
    </w:tblStylePr>
  </w:style>
  <w:style w:type="table" w:styleId="50">
    <w:name w:val="Light Grid Accent 2"/>
    <w:basedOn w:val="32"/>
    <w:qFormat/>
    <w:uiPriority w:val="62"/>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3"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shd w:val="clear" w:color="auto" w:fill="EFD3D3"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tcPr>
    </w:tblStylePr>
  </w:style>
  <w:style w:type="table" w:styleId="51">
    <w:name w:val="Light Grid Accent 3"/>
    <w:basedOn w:val="32"/>
    <w:qFormat/>
    <w:uiPriority w:val="62"/>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tcPr>
    </w:tblStylePr>
  </w:style>
  <w:style w:type="table" w:styleId="52">
    <w:name w:val="Light Grid Accent 4"/>
    <w:basedOn w:val="32"/>
    <w:qFormat/>
    <w:uiPriority w:val="62"/>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tcPr>
    </w:tblStylePr>
  </w:style>
  <w:style w:type="table" w:styleId="53">
    <w:name w:val="Light Grid Accent 5"/>
    <w:basedOn w:val="32"/>
    <w:qFormat/>
    <w:uiPriority w:val="62"/>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0"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shd w:val="clear" w:color="auto" w:fill="D2EAF0"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tcPr>
    </w:tblStylePr>
  </w:style>
  <w:style w:type="table" w:styleId="54">
    <w:name w:val="Light Grid Accent 6"/>
    <w:basedOn w:val="32"/>
    <w:qFormat/>
    <w:uiPriority w:val="62"/>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5D1"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shd w:val="clear" w:color="auto" w:fill="FDE5D1"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tcPr>
    </w:tblStylePr>
  </w:style>
  <w:style w:type="table" w:styleId="55">
    <w:name w:val="Medium Shading 1"/>
    <w:basedOn w:val="32"/>
    <w:qFormat/>
    <w:uiPriority w:val="63"/>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3F3F3F" w:themeColor="text1" w:themeTint="BF" w:sz="6" w:space="0"/>
          <w:left w:val="single" w:color="3F3F3F" w:themeColor="text1" w:themeTint="BF" w:sz="8" w:space="0"/>
          <w:bottom w:val="single" w:color="3F3F3F" w:themeColor="text1" w:themeTint="BF" w:sz="8" w:space="0"/>
          <w:right w:val="single" w:color="3F3F3F"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BFBFBF" w:themeFill="text1" w:themeFillTint="3F"/>
      </w:tcPr>
    </w:tblStylePr>
    <w:tblStylePr w:type="band1Horz">
      <w:tblPr/>
      <w:tcPr>
        <w:tcBorders>
          <w:insideH w:val="nil"/>
          <w:insideV w:val="nil"/>
        </w:tcBorders>
        <w:shd w:val="clear" w:color="auto" w:fill="BFBFBF" w:themeFill="text1" w:themeFillTint="3F"/>
      </w:tcPr>
    </w:tblStylePr>
    <w:tblStylePr w:type="band2Horz">
      <w:tblPr/>
      <w:tcPr>
        <w:tcBorders>
          <w:insideH w:val="nil"/>
          <w:insideV w:val="nil"/>
        </w:tcBorders>
      </w:tcPr>
    </w:tblStylePr>
  </w:style>
  <w:style w:type="table" w:styleId="56">
    <w:name w:val="Medium Shading 1 Accent 1"/>
    <w:basedOn w:val="32"/>
    <w:qFormat/>
    <w:uiPriority w:val="63"/>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57">
    <w:name w:val="Medium Shading 1 Accent 2"/>
    <w:basedOn w:val="32"/>
    <w:qFormat/>
    <w:uiPriority w:val="63"/>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3" w:themeFill="accent2" w:themeFillTint="3F"/>
      </w:tcPr>
    </w:tblStylePr>
    <w:tblStylePr w:type="band1Horz">
      <w:tblPr/>
      <w:tcPr>
        <w:tcBorders>
          <w:insideH w:val="nil"/>
          <w:insideV w:val="nil"/>
        </w:tcBorders>
        <w:shd w:val="clear" w:color="auto" w:fill="EFD3D3" w:themeFill="accent2" w:themeFillTint="3F"/>
      </w:tcPr>
    </w:tblStylePr>
    <w:tblStylePr w:type="band2Horz">
      <w:tblPr/>
      <w:tcPr>
        <w:tcBorders>
          <w:insideH w:val="nil"/>
          <w:insideV w:val="nil"/>
        </w:tcBorders>
      </w:tcPr>
    </w:tblStylePr>
  </w:style>
  <w:style w:type="table" w:styleId="58">
    <w:name w:val="Medium Shading 1 Accent 3"/>
    <w:basedOn w:val="32"/>
    <w:qFormat/>
    <w:uiPriority w:val="63"/>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4CC82" w:themeColor="accent3" w:themeTint="BF" w:sz="6"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59">
    <w:name w:val="Medium Shading 1 Accent 4"/>
    <w:basedOn w:val="32"/>
    <w:qFormat/>
    <w:uiPriority w:val="63"/>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60">
    <w:name w:val="Medium Shading 1 Accent 5"/>
    <w:basedOn w:val="32"/>
    <w:qFormat/>
    <w:uiPriority w:val="63"/>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0" w:themeFill="accent5" w:themeFillTint="3F"/>
      </w:tcPr>
    </w:tblStylePr>
    <w:tblStylePr w:type="band1Horz">
      <w:tblPr/>
      <w:tcPr>
        <w:tcBorders>
          <w:insideH w:val="nil"/>
          <w:insideV w:val="nil"/>
        </w:tcBorders>
        <w:shd w:val="clear" w:color="auto" w:fill="D2EAF0" w:themeFill="accent5" w:themeFillTint="3F"/>
      </w:tcPr>
    </w:tblStylePr>
    <w:tblStylePr w:type="band2Horz">
      <w:tblPr/>
      <w:tcPr>
        <w:tcBorders>
          <w:insideH w:val="nil"/>
          <w:insideV w:val="nil"/>
        </w:tcBorders>
      </w:tcPr>
    </w:tblStylePr>
  </w:style>
  <w:style w:type="table" w:styleId="61">
    <w:name w:val="Medium Shading 1 Accent 6"/>
    <w:basedOn w:val="32"/>
    <w:qFormat/>
    <w:uiPriority w:val="63"/>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5D1" w:themeFill="accent6" w:themeFillTint="3F"/>
      </w:tcPr>
    </w:tblStylePr>
    <w:tblStylePr w:type="band1Horz">
      <w:tblPr/>
      <w:tcPr>
        <w:tcBorders>
          <w:insideH w:val="nil"/>
          <w:insideV w:val="nil"/>
        </w:tcBorders>
        <w:shd w:val="clear" w:color="auto" w:fill="FDE5D1" w:themeFill="accent6" w:themeFillTint="3F"/>
      </w:tcPr>
    </w:tblStylePr>
    <w:tblStylePr w:type="band2Horz">
      <w:tblPr/>
      <w:tcPr>
        <w:tcBorders>
          <w:insideH w:val="nil"/>
          <w:insideV w:val="nil"/>
        </w:tcBorders>
      </w:tcPr>
    </w:tblStylePr>
  </w:style>
  <w:style w:type="table" w:styleId="62">
    <w:name w:val="Medium Shading 2"/>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3">
    <w:name w:val="Medium Shading 2 Accent 1"/>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4">
    <w:name w:val="Medium Shading 2 Accent 2"/>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5">
    <w:name w:val="Medium Shading 2 Accent 3"/>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6">
    <w:name w:val="Medium Shading 2 Accent 4"/>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7">
    <w:name w:val="Medium Shading 2 Accent 5"/>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8">
    <w:name w:val="Medium Shading 2 Accent 6"/>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9">
    <w:name w:val="Medium List 1"/>
    <w:basedOn w:val="32"/>
    <w:qFormat/>
    <w:uiPriority w:val="65"/>
    <w:pPr>
      <w:spacing w:after="0" w:line="240" w:lineRule="auto"/>
    </w:pPr>
    <w:rPr>
      <w:color w:val="000000" w:themeColor="text1"/>
      <w14:textFill>
        <w14:solidFill>
          <w14:schemeClr w14:val="tx1"/>
        </w14:solidFill>
      </w14:textFill>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14:textFill>
          <w14:solidFill>
            <w14:schemeClr w14:val="tx2"/>
          </w14:solidFill>
        </w14:textFill>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BFBFBF" w:themeFill="text1" w:themeFillTint="3F"/>
      </w:tcPr>
    </w:tblStylePr>
    <w:tblStylePr w:type="band1Horz">
      <w:tblPr/>
      <w:tcPr>
        <w:shd w:val="clear" w:color="auto" w:fill="BFBFBF" w:themeFill="text1" w:themeFillTint="3F"/>
      </w:tcPr>
    </w:tblStylePr>
  </w:style>
  <w:style w:type="table" w:styleId="70">
    <w:name w:val="Medium List 1 Accent 1"/>
    <w:basedOn w:val="32"/>
    <w:qFormat/>
    <w:uiPriority w:val="65"/>
    <w:pPr>
      <w:spacing w:after="0" w:line="240" w:lineRule="auto"/>
    </w:pPr>
    <w:rPr>
      <w:color w:val="000000" w:themeColor="text1"/>
      <w14:textFill>
        <w14:solidFill>
          <w14:schemeClr w14:val="tx1"/>
        </w14:solidFill>
      </w14:textFill>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14:textFill>
          <w14:solidFill>
            <w14:schemeClr w14:val="tx2"/>
          </w14:solidFill>
        </w14:textFill>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71">
    <w:name w:val="Medium List 1 Accent 2"/>
    <w:basedOn w:val="32"/>
    <w:qFormat/>
    <w:uiPriority w:val="65"/>
    <w:pPr>
      <w:spacing w:after="0" w:line="240" w:lineRule="auto"/>
    </w:pPr>
    <w:rPr>
      <w:color w:val="000000" w:themeColor="text1"/>
      <w14:textFill>
        <w14:solidFill>
          <w14:schemeClr w14:val="tx1"/>
        </w14:solidFill>
      </w14:textFill>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14:textFill>
          <w14:solidFill>
            <w14:schemeClr w14:val="tx2"/>
          </w14:solidFill>
        </w14:textFill>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3" w:themeFill="accent2" w:themeFillTint="3F"/>
      </w:tcPr>
    </w:tblStylePr>
    <w:tblStylePr w:type="band1Horz">
      <w:tblPr/>
      <w:tcPr>
        <w:shd w:val="clear" w:color="auto" w:fill="EFD3D3" w:themeFill="accent2" w:themeFillTint="3F"/>
      </w:tcPr>
    </w:tblStylePr>
  </w:style>
  <w:style w:type="table" w:styleId="72">
    <w:name w:val="Medium List 1 Accent 3"/>
    <w:basedOn w:val="32"/>
    <w:qFormat/>
    <w:uiPriority w:val="65"/>
    <w:pPr>
      <w:spacing w:after="0" w:line="240" w:lineRule="auto"/>
    </w:pPr>
    <w:rPr>
      <w:color w:val="000000" w:themeColor="text1"/>
      <w14:textFill>
        <w14:solidFill>
          <w14:schemeClr w14:val="tx1"/>
        </w14:solidFill>
      </w14:textFill>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14:textFill>
          <w14:solidFill>
            <w14:schemeClr w14:val="tx2"/>
          </w14:solidFill>
        </w14:textFill>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73">
    <w:name w:val="Medium List 1 Accent 4"/>
    <w:basedOn w:val="32"/>
    <w:qFormat/>
    <w:uiPriority w:val="65"/>
    <w:pPr>
      <w:spacing w:after="0" w:line="240" w:lineRule="auto"/>
    </w:pPr>
    <w:rPr>
      <w:color w:val="000000" w:themeColor="text1"/>
      <w14:textFill>
        <w14:solidFill>
          <w14:schemeClr w14:val="tx1"/>
        </w14:solidFill>
      </w14:textFill>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14:textFill>
          <w14:solidFill>
            <w14:schemeClr w14:val="tx2"/>
          </w14:solidFill>
        </w14:textFill>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74">
    <w:name w:val="Medium List 1 Accent 5"/>
    <w:basedOn w:val="32"/>
    <w:qFormat/>
    <w:uiPriority w:val="65"/>
    <w:pPr>
      <w:spacing w:after="0" w:line="240" w:lineRule="auto"/>
    </w:pPr>
    <w:rPr>
      <w:color w:val="000000" w:themeColor="text1"/>
      <w14:textFill>
        <w14:solidFill>
          <w14:schemeClr w14:val="tx1"/>
        </w14:solidFill>
      </w14:textFill>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14:textFill>
          <w14:solidFill>
            <w14:schemeClr w14:val="tx2"/>
          </w14:solidFill>
        </w14:textFill>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0" w:themeFill="accent5" w:themeFillTint="3F"/>
      </w:tcPr>
    </w:tblStylePr>
    <w:tblStylePr w:type="band1Horz">
      <w:tblPr/>
      <w:tcPr>
        <w:shd w:val="clear" w:color="auto" w:fill="D2EAF0" w:themeFill="accent5" w:themeFillTint="3F"/>
      </w:tcPr>
    </w:tblStylePr>
  </w:style>
  <w:style w:type="table" w:styleId="75">
    <w:name w:val="Medium List 1 Accent 6"/>
    <w:basedOn w:val="32"/>
    <w:qFormat/>
    <w:uiPriority w:val="65"/>
    <w:pPr>
      <w:spacing w:after="0" w:line="240" w:lineRule="auto"/>
    </w:pPr>
    <w:rPr>
      <w:color w:val="000000" w:themeColor="text1"/>
      <w14:textFill>
        <w14:solidFill>
          <w14:schemeClr w14:val="tx1"/>
        </w14:solidFill>
      </w14:textFill>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14:textFill>
          <w14:solidFill>
            <w14:schemeClr w14:val="tx2"/>
          </w14:solidFill>
        </w14:textFill>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5D1" w:themeFill="accent6" w:themeFillTint="3F"/>
      </w:tcPr>
    </w:tblStylePr>
    <w:tblStylePr w:type="band1Horz">
      <w:tblPr/>
      <w:tcPr>
        <w:shd w:val="clear" w:color="auto" w:fill="FDE5D1" w:themeFill="accent6" w:themeFillTint="3F"/>
      </w:tcPr>
    </w:tblStylePr>
  </w:style>
  <w:style w:type="table" w:styleId="76">
    <w:name w:val="Medium List 2"/>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top w:val="nil"/>
          <w:bottom w:val="nil"/>
          <w:insideH w:val="nil"/>
          <w:insideV w:val="nil"/>
        </w:tcBorders>
        <w:shd w:val="clear" w:color="auto" w:fill="BFBFBF"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77">
    <w:name w:val="Medium List 2 Accent 1"/>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78">
    <w:name w:val="Medium List 2 Accent 2"/>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top w:val="nil"/>
          <w:bottom w:val="nil"/>
          <w:insideH w:val="nil"/>
          <w:insideV w:val="nil"/>
        </w:tcBorders>
        <w:shd w:val="clear" w:color="auto" w:fill="EFD3D3"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79">
    <w:name w:val="Medium List 2 Accent 3"/>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80">
    <w:name w:val="Medium List 2 Accent 4"/>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81">
    <w:name w:val="Medium List 2 Accent 5"/>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top w:val="nil"/>
          <w:bottom w:val="nil"/>
          <w:insideH w:val="nil"/>
          <w:insideV w:val="nil"/>
        </w:tcBorders>
        <w:shd w:val="clear" w:color="auto" w:fill="D2EAF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82">
    <w:name w:val="Medium List 2 Accent 6"/>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top w:val="nil"/>
          <w:bottom w:val="nil"/>
          <w:insideH w:val="nil"/>
          <w:insideV w:val="nil"/>
        </w:tcBorders>
        <w:shd w:val="clear" w:color="auto" w:fill="FDE5D1"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83">
    <w:name w:val="Medium Grid 1"/>
    <w:basedOn w:val="32"/>
    <w:qFormat/>
    <w:uiPriority w:val="67"/>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insideV w:val="single" w:color="3F3F3F" w:themeColor="text1" w:themeTint="BF" w:sz="8" w:space="0"/>
      </w:tblBorders>
      <w:tblCellMar>
        <w:top w:w="0" w:type="dxa"/>
        <w:left w:w="108" w:type="dxa"/>
        <w:bottom w:w="0" w:type="dxa"/>
        <w:right w:w="108" w:type="dxa"/>
      </w:tblCellMar>
    </w:tblPr>
    <w:tcPr>
      <w:shd w:val="clear" w:color="auto" w:fill="BFBFBF" w:themeFill="text1" w:themeFillTint="3F"/>
    </w:tcPr>
    <w:tblStylePr w:type="firstRow">
      <w:rPr>
        <w:b/>
        <w:bCs/>
      </w:rPr>
    </w:tblStylePr>
    <w:tblStylePr w:type="lastRow">
      <w:rPr>
        <w:b/>
        <w:bCs/>
      </w:rPr>
      <w:tblPr/>
      <w:tcPr>
        <w:tcBorders>
          <w:top w:val="single" w:color="3F3F3F" w:themeColor="text1" w:themeTint="BF" w:sz="18" w:space="0"/>
        </w:tcBorders>
      </w:tcPr>
    </w:tblStylePr>
    <w:tblStylePr w:type="firstCol">
      <w:rPr>
        <w:b/>
        <w:bCs/>
      </w:rPr>
    </w:tblStylePr>
    <w:tblStylePr w:type="lastCol">
      <w:rPr>
        <w:b/>
        <w:bCs/>
      </w:r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84">
    <w:name w:val="Medium Grid 1 Accent 1"/>
    <w:basedOn w:val="32"/>
    <w:qFormat/>
    <w:uiPriority w:val="67"/>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85">
    <w:name w:val="Medium Grid 1 Accent 2"/>
    <w:basedOn w:val="32"/>
    <w:qFormat/>
    <w:uiPriority w:val="67"/>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CellMar>
        <w:top w:w="0" w:type="dxa"/>
        <w:left w:w="108" w:type="dxa"/>
        <w:bottom w:w="0" w:type="dxa"/>
        <w:right w:w="108" w:type="dxa"/>
      </w:tblCellMar>
    </w:tblPr>
    <w:tcPr>
      <w:shd w:val="clear" w:color="auto" w:fill="EFD3D3"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86">
    <w:name w:val="Medium Grid 1 Accent 3"/>
    <w:basedOn w:val="32"/>
    <w:qFormat/>
    <w:uiPriority w:val="67"/>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insideV w:val="single" w:color="B4CC82" w:themeColor="accent3" w:themeTint="BF" w:sz="8" w:space="0"/>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color="B4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87">
    <w:name w:val="Medium Grid 1 Accent 4"/>
    <w:basedOn w:val="32"/>
    <w:qFormat/>
    <w:uiPriority w:val="67"/>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88">
    <w:name w:val="Medium Grid 1 Accent 5"/>
    <w:basedOn w:val="32"/>
    <w:qFormat/>
    <w:uiPriority w:val="67"/>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CellMar>
        <w:top w:w="0" w:type="dxa"/>
        <w:left w:w="108" w:type="dxa"/>
        <w:bottom w:w="0" w:type="dxa"/>
        <w:right w:w="108" w:type="dxa"/>
      </w:tblCellMar>
    </w:tblPr>
    <w:tcPr>
      <w:shd w:val="clear" w:color="auto" w:fill="D2EAF0"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89">
    <w:name w:val="Medium Grid 1 Accent 6"/>
    <w:basedOn w:val="32"/>
    <w:qFormat/>
    <w:uiPriority w:val="67"/>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CellMar>
        <w:top w:w="0" w:type="dxa"/>
        <w:left w:w="108" w:type="dxa"/>
        <w:bottom w:w="0" w:type="dxa"/>
        <w:right w:w="108" w:type="dxa"/>
      </w:tblCellMar>
    </w:tblPr>
    <w:tcPr>
      <w:shd w:val="clear" w:color="auto" w:fill="FDE5D1"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90">
    <w:name w:val="Medium Grid 2"/>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cPr>
      <w:shd w:val="clear" w:color="auto" w:fill="BFBFBF" w:themeFill="text1" w:themeFillTint="3F"/>
    </w:tcPr>
    <w:tblStylePr w:type="firstRow">
      <w:rPr>
        <w:b/>
        <w:bCs/>
        <w:color w:val="000000" w:themeColor="text1"/>
        <w14:textFill>
          <w14:solidFill>
            <w14:schemeClr w14:val="tx1"/>
          </w14:solidFill>
        </w14:textFill>
      </w:rPr>
      <w:tblPr/>
      <w:tcPr>
        <w:shd w:val="clear" w:color="auto" w:fill="E5E5E5" w:themeFill="tex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7F7F7F" w:themeFill="text1" w:themeFillTint="7F"/>
      </w:tcPr>
    </w:tblStylePr>
    <w:tblStylePr w:type="band1Horz">
      <w:tblPr/>
      <w:tcPr>
        <w:tcBorders>
          <w:insideH w:val="single" w:sz="6" w:space="0"/>
          <w:insideV w:val="single" w:sz="6" w:space="0"/>
        </w:tcBorders>
        <w:shd w:val="clear" w:color="auto" w:fill="7F7F7F" w:themeFill="text1" w:themeFillTint="7F"/>
      </w:tcPr>
    </w:tblStylePr>
    <w:tblStylePr w:type="nwCell">
      <w:tblPr/>
      <w:tcPr>
        <w:shd w:val="clear" w:color="auto" w:fill="FFFFFF" w:themeFill="background1"/>
      </w:tcPr>
    </w:tblStylePr>
  </w:style>
  <w:style w:type="table" w:styleId="91">
    <w:name w:val="Medium Grid 2 Accent 1"/>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14:textFill>
          <w14:solidFill>
            <w14:schemeClr w14:val="tx1"/>
          </w14:solidFill>
        </w14:textFill>
      </w:rPr>
      <w:tblPr/>
      <w:tcPr>
        <w:shd w:val="clear" w:color="auto" w:fill="EDF2F8" w:themeFill="accen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C0DE" w:themeFill="accent1" w:themeFillTint="7F"/>
      </w:tcPr>
    </w:tblStylePr>
    <w:tblStylePr w:type="band1Horz">
      <w:tblPr/>
      <w:tcPr>
        <w:tcBorders>
          <w:insideH w:val="single" w:sz="6" w:space="0"/>
          <w:insideV w:val="single" w:sz="6" w:space="0"/>
        </w:tcBorders>
        <w:shd w:val="clear" w:color="auto" w:fill="A7C0DE" w:themeFill="accent1" w:themeFillTint="7F"/>
      </w:tcPr>
    </w:tblStylePr>
    <w:tblStylePr w:type="nwCell">
      <w:tblPr/>
      <w:tcPr>
        <w:shd w:val="clear" w:color="auto" w:fill="FFFFFF" w:themeFill="background1"/>
      </w:tcPr>
    </w:tblStylePr>
  </w:style>
  <w:style w:type="table" w:styleId="92">
    <w:name w:val="Medium Grid 2 Accent 2"/>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cPr>
      <w:shd w:val="clear" w:color="auto" w:fill="EFD3D3" w:themeFill="accent2" w:themeFillTint="3F"/>
    </w:tcPr>
    <w:tblStylePr w:type="firstRow">
      <w:rPr>
        <w:b/>
        <w:bCs/>
        <w:color w:val="000000" w:themeColor="text1"/>
        <w14:textFill>
          <w14:solidFill>
            <w14:schemeClr w14:val="tx1"/>
          </w14:solidFill>
        </w14:textFill>
      </w:rPr>
      <w:tblPr/>
      <w:tcPr>
        <w:shd w:val="clear" w:color="auto" w:fill="F8EDED" w:themeFill="accent2"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insideV w:val="single" w:sz="6" w:space="0"/>
        </w:tcBorders>
        <w:shd w:val="clear" w:color="auto" w:fill="DFA7A6" w:themeFill="accent2" w:themeFillTint="7F"/>
      </w:tcPr>
    </w:tblStylePr>
    <w:tblStylePr w:type="nwCell">
      <w:tblPr/>
      <w:tcPr>
        <w:shd w:val="clear" w:color="auto" w:fill="FFFFFF" w:themeFill="background1"/>
      </w:tcPr>
    </w:tblStylePr>
  </w:style>
  <w:style w:type="table" w:styleId="93">
    <w:name w:val="Medium Grid 2 Accent 3"/>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14:textFill>
          <w14:solidFill>
            <w14:schemeClr w14:val="tx1"/>
          </w14:solidFill>
        </w14:textFill>
      </w:rPr>
      <w:tblPr/>
      <w:tcPr>
        <w:shd w:val="clear" w:color="auto" w:fill="F5F8EE" w:themeFill="accent3"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insideV w:val="single" w:sz="6" w:space="0"/>
        </w:tcBorders>
        <w:shd w:val="clear" w:color="auto" w:fill="CDDDAC" w:themeFill="accent3" w:themeFillTint="7F"/>
      </w:tcPr>
    </w:tblStylePr>
    <w:tblStylePr w:type="nwCell">
      <w:tblPr/>
      <w:tcPr>
        <w:shd w:val="clear" w:color="auto" w:fill="FFFFFF" w:themeFill="background1"/>
      </w:tcPr>
    </w:tblStylePr>
  </w:style>
  <w:style w:type="table" w:styleId="94">
    <w:name w:val="Medium Grid 2 Accent 4"/>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14:textFill>
          <w14:solidFill>
            <w14:schemeClr w14:val="tx1"/>
          </w14:solidFill>
        </w14:textFill>
      </w:rPr>
      <w:tblPr/>
      <w:tcPr>
        <w:shd w:val="clear" w:color="auto" w:fill="F2EFF5" w:themeFill="accent4"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insideV w:val="single" w:sz="6" w:space="0"/>
        </w:tcBorders>
        <w:shd w:val="clear" w:color="auto" w:fill="BFB1D0" w:themeFill="accent4" w:themeFillTint="7F"/>
      </w:tcPr>
    </w:tblStylePr>
    <w:tblStylePr w:type="nwCell">
      <w:tblPr/>
      <w:tcPr>
        <w:shd w:val="clear" w:color="auto" w:fill="FFFFFF" w:themeFill="background1"/>
      </w:tcPr>
    </w:tblStylePr>
  </w:style>
  <w:style w:type="table" w:styleId="95">
    <w:name w:val="Medium Grid 2 Accent 5"/>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cPr>
      <w:shd w:val="clear" w:color="auto" w:fill="D2EAF0" w:themeFill="accent5" w:themeFillTint="3F"/>
    </w:tcPr>
    <w:tblStylePr w:type="firstRow">
      <w:rPr>
        <w:b/>
        <w:bCs/>
        <w:color w:val="000000" w:themeColor="text1"/>
        <w14:textFill>
          <w14:solidFill>
            <w14:schemeClr w14:val="tx1"/>
          </w14:solidFill>
        </w14:textFill>
      </w:rPr>
      <w:tblPr/>
      <w:tcPr>
        <w:shd w:val="clear" w:color="auto" w:fill="EDF6F9" w:themeFill="accent5"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insideV w:val="single" w:sz="6" w:space="0"/>
        </w:tcBorders>
        <w:shd w:val="clear" w:color="auto" w:fill="A5D5E2" w:themeFill="accent5" w:themeFillTint="7F"/>
      </w:tcPr>
    </w:tblStylePr>
    <w:tblStylePr w:type="nwCell">
      <w:tblPr/>
      <w:tcPr>
        <w:shd w:val="clear" w:color="auto" w:fill="FFFFFF" w:themeFill="background1"/>
      </w:tcPr>
    </w:tblStylePr>
  </w:style>
  <w:style w:type="table" w:styleId="96">
    <w:name w:val="Medium Grid 2 Accent 6"/>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cPr>
      <w:shd w:val="clear" w:color="auto" w:fill="FDE5D1" w:themeFill="accent6" w:themeFillTint="3F"/>
    </w:tcPr>
    <w:tblStylePr w:type="firstRow">
      <w:rPr>
        <w:b/>
        <w:bCs/>
        <w:color w:val="000000" w:themeColor="text1"/>
        <w14:textFill>
          <w14:solidFill>
            <w14:schemeClr w14:val="tx1"/>
          </w14:solidFill>
        </w14:textFill>
      </w:rPr>
      <w:tblPr/>
      <w:tcPr>
        <w:shd w:val="clear" w:color="auto" w:fill="FEF4EC" w:themeFill="accent6"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insideV w:val="single" w:sz="6" w:space="0"/>
        </w:tcBorders>
        <w:shd w:val="clear" w:color="auto" w:fill="FBCAA2" w:themeFill="accent6" w:themeFillTint="7F"/>
      </w:tcPr>
    </w:tblStylePr>
    <w:tblStylePr w:type="nwCell">
      <w:tblPr/>
      <w:tcPr>
        <w:shd w:val="clear" w:color="auto" w:fill="FFFFFF" w:themeFill="background1"/>
      </w:tcPr>
    </w:tblStylePr>
  </w:style>
  <w:style w:type="table" w:styleId="97">
    <w:name w:val="Medium Grid 3"/>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BFBFBF" w:themeFill="tex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000000" w:themeFill="tex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000000" w:themeFill="tex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7F7F7F"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7F7F7F" w:themeFill="text1" w:themeFillTint="7F"/>
      </w:tcPr>
    </w:tblStylePr>
  </w:style>
  <w:style w:type="table" w:styleId="98">
    <w:name w:val="Medium Grid 3 Accent 1"/>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F81BD" w:themeFill="accen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F81BD" w:themeFill="accen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C0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7C0DE" w:themeFill="accent1" w:themeFillTint="7F"/>
      </w:tcPr>
    </w:tblStylePr>
  </w:style>
  <w:style w:type="table" w:styleId="99">
    <w:name w:val="Medium Grid 3 Accent 2"/>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FD3D3" w:themeFill="accent2"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C0504D" w:themeFill="accent2"/>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C0504D" w:themeFill="accent2"/>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DFA7A6" w:themeFill="accent2" w:themeFillTint="7F"/>
      </w:tcPr>
    </w:tblStylePr>
  </w:style>
  <w:style w:type="table" w:styleId="100">
    <w:name w:val="Medium Grid 3 Accent 3"/>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9BBB59" w:themeFill="accent3"/>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9BBB59" w:themeFill="accent3"/>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CDDDAC" w:themeFill="accent3" w:themeFillTint="7F"/>
      </w:tcPr>
    </w:tblStylePr>
  </w:style>
  <w:style w:type="table" w:styleId="101">
    <w:name w:val="Medium Grid 3 Accent 4"/>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8064A2" w:themeFill="accent4"/>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8064A2" w:themeFill="accent4"/>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BFB1D0" w:themeFill="accent4" w:themeFillTint="7F"/>
      </w:tcPr>
    </w:tblStylePr>
  </w:style>
  <w:style w:type="table" w:styleId="102">
    <w:name w:val="Medium Grid 3 Accent 5"/>
    <w:basedOn w:val="3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2EAF0" w:themeFill="accent5"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BACC6" w:themeFill="accent5"/>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BACC6" w:themeFill="accent5"/>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5D5E2" w:themeFill="accent5" w:themeFillTint="7F"/>
      </w:tcPr>
    </w:tblStylePr>
  </w:style>
  <w:style w:type="table" w:styleId="103">
    <w:name w:val="Medium Grid 3 Accent 6"/>
    <w:basedOn w:val="3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DE5D1" w:themeFill="accent6"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F79646" w:themeFill="accent6"/>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F79646" w:themeFill="accent6"/>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FBCAA2" w:themeFill="accent6" w:themeFillTint="7F"/>
      </w:tcPr>
    </w:tblStylePr>
  </w:style>
  <w:style w:type="table" w:styleId="104">
    <w:name w:val="Dark List"/>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05">
    <w:name w:val="Dark List Accent 1"/>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1"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60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6091" w:themeFill="accent1" w:themeFillShade="BF"/>
      </w:tcPr>
    </w:tblStylePr>
    <w:tblStylePr w:type="band1Vert">
      <w:tblPr/>
      <w:tcPr>
        <w:tcBorders>
          <w:top w:val="nil"/>
          <w:left w:val="nil"/>
          <w:bottom w:val="nil"/>
          <w:right w:val="nil"/>
          <w:insideH w:val="nil"/>
          <w:insideV w:val="nil"/>
        </w:tcBorders>
        <w:shd w:val="clear" w:color="auto" w:fill="366091" w:themeFill="accent1" w:themeFillShade="BF"/>
      </w:tcPr>
    </w:tblStylePr>
    <w:tblStylePr w:type="band1Horz">
      <w:tblPr/>
      <w:tcPr>
        <w:tcBorders>
          <w:top w:val="nil"/>
          <w:left w:val="nil"/>
          <w:bottom w:val="nil"/>
          <w:right w:val="nil"/>
          <w:insideH w:val="nil"/>
          <w:insideV w:val="nil"/>
        </w:tcBorders>
        <w:shd w:val="clear" w:color="auto" w:fill="366091" w:themeFill="accent1" w:themeFillShade="BF"/>
      </w:tcPr>
    </w:tblStylePr>
  </w:style>
  <w:style w:type="table" w:styleId="106">
    <w:name w:val="Dark List Accent 2"/>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7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734" w:themeFill="accent2" w:themeFillShade="BF"/>
      </w:tcPr>
    </w:tblStylePr>
    <w:tblStylePr w:type="band1Vert">
      <w:tblPr/>
      <w:tcPr>
        <w:tcBorders>
          <w:top w:val="nil"/>
          <w:left w:val="nil"/>
          <w:bottom w:val="nil"/>
          <w:right w:val="nil"/>
          <w:insideH w:val="nil"/>
          <w:insideV w:val="nil"/>
        </w:tcBorders>
        <w:shd w:val="clear" w:color="auto" w:fill="943734" w:themeFill="accent2" w:themeFillShade="BF"/>
      </w:tcPr>
    </w:tblStylePr>
    <w:tblStylePr w:type="band1Horz">
      <w:tblPr/>
      <w:tcPr>
        <w:tcBorders>
          <w:top w:val="nil"/>
          <w:left w:val="nil"/>
          <w:bottom w:val="nil"/>
          <w:right w:val="nil"/>
          <w:insideH w:val="nil"/>
          <w:insideV w:val="nil"/>
        </w:tcBorders>
        <w:shd w:val="clear" w:color="auto" w:fill="943734" w:themeFill="accent2" w:themeFillShade="BF"/>
      </w:tcPr>
    </w:tblStylePr>
  </w:style>
  <w:style w:type="table" w:styleId="107">
    <w:name w:val="Dark List Accent 3"/>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7"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108">
    <w:name w:val="Dark List Accent 4"/>
    <w:basedOn w:val="3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0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109">
    <w:name w:val="Dark List Accent 5"/>
    <w:basedOn w:val="3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110">
    <w:name w:val="Dark List Accent 6"/>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9"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9" w:themeFill="accent6" w:themeFillShade="BF"/>
      </w:tcPr>
    </w:tblStylePr>
    <w:tblStylePr w:type="band1Vert">
      <w:tblPr/>
      <w:tcPr>
        <w:tcBorders>
          <w:top w:val="nil"/>
          <w:left w:val="nil"/>
          <w:bottom w:val="nil"/>
          <w:right w:val="nil"/>
          <w:insideH w:val="nil"/>
          <w:insideV w:val="nil"/>
        </w:tcBorders>
        <w:shd w:val="clear" w:color="auto" w:fill="E36C09" w:themeFill="accent6" w:themeFillShade="BF"/>
      </w:tcPr>
    </w:tblStylePr>
    <w:tblStylePr w:type="band1Horz">
      <w:tblPr/>
      <w:tcPr>
        <w:tcBorders>
          <w:top w:val="nil"/>
          <w:left w:val="nil"/>
          <w:bottom w:val="nil"/>
          <w:right w:val="nil"/>
          <w:insideH w:val="nil"/>
          <w:insideV w:val="nil"/>
        </w:tcBorders>
        <w:shd w:val="clear" w:color="auto" w:fill="E36C09" w:themeFill="accent6" w:themeFillShade="BF"/>
      </w:tcPr>
    </w:tblStylePr>
  </w:style>
  <w:style w:type="table" w:styleId="111">
    <w:name w:val="Colorful Shading"/>
    <w:basedOn w:val="32"/>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5E5E5"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000000" w:themeFill="tex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000000" w:themeFill="tex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7F7F7F" w:themeFill="tex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2">
    <w:name w:val="Colorful Shading Accent 1"/>
    <w:basedOn w:val="32"/>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B4D74" w:themeFill="accen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B4D74" w:themeFill="accen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B4D74" w:themeFill="accent1" w:themeFillShade="99"/>
      </w:tcPr>
    </w:tblStylePr>
    <w:tblStylePr w:type="band1Vert">
      <w:tblPr/>
      <w:tcPr>
        <w:shd w:val="clear" w:color="auto" w:fill="B8CCE4" w:themeFill="accent1" w:themeFillTint="66"/>
      </w:tcPr>
    </w:tblStylePr>
    <w:tblStylePr w:type="band1Horz">
      <w:tblPr/>
      <w:tcPr>
        <w:shd w:val="clear" w:color="auto" w:fill="A7C0DE" w:themeFill="accen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3">
    <w:name w:val="Colorful Shading Accent 2"/>
    <w:basedOn w:val="32"/>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772C2A" w:themeFill="accent2"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772C2A" w:themeFill="accent2"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4">
    <w:name w:val="Colorful Shading Accent 3"/>
    <w:basedOn w:val="32"/>
    <w:qFormat/>
    <w:uiPriority w:val="71"/>
    <w:pPr>
      <w:spacing w:after="0" w:line="240" w:lineRule="auto"/>
    </w:pPr>
    <w:rPr>
      <w:color w:val="000000" w:themeColor="text1"/>
      <w14:textFill>
        <w14:solidFill>
          <w14:schemeClr w14:val="tx1"/>
        </w14:solidFill>
      </w14:textFill>
    </w:rPr>
    <w:tblPr>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5E7530" w:themeFill="accent3"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5E7530" w:themeFill="accent3"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115">
    <w:name w:val="Colorful Shading Accent 4"/>
    <w:basedOn w:val="32"/>
    <w:uiPriority w:val="71"/>
    <w:pPr>
      <w:spacing w:after="0" w:line="240" w:lineRule="auto"/>
    </w:pPr>
    <w:rPr>
      <w:color w:val="000000" w:themeColor="text1"/>
      <w14:textFill>
        <w14:solidFill>
          <w14:schemeClr w14:val="tx1"/>
        </w14:solidFill>
      </w14:textFill>
    </w:rPr>
    <w:tblPr>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2EFF5"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4C3A62" w:themeFill="accent4"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4C3A62" w:themeFill="accent4"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4C3A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6">
    <w:name w:val="Colorful Shading Accent 5"/>
    <w:basedOn w:val="32"/>
    <w:qFormat/>
    <w:uiPriority w:val="71"/>
    <w:pPr>
      <w:spacing w:after="0" w:line="240" w:lineRule="auto"/>
    </w:pPr>
    <w:rPr>
      <w:color w:val="000000" w:themeColor="text1"/>
      <w14:textFill>
        <w14:solidFill>
          <w14:schemeClr w14:val="tx1"/>
        </w14:solidFill>
      </w14:textFill>
    </w:rPr>
    <w:tblPr>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76A7C" w:themeFill="accent5"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76A7C" w:themeFill="accent5"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7">
    <w:name w:val="Colorful Shading Accent 6"/>
    <w:basedOn w:val="32"/>
    <w:qFormat/>
    <w:uiPriority w:val="71"/>
    <w:pPr>
      <w:spacing w:after="0" w:line="240" w:lineRule="auto"/>
    </w:pPr>
    <w:rPr>
      <w:color w:val="000000" w:themeColor="text1"/>
      <w14:textFill>
        <w14:solidFill>
          <w14:schemeClr w14:val="tx1"/>
        </w14:solidFill>
      </w14:textFill>
    </w:rPr>
    <w:tblPr>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B65607" w:themeFill="accent6"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B65607" w:themeFill="accent6"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B65607"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8">
    <w:name w:val="Colorful List"/>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5E5E5" w:themeFill="tex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FBFBF" w:themeFill="text1" w:themeFillTint="3F"/>
      </w:tcPr>
    </w:tblStylePr>
    <w:tblStylePr w:type="band1Horz">
      <w:tblPr/>
      <w:tcPr>
        <w:shd w:val="clear" w:color="auto" w:fill="CCCCCC" w:themeFill="text1" w:themeFillTint="33"/>
      </w:tcPr>
    </w:tblStylePr>
  </w:style>
  <w:style w:type="table" w:styleId="119">
    <w:name w:val="Colorful List Accent 1"/>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120">
    <w:name w:val="Colorful List Accent 2"/>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3" w:themeFill="accent2" w:themeFillTint="3F"/>
      </w:tcPr>
    </w:tblStylePr>
    <w:tblStylePr w:type="band1Horz">
      <w:tblPr/>
      <w:tcPr>
        <w:shd w:val="clear" w:color="auto" w:fill="F2DBDB" w:themeFill="accent2" w:themeFillTint="33"/>
      </w:tcPr>
    </w:tblStylePr>
  </w:style>
  <w:style w:type="table" w:styleId="121">
    <w:name w:val="Colorful List Accent 3"/>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664E82" w:themeFill="accent4" w:themeFillShade="CC"/>
      </w:tcPr>
    </w:tblStylePr>
    <w:tblStylePr w:type="lastRow">
      <w:rPr>
        <w:b/>
        <w:bCs/>
        <w:color w:val="664F83"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122">
    <w:name w:val="Colorful List Accent 4"/>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2EFF5" w:themeFill="accent4"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7E9C40" w:themeFill="accent3" w:themeFillShade="CC"/>
      </w:tcPr>
    </w:tblStylePr>
    <w:tblStylePr w:type="lastRow">
      <w:rPr>
        <w:b/>
        <w:bCs/>
        <w:color w:val="7E9D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123">
    <w:name w:val="Colorful List Accent 5"/>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F3730A" w:themeFill="accent6" w:themeFillShade="CC"/>
      </w:tcPr>
    </w:tblStylePr>
    <w:tblStylePr w:type="lastRow">
      <w:rPr>
        <w:b/>
        <w:bCs/>
        <w:color w:val="F3740B"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0" w:themeFill="accent5" w:themeFillTint="3F"/>
      </w:tcPr>
    </w:tblStylePr>
    <w:tblStylePr w:type="band1Horz">
      <w:tblPr/>
      <w:tcPr>
        <w:shd w:val="clear" w:color="auto" w:fill="DAEEF3" w:themeFill="accent5" w:themeFillTint="33"/>
      </w:tcPr>
    </w:tblStylePr>
  </w:style>
  <w:style w:type="table" w:styleId="124">
    <w:name w:val="Colorful List Accent 6"/>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348DA5" w:themeFill="accent5" w:themeFillShade="CC"/>
      </w:tcPr>
    </w:tblStylePr>
    <w:tblStylePr w:type="lastRow">
      <w:rPr>
        <w:b/>
        <w:bCs/>
        <w:color w:val="358EA6"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5D1" w:themeFill="accent6" w:themeFillTint="3F"/>
      </w:tcPr>
    </w:tblStylePr>
    <w:tblStylePr w:type="band1Horz">
      <w:tblPr/>
      <w:tcPr>
        <w:shd w:val="clear" w:color="auto" w:fill="FDE9D9" w:themeFill="accent6" w:themeFillTint="33"/>
      </w:tcPr>
    </w:tblStylePr>
  </w:style>
  <w:style w:type="table" w:styleId="125">
    <w:name w:val="Colorful Grid"/>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14:textFill>
          <w14:solidFill>
            <w14:schemeClr w14:val="tx1"/>
          </w14:solidFill>
        </w14:textFill>
      </w:rPr>
      <w:tblPr/>
      <w:tcPr>
        <w:shd w:val="clear" w:color="auto" w:fill="999999" w:themeFill="text1" w:themeFillTint="66"/>
      </w:tcPr>
    </w:tblStylePr>
    <w:tblStylePr w:type="firstCol">
      <w:rPr>
        <w:color w:val="FFFFFF" w:themeColor="background1"/>
        <w14:textFill>
          <w14:solidFill>
            <w14:schemeClr w14:val="bg1"/>
          </w14:solidFill>
        </w14:textFill>
      </w:rPr>
      <w:tblPr/>
      <w:tcPr>
        <w:shd w:val="clear" w:color="auto" w:fill="000000" w:themeFill="text1" w:themeFillShade="BF"/>
      </w:tcPr>
    </w:tblStylePr>
    <w:tblStylePr w:type="lastCol">
      <w:rPr>
        <w:color w:val="FFFFFF" w:themeColor="background1"/>
        <w14:textFill>
          <w14:solidFill>
            <w14:schemeClr w14:val="bg1"/>
          </w14:solidFill>
        </w14:textFill>
      </w:rPr>
      <w:tblPr/>
      <w:tcPr>
        <w:shd w:val="clear" w:color="auto" w:fill="000000" w:themeFill="text1" w:themeFillShade="BF"/>
      </w:tc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126">
    <w:name w:val="Colorful Grid Accent 1"/>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14:textFill>
          <w14:solidFill>
            <w14:schemeClr w14:val="tx1"/>
          </w14:solidFill>
        </w14:textFill>
      </w:rPr>
      <w:tblPr/>
      <w:tcPr>
        <w:shd w:val="clear" w:color="auto" w:fill="B8CCE4" w:themeFill="accent1" w:themeFillTint="66"/>
      </w:tcPr>
    </w:tblStylePr>
    <w:tblStylePr w:type="firstCol">
      <w:rPr>
        <w:color w:val="FFFFFF" w:themeColor="background1"/>
        <w14:textFill>
          <w14:solidFill>
            <w14:schemeClr w14:val="bg1"/>
          </w14:solidFill>
        </w14:textFill>
      </w:rPr>
      <w:tblPr/>
      <w:tcPr>
        <w:shd w:val="clear" w:color="auto" w:fill="366091" w:themeFill="accent1" w:themeFillShade="BF"/>
      </w:tcPr>
    </w:tblStylePr>
    <w:tblStylePr w:type="lastCol">
      <w:rPr>
        <w:color w:val="FFFFFF" w:themeColor="background1"/>
        <w14:textFill>
          <w14:solidFill>
            <w14:schemeClr w14:val="bg1"/>
          </w14:solidFill>
        </w14:textFill>
      </w:rPr>
      <w:tblPr/>
      <w:tcPr>
        <w:shd w:val="clear" w:color="auto" w:fill="366091" w:themeFill="accent1" w:themeFillShade="BF"/>
      </w:tc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127">
    <w:name w:val="Colorful Grid Accent 2"/>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14:textFill>
          <w14:solidFill>
            <w14:schemeClr w14:val="tx1"/>
          </w14:solidFill>
        </w14:textFill>
      </w:rPr>
      <w:tblPr/>
      <w:tcPr>
        <w:shd w:val="clear" w:color="auto" w:fill="E5B8B7" w:themeFill="accent2" w:themeFillTint="66"/>
      </w:tcPr>
    </w:tblStylePr>
    <w:tblStylePr w:type="firstCol">
      <w:rPr>
        <w:color w:val="FFFFFF" w:themeColor="background1"/>
        <w14:textFill>
          <w14:solidFill>
            <w14:schemeClr w14:val="bg1"/>
          </w14:solidFill>
        </w14:textFill>
      </w:rPr>
      <w:tblPr/>
      <w:tcPr>
        <w:shd w:val="clear" w:color="auto" w:fill="943734" w:themeFill="accent2" w:themeFillShade="BF"/>
      </w:tcPr>
    </w:tblStylePr>
    <w:tblStylePr w:type="lastCol">
      <w:rPr>
        <w:color w:val="FFFFFF" w:themeColor="background1"/>
        <w14:textFill>
          <w14:solidFill>
            <w14:schemeClr w14:val="bg1"/>
          </w14:solidFill>
        </w14:textFill>
      </w:rPr>
      <w:tblPr/>
      <w:tcPr>
        <w:shd w:val="clear" w:color="auto" w:fill="9437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28">
    <w:name w:val="Colorful Grid Accent 3"/>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14:textFill>
          <w14:solidFill>
            <w14:schemeClr w14:val="tx1"/>
          </w14:solidFill>
        </w14:textFill>
      </w:rPr>
      <w:tblPr/>
      <w:tcPr>
        <w:shd w:val="clear" w:color="auto" w:fill="D6E3BC" w:themeFill="accent3" w:themeFillTint="66"/>
      </w:tcPr>
    </w:tblStylePr>
    <w:tblStylePr w:type="firstCol">
      <w:rPr>
        <w:color w:val="FFFFFF" w:themeColor="background1"/>
        <w14:textFill>
          <w14:solidFill>
            <w14:schemeClr w14:val="bg1"/>
          </w14:solidFill>
        </w14:textFill>
      </w:rPr>
      <w:tblPr/>
      <w:tcPr>
        <w:shd w:val="clear" w:color="auto" w:fill="76923C" w:themeFill="accent3" w:themeFillShade="BF"/>
      </w:tcPr>
    </w:tblStylePr>
    <w:tblStylePr w:type="lastCol">
      <w:rPr>
        <w:color w:val="FFFFFF" w:themeColor="background1"/>
        <w14:textFill>
          <w14:solidFill>
            <w14:schemeClr w14:val="bg1"/>
          </w14:solidFill>
        </w14:textFill>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29">
    <w:name w:val="Colorful Grid Accent 4"/>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14:textFill>
          <w14:solidFill>
            <w14:schemeClr w14:val="tx1"/>
          </w14:solidFill>
        </w14:textFill>
      </w:rPr>
      <w:tblPr/>
      <w:tcPr>
        <w:shd w:val="clear" w:color="auto" w:fill="CCC0D9" w:themeFill="accent4" w:themeFillTint="66"/>
      </w:tcPr>
    </w:tblStylePr>
    <w:tblStylePr w:type="firstCol">
      <w:rPr>
        <w:color w:val="FFFFFF" w:themeColor="background1"/>
        <w14:textFill>
          <w14:solidFill>
            <w14:schemeClr w14:val="bg1"/>
          </w14:solidFill>
        </w14:textFill>
      </w:rPr>
      <w:tblPr/>
      <w:tcPr>
        <w:shd w:val="clear" w:color="auto" w:fill="5F497A" w:themeFill="accent4" w:themeFillShade="BF"/>
      </w:tcPr>
    </w:tblStylePr>
    <w:tblStylePr w:type="lastCol">
      <w:rPr>
        <w:color w:val="FFFFFF" w:themeColor="background1"/>
        <w14:textFill>
          <w14:solidFill>
            <w14:schemeClr w14:val="bg1"/>
          </w14:solidFill>
        </w14:textFill>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30">
    <w:name w:val="Colorful Grid Accent 5"/>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14:textFill>
          <w14:solidFill>
            <w14:schemeClr w14:val="tx1"/>
          </w14:solidFill>
        </w14:textFill>
      </w:rPr>
      <w:tblPr/>
      <w:tcPr>
        <w:shd w:val="clear" w:color="auto" w:fill="B6DDE8" w:themeFill="accent5" w:themeFillTint="66"/>
      </w:tcPr>
    </w:tblStylePr>
    <w:tblStylePr w:type="firstCol">
      <w:rPr>
        <w:color w:val="FFFFFF" w:themeColor="background1"/>
        <w14:textFill>
          <w14:solidFill>
            <w14:schemeClr w14:val="bg1"/>
          </w14:solidFill>
        </w14:textFill>
      </w:rPr>
      <w:tblPr/>
      <w:tcPr>
        <w:shd w:val="clear" w:color="auto" w:fill="31849B" w:themeFill="accent5" w:themeFillShade="BF"/>
      </w:tcPr>
    </w:tblStylePr>
    <w:tblStylePr w:type="lastCol">
      <w:rPr>
        <w:color w:val="FFFFFF" w:themeColor="background1"/>
        <w14:textFill>
          <w14:solidFill>
            <w14:schemeClr w14:val="bg1"/>
          </w14:solidFill>
        </w14:textFill>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31">
    <w:name w:val="Colorful Grid Accent 6"/>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14:textFill>
          <w14:solidFill>
            <w14:schemeClr w14:val="tx1"/>
          </w14:solidFill>
        </w14:textFill>
      </w:rPr>
      <w:tblPr/>
      <w:tcPr>
        <w:shd w:val="clear" w:color="auto" w:fill="FBD4B4" w:themeFill="accent6" w:themeFillTint="66"/>
      </w:tcPr>
    </w:tblStylePr>
    <w:tblStylePr w:type="firstCol">
      <w:rPr>
        <w:color w:val="FFFFFF" w:themeColor="background1"/>
        <w14:textFill>
          <w14:solidFill>
            <w14:schemeClr w14:val="bg1"/>
          </w14:solidFill>
        </w14:textFill>
      </w:rPr>
      <w:tblPr/>
      <w:tcPr>
        <w:shd w:val="clear" w:color="auto" w:fill="E36C09" w:themeFill="accent6" w:themeFillShade="BF"/>
      </w:tcPr>
    </w:tblStylePr>
    <w:tblStylePr w:type="lastCol">
      <w:rPr>
        <w:color w:val="FFFFFF" w:themeColor="background1"/>
        <w14:textFill>
          <w14:solidFill>
            <w14:schemeClr w14:val="bg1"/>
          </w14:solidFill>
        </w14:textFill>
      </w:rPr>
      <w:tblPr/>
      <w:tcPr>
        <w:shd w:val="clear" w:color="auto" w:fill="E36C09"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133">
    <w:name w:val="Strong"/>
    <w:basedOn w:val="132"/>
    <w:qFormat/>
    <w:uiPriority w:val="22"/>
    <w:rPr>
      <w:b/>
      <w:bCs/>
    </w:rPr>
  </w:style>
  <w:style w:type="character" w:styleId="134">
    <w:name w:val="Emphasis"/>
    <w:basedOn w:val="132"/>
    <w:qFormat/>
    <w:uiPriority w:val="20"/>
    <w:rPr>
      <w:i/>
      <w:iCs/>
    </w:rPr>
  </w:style>
  <w:style w:type="character" w:customStyle="1" w:styleId="135">
    <w:name w:val="Header Char"/>
    <w:basedOn w:val="132"/>
    <w:link w:val="25"/>
    <w:qFormat/>
    <w:uiPriority w:val="99"/>
  </w:style>
  <w:style w:type="character" w:customStyle="1" w:styleId="136">
    <w:name w:val="Footer Char"/>
    <w:basedOn w:val="132"/>
    <w:link w:val="24"/>
    <w:qFormat/>
    <w:uiPriority w:val="99"/>
  </w:style>
  <w:style w:type="paragraph" w:styleId="137">
    <w:name w:val="No Spacing"/>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138">
    <w:name w:val="Heading 1 Char"/>
    <w:basedOn w:val="132"/>
    <w:link w:val="3"/>
    <w:qFormat/>
    <w:uiPriority w:val="9"/>
    <w:rPr>
      <w:rFonts w:asciiTheme="majorHAnsi" w:hAnsiTheme="majorHAnsi" w:eastAsiaTheme="majorEastAsia" w:cstheme="majorBidi"/>
      <w:b/>
      <w:bCs/>
      <w:color w:val="376092" w:themeColor="accent1" w:themeShade="BF"/>
      <w:sz w:val="28"/>
      <w:szCs w:val="28"/>
    </w:rPr>
  </w:style>
  <w:style w:type="character" w:customStyle="1" w:styleId="139">
    <w:name w:val="Heading 2 Char"/>
    <w:basedOn w:val="132"/>
    <w:link w:val="4"/>
    <w:qFormat/>
    <w:uiPriority w:val="9"/>
    <w:rPr>
      <w:rFonts w:asciiTheme="majorHAnsi" w:hAnsiTheme="majorHAnsi" w:eastAsiaTheme="majorEastAsia" w:cstheme="majorBidi"/>
      <w:b/>
      <w:bCs/>
      <w:color w:val="4F81BD" w:themeColor="accent1"/>
      <w:sz w:val="26"/>
      <w:szCs w:val="26"/>
      <w14:textFill>
        <w14:solidFill>
          <w14:schemeClr w14:val="accent1"/>
        </w14:solidFill>
      </w14:textFill>
    </w:rPr>
  </w:style>
  <w:style w:type="character" w:customStyle="1" w:styleId="140">
    <w:name w:val="Heading 3 Char"/>
    <w:basedOn w:val="132"/>
    <w:link w:val="5"/>
    <w:qFormat/>
    <w:uiPriority w:val="9"/>
    <w:rPr>
      <w:rFonts w:asciiTheme="majorHAnsi" w:hAnsiTheme="majorHAnsi" w:eastAsiaTheme="majorEastAsia" w:cstheme="majorBidi"/>
      <w:b/>
      <w:bCs/>
      <w:color w:val="4F81BD" w:themeColor="accent1"/>
      <w14:textFill>
        <w14:solidFill>
          <w14:schemeClr w14:val="accent1"/>
        </w14:solidFill>
      </w14:textFill>
    </w:rPr>
  </w:style>
  <w:style w:type="character" w:customStyle="1" w:styleId="141">
    <w:name w:val="Title Char"/>
    <w:basedOn w:val="132"/>
    <w:link w:val="31"/>
    <w:qFormat/>
    <w:uiPriority w:val="10"/>
    <w:rPr>
      <w:rFonts w:asciiTheme="majorHAnsi" w:hAnsiTheme="majorHAnsi" w:eastAsiaTheme="majorEastAsia" w:cstheme="majorBidi"/>
      <w:color w:val="17375E" w:themeColor="text2" w:themeShade="BF"/>
      <w:spacing w:val="5"/>
      <w:kern w:val="28"/>
      <w:sz w:val="52"/>
      <w:szCs w:val="52"/>
    </w:rPr>
  </w:style>
  <w:style w:type="character" w:customStyle="1" w:styleId="142">
    <w:name w:val="Subtitle Char"/>
    <w:basedOn w:val="132"/>
    <w:link w:val="26"/>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143">
    <w:name w:val="List Paragraph"/>
    <w:basedOn w:val="1"/>
    <w:qFormat/>
    <w:uiPriority w:val="34"/>
    <w:pPr>
      <w:ind w:left="720"/>
      <w:contextualSpacing/>
    </w:pPr>
  </w:style>
  <w:style w:type="character" w:customStyle="1" w:styleId="144">
    <w:name w:val="Body Text Char"/>
    <w:basedOn w:val="132"/>
    <w:link w:val="19"/>
    <w:qFormat/>
    <w:uiPriority w:val="99"/>
  </w:style>
  <w:style w:type="character" w:customStyle="1" w:styleId="145">
    <w:name w:val="Body Text 2 Char"/>
    <w:basedOn w:val="132"/>
    <w:link w:val="28"/>
    <w:qFormat/>
    <w:uiPriority w:val="99"/>
  </w:style>
  <w:style w:type="character" w:customStyle="1" w:styleId="146">
    <w:name w:val="Body Text 3 Char"/>
    <w:basedOn w:val="132"/>
    <w:link w:val="17"/>
    <w:qFormat/>
    <w:uiPriority w:val="99"/>
    <w:rPr>
      <w:sz w:val="16"/>
      <w:szCs w:val="16"/>
    </w:rPr>
  </w:style>
  <w:style w:type="character" w:customStyle="1" w:styleId="147">
    <w:name w:val="Macro Text Char"/>
    <w:basedOn w:val="132"/>
    <w:link w:val="2"/>
    <w:qFormat/>
    <w:uiPriority w:val="99"/>
    <w:rPr>
      <w:rFonts w:ascii="Courier" w:hAnsi="Courier"/>
      <w:sz w:val="20"/>
      <w:szCs w:val="20"/>
    </w:rPr>
  </w:style>
  <w:style w:type="paragraph" w:styleId="148">
    <w:name w:val="Quote"/>
    <w:basedOn w:val="1"/>
    <w:next w:val="1"/>
    <w:link w:val="149"/>
    <w:qFormat/>
    <w:uiPriority w:val="29"/>
    <w:rPr>
      <w:i/>
      <w:iCs/>
      <w:color w:val="000000" w:themeColor="text1"/>
      <w14:textFill>
        <w14:solidFill>
          <w14:schemeClr w14:val="tx1"/>
        </w14:solidFill>
      </w14:textFill>
    </w:rPr>
  </w:style>
  <w:style w:type="character" w:customStyle="1" w:styleId="149">
    <w:name w:val="Quote Char"/>
    <w:basedOn w:val="132"/>
    <w:link w:val="148"/>
    <w:qFormat/>
    <w:uiPriority w:val="29"/>
    <w:rPr>
      <w:i/>
      <w:iCs/>
      <w:color w:val="000000" w:themeColor="text1"/>
      <w14:textFill>
        <w14:solidFill>
          <w14:schemeClr w14:val="tx1"/>
        </w14:solidFill>
      </w14:textFill>
    </w:rPr>
  </w:style>
  <w:style w:type="character" w:customStyle="1" w:styleId="150">
    <w:name w:val="Heading 4 Char"/>
    <w:basedOn w:val="132"/>
    <w:link w:val="6"/>
    <w:semiHidden/>
    <w:qFormat/>
    <w:uiPriority w:val="9"/>
    <w:rPr>
      <w:rFonts w:asciiTheme="majorHAnsi" w:hAnsiTheme="majorHAnsi" w:eastAsiaTheme="majorEastAsia" w:cstheme="majorBidi"/>
      <w:b/>
      <w:bCs/>
      <w:i/>
      <w:iCs/>
      <w:color w:val="4F81BD" w:themeColor="accent1"/>
      <w14:textFill>
        <w14:solidFill>
          <w14:schemeClr w14:val="accent1"/>
        </w14:solidFill>
      </w14:textFill>
    </w:rPr>
  </w:style>
  <w:style w:type="character" w:customStyle="1" w:styleId="151">
    <w:name w:val="Heading 5 Char"/>
    <w:basedOn w:val="132"/>
    <w:link w:val="7"/>
    <w:semiHidden/>
    <w:qFormat/>
    <w:uiPriority w:val="9"/>
    <w:rPr>
      <w:rFonts w:asciiTheme="majorHAnsi" w:hAnsiTheme="majorHAnsi" w:eastAsiaTheme="majorEastAsia" w:cstheme="majorBidi"/>
      <w:color w:val="254061" w:themeColor="accent1" w:themeShade="80"/>
    </w:rPr>
  </w:style>
  <w:style w:type="character" w:customStyle="1" w:styleId="152">
    <w:name w:val="Heading 6 Char"/>
    <w:basedOn w:val="132"/>
    <w:link w:val="8"/>
    <w:semiHidden/>
    <w:qFormat/>
    <w:uiPriority w:val="9"/>
    <w:rPr>
      <w:rFonts w:asciiTheme="majorHAnsi" w:hAnsiTheme="majorHAnsi" w:eastAsiaTheme="majorEastAsia" w:cstheme="majorBidi"/>
      <w:i/>
      <w:iCs/>
      <w:color w:val="254061" w:themeColor="accent1" w:themeShade="80"/>
    </w:rPr>
  </w:style>
  <w:style w:type="character" w:customStyle="1" w:styleId="153">
    <w:name w:val="Heading 7 Char"/>
    <w:basedOn w:val="132"/>
    <w:link w:val="9"/>
    <w:semiHidden/>
    <w:qFormat/>
    <w:uiPriority w:val="9"/>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character" w:customStyle="1" w:styleId="154">
    <w:name w:val="Heading 8 Char"/>
    <w:basedOn w:val="132"/>
    <w:link w:val="10"/>
    <w:semiHidden/>
    <w:qFormat/>
    <w:uiPriority w:val="9"/>
    <w:rPr>
      <w:rFonts w:asciiTheme="majorHAnsi" w:hAnsiTheme="majorHAnsi" w:eastAsiaTheme="majorEastAsia" w:cstheme="majorBidi"/>
      <w:color w:val="4F81BD" w:themeColor="accent1"/>
      <w:sz w:val="20"/>
      <w:szCs w:val="20"/>
      <w14:textFill>
        <w14:solidFill>
          <w14:schemeClr w14:val="accent1"/>
        </w14:solidFill>
      </w14:textFill>
    </w:rPr>
  </w:style>
  <w:style w:type="character" w:customStyle="1" w:styleId="155">
    <w:name w:val="Heading 9 Char"/>
    <w:basedOn w:val="132"/>
    <w:link w:val="11"/>
    <w:semiHidden/>
    <w:qFormat/>
    <w:uiPriority w:val="9"/>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paragraph" w:styleId="156">
    <w:name w:val="Intense Quote"/>
    <w:basedOn w:val="1"/>
    <w:next w:val="1"/>
    <w:link w:val="157"/>
    <w:qFormat/>
    <w:uiPriority w:val="30"/>
    <w:pPr>
      <w:pBdr>
        <w:bottom w:val="single" w:color="4F81BD" w:themeColor="accent1" w:sz="4" w:space="4"/>
      </w:pBdr>
      <w:spacing w:before="200" w:after="280"/>
      <w:ind w:left="936" w:right="936"/>
    </w:pPr>
    <w:rPr>
      <w:b/>
      <w:bCs/>
      <w:i/>
      <w:iCs/>
      <w:color w:val="4F81BD" w:themeColor="accent1"/>
      <w14:textFill>
        <w14:solidFill>
          <w14:schemeClr w14:val="accent1"/>
        </w14:solidFill>
      </w14:textFill>
    </w:rPr>
  </w:style>
  <w:style w:type="character" w:customStyle="1" w:styleId="157">
    <w:name w:val="Intense Quote Char"/>
    <w:basedOn w:val="132"/>
    <w:link w:val="156"/>
    <w:qFormat/>
    <w:uiPriority w:val="30"/>
    <w:rPr>
      <w:b/>
      <w:bCs/>
      <w:i/>
      <w:iCs/>
      <w:color w:val="4F81BD" w:themeColor="accent1"/>
      <w14:textFill>
        <w14:solidFill>
          <w14:schemeClr w14:val="accent1"/>
        </w14:solidFill>
      </w14:textFill>
    </w:rPr>
  </w:style>
  <w:style w:type="character" w:customStyle="1" w:styleId="158">
    <w:name w:val="Subtle Emphasis"/>
    <w:basedOn w:val="132"/>
    <w:qFormat/>
    <w:uiPriority w:val="19"/>
    <w:rPr>
      <w:i/>
      <w:iCs/>
      <w:color w:val="808080" w:themeColor="text1" w:themeTint="80"/>
      <w14:textFill>
        <w14:solidFill>
          <w14:schemeClr w14:val="tx1">
            <w14:lumMod w14:val="50000"/>
            <w14:lumOff w14:val="50000"/>
          </w14:schemeClr>
        </w14:solidFill>
      </w14:textFill>
    </w:rPr>
  </w:style>
  <w:style w:type="character" w:customStyle="1" w:styleId="159">
    <w:name w:val="Intense Emphasis"/>
    <w:basedOn w:val="132"/>
    <w:qFormat/>
    <w:uiPriority w:val="21"/>
    <w:rPr>
      <w:b/>
      <w:bCs/>
      <w:i/>
      <w:iCs/>
      <w:color w:val="4F81BD" w:themeColor="accent1"/>
      <w14:textFill>
        <w14:solidFill>
          <w14:schemeClr w14:val="accent1"/>
        </w14:solidFill>
      </w14:textFill>
    </w:rPr>
  </w:style>
  <w:style w:type="character" w:customStyle="1" w:styleId="160">
    <w:name w:val="Subtle Reference"/>
    <w:basedOn w:val="132"/>
    <w:qFormat/>
    <w:uiPriority w:val="31"/>
    <w:rPr>
      <w:smallCaps/>
      <w:color w:val="C0504D" w:themeColor="accent2"/>
      <w:u w:val="single"/>
      <w14:textFill>
        <w14:solidFill>
          <w14:schemeClr w14:val="accent2"/>
        </w14:solidFill>
      </w14:textFill>
    </w:rPr>
  </w:style>
  <w:style w:type="character" w:customStyle="1" w:styleId="161">
    <w:name w:val="Intense Reference"/>
    <w:basedOn w:val="132"/>
    <w:qFormat/>
    <w:uiPriority w:val="32"/>
    <w:rPr>
      <w:b/>
      <w:bCs/>
      <w:smallCaps/>
      <w:color w:val="C0504D" w:themeColor="accent2"/>
      <w:spacing w:val="5"/>
      <w:u w:val="single"/>
      <w14:textFill>
        <w14:solidFill>
          <w14:schemeClr w14:val="accent2"/>
        </w14:solidFill>
      </w14:textFill>
    </w:rPr>
  </w:style>
  <w:style w:type="character" w:customStyle="1" w:styleId="162">
    <w:name w:val="Book Title"/>
    <w:basedOn w:val="132"/>
    <w:qFormat/>
    <w:uiPriority w:val="33"/>
    <w:rPr>
      <w:b/>
      <w:bCs/>
      <w:smallCaps/>
      <w:spacing w:val="5"/>
    </w:rPr>
  </w:style>
  <w:style w:type="paragraph" w:customStyle="1" w:styleId="163">
    <w:name w:val="TOC Heading"/>
    <w:basedOn w:val="3"/>
    <w:next w:val="1"/>
    <w:semiHidden/>
    <w:unhideWhenUsed/>
    <w:qFormat/>
    <w:uiPriority w:val="39"/>
    <w:pPr>
      <w:outlineLvl w:val="9"/>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datastoreItem>
</file>

<file path=docProps/app.xml><?xml version="1.0" encoding="utf-8"?>
<Properties xmlns="http://schemas.openxmlformats.org/officeDocument/2006/extended-properties" xmlns:vt="http://schemas.openxmlformats.org/officeDocument/2006/docPropsVTypes">
  <Template>Normal.dotm</Template>
  <Pages>7</Pages>
  <Words>3240</Words>
  <Characters>3366</Characters>
  <Lines>0</Lines>
  <Paragraphs>0</Paragraphs>
  <TotalTime>15</TotalTime>
  <ScaleCrop>false</ScaleCrop>
  <LinksUpToDate>false</LinksUpToDate>
  <CharactersWithSpaces>3380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python-docx</dc:creator>
  <dc:description>generated by python-docx</dc:description>
  <cp:lastModifiedBy>56213_sz</cp:lastModifiedBy>
  <dcterms:modified xsi:type="dcterms:W3CDTF">2026-09-03T13:45:33Z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eyJoZGlkIjoiMjM3YTY0YWY0MmY0MDJkNDIwNzgwZTU2NWZiN2MxNGEiLCJ1c2VySWQiOiI0MTE5MzI4NjYifQ==</vt:lpwstr>
  </property>
  <property fmtid="{D5CDD505-2E9C-101B-9397-08002B2CF9AE}" pid="3" name="KSOProductBuildVer">
    <vt:lpwstr>2052-11.8.2.12309</vt:lpwstr>
  </property>
  <property fmtid="{D5CDD505-2E9C-101B-9397-08002B2CF9AE}" pid="4" name="ICV">
    <vt:lpwstr>2D57F0EC65F14EB59D49CE6F2BEA8D88_12</vt:lpwstr>
  </property>
</Properties>
</file>