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E3A875">
      <w:pPr>
        <w:spacing w:line="440" w:lineRule="exact"/>
        <w:jc w:val="center"/>
        <w:rPr>
          <w:rFonts w:hint="eastAsia"/>
        </w:rPr>
      </w:pPr>
      <w:r>
        <w:rPr>
          <w:rFonts w:ascii="方正小标宋简体" w:hAnsi="方正小标宋简体" w:eastAsia="方正小标宋简体"/>
          <w:sz w:val="32"/>
          <w:szCs w:val="32"/>
        </w:rPr>
        <w:t>启安众智公司2026年智能</w:t>
      </w:r>
      <w:r>
        <w:rPr>
          <w:rFonts w:hint="eastAsia" w:ascii="方正小标宋简体" w:hAnsi="方正小标宋简体" w:eastAsia="方正小标宋简体"/>
          <w:sz w:val="32"/>
          <w:szCs w:val="32"/>
        </w:rPr>
        <w:t>塑壳、智能微断</w:t>
      </w:r>
      <w:r>
        <w:rPr>
          <w:rFonts w:ascii="方正小标宋简体" w:hAnsi="方正小标宋简体" w:eastAsia="方正小标宋简体"/>
          <w:sz w:val="32"/>
          <w:szCs w:val="32"/>
        </w:rPr>
        <w:t>新产品</w:t>
      </w:r>
      <w:r>
        <w:rPr>
          <w:rFonts w:hint="eastAsia" w:ascii="方正小标宋简体" w:hAnsi="方正小标宋简体" w:eastAsia="方正小标宋简体"/>
          <w:sz w:val="32"/>
          <w:szCs w:val="32"/>
        </w:rPr>
        <w:t>鉴定项目</w:t>
      </w:r>
    </w:p>
    <w:p w14:paraId="0CF4F809">
      <w:pPr>
        <w:ind w:firstLine="562" w:firstLineChars="200"/>
        <w:jc w:val="both"/>
        <w:rPr>
          <w:rFonts w:hint="eastAsia" w:ascii="宋体" w:hAnsi="宋体" w:eastAsia="宋体"/>
          <w:b/>
          <w:bCs/>
          <w:sz w:val="28"/>
          <w:szCs w:val="28"/>
        </w:rPr>
      </w:pPr>
      <w:r>
        <w:rPr>
          <w:rFonts w:hint="eastAsia" w:ascii="宋体" w:hAnsi="宋体" w:eastAsia="宋体"/>
          <w:b/>
          <w:bCs/>
          <w:sz w:val="28"/>
          <w:szCs w:val="28"/>
        </w:rPr>
        <w:t>一、项目概述</w:t>
      </w:r>
    </w:p>
    <w:p w14:paraId="5970E42C">
      <w:pPr>
        <w:pStyle w:val="15"/>
        <w:shd w:val="clear" w:color="auto" w:fill="FFFFFF"/>
        <w:spacing w:before="240" w:beforeAutospacing="0" w:after="240" w:afterAutospacing="0" w:line="360" w:lineRule="auto"/>
        <w:rPr>
          <w:rFonts w:hint="eastAsia"/>
          <w:sz w:val="28"/>
          <w:szCs w:val="28"/>
        </w:rPr>
      </w:pPr>
      <w:r>
        <w:rPr>
          <w:rFonts w:cstheme="minorBidi"/>
          <w:kern w:val="2"/>
          <w:sz w:val="28"/>
          <w:szCs w:val="28"/>
          <w14:ligatures w14:val="standardContextual"/>
        </w:rPr>
        <w:t xml:space="preserve">    为满足南方电网电子商城科创专区产品上架要求，根据南方电网公司《关于加强公司电子商城科创专区运营管理的通知》（办科创〔2026〕24号）中关于产品鉴定证书须由省级及以上权威机构颁发、产品鉴定内容须涵盖产品设计定型、制造能力评估、质量控制体系等上架准入标准要求，广州启安众智建设管理有限责任公司现开展智能塑壳、智能微断的新产品技术鉴定服务采购工作。</w:t>
      </w:r>
    </w:p>
    <w:p w14:paraId="75570C3F">
      <w:pPr>
        <w:spacing w:after="0"/>
        <w:ind w:firstLine="562" w:firstLineChars="200"/>
        <w:jc w:val="both"/>
        <w:rPr>
          <w:rFonts w:hint="eastAsia" w:ascii="宋体" w:hAnsi="宋体" w:eastAsia="宋体"/>
          <w:b/>
          <w:bCs/>
          <w:sz w:val="28"/>
          <w:szCs w:val="28"/>
        </w:rPr>
      </w:pPr>
      <w:r>
        <w:rPr>
          <w:rFonts w:hint="eastAsia" w:ascii="宋体" w:hAnsi="宋体" w:eastAsia="宋体"/>
          <w:b/>
          <w:bCs/>
          <w:sz w:val="28"/>
          <w:szCs w:val="28"/>
        </w:rPr>
        <w:t>二、采购范围</w:t>
      </w:r>
    </w:p>
    <w:p w14:paraId="587EDBF8">
      <w:pPr>
        <w:pStyle w:val="15"/>
        <w:shd w:val="clear" w:color="auto" w:fill="FFFFFF"/>
        <w:spacing w:before="240" w:beforeAutospacing="0" w:after="0" w:afterAutospacing="0" w:line="360" w:lineRule="auto"/>
        <w:rPr>
          <w:rFonts w:hint="eastAsia"/>
          <w:sz w:val="28"/>
          <w:szCs w:val="28"/>
        </w:rPr>
      </w:pPr>
      <w:r>
        <w:rPr>
          <w:rFonts w:cstheme="minorBidi"/>
          <w:kern w:val="2"/>
          <w:sz w:val="28"/>
          <w:szCs w:val="28"/>
          <w14:ligatures w14:val="standardContextual"/>
        </w:rPr>
        <w:t xml:space="preserve">    本项目拟采购</w:t>
      </w:r>
      <w:r>
        <w:rPr>
          <w:rFonts w:hint="eastAsia" w:cstheme="minorBidi"/>
          <w:kern w:val="2"/>
          <w:sz w:val="28"/>
          <w:szCs w:val="28"/>
          <w14:ligatures w14:val="standardContextual"/>
        </w:rPr>
        <w:t>新产品</w:t>
      </w:r>
      <w:r>
        <w:rPr>
          <w:rFonts w:cstheme="minorBidi"/>
          <w:kern w:val="2"/>
          <w:sz w:val="28"/>
          <w:szCs w:val="28"/>
          <w14:ligatures w14:val="standardContextual"/>
        </w:rPr>
        <w:t>鉴定服务，对</w:t>
      </w:r>
      <w:r>
        <w:rPr>
          <w:rFonts w:hint="eastAsia" w:cstheme="minorBidi"/>
          <w:kern w:val="2"/>
          <w:sz w:val="28"/>
          <w:szCs w:val="28"/>
          <w14:ligatures w14:val="standardContextual"/>
        </w:rPr>
        <w:t>QM1LC系列</w:t>
      </w:r>
      <w:r>
        <w:rPr>
          <w:rFonts w:cstheme="minorBidi"/>
          <w:kern w:val="2"/>
          <w:sz w:val="28"/>
          <w:szCs w:val="28"/>
          <w14:ligatures w14:val="standardContextual"/>
        </w:rPr>
        <w:t>智能</w:t>
      </w:r>
      <w:r>
        <w:rPr>
          <w:rFonts w:hint="eastAsia" w:cstheme="minorBidi"/>
          <w:kern w:val="2"/>
          <w:sz w:val="28"/>
          <w:szCs w:val="28"/>
          <w14:ligatures w14:val="standardContextual"/>
        </w:rPr>
        <w:t>塑壳、QB1LE系列智能微断两款产品</w:t>
      </w:r>
      <w:r>
        <w:rPr>
          <w:rFonts w:cstheme="minorBidi"/>
          <w:kern w:val="2"/>
          <w:sz w:val="28"/>
          <w:szCs w:val="28"/>
          <w14:ligatures w14:val="standardContextual"/>
        </w:rPr>
        <w:t>组织专家开展</w:t>
      </w:r>
      <w:r>
        <w:rPr>
          <w:rFonts w:hint="eastAsia" w:cstheme="minorBidi"/>
          <w:kern w:val="2"/>
          <w:sz w:val="28"/>
          <w:szCs w:val="28"/>
          <w14:ligatures w14:val="standardContextual"/>
        </w:rPr>
        <w:t>新产品</w:t>
      </w:r>
      <w:r>
        <w:rPr>
          <w:rFonts w:cstheme="minorBidi"/>
          <w:kern w:val="2"/>
          <w:sz w:val="28"/>
          <w:szCs w:val="28"/>
          <w14:ligatures w14:val="standardContextual"/>
        </w:rPr>
        <w:t>鉴定，出具鉴定证书，为后续产品上架南方电网电子商城科创专区提供合规的鉴定依据</w:t>
      </w:r>
      <w:r>
        <w:rPr>
          <w:sz w:val="28"/>
          <w:szCs w:val="28"/>
        </w:rPr>
        <w:t>。</w:t>
      </w:r>
    </w:p>
    <w:p w14:paraId="3F58666D">
      <w:pPr>
        <w:spacing w:after="0"/>
        <w:ind w:firstLine="560" w:firstLineChars="200"/>
        <w:jc w:val="both"/>
        <w:rPr>
          <w:rFonts w:hint="eastAsia" w:ascii="宋体" w:hAnsi="宋体" w:eastAsia="宋体"/>
          <w:sz w:val="28"/>
          <w:szCs w:val="28"/>
        </w:rPr>
      </w:pPr>
      <w:r>
        <w:rPr>
          <w:rFonts w:ascii="宋体" w:hAnsi="宋体" w:eastAsia="宋体"/>
          <w:sz w:val="28"/>
          <w:szCs w:val="28"/>
        </w:rPr>
        <w:t>（一）服务内容包括但不限于：</w:t>
      </w:r>
    </w:p>
    <w:p w14:paraId="42A31EF1">
      <w:pPr>
        <w:spacing w:after="0"/>
        <w:ind w:left="440" w:leftChars="200"/>
        <w:jc w:val="both"/>
        <w:rPr>
          <w:rFonts w:hint="eastAsia" w:ascii="宋体" w:hAnsi="宋体" w:eastAsia="宋体"/>
          <w:sz w:val="28"/>
          <w:szCs w:val="28"/>
        </w:rPr>
      </w:pPr>
      <w:r>
        <w:rPr>
          <w:rFonts w:hint="eastAsia" w:ascii="宋体" w:hAnsi="宋体" w:eastAsia="宋体"/>
          <w:sz w:val="28"/>
          <w:szCs w:val="28"/>
        </w:rPr>
        <w:t>1.</w:t>
      </w:r>
      <w:r>
        <w:rPr>
          <w:rFonts w:ascii="宋体" w:hAnsi="宋体" w:eastAsia="宋体"/>
          <w:sz w:val="28"/>
          <w:szCs w:val="28"/>
        </w:rPr>
        <w:t>组织并完成</w:t>
      </w:r>
      <w:r>
        <w:rPr>
          <w:rFonts w:hint="eastAsia" w:ascii="宋体" w:hAnsi="宋体" w:eastAsia="宋体"/>
          <w:sz w:val="28"/>
          <w:szCs w:val="28"/>
        </w:rPr>
        <w:t>QM1LC系列</w:t>
      </w:r>
      <w:r>
        <w:rPr>
          <w:rFonts w:ascii="宋体" w:hAnsi="宋体" w:eastAsia="宋体"/>
          <w:sz w:val="28"/>
          <w:szCs w:val="28"/>
        </w:rPr>
        <w:t>智能</w:t>
      </w:r>
      <w:r>
        <w:rPr>
          <w:rFonts w:hint="eastAsia" w:ascii="宋体" w:hAnsi="宋体" w:eastAsia="宋体"/>
          <w:sz w:val="28"/>
          <w:szCs w:val="28"/>
        </w:rPr>
        <w:t>塑壳</w:t>
      </w:r>
      <w:r>
        <w:rPr>
          <w:rFonts w:ascii="宋体" w:hAnsi="宋体" w:eastAsia="宋体"/>
          <w:sz w:val="28"/>
          <w:szCs w:val="28"/>
        </w:rPr>
        <w:t>的</w:t>
      </w:r>
      <w:r>
        <w:rPr>
          <w:rFonts w:hint="eastAsia" w:ascii="宋体" w:hAnsi="宋体" w:eastAsia="宋体"/>
          <w:sz w:val="28"/>
          <w:szCs w:val="28"/>
        </w:rPr>
        <w:t>新产品</w:t>
      </w:r>
      <w:r>
        <w:rPr>
          <w:rFonts w:ascii="宋体" w:hAnsi="宋体" w:eastAsia="宋体"/>
          <w:sz w:val="28"/>
          <w:szCs w:val="28"/>
        </w:rPr>
        <w:t>鉴定工作，出具相应的</w:t>
      </w:r>
      <w:r>
        <w:rPr>
          <w:rFonts w:hint="eastAsia" w:ascii="宋体" w:hAnsi="宋体" w:eastAsia="宋体"/>
          <w:sz w:val="28"/>
          <w:szCs w:val="28"/>
        </w:rPr>
        <w:t>新产品</w:t>
      </w:r>
      <w:r>
        <w:rPr>
          <w:rFonts w:ascii="宋体" w:hAnsi="宋体" w:eastAsia="宋体"/>
          <w:sz w:val="28"/>
          <w:szCs w:val="28"/>
        </w:rPr>
        <w:t>鉴定证书；</w:t>
      </w:r>
    </w:p>
    <w:p w14:paraId="4BA565F3">
      <w:pPr>
        <w:spacing w:after="0"/>
        <w:ind w:left="440" w:leftChars="200"/>
        <w:jc w:val="both"/>
        <w:rPr>
          <w:rFonts w:hint="eastAsia" w:ascii="宋体" w:hAnsi="宋体" w:eastAsia="宋体"/>
          <w:sz w:val="28"/>
          <w:szCs w:val="28"/>
        </w:rPr>
      </w:pPr>
      <w:r>
        <w:rPr>
          <w:rFonts w:hint="eastAsia" w:ascii="宋体" w:hAnsi="宋体" w:eastAsia="宋体"/>
          <w:sz w:val="28"/>
          <w:szCs w:val="28"/>
        </w:rPr>
        <w:t>2.</w:t>
      </w:r>
      <w:r>
        <w:rPr>
          <w:rFonts w:ascii="宋体" w:hAnsi="宋体" w:eastAsia="宋体"/>
          <w:sz w:val="28"/>
          <w:szCs w:val="28"/>
        </w:rPr>
        <w:t>组织并完成</w:t>
      </w:r>
      <w:r>
        <w:rPr>
          <w:rFonts w:hint="eastAsia" w:ascii="宋体" w:hAnsi="宋体" w:eastAsia="宋体"/>
          <w:sz w:val="28"/>
          <w:szCs w:val="28"/>
        </w:rPr>
        <w:t>QB1LE系列智能微断</w:t>
      </w:r>
      <w:r>
        <w:rPr>
          <w:rFonts w:ascii="宋体" w:hAnsi="宋体" w:eastAsia="宋体"/>
          <w:sz w:val="28"/>
          <w:szCs w:val="28"/>
        </w:rPr>
        <w:t>的</w:t>
      </w:r>
      <w:r>
        <w:rPr>
          <w:rFonts w:hint="eastAsia" w:ascii="宋体" w:hAnsi="宋体" w:eastAsia="宋体"/>
          <w:sz w:val="28"/>
          <w:szCs w:val="28"/>
        </w:rPr>
        <w:t>新产品</w:t>
      </w:r>
      <w:r>
        <w:rPr>
          <w:rFonts w:ascii="宋体" w:hAnsi="宋体" w:eastAsia="宋体"/>
          <w:sz w:val="28"/>
          <w:szCs w:val="28"/>
        </w:rPr>
        <w:t>鉴定工作，出具相应的</w:t>
      </w:r>
      <w:r>
        <w:rPr>
          <w:rFonts w:hint="eastAsia" w:ascii="宋体" w:hAnsi="宋体" w:eastAsia="宋体"/>
          <w:sz w:val="28"/>
          <w:szCs w:val="28"/>
        </w:rPr>
        <w:t>新产品</w:t>
      </w:r>
      <w:r>
        <w:rPr>
          <w:rFonts w:ascii="宋体" w:hAnsi="宋体" w:eastAsia="宋体"/>
          <w:sz w:val="28"/>
          <w:szCs w:val="28"/>
        </w:rPr>
        <w:t>鉴定证书；</w:t>
      </w:r>
    </w:p>
    <w:p w14:paraId="1079E096">
      <w:pPr>
        <w:spacing w:after="0"/>
        <w:ind w:left="360"/>
        <w:jc w:val="both"/>
        <w:rPr>
          <w:rFonts w:hint="eastAsia" w:ascii="宋体" w:hAnsi="宋体" w:eastAsia="宋体"/>
          <w:sz w:val="28"/>
          <w:szCs w:val="28"/>
        </w:rPr>
      </w:pPr>
      <w:r>
        <w:rPr>
          <w:rFonts w:hint="eastAsia" w:ascii="宋体" w:hAnsi="宋体" w:eastAsia="宋体"/>
          <w:sz w:val="28"/>
          <w:szCs w:val="28"/>
        </w:rPr>
        <w:t>3.</w:t>
      </w:r>
      <w:r>
        <w:rPr>
          <w:rFonts w:ascii="宋体" w:hAnsi="宋体" w:eastAsia="宋体"/>
          <w:sz w:val="28"/>
          <w:szCs w:val="28"/>
        </w:rPr>
        <w:t>协调安排</w:t>
      </w:r>
      <w:r>
        <w:rPr>
          <w:rFonts w:hint="eastAsia" w:ascii="宋体" w:hAnsi="宋体" w:eastAsia="宋体"/>
          <w:sz w:val="28"/>
          <w:szCs w:val="28"/>
        </w:rPr>
        <w:t>QM1LC系列</w:t>
      </w:r>
      <w:r>
        <w:rPr>
          <w:rFonts w:ascii="宋体" w:hAnsi="宋体" w:eastAsia="宋体"/>
          <w:sz w:val="28"/>
          <w:szCs w:val="28"/>
        </w:rPr>
        <w:t>智能塑壳、</w:t>
      </w:r>
      <w:r>
        <w:rPr>
          <w:rFonts w:hint="eastAsia" w:ascii="宋体" w:hAnsi="宋体" w:eastAsia="宋体"/>
          <w:sz w:val="28"/>
          <w:szCs w:val="28"/>
        </w:rPr>
        <w:t>QB1LE系列</w:t>
      </w:r>
      <w:r>
        <w:rPr>
          <w:rFonts w:ascii="宋体" w:hAnsi="宋体" w:eastAsia="宋体"/>
          <w:sz w:val="28"/>
          <w:szCs w:val="28"/>
        </w:rPr>
        <w:t>智能微断的样机测试工作；</w:t>
      </w:r>
    </w:p>
    <w:p w14:paraId="1C6E751D">
      <w:pPr>
        <w:spacing w:after="0"/>
        <w:ind w:left="440" w:leftChars="200"/>
        <w:jc w:val="both"/>
        <w:rPr>
          <w:rFonts w:hint="eastAsia" w:ascii="宋体" w:hAnsi="宋体" w:eastAsia="宋体"/>
          <w:sz w:val="28"/>
          <w:szCs w:val="28"/>
        </w:rPr>
      </w:pPr>
      <w:r>
        <w:rPr>
          <w:rFonts w:hint="eastAsia" w:ascii="宋体" w:hAnsi="宋体" w:eastAsia="宋体"/>
          <w:sz w:val="28"/>
          <w:szCs w:val="28"/>
        </w:rPr>
        <w:t>4.</w:t>
      </w:r>
      <w:r>
        <w:rPr>
          <w:rFonts w:ascii="宋体" w:hAnsi="宋体" w:eastAsia="宋体"/>
          <w:sz w:val="28"/>
          <w:szCs w:val="28"/>
        </w:rPr>
        <w:t>协调专家开展制造能力评估（工厂现场审查，工厂地址为浙江省温州市）；</w:t>
      </w:r>
    </w:p>
    <w:p w14:paraId="78305AF7">
      <w:pPr>
        <w:spacing w:after="0"/>
        <w:ind w:left="440" w:leftChars="200"/>
        <w:jc w:val="both"/>
        <w:rPr>
          <w:rFonts w:hint="eastAsia" w:ascii="宋体" w:hAnsi="宋体" w:eastAsia="宋体"/>
          <w:sz w:val="28"/>
          <w:szCs w:val="28"/>
        </w:rPr>
      </w:pPr>
      <w:r>
        <w:rPr>
          <w:rFonts w:hint="eastAsia" w:ascii="宋体" w:hAnsi="宋体" w:eastAsia="宋体"/>
          <w:sz w:val="28"/>
          <w:szCs w:val="28"/>
        </w:rPr>
        <w:t>5.</w:t>
      </w:r>
      <w:r>
        <w:rPr>
          <w:rFonts w:ascii="宋体" w:hAnsi="宋体" w:eastAsia="宋体"/>
          <w:sz w:val="28"/>
          <w:szCs w:val="28"/>
        </w:rPr>
        <w:t>负责鉴定会议的全流程会务承办，包括但不限于会议场所预订、会议材料准备与整理、会议组织协调等会务工作；</w:t>
      </w:r>
    </w:p>
    <w:p w14:paraId="3A3B44D2">
      <w:pPr>
        <w:spacing w:after="0"/>
        <w:ind w:left="440" w:leftChars="200"/>
        <w:jc w:val="both"/>
        <w:rPr>
          <w:rFonts w:hint="eastAsia" w:ascii="宋体" w:hAnsi="宋体" w:eastAsia="宋体"/>
          <w:sz w:val="28"/>
          <w:szCs w:val="28"/>
        </w:rPr>
      </w:pPr>
      <w:r>
        <w:rPr>
          <w:rFonts w:hint="eastAsia" w:ascii="宋体" w:hAnsi="宋体" w:eastAsia="宋体"/>
          <w:sz w:val="28"/>
          <w:szCs w:val="28"/>
        </w:rPr>
        <w:t>6.</w:t>
      </w:r>
      <w:r>
        <w:rPr>
          <w:rFonts w:ascii="宋体" w:hAnsi="宋体" w:eastAsia="宋体"/>
          <w:sz w:val="28"/>
          <w:szCs w:val="28"/>
        </w:rPr>
        <w:t>负责鉴定专家的</w:t>
      </w:r>
      <w:r>
        <w:rPr>
          <w:rFonts w:ascii="宋体" w:hAnsi="宋体" w:eastAsia="宋体"/>
          <w:sz w:val="28"/>
          <w:szCs w:val="28"/>
          <w:woUserID w:val="2"/>
        </w:rPr>
        <w:t>邀请</w:t>
      </w:r>
      <w:r>
        <w:rPr>
          <w:rFonts w:ascii="宋体" w:hAnsi="宋体" w:eastAsia="宋体"/>
          <w:sz w:val="28"/>
          <w:szCs w:val="28"/>
        </w:rPr>
        <w:t>与联络工作；</w:t>
      </w:r>
    </w:p>
    <w:p w14:paraId="01E289BA">
      <w:pPr>
        <w:spacing w:after="0"/>
        <w:ind w:left="440" w:leftChars="200"/>
        <w:jc w:val="both"/>
        <w:rPr>
          <w:rFonts w:hint="eastAsia" w:ascii="宋体" w:hAnsi="宋体" w:eastAsia="宋体"/>
          <w:sz w:val="28"/>
          <w:szCs w:val="28"/>
        </w:rPr>
      </w:pPr>
      <w:r>
        <w:rPr>
          <w:rFonts w:hint="eastAsia" w:ascii="宋体" w:hAnsi="宋体" w:eastAsia="宋体"/>
          <w:sz w:val="28"/>
          <w:szCs w:val="28"/>
        </w:rPr>
        <w:t>7.</w:t>
      </w:r>
      <w:r>
        <w:rPr>
          <w:rFonts w:ascii="宋体" w:hAnsi="宋体" w:eastAsia="宋体"/>
          <w:sz w:val="28"/>
          <w:szCs w:val="28"/>
        </w:rPr>
        <w:t>负责鉴定（评审）报告的编制与交付；</w:t>
      </w:r>
    </w:p>
    <w:p w14:paraId="06E2B2AB">
      <w:pPr>
        <w:spacing w:after="0"/>
        <w:ind w:left="440" w:leftChars="200"/>
        <w:jc w:val="both"/>
        <w:rPr>
          <w:rFonts w:hint="eastAsia" w:ascii="宋体" w:hAnsi="宋体" w:eastAsia="宋体"/>
          <w:sz w:val="28"/>
          <w:szCs w:val="28"/>
        </w:rPr>
      </w:pPr>
      <w:r>
        <w:rPr>
          <w:rFonts w:hint="eastAsia" w:ascii="宋体" w:hAnsi="宋体" w:eastAsia="宋体"/>
          <w:sz w:val="28"/>
          <w:szCs w:val="28"/>
        </w:rPr>
        <w:t>8.</w:t>
      </w:r>
      <w:r>
        <w:rPr>
          <w:rFonts w:ascii="宋体" w:hAnsi="宋体" w:eastAsia="宋体"/>
          <w:sz w:val="28"/>
          <w:szCs w:val="28"/>
        </w:rPr>
        <w:t>负责提供电力科技产品</w:t>
      </w:r>
      <w:r>
        <w:rPr>
          <w:rFonts w:hint="eastAsia" w:ascii="宋体" w:hAnsi="宋体" w:eastAsia="宋体"/>
          <w:sz w:val="28"/>
          <w:szCs w:val="28"/>
        </w:rPr>
        <w:t>成果</w:t>
      </w:r>
      <w:r>
        <w:rPr>
          <w:rFonts w:ascii="宋体" w:hAnsi="宋体" w:eastAsia="宋体"/>
          <w:sz w:val="28"/>
          <w:szCs w:val="28"/>
        </w:rPr>
        <w:t>鉴定（评审）相关政策规定咨询服务。</w:t>
      </w:r>
    </w:p>
    <w:p w14:paraId="1FC0A317">
      <w:pPr>
        <w:spacing w:after="0"/>
        <w:ind w:firstLine="560" w:firstLineChars="200"/>
        <w:jc w:val="both"/>
        <w:rPr>
          <w:rFonts w:hint="eastAsia" w:ascii="宋体" w:hAnsi="宋体" w:eastAsia="宋体"/>
          <w:sz w:val="28"/>
          <w:szCs w:val="28"/>
        </w:rPr>
      </w:pPr>
      <w:r>
        <w:rPr>
          <w:rFonts w:ascii="宋体" w:hAnsi="宋体" w:eastAsia="宋体"/>
          <w:sz w:val="28"/>
          <w:szCs w:val="28"/>
        </w:rPr>
        <w:t>（二）本项目费用包含范围：</w:t>
      </w:r>
    </w:p>
    <w:p w14:paraId="11A6F9C5">
      <w:pPr>
        <w:spacing w:after="0"/>
        <w:ind w:firstLine="560" w:firstLineChars="200"/>
        <w:jc w:val="both"/>
        <w:rPr>
          <w:rFonts w:hint="eastAsia" w:ascii="宋体" w:hAnsi="宋体" w:eastAsia="宋体"/>
          <w:sz w:val="28"/>
          <w:szCs w:val="28"/>
        </w:rPr>
      </w:pPr>
      <w:r>
        <w:rPr>
          <w:rFonts w:ascii="宋体" w:hAnsi="宋体" w:eastAsia="宋体"/>
          <w:sz w:val="28"/>
          <w:szCs w:val="28"/>
        </w:rPr>
        <w:t>上述第（一）款第1至</w:t>
      </w:r>
      <w:r>
        <w:rPr>
          <w:rFonts w:hint="eastAsia" w:ascii="宋体" w:hAnsi="宋体" w:eastAsia="宋体"/>
          <w:sz w:val="28"/>
          <w:szCs w:val="28"/>
        </w:rPr>
        <w:t>8</w:t>
      </w:r>
      <w:r>
        <w:rPr>
          <w:rFonts w:ascii="宋体" w:hAnsi="宋体" w:eastAsia="宋体"/>
          <w:sz w:val="28"/>
          <w:szCs w:val="28"/>
        </w:rPr>
        <w:t>项服务内容所涉及的全部会务费用、组织协调费用及服务费用</w:t>
      </w:r>
      <w:r>
        <w:rPr>
          <w:rFonts w:hint="eastAsia" w:ascii="宋体" w:hAnsi="宋体" w:eastAsia="宋体"/>
          <w:sz w:val="28"/>
          <w:szCs w:val="28"/>
        </w:rPr>
        <w:t>（含投标方工作人员往返差旅食宿及劳务费）</w:t>
      </w:r>
      <w:r>
        <w:rPr>
          <w:rFonts w:ascii="宋体" w:hAnsi="宋体" w:eastAsia="宋体"/>
          <w:sz w:val="28"/>
          <w:szCs w:val="28"/>
        </w:rPr>
        <w:t>。</w:t>
      </w:r>
    </w:p>
    <w:p w14:paraId="418C98CC">
      <w:pPr>
        <w:spacing w:after="0"/>
        <w:ind w:firstLine="560" w:firstLineChars="200"/>
        <w:jc w:val="both"/>
        <w:rPr>
          <w:rFonts w:hint="eastAsia" w:ascii="宋体" w:hAnsi="宋体" w:eastAsia="宋体"/>
          <w:sz w:val="28"/>
          <w:szCs w:val="28"/>
        </w:rPr>
      </w:pPr>
      <w:r>
        <w:rPr>
          <w:rFonts w:ascii="宋体" w:hAnsi="宋体" w:eastAsia="宋体"/>
          <w:sz w:val="28"/>
          <w:szCs w:val="28"/>
        </w:rPr>
        <w:t>（三）本项目费用不包含范围：</w:t>
      </w:r>
    </w:p>
    <w:p w14:paraId="30E0C3D5">
      <w:pPr>
        <w:pStyle w:val="34"/>
        <w:spacing w:after="0"/>
        <w:ind w:left="440" w:leftChars="200"/>
        <w:jc w:val="both"/>
        <w:rPr>
          <w:rFonts w:hint="eastAsia" w:ascii="宋体" w:hAnsi="宋体" w:eastAsia="宋体"/>
          <w:sz w:val="28"/>
          <w:szCs w:val="28"/>
        </w:rPr>
      </w:pPr>
      <w:r>
        <w:rPr>
          <w:rFonts w:hint="eastAsia" w:ascii="宋体" w:hAnsi="宋体" w:eastAsia="宋体"/>
          <w:sz w:val="28"/>
          <w:szCs w:val="28"/>
        </w:rPr>
        <w:t>1.</w:t>
      </w:r>
      <w:r>
        <w:rPr>
          <w:rFonts w:ascii="宋体" w:hAnsi="宋体" w:eastAsia="宋体"/>
          <w:sz w:val="28"/>
          <w:szCs w:val="28"/>
        </w:rPr>
        <w:t>参与鉴定的专家劳务费；</w:t>
      </w:r>
    </w:p>
    <w:p w14:paraId="7259C392">
      <w:pPr>
        <w:pStyle w:val="34"/>
        <w:spacing w:after="0"/>
        <w:ind w:left="440" w:leftChars="200"/>
        <w:jc w:val="both"/>
        <w:rPr>
          <w:rFonts w:hint="eastAsia" w:ascii="宋体" w:hAnsi="宋体" w:eastAsia="宋体"/>
          <w:sz w:val="28"/>
          <w:szCs w:val="28"/>
        </w:rPr>
      </w:pPr>
      <w:r>
        <w:rPr>
          <w:rFonts w:hint="eastAsia" w:ascii="宋体" w:hAnsi="宋体" w:eastAsia="宋体"/>
          <w:sz w:val="28"/>
          <w:szCs w:val="28"/>
        </w:rPr>
        <w:t>2.</w:t>
      </w:r>
      <w:r>
        <w:rPr>
          <w:rFonts w:ascii="宋体" w:hAnsi="宋体" w:eastAsia="宋体"/>
          <w:sz w:val="28"/>
          <w:szCs w:val="28"/>
        </w:rPr>
        <w:t>如举行现场评审，</w:t>
      </w:r>
      <w:r>
        <w:rPr>
          <w:rFonts w:hint="eastAsia" w:ascii="宋体" w:hAnsi="宋体" w:eastAsia="宋体"/>
          <w:sz w:val="28"/>
          <w:szCs w:val="28"/>
        </w:rPr>
        <w:t>评审</w:t>
      </w:r>
      <w:r>
        <w:rPr>
          <w:rFonts w:ascii="宋体" w:hAnsi="宋体" w:eastAsia="宋体"/>
          <w:sz w:val="28"/>
          <w:szCs w:val="28"/>
        </w:rPr>
        <w:t>专家</w:t>
      </w:r>
      <w:r>
        <w:rPr>
          <w:rFonts w:hint="eastAsia" w:ascii="宋体" w:hAnsi="宋体" w:eastAsia="宋体"/>
          <w:sz w:val="28"/>
          <w:szCs w:val="28"/>
        </w:rPr>
        <w:t>的交通、住宿、餐饮等</w:t>
      </w:r>
      <w:r>
        <w:rPr>
          <w:rFonts w:ascii="宋体" w:hAnsi="宋体" w:eastAsia="宋体"/>
          <w:sz w:val="28"/>
          <w:szCs w:val="28"/>
        </w:rPr>
        <w:t>差旅</w:t>
      </w:r>
      <w:r>
        <w:rPr>
          <w:rFonts w:hint="eastAsia" w:ascii="宋体" w:hAnsi="宋体" w:eastAsia="宋体"/>
          <w:sz w:val="28"/>
          <w:szCs w:val="28"/>
        </w:rPr>
        <w:t>支出</w:t>
      </w:r>
      <w:r>
        <w:rPr>
          <w:rFonts w:ascii="宋体" w:hAnsi="宋体" w:eastAsia="宋体"/>
          <w:sz w:val="28"/>
          <w:szCs w:val="28"/>
        </w:rPr>
        <w:t>。</w:t>
      </w:r>
    </w:p>
    <w:p w14:paraId="28674BF3">
      <w:pPr>
        <w:ind w:firstLine="562" w:firstLineChars="200"/>
        <w:jc w:val="both"/>
        <w:rPr>
          <w:rFonts w:hint="eastAsia" w:ascii="宋体" w:hAnsi="宋体" w:eastAsia="宋体"/>
          <w:b/>
          <w:bCs/>
          <w:sz w:val="28"/>
          <w:szCs w:val="28"/>
        </w:rPr>
      </w:pPr>
      <w:r>
        <w:rPr>
          <w:rFonts w:hint="eastAsia" w:ascii="宋体" w:hAnsi="宋体" w:eastAsia="宋体"/>
          <w:b/>
          <w:bCs/>
          <w:sz w:val="28"/>
          <w:szCs w:val="28"/>
        </w:rPr>
        <w:t>三、交付内容及验收标准</w:t>
      </w:r>
    </w:p>
    <w:p w14:paraId="0E97B153">
      <w:pPr>
        <w:ind w:firstLine="560" w:firstLineChars="200"/>
        <w:jc w:val="both"/>
        <w:rPr>
          <w:rFonts w:ascii="宋体" w:hAnsi="宋体" w:eastAsia="宋体"/>
          <w:sz w:val="28"/>
          <w:szCs w:val="28"/>
        </w:rPr>
      </w:pPr>
      <w:r>
        <w:rPr>
          <w:rFonts w:hint="eastAsia" w:ascii="宋体" w:hAnsi="宋体" w:eastAsia="宋体"/>
          <w:sz w:val="28"/>
          <w:szCs w:val="28"/>
        </w:rPr>
        <w:t>（一）交付内容，见下表：</w:t>
      </w:r>
    </w:p>
    <w:tbl>
      <w:tblPr>
        <w:tblStyle w:val="17"/>
        <w:tblW w:w="8499" w:type="dxa"/>
        <w:tblInd w:w="0" w:type="dxa"/>
        <w:tblLayout w:type="autofit"/>
        <w:tblCellMar>
          <w:top w:w="0" w:type="dxa"/>
          <w:left w:w="108" w:type="dxa"/>
          <w:bottom w:w="0" w:type="dxa"/>
          <w:right w:w="108" w:type="dxa"/>
        </w:tblCellMar>
      </w:tblPr>
      <w:tblGrid>
        <w:gridCol w:w="613"/>
        <w:gridCol w:w="4020"/>
        <w:gridCol w:w="1167"/>
        <w:gridCol w:w="2699"/>
      </w:tblGrid>
      <w:tr w14:paraId="1E4CAAD2">
        <w:tblPrEx>
          <w:tblCellMar>
            <w:top w:w="0" w:type="dxa"/>
            <w:left w:w="108" w:type="dxa"/>
            <w:bottom w:w="0" w:type="dxa"/>
            <w:right w:w="108" w:type="dxa"/>
          </w:tblCellMar>
        </w:tblPrEx>
        <w:trPr>
          <w:trHeight w:val="484" w:hRule="atLeast"/>
        </w:trPr>
        <w:tc>
          <w:tcPr>
            <w:tcW w:w="613" w:type="dxa"/>
            <w:tcBorders>
              <w:top w:val="single" w:color="auto" w:sz="4" w:space="0"/>
              <w:left w:val="single" w:color="auto" w:sz="4" w:space="0"/>
              <w:bottom w:val="single" w:color="auto" w:sz="4" w:space="0"/>
              <w:right w:val="single" w:color="auto" w:sz="4" w:space="0"/>
            </w:tcBorders>
            <w:noWrap/>
            <w:vAlign w:val="center"/>
          </w:tcPr>
          <w:p w14:paraId="3EF5534E">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序列</w:t>
            </w:r>
          </w:p>
        </w:tc>
        <w:tc>
          <w:tcPr>
            <w:tcW w:w="4020" w:type="dxa"/>
            <w:tcBorders>
              <w:top w:val="single" w:color="auto" w:sz="4" w:space="0"/>
              <w:left w:val="nil"/>
              <w:bottom w:val="single" w:color="auto" w:sz="4" w:space="0"/>
              <w:right w:val="single" w:color="auto" w:sz="4" w:space="0"/>
            </w:tcBorders>
            <w:vAlign w:val="center"/>
          </w:tcPr>
          <w:p w14:paraId="5FB9D1C9">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服务内容</w:t>
            </w:r>
          </w:p>
        </w:tc>
        <w:tc>
          <w:tcPr>
            <w:tcW w:w="1167" w:type="dxa"/>
            <w:tcBorders>
              <w:top w:val="single" w:color="auto" w:sz="4" w:space="0"/>
              <w:left w:val="nil"/>
              <w:bottom w:val="single" w:color="auto" w:sz="4" w:space="0"/>
              <w:right w:val="single" w:color="auto" w:sz="4" w:space="0"/>
            </w:tcBorders>
            <w:noWrap/>
            <w:vAlign w:val="center"/>
          </w:tcPr>
          <w:p w14:paraId="3BABC5F6">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数量</w:t>
            </w:r>
          </w:p>
        </w:tc>
        <w:tc>
          <w:tcPr>
            <w:tcW w:w="2699" w:type="dxa"/>
            <w:tcBorders>
              <w:top w:val="single" w:color="auto" w:sz="4" w:space="0"/>
              <w:left w:val="nil"/>
              <w:bottom w:val="single" w:color="auto" w:sz="4" w:space="0"/>
              <w:right w:val="single" w:color="auto" w:sz="4" w:space="0"/>
            </w:tcBorders>
            <w:noWrap/>
            <w:vAlign w:val="center"/>
          </w:tcPr>
          <w:p w14:paraId="52FE6DEF">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备注</w:t>
            </w:r>
          </w:p>
        </w:tc>
      </w:tr>
      <w:tr w14:paraId="489B86D3">
        <w:tblPrEx>
          <w:tblCellMar>
            <w:top w:w="0" w:type="dxa"/>
            <w:left w:w="108" w:type="dxa"/>
            <w:bottom w:w="0" w:type="dxa"/>
            <w:right w:w="108" w:type="dxa"/>
          </w:tblCellMar>
        </w:tblPrEx>
        <w:trPr>
          <w:trHeight w:val="1053" w:hRule="atLeast"/>
        </w:trPr>
        <w:tc>
          <w:tcPr>
            <w:tcW w:w="613" w:type="dxa"/>
            <w:tcBorders>
              <w:top w:val="nil"/>
              <w:left w:val="single" w:color="auto" w:sz="4" w:space="0"/>
              <w:bottom w:val="single" w:color="auto" w:sz="4" w:space="0"/>
              <w:right w:val="single" w:color="auto" w:sz="4" w:space="0"/>
            </w:tcBorders>
            <w:noWrap/>
            <w:vAlign w:val="center"/>
          </w:tcPr>
          <w:p w14:paraId="5CD65BEF">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w:t>
            </w:r>
          </w:p>
        </w:tc>
        <w:tc>
          <w:tcPr>
            <w:tcW w:w="4020" w:type="dxa"/>
            <w:tcBorders>
              <w:top w:val="nil"/>
              <w:left w:val="nil"/>
              <w:bottom w:val="single" w:color="auto" w:sz="4" w:space="0"/>
              <w:right w:val="single" w:color="auto" w:sz="4" w:space="0"/>
            </w:tcBorders>
            <w:vAlign w:val="center"/>
          </w:tcPr>
          <w:p w14:paraId="52B48792">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组织并完成QM1LC系列智能塑壳的新产品鉴定工作，出具相应的新产品鉴定鉴定证书；</w:t>
            </w:r>
          </w:p>
        </w:tc>
        <w:tc>
          <w:tcPr>
            <w:tcW w:w="1167" w:type="dxa"/>
            <w:tcBorders>
              <w:top w:val="nil"/>
              <w:left w:val="nil"/>
              <w:bottom w:val="single" w:color="auto" w:sz="4" w:space="0"/>
              <w:right w:val="single" w:color="auto" w:sz="4" w:space="0"/>
            </w:tcBorders>
            <w:vAlign w:val="center"/>
          </w:tcPr>
          <w:p w14:paraId="78CDF164">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699" w:type="dxa"/>
            <w:tcBorders>
              <w:top w:val="nil"/>
              <w:left w:val="nil"/>
              <w:bottom w:val="single" w:color="auto" w:sz="4" w:space="0"/>
              <w:right w:val="single" w:color="auto" w:sz="4" w:space="0"/>
            </w:tcBorders>
            <w:vAlign w:val="center"/>
          </w:tcPr>
          <w:p w14:paraId="6FA67C79">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鉴定证书应加盖鉴定机构专用章，包含鉴定意见、鉴定结论及相关鉴定依据。</w:t>
            </w:r>
          </w:p>
        </w:tc>
      </w:tr>
      <w:tr w14:paraId="7F791499">
        <w:tblPrEx>
          <w:tblCellMar>
            <w:top w:w="0" w:type="dxa"/>
            <w:left w:w="108" w:type="dxa"/>
            <w:bottom w:w="0" w:type="dxa"/>
            <w:right w:w="108" w:type="dxa"/>
          </w:tblCellMar>
        </w:tblPrEx>
        <w:trPr>
          <w:trHeight w:val="1053" w:hRule="atLeast"/>
        </w:trPr>
        <w:tc>
          <w:tcPr>
            <w:tcW w:w="613" w:type="dxa"/>
            <w:tcBorders>
              <w:top w:val="nil"/>
              <w:left w:val="single" w:color="auto" w:sz="4" w:space="0"/>
              <w:bottom w:val="single" w:color="auto" w:sz="4" w:space="0"/>
              <w:right w:val="single" w:color="auto" w:sz="4" w:space="0"/>
            </w:tcBorders>
            <w:noWrap/>
            <w:vAlign w:val="center"/>
          </w:tcPr>
          <w:p w14:paraId="03C7BD40">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2</w:t>
            </w:r>
          </w:p>
        </w:tc>
        <w:tc>
          <w:tcPr>
            <w:tcW w:w="4020" w:type="dxa"/>
            <w:tcBorders>
              <w:top w:val="nil"/>
              <w:left w:val="nil"/>
              <w:bottom w:val="single" w:color="auto" w:sz="4" w:space="0"/>
              <w:right w:val="single" w:color="auto" w:sz="4" w:space="0"/>
            </w:tcBorders>
            <w:vAlign w:val="center"/>
          </w:tcPr>
          <w:p w14:paraId="49AC0600">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组织并完成QB1LE系列智能微断的新产品鉴定工作，出具相应的新产品鉴定鉴定证书；</w:t>
            </w:r>
          </w:p>
        </w:tc>
        <w:tc>
          <w:tcPr>
            <w:tcW w:w="1167" w:type="dxa"/>
            <w:tcBorders>
              <w:top w:val="nil"/>
              <w:left w:val="nil"/>
              <w:bottom w:val="single" w:color="auto" w:sz="4" w:space="0"/>
              <w:right w:val="single" w:color="auto" w:sz="4" w:space="0"/>
            </w:tcBorders>
            <w:vAlign w:val="center"/>
          </w:tcPr>
          <w:p w14:paraId="5698BE01">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699" w:type="dxa"/>
            <w:tcBorders>
              <w:top w:val="nil"/>
              <w:left w:val="nil"/>
              <w:bottom w:val="single" w:color="auto" w:sz="4" w:space="0"/>
              <w:right w:val="single" w:color="auto" w:sz="4" w:space="0"/>
            </w:tcBorders>
            <w:vAlign w:val="center"/>
          </w:tcPr>
          <w:p w14:paraId="5E0DFCC1">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鉴定证书应加盖鉴定机构专用章，包含鉴定意见、鉴定结论及相关鉴定依据。</w:t>
            </w:r>
          </w:p>
        </w:tc>
      </w:tr>
      <w:tr w14:paraId="325D04D6">
        <w:tblPrEx>
          <w:tblCellMar>
            <w:top w:w="0" w:type="dxa"/>
            <w:left w:w="108" w:type="dxa"/>
            <w:bottom w:w="0" w:type="dxa"/>
            <w:right w:w="108" w:type="dxa"/>
          </w:tblCellMar>
        </w:tblPrEx>
        <w:trPr>
          <w:trHeight w:val="1300" w:hRule="atLeast"/>
        </w:trPr>
        <w:tc>
          <w:tcPr>
            <w:tcW w:w="613" w:type="dxa"/>
            <w:tcBorders>
              <w:top w:val="single" w:color="auto" w:sz="4" w:space="0"/>
              <w:left w:val="single" w:color="auto" w:sz="4" w:space="0"/>
              <w:bottom w:val="single" w:color="auto" w:sz="4" w:space="0"/>
              <w:right w:val="single" w:color="auto" w:sz="4" w:space="0"/>
            </w:tcBorders>
            <w:noWrap/>
            <w:vAlign w:val="center"/>
          </w:tcPr>
          <w:p w14:paraId="108E72B7">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3</w:t>
            </w:r>
          </w:p>
        </w:tc>
        <w:tc>
          <w:tcPr>
            <w:tcW w:w="4020" w:type="dxa"/>
            <w:tcBorders>
              <w:top w:val="single" w:color="auto" w:sz="4" w:space="0"/>
              <w:left w:val="single" w:color="auto" w:sz="4" w:space="0"/>
              <w:bottom w:val="single" w:color="auto" w:sz="4" w:space="0"/>
              <w:right w:val="single" w:color="auto" w:sz="4" w:space="0"/>
            </w:tcBorders>
            <w:vAlign w:val="center"/>
          </w:tcPr>
          <w:p w14:paraId="23DAA387">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负责鉴定会议的全流程会务承办</w:t>
            </w:r>
          </w:p>
        </w:tc>
        <w:tc>
          <w:tcPr>
            <w:tcW w:w="1167" w:type="dxa"/>
            <w:tcBorders>
              <w:top w:val="single" w:color="auto" w:sz="4" w:space="0"/>
              <w:left w:val="single" w:color="auto" w:sz="4" w:space="0"/>
              <w:bottom w:val="single" w:color="auto" w:sz="4" w:space="0"/>
              <w:right w:val="single" w:color="auto" w:sz="4" w:space="0"/>
            </w:tcBorders>
            <w:vAlign w:val="center"/>
          </w:tcPr>
          <w:p w14:paraId="6D23795C">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699" w:type="dxa"/>
            <w:tcBorders>
              <w:top w:val="single" w:color="auto" w:sz="4" w:space="0"/>
              <w:left w:val="single" w:color="auto" w:sz="4" w:space="0"/>
              <w:bottom w:val="single" w:color="auto" w:sz="4" w:space="0"/>
              <w:right w:val="single" w:color="auto" w:sz="4" w:space="0"/>
            </w:tcBorders>
            <w:vAlign w:val="center"/>
          </w:tcPr>
          <w:p w14:paraId="2DD24DFA">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鉴定工作应按照国家和行业有关科技成果鉴定的规范标准和程序进行。</w:t>
            </w:r>
          </w:p>
        </w:tc>
      </w:tr>
      <w:tr w14:paraId="2D0D6D43">
        <w:tblPrEx>
          <w:tblCellMar>
            <w:top w:w="0" w:type="dxa"/>
            <w:left w:w="108" w:type="dxa"/>
            <w:bottom w:w="0" w:type="dxa"/>
            <w:right w:w="108" w:type="dxa"/>
          </w:tblCellMar>
        </w:tblPrEx>
        <w:trPr>
          <w:trHeight w:val="1091" w:hRule="atLeast"/>
        </w:trPr>
        <w:tc>
          <w:tcPr>
            <w:tcW w:w="613" w:type="dxa"/>
            <w:tcBorders>
              <w:top w:val="single" w:color="auto" w:sz="4" w:space="0"/>
              <w:left w:val="single" w:color="auto" w:sz="4" w:space="0"/>
              <w:bottom w:val="single" w:color="auto" w:sz="4" w:space="0"/>
              <w:right w:val="single" w:color="auto" w:sz="4" w:space="0"/>
            </w:tcBorders>
            <w:noWrap/>
            <w:vAlign w:val="center"/>
          </w:tcPr>
          <w:p w14:paraId="5E92E136">
            <w:pPr>
              <w:widowControl/>
              <w:spacing w:after="0" w:line="240" w:lineRule="auto"/>
              <w:jc w:val="center"/>
              <w:rPr>
                <w:rFonts w:ascii="宋体" w:hAnsi="宋体" w:eastAsia="宋体" w:cs="宋体"/>
                <w:kern w:val="0"/>
                <w:sz w:val="20"/>
                <w:szCs w:val="20"/>
                <w14:ligatures w14:val="none"/>
                <w:woUserID w:val="1"/>
              </w:rPr>
            </w:pPr>
            <w:r>
              <w:rPr>
                <w:rFonts w:ascii="宋体" w:hAnsi="宋体" w:eastAsia="宋体" w:cs="宋体"/>
                <w:kern w:val="0"/>
                <w:sz w:val="20"/>
                <w:szCs w:val="20"/>
                <w14:ligatures w14:val="none"/>
                <w:woUserID w:val="1"/>
              </w:rPr>
              <w:t>4</w:t>
            </w:r>
          </w:p>
        </w:tc>
        <w:tc>
          <w:tcPr>
            <w:tcW w:w="4020" w:type="dxa"/>
            <w:tcBorders>
              <w:top w:val="single" w:color="auto" w:sz="4" w:space="0"/>
              <w:left w:val="single" w:color="auto" w:sz="4" w:space="0"/>
              <w:bottom w:val="single" w:color="auto" w:sz="4" w:space="0"/>
              <w:right w:val="single" w:color="auto" w:sz="4" w:space="0"/>
            </w:tcBorders>
            <w:vAlign w:val="center"/>
          </w:tcPr>
          <w:p w14:paraId="51C00D38">
            <w:pPr>
              <w:widowControl/>
              <w:spacing w:after="0" w:line="240" w:lineRule="auto"/>
              <w:rPr>
                <w:rFonts w:ascii="宋体" w:hAnsi="宋体" w:eastAsia="宋体" w:cs="宋体"/>
                <w:kern w:val="0"/>
                <w:sz w:val="20"/>
                <w:szCs w:val="20"/>
                <w14:ligatures w14:val="none"/>
                <w:woUserID w:val="1"/>
              </w:rPr>
            </w:pPr>
            <w:r>
              <w:rPr>
                <w:rFonts w:ascii="宋体" w:hAnsi="宋体" w:eastAsia="宋体" w:cs="宋体"/>
                <w:kern w:val="0"/>
                <w:sz w:val="20"/>
                <w:szCs w:val="20"/>
                <w14:ligatures w14:val="none"/>
                <w:woUserID w:val="1"/>
              </w:rPr>
              <w:t>协调安排QM1LC系列智能塑壳、QB1LE系列智能微断的样机测试工作；</w:t>
            </w:r>
          </w:p>
        </w:tc>
        <w:tc>
          <w:tcPr>
            <w:tcW w:w="1167" w:type="dxa"/>
            <w:tcBorders>
              <w:top w:val="single" w:color="auto" w:sz="4" w:space="0"/>
              <w:left w:val="single" w:color="auto" w:sz="4" w:space="0"/>
              <w:bottom w:val="single" w:color="auto" w:sz="4" w:space="0"/>
              <w:right w:val="single" w:color="auto" w:sz="4" w:space="0"/>
            </w:tcBorders>
            <w:vAlign w:val="center"/>
          </w:tcPr>
          <w:p w14:paraId="251EFC72">
            <w:pPr>
              <w:widowControl/>
              <w:spacing w:after="0" w:line="240" w:lineRule="auto"/>
              <w:jc w:val="center"/>
              <w:rPr>
                <w:rFonts w:ascii="宋体" w:hAnsi="宋体" w:eastAsia="宋体" w:cs="宋体"/>
                <w:kern w:val="0"/>
                <w:sz w:val="20"/>
                <w:szCs w:val="20"/>
                <w14:ligatures w14:val="none"/>
                <w:woUserID w:val="1"/>
              </w:rPr>
            </w:pPr>
            <w:r>
              <w:rPr>
                <w:rFonts w:ascii="宋体" w:hAnsi="宋体" w:eastAsia="宋体" w:cs="宋体"/>
                <w:kern w:val="0"/>
                <w:sz w:val="20"/>
                <w:szCs w:val="20"/>
                <w14:ligatures w14:val="none"/>
                <w:woUserID w:val="1"/>
              </w:rPr>
              <w:t>1项</w:t>
            </w:r>
          </w:p>
        </w:tc>
        <w:tc>
          <w:tcPr>
            <w:tcW w:w="2699" w:type="dxa"/>
            <w:tcBorders>
              <w:top w:val="single" w:color="auto" w:sz="4" w:space="0"/>
              <w:left w:val="single" w:color="auto" w:sz="4" w:space="0"/>
              <w:bottom w:val="single" w:color="auto" w:sz="4" w:space="0"/>
              <w:right w:val="single" w:color="auto" w:sz="4" w:space="0"/>
            </w:tcBorders>
            <w:vAlign w:val="center"/>
          </w:tcPr>
          <w:p w14:paraId="478A82F2">
            <w:pPr>
              <w:widowControl/>
              <w:spacing w:after="0" w:line="240" w:lineRule="auto"/>
              <w:rPr>
                <w:rFonts w:ascii="宋体" w:hAnsi="宋体" w:eastAsia="宋体" w:cs="宋体"/>
                <w:kern w:val="0"/>
                <w:sz w:val="20"/>
                <w:szCs w:val="20"/>
                <w14:ligatures w14:val="none"/>
                <w:woUserID w:val="1"/>
              </w:rPr>
            </w:pPr>
            <w:r>
              <w:rPr>
                <w:rFonts w:ascii="宋体" w:hAnsi="宋体" w:eastAsia="宋体" w:cs="宋体"/>
                <w:kern w:val="0"/>
                <w:sz w:val="20"/>
                <w:szCs w:val="20"/>
                <w14:ligatures w14:val="none"/>
                <w:woUserID w:val="1"/>
              </w:rPr>
              <w:t>含工作人员往返食宿差旅及劳务费用</w:t>
            </w:r>
          </w:p>
        </w:tc>
      </w:tr>
      <w:tr w14:paraId="5375B630">
        <w:tblPrEx>
          <w:tblCellMar>
            <w:top w:w="0" w:type="dxa"/>
            <w:left w:w="108" w:type="dxa"/>
            <w:bottom w:w="0" w:type="dxa"/>
            <w:right w:w="108" w:type="dxa"/>
          </w:tblCellMar>
        </w:tblPrEx>
        <w:trPr>
          <w:trHeight w:val="1091" w:hRule="atLeast"/>
        </w:trPr>
        <w:tc>
          <w:tcPr>
            <w:tcW w:w="613" w:type="dxa"/>
            <w:tcBorders>
              <w:top w:val="single" w:color="auto" w:sz="4" w:space="0"/>
              <w:left w:val="single" w:color="auto" w:sz="4" w:space="0"/>
              <w:bottom w:val="single" w:color="auto" w:sz="4" w:space="0"/>
              <w:right w:val="single" w:color="auto" w:sz="4" w:space="0"/>
            </w:tcBorders>
            <w:noWrap/>
            <w:vAlign w:val="center"/>
          </w:tcPr>
          <w:p w14:paraId="11294280">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5</w:t>
            </w:r>
          </w:p>
        </w:tc>
        <w:tc>
          <w:tcPr>
            <w:tcW w:w="4020" w:type="dxa"/>
            <w:tcBorders>
              <w:top w:val="single" w:color="auto" w:sz="4" w:space="0"/>
              <w:left w:val="nil"/>
              <w:bottom w:val="single" w:color="auto" w:sz="4" w:space="0"/>
              <w:right w:val="single" w:color="auto" w:sz="4" w:space="0"/>
            </w:tcBorders>
            <w:vAlign w:val="center"/>
          </w:tcPr>
          <w:p w14:paraId="576545C4">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协调专家</w:t>
            </w:r>
            <w:r>
              <w:rPr>
                <w:rFonts w:hint="eastAsia" w:ascii="宋体" w:hAnsi="宋体" w:eastAsia="宋体" w:cs="宋体"/>
                <w:kern w:val="0"/>
                <w:sz w:val="20"/>
                <w:szCs w:val="20"/>
                <w14:ligatures w14:val="none"/>
              </w:rPr>
              <w:t>开展制造能力评估</w:t>
            </w:r>
            <w:r>
              <w:rPr>
                <w:rFonts w:ascii="宋体" w:hAnsi="宋体" w:eastAsia="宋体" w:cs="宋体"/>
                <w:kern w:val="0"/>
                <w:sz w:val="20"/>
                <w:szCs w:val="20"/>
                <w14:ligatures w14:val="none"/>
              </w:rPr>
              <w:t>（工厂</w:t>
            </w:r>
            <w:r>
              <w:rPr>
                <w:rFonts w:hint="eastAsia" w:ascii="宋体" w:hAnsi="宋体" w:eastAsia="宋体" w:cs="宋体"/>
                <w:kern w:val="0"/>
                <w:sz w:val="20"/>
                <w:szCs w:val="20"/>
                <w14:ligatures w14:val="none"/>
              </w:rPr>
              <w:t>现场审查）</w:t>
            </w:r>
          </w:p>
        </w:tc>
        <w:tc>
          <w:tcPr>
            <w:tcW w:w="1167" w:type="dxa"/>
            <w:tcBorders>
              <w:top w:val="single" w:color="auto" w:sz="4" w:space="0"/>
              <w:left w:val="nil"/>
              <w:bottom w:val="single" w:color="auto" w:sz="4" w:space="0"/>
              <w:right w:val="single" w:color="auto" w:sz="4" w:space="0"/>
            </w:tcBorders>
            <w:vAlign w:val="center"/>
          </w:tcPr>
          <w:p w14:paraId="73CE841E">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699" w:type="dxa"/>
            <w:tcBorders>
              <w:top w:val="single" w:color="auto" w:sz="4" w:space="0"/>
              <w:left w:val="nil"/>
              <w:bottom w:val="single" w:color="auto" w:sz="4" w:space="0"/>
              <w:right w:val="single" w:color="auto" w:sz="4" w:space="0"/>
            </w:tcBorders>
            <w:vAlign w:val="center"/>
          </w:tcPr>
          <w:p w14:paraId="247CFE7C">
            <w:pPr>
              <w:widowControl/>
              <w:spacing w:after="0" w:line="240" w:lineRule="auto"/>
              <w:rPr>
                <w:rFonts w:ascii="宋体" w:hAnsi="宋体" w:eastAsia="宋体" w:cs="宋体"/>
                <w:kern w:val="0"/>
                <w:sz w:val="20"/>
                <w:szCs w:val="20"/>
                <w14:ligatures w14:val="none"/>
              </w:rPr>
            </w:pPr>
            <w:r>
              <w:rPr>
                <w:rFonts w:hint="eastAsia" w:ascii="宋体" w:hAnsi="宋体" w:eastAsia="宋体" w:cs="宋体"/>
                <w:kern w:val="0"/>
                <w:sz w:val="20"/>
                <w:szCs w:val="20"/>
                <w14:ligatures w14:val="none"/>
              </w:rPr>
              <w:t>工厂地址为浙江省温州市，</w:t>
            </w:r>
            <w:r>
              <w:rPr>
                <w:rFonts w:ascii="宋体" w:hAnsi="宋体" w:eastAsia="宋体" w:cs="宋体"/>
                <w:kern w:val="0"/>
                <w:sz w:val="20"/>
                <w:szCs w:val="20"/>
                <w14:ligatures w14:val="none"/>
              </w:rPr>
              <w:t>含工作人员往返食宿差旅及劳务费用</w:t>
            </w:r>
          </w:p>
        </w:tc>
      </w:tr>
      <w:tr w14:paraId="6903DA0A">
        <w:tblPrEx>
          <w:tblCellMar>
            <w:top w:w="0" w:type="dxa"/>
            <w:left w:w="108" w:type="dxa"/>
            <w:bottom w:w="0" w:type="dxa"/>
            <w:right w:w="108" w:type="dxa"/>
          </w:tblCellMar>
        </w:tblPrEx>
        <w:trPr>
          <w:trHeight w:val="949" w:hRule="atLeast"/>
        </w:trPr>
        <w:tc>
          <w:tcPr>
            <w:tcW w:w="613" w:type="dxa"/>
            <w:tcBorders>
              <w:top w:val="nil"/>
              <w:left w:val="single" w:color="auto" w:sz="4" w:space="0"/>
              <w:bottom w:val="single" w:color="auto" w:sz="4" w:space="0"/>
              <w:right w:val="single" w:color="auto" w:sz="4" w:space="0"/>
            </w:tcBorders>
            <w:noWrap/>
            <w:vAlign w:val="center"/>
          </w:tcPr>
          <w:p w14:paraId="514C2554">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6</w:t>
            </w:r>
          </w:p>
        </w:tc>
        <w:tc>
          <w:tcPr>
            <w:tcW w:w="4020" w:type="dxa"/>
            <w:tcBorders>
              <w:top w:val="nil"/>
              <w:left w:val="nil"/>
              <w:bottom w:val="single" w:color="auto" w:sz="4" w:space="0"/>
              <w:right w:val="single" w:color="auto" w:sz="4" w:space="0"/>
            </w:tcBorders>
            <w:vAlign w:val="center"/>
          </w:tcPr>
          <w:p w14:paraId="1A31D60D">
            <w:pPr>
              <w:widowControl/>
              <w:spacing w:after="0" w:line="240" w:lineRule="auto"/>
              <w:rPr>
                <w:rFonts w:hint="default" w:ascii="宋体" w:hAnsi="宋体" w:eastAsia="宋体" w:cs="宋体"/>
                <w:kern w:val="0"/>
                <w:sz w:val="20"/>
                <w:szCs w:val="20"/>
                <w14:ligatures w14:val="none"/>
                <w:woUserID w:val="2"/>
              </w:rPr>
            </w:pPr>
            <w:r>
              <w:rPr>
                <w:rFonts w:ascii="宋体" w:hAnsi="宋体" w:eastAsia="宋体" w:cs="宋体"/>
                <w:kern w:val="0"/>
                <w:sz w:val="20"/>
                <w:szCs w:val="20"/>
                <w14:ligatures w14:val="none"/>
              </w:rPr>
              <w:t>负责鉴定专家的</w:t>
            </w:r>
            <w:r>
              <w:rPr>
                <w:rFonts w:ascii="宋体" w:hAnsi="宋体" w:eastAsia="宋体" w:cs="宋体"/>
                <w:kern w:val="0"/>
                <w:sz w:val="20"/>
                <w:szCs w:val="20"/>
                <w14:ligatures w14:val="none"/>
                <w:woUserID w:val="2"/>
              </w:rPr>
              <w:t>邀请与联络</w:t>
            </w:r>
          </w:p>
        </w:tc>
        <w:tc>
          <w:tcPr>
            <w:tcW w:w="1167" w:type="dxa"/>
            <w:tcBorders>
              <w:top w:val="nil"/>
              <w:left w:val="nil"/>
              <w:bottom w:val="single" w:color="auto" w:sz="4" w:space="0"/>
              <w:right w:val="single" w:color="auto" w:sz="4" w:space="0"/>
            </w:tcBorders>
            <w:vAlign w:val="center"/>
          </w:tcPr>
          <w:p w14:paraId="01A9840D">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699" w:type="dxa"/>
            <w:tcBorders>
              <w:top w:val="nil"/>
              <w:left w:val="nil"/>
              <w:bottom w:val="single" w:color="auto" w:sz="4" w:space="0"/>
              <w:right w:val="single" w:color="auto" w:sz="4" w:space="0"/>
            </w:tcBorders>
            <w:vAlign w:val="center"/>
          </w:tcPr>
          <w:p w14:paraId="5002540C">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　</w:t>
            </w:r>
          </w:p>
        </w:tc>
      </w:tr>
      <w:tr w14:paraId="187C25EC">
        <w:tblPrEx>
          <w:tblCellMar>
            <w:top w:w="0" w:type="dxa"/>
            <w:left w:w="108" w:type="dxa"/>
            <w:bottom w:w="0" w:type="dxa"/>
            <w:right w:w="108" w:type="dxa"/>
          </w:tblCellMar>
        </w:tblPrEx>
        <w:trPr>
          <w:trHeight w:val="949" w:hRule="atLeast"/>
        </w:trPr>
        <w:tc>
          <w:tcPr>
            <w:tcW w:w="613" w:type="dxa"/>
            <w:tcBorders>
              <w:top w:val="nil"/>
              <w:left w:val="single" w:color="auto" w:sz="4" w:space="0"/>
              <w:bottom w:val="single" w:color="auto" w:sz="4" w:space="0"/>
              <w:right w:val="single" w:color="auto" w:sz="4" w:space="0"/>
            </w:tcBorders>
            <w:noWrap/>
            <w:vAlign w:val="center"/>
          </w:tcPr>
          <w:p w14:paraId="4632A9B6">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7</w:t>
            </w:r>
          </w:p>
        </w:tc>
        <w:tc>
          <w:tcPr>
            <w:tcW w:w="4020" w:type="dxa"/>
            <w:tcBorders>
              <w:top w:val="nil"/>
              <w:left w:val="nil"/>
              <w:bottom w:val="single" w:color="auto" w:sz="4" w:space="0"/>
              <w:right w:val="single" w:color="auto" w:sz="4" w:space="0"/>
            </w:tcBorders>
            <w:vAlign w:val="center"/>
          </w:tcPr>
          <w:p w14:paraId="3601ED2B">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负责鉴定（评审）报告的编制与交付</w:t>
            </w:r>
          </w:p>
        </w:tc>
        <w:tc>
          <w:tcPr>
            <w:tcW w:w="1167" w:type="dxa"/>
            <w:tcBorders>
              <w:top w:val="nil"/>
              <w:left w:val="nil"/>
              <w:bottom w:val="single" w:color="auto" w:sz="4" w:space="0"/>
              <w:right w:val="single" w:color="auto" w:sz="4" w:space="0"/>
            </w:tcBorders>
            <w:vAlign w:val="center"/>
          </w:tcPr>
          <w:p w14:paraId="56F4B9C6">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699" w:type="dxa"/>
            <w:tcBorders>
              <w:top w:val="nil"/>
              <w:left w:val="nil"/>
              <w:bottom w:val="single" w:color="auto" w:sz="4" w:space="0"/>
              <w:right w:val="single" w:color="auto" w:sz="4" w:space="0"/>
            </w:tcBorders>
            <w:vAlign w:val="center"/>
          </w:tcPr>
          <w:p w14:paraId="6B5DCB71">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　</w:t>
            </w:r>
          </w:p>
        </w:tc>
      </w:tr>
      <w:tr w14:paraId="7B998CE3">
        <w:tblPrEx>
          <w:tblCellMar>
            <w:top w:w="0" w:type="dxa"/>
            <w:left w:w="108" w:type="dxa"/>
            <w:bottom w:w="0" w:type="dxa"/>
            <w:right w:w="108" w:type="dxa"/>
          </w:tblCellMar>
        </w:tblPrEx>
        <w:trPr>
          <w:trHeight w:val="949" w:hRule="atLeast"/>
        </w:trPr>
        <w:tc>
          <w:tcPr>
            <w:tcW w:w="613" w:type="dxa"/>
            <w:tcBorders>
              <w:top w:val="nil"/>
              <w:left w:val="single" w:color="auto" w:sz="4" w:space="0"/>
              <w:bottom w:val="single" w:color="auto" w:sz="4" w:space="0"/>
              <w:right w:val="single" w:color="auto" w:sz="4" w:space="0"/>
            </w:tcBorders>
            <w:noWrap/>
            <w:vAlign w:val="center"/>
          </w:tcPr>
          <w:p w14:paraId="48AF453D">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8</w:t>
            </w:r>
          </w:p>
        </w:tc>
        <w:tc>
          <w:tcPr>
            <w:tcW w:w="4020" w:type="dxa"/>
            <w:tcBorders>
              <w:top w:val="nil"/>
              <w:left w:val="nil"/>
              <w:bottom w:val="single" w:color="auto" w:sz="4" w:space="0"/>
              <w:right w:val="single" w:color="auto" w:sz="4" w:space="0"/>
            </w:tcBorders>
            <w:vAlign w:val="center"/>
          </w:tcPr>
          <w:p w14:paraId="68726E82">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负责提供电力科技产品成果鉴定（评审）相关政策规定咨询服务。</w:t>
            </w:r>
          </w:p>
        </w:tc>
        <w:tc>
          <w:tcPr>
            <w:tcW w:w="1167" w:type="dxa"/>
            <w:tcBorders>
              <w:top w:val="nil"/>
              <w:left w:val="nil"/>
              <w:bottom w:val="single" w:color="auto" w:sz="4" w:space="0"/>
              <w:right w:val="single" w:color="auto" w:sz="4" w:space="0"/>
            </w:tcBorders>
            <w:vAlign w:val="center"/>
          </w:tcPr>
          <w:p w14:paraId="6AAF3EFF">
            <w:pPr>
              <w:widowControl/>
              <w:spacing w:after="0" w:line="240" w:lineRule="auto"/>
              <w:jc w:val="center"/>
              <w:rPr>
                <w:rFonts w:ascii="宋体" w:hAnsi="宋体" w:eastAsia="宋体" w:cs="宋体"/>
                <w:kern w:val="0"/>
                <w:sz w:val="20"/>
                <w:szCs w:val="20"/>
                <w14:ligatures w14:val="none"/>
              </w:rPr>
            </w:pPr>
            <w:r>
              <w:rPr>
                <w:rFonts w:ascii="宋体" w:hAnsi="宋体" w:eastAsia="宋体" w:cs="宋体"/>
                <w:kern w:val="0"/>
                <w:sz w:val="20"/>
                <w:szCs w:val="20"/>
                <w14:ligatures w14:val="none"/>
              </w:rPr>
              <w:t>1项</w:t>
            </w:r>
          </w:p>
        </w:tc>
        <w:tc>
          <w:tcPr>
            <w:tcW w:w="2699" w:type="dxa"/>
            <w:tcBorders>
              <w:top w:val="nil"/>
              <w:left w:val="nil"/>
              <w:bottom w:val="single" w:color="auto" w:sz="4" w:space="0"/>
              <w:right w:val="single" w:color="auto" w:sz="4" w:space="0"/>
            </w:tcBorders>
            <w:vAlign w:val="center"/>
          </w:tcPr>
          <w:p w14:paraId="129761A6">
            <w:pPr>
              <w:widowControl/>
              <w:spacing w:after="0" w:line="240" w:lineRule="auto"/>
              <w:rPr>
                <w:rFonts w:ascii="宋体" w:hAnsi="宋体" w:eastAsia="宋体" w:cs="宋体"/>
                <w:kern w:val="0"/>
                <w:sz w:val="20"/>
                <w:szCs w:val="20"/>
                <w14:ligatures w14:val="none"/>
              </w:rPr>
            </w:pPr>
            <w:r>
              <w:rPr>
                <w:rFonts w:ascii="宋体" w:hAnsi="宋体" w:eastAsia="宋体" w:cs="宋体"/>
                <w:kern w:val="0"/>
                <w:sz w:val="20"/>
                <w:szCs w:val="20"/>
                <w14:ligatures w14:val="none"/>
              </w:rPr>
              <w:t>　</w:t>
            </w:r>
          </w:p>
        </w:tc>
      </w:tr>
    </w:tbl>
    <w:p w14:paraId="6DC92BB5">
      <w:pPr>
        <w:ind w:firstLine="280" w:firstLineChars="100"/>
        <w:jc w:val="both"/>
        <w:rPr>
          <w:rFonts w:hint="eastAsia" w:ascii="宋体" w:hAnsi="宋体" w:eastAsia="宋体"/>
          <w:sz w:val="28"/>
          <w:szCs w:val="28"/>
        </w:rPr>
      </w:pPr>
      <w:r>
        <w:rPr>
          <w:rFonts w:hint="eastAsia" w:ascii="宋体" w:hAnsi="宋体" w:eastAsia="宋体"/>
          <w:sz w:val="28"/>
          <w:szCs w:val="28"/>
        </w:rPr>
        <w:t>（二）验收的标准和要求</w:t>
      </w:r>
    </w:p>
    <w:p w14:paraId="0C56D19D">
      <w:pPr>
        <w:spacing w:after="0"/>
        <w:ind w:left="440" w:leftChars="200"/>
        <w:jc w:val="both"/>
        <w:rPr>
          <w:rFonts w:hint="eastAsia" w:ascii="宋体" w:hAnsi="宋体" w:eastAsia="宋体"/>
          <w:sz w:val="28"/>
          <w:szCs w:val="28"/>
        </w:rPr>
      </w:pPr>
      <w:r>
        <w:rPr>
          <w:rFonts w:hint="eastAsia" w:ascii="宋体" w:hAnsi="宋体" w:eastAsia="宋体"/>
          <w:sz w:val="28"/>
          <w:szCs w:val="28"/>
        </w:rPr>
        <w:t>1.</w:t>
      </w:r>
      <w:r>
        <w:rPr>
          <w:rFonts w:ascii="宋体" w:hAnsi="宋体" w:eastAsia="宋体"/>
          <w:sz w:val="28"/>
          <w:szCs w:val="28"/>
        </w:rPr>
        <w:t>鉴定工作应按照国家和行业有关</w:t>
      </w:r>
      <w:r>
        <w:rPr>
          <w:rFonts w:hint="eastAsia" w:ascii="宋体" w:hAnsi="宋体" w:eastAsia="宋体"/>
          <w:sz w:val="28"/>
          <w:szCs w:val="28"/>
        </w:rPr>
        <w:t>新产品</w:t>
      </w:r>
      <w:r>
        <w:rPr>
          <w:rFonts w:ascii="宋体" w:hAnsi="宋体" w:eastAsia="宋体"/>
          <w:sz w:val="28"/>
          <w:szCs w:val="28"/>
        </w:rPr>
        <w:t>鉴定的规范标准和程序进行；</w:t>
      </w:r>
    </w:p>
    <w:p w14:paraId="752E058D">
      <w:pPr>
        <w:spacing w:after="0"/>
        <w:ind w:left="440" w:leftChars="200"/>
        <w:jc w:val="both"/>
        <w:rPr>
          <w:rFonts w:hint="eastAsia" w:ascii="宋体" w:hAnsi="宋体" w:eastAsia="宋体"/>
          <w:sz w:val="28"/>
          <w:szCs w:val="28"/>
        </w:rPr>
      </w:pPr>
      <w:r>
        <w:rPr>
          <w:rFonts w:hint="eastAsia" w:ascii="宋体" w:hAnsi="宋体" w:eastAsia="宋体"/>
          <w:sz w:val="28"/>
          <w:szCs w:val="28"/>
        </w:rPr>
        <w:t>2.</w:t>
      </w:r>
      <w:r>
        <w:rPr>
          <w:rFonts w:ascii="宋体" w:hAnsi="宋体" w:eastAsia="宋体"/>
          <w:sz w:val="28"/>
          <w:szCs w:val="28"/>
        </w:rPr>
        <w:t>鉴定证书内容应完整、准确，鉴定结论明确</w:t>
      </w:r>
      <w:r>
        <w:rPr>
          <w:rFonts w:hint="eastAsia" w:ascii="宋体" w:hAnsi="宋体" w:eastAsia="宋体"/>
          <w:sz w:val="28"/>
          <w:szCs w:val="28"/>
        </w:rPr>
        <w:t>，</w:t>
      </w:r>
      <w:r>
        <w:rPr>
          <w:rFonts w:ascii="宋体" w:hAnsi="宋体" w:eastAsia="宋体"/>
          <w:sz w:val="28"/>
          <w:szCs w:val="28"/>
        </w:rPr>
        <w:t>且须涵盖产品设计定型、制造能力评估、质量控制体系等内容，以满足南方电网电子商城科创专区产品上架准入要求；</w:t>
      </w:r>
    </w:p>
    <w:p w14:paraId="6B63BEF4">
      <w:pPr>
        <w:spacing w:after="0"/>
        <w:ind w:left="440" w:leftChars="200"/>
        <w:jc w:val="both"/>
        <w:rPr>
          <w:rFonts w:hint="eastAsia" w:ascii="宋体" w:hAnsi="宋体" w:eastAsia="宋体"/>
          <w:sz w:val="28"/>
          <w:szCs w:val="28"/>
        </w:rPr>
      </w:pPr>
      <w:r>
        <w:rPr>
          <w:rFonts w:hint="eastAsia" w:ascii="宋体" w:hAnsi="宋体" w:eastAsia="宋体"/>
          <w:sz w:val="28"/>
          <w:szCs w:val="28"/>
        </w:rPr>
        <w:t>3.</w:t>
      </w:r>
      <w:r>
        <w:rPr>
          <w:rFonts w:ascii="宋体" w:hAnsi="宋体" w:eastAsia="宋体"/>
          <w:sz w:val="28"/>
          <w:szCs w:val="28"/>
        </w:rPr>
        <w:t>投标方应保证在收到</w:t>
      </w:r>
      <w:r>
        <w:rPr>
          <w:rFonts w:hint="eastAsia" w:ascii="宋体" w:hAnsi="宋体" w:eastAsia="宋体"/>
          <w:sz w:val="28"/>
          <w:szCs w:val="28"/>
        </w:rPr>
        <w:t>中标通知书</w:t>
      </w:r>
      <w:r>
        <w:rPr>
          <w:rFonts w:ascii="宋体" w:hAnsi="宋体" w:eastAsia="宋体"/>
          <w:sz w:val="28"/>
          <w:szCs w:val="28"/>
        </w:rPr>
        <w:t>后30个</w:t>
      </w:r>
      <w:r>
        <w:rPr>
          <w:rFonts w:hint="eastAsia" w:ascii="宋体" w:hAnsi="宋体" w:eastAsia="宋体"/>
          <w:sz w:val="28"/>
          <w:szCs w:val="28"/>
          <w:lang w:val="en-US" w:eastAsia="zh-CN"/>
        </w:rPr>
        <w:t>工作</w:t>
      </w:r>
      <w:r>
        <w:rPr>
          <w:rFonts w:ascii="宋体" w:hAnsi="宋体" w:eastAsia="宋体"/>
          <w:sz w:val="28"/>
          <w:szCs w:val="28"/>
        </w:rPr>
        <w:t>日</w:t>
      </w:r>
      <w:bookmarkStart w:id="0" w:name="_GoBack"/>
      <w:bookmarkEnd w:id="0"/>
      <w:r>
        <w:rPr>
          <w:rFonts w:ascii="宋体" w:hAnsi="宋体" w:eastAsia="宋体"/>
          <w:sz w:val="28"/>
          <w:szCs w:val="28"/>
        </w:rPr>
        <w:t>内完成鉴定工作并交付鉴定证书；</w:t>
      </w:r>
    </w:p>
    <w:p w14:paraId="73A017E1">
      <w:pPr>
        <w:ind w:firstLine="562" w:firstLineChars="200"/>
        <w:jc w:val="both"/>
        <w:rPr>
          <w:rFonts w:hint="eastAsia" w:ascii="宋体" w:hAnsi="宋体" w:eastAsia="宋体"/>
          <w:b/>
          <w:bCs/>
          <w:sz w:val="28"/>
          <w:szCs w:val="28"/>
        </w:rPr>
      </w:pPr>
      <w:r>
        <w:rPr>
          <w:rFonts w:hint="eastAsia" w:ascii="宋体" w:hAnsi="宋体" w:eastAsia="宋体"/>
          <w:b/>
          <w:bCs/>
          <w:sz w:val="28"/>
          <w:szCs w:val="28"/>
        </w:rPr>
        <w:t>四、款项支付</w:t>
      </w:r>
    </w:p>
    <w:p w14:paraId="76410023">
      <w:pPr>
        <w:ind w:firstLine="560" w:firstLineChars="200"/>
        <w:jc w:val="both"/>
        <w:rPr>
          <w:rFonts w:hint="eastAsia" w:ascii="宋体" w:hAnsi="宋体" w:eastAsia="宋体"/>
          <w:sz w:val="28"/>
          <w:szCs w:val="28"/>
        </w:rPr>
      </w:pPr>
      <w:r>
        <w:rPr>
          <w:rFonts w:ascii="宋体" w:hAnsi="宋体" w:eastAsia="宋体"/>
          <w:sz w:val="28"/>
          <w:szCs w:val="28"/>
        </w:rPr>
        <w:t>本项目采用完工一次性付款模式：全部鉴定服务完成、</w:t>
      </w:r>
      <w:r>
        <w:rPr>
          <w:rFonts w:hint="eastAsia" w:ascii="宋体" w:hAnsi="宋体" w:eastAsia="宋体"/>
          <w:sz w:val="28"/>
          <w:szCs w:val="28"/>
        </w:rPr>
        <w:t>按照要求交付鉴定证书</w:t>
      </w:r>
      <w:r>
        <w:rPr>
          <w:rFonts w:ascii="宋体" w:hAnsi="宋体" w:eastAsia="宋体"/>
          <w:sz w:val="28"/>
          <w:szCs w:val="28"/>
        </w:rPr>
        <w:t>后采购人一次性支付全款</w:t>
      </w:r>
      <w:r>
        <w:rPr>
          <w:rFonts w:hint="eastAsia" w:ascii="宋体" w:hAnsi="宋体" w:eastAsia="宋体"/>
          <w:sz w:val="28"/>
          <w:szCs w:val="28"/>
        </w:rPr>
        <w:t>。</w:t>
      </w:r>
    </w:p>
    <w:p w14:paraId="2FB54097">
      <w:pPr>
        <w:ind w:firstLine="562" w:firstLineChars="200"/>
        <w:jc w:val="both"/>
        <w:rPr>
          <w:rFonts w:hint="eastAsia" w:ascii="宋体" w:hAnsi="宋体" w:eastAsia="宋体"/>
          <w:b/>
          <w:bCs/>
          <w:sz w:val="28"/>
          <w:szCs w:val="28"/>
        </w:rPr>
      </w:pPr>
      <w:r>
        <w:rPr>
          <w:rFonts w:hint="eastAsia" w:ascii="宋体" w:hAnsi="宋体" w:eastAsia="宋体"/>
          <w:b/>
          <w:bCs/>
          <w:sz w:val="28"/>
          <w:szCs w:val="28"/>
        </w:rPr>
        <w:t>五、供应商资格要求</w:t>
      </w:r>
    </w:p>
    <w:p w14:paraId="3D7F456F">
      <w:pPr>
        <w:jc w:val="both"/>
        <w:rPr>
          <w:rFonts w:hint="eastAsia" w:ascii="宋体" w:hAnsi="宋体" w:eastAsia="宋体"/>
          <w:sz w:val="28"/>
          <w:szCs w:val="28"/>
        </w:rPr>
      </w:pPr>
      <w:r>
        <w:rPr>
          <w:rFonts w:ascii="宋体" w:hAnsi="宋体" w:eastAsia="宋体"/>
          <w:sz w:val="28"/>
          <w:szCs w:val="28"/>
        </w:rPr>
        <w:t>（一）投标方须为依法在政府主管部门（民政部门）登记的社会组织，且具备省级及以上权威机构属性，同时其登记的业务范围须包含“</w:t>
      </w:r>
      <w:r>
        <w:rPr>
          <w:rFonts w:hint="eastAsia" w:ascii="宋体" w:hAnsi="宋体" w:eastAsia="宋体"/>
          <w:sz w:val="28"/>
          <w:szCs w:val="28"/>
        </w:rPr>
        <w:t>新产品鉴定</w:t>
      </w:r>
      <w:r>
        <w:rPr>
          <w:rFonts w:ascii="宋体" w:hAnsi="宋体" w:eastAsia="宋体"/>
          <w:sz w:val="28"/>
          <w:szCs w:val="28"/>
        </w:rPr>
        <w:t>”“技术鉴定”“技术服务”或类似表述。须提供以下证明材料：1）《社会团体法人登记证书》（或《民办非企业单位法人登记证书》），登记管理机关为省级及以上民政部门。2）省级及以上科技主管部门、行业主管部门出具的授权文件、认可文件，或被列入省级及以上科技成果评价试点机构名单的官方截图</w:t>
      </w:r>
      <w:r>
        <w:rPr>
          <w:rFonts w:hint="eastAsia" w:ascii="宋体" w:hAnsi="宋体" w:eastAsia="宋体"/>
          <w:sz w:val="28"/>
          <w:szCs w:val="28"/>
        </w:rPr>
        <w:t>。</w:t>
      </w:r>
    </w:p>
    <w:p w14:paraId="635E3778">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二</w:t>
      </w:r>
      <w:r>
        <w:rPr>
          <w:rFonts w:ascii="宋体" w:hAnsi="宋体" w:eastAsia="宋体"/>
          <w:sz w:val="28"/>
          <w:szCs w:val="28"/>
        </w:rPr>
        <w:t>）近3年内（自投标截止时间前36个月）具备</w:t>
      </w:r>
      <w:r>
        <w:rPr>
          <w:rFonts w:hint="eastAsia" w:ascii="宋体" w:hAnsi="宋体" w:eastAsia="宋体"/>
          <w:sz w:val="28"/>
          <w:szCs w:val="28"/>
        </w:rPr>
        <w:t>完成不少于5</w:t>
      </w:r>
      <w:r>
        <w:rPr>
          <w:rFonts w:ascii="宋体" w:hAnsi="宋体" w:eastAsia="宋体"/>
          <w:sz w:val="28"/>
          <w:szCs w:val="28"/>
        </w:rPr>
        <w:t>项</w:t>
      </w:r>
      <w:r>
        <w:rPr>
          <w:rFonts w:ascii="宋体" w:hAnsi="宋体" w:eastAsia="宋体"/>
          <w:sz w:val="28"/>
          <w:szCs w:val="28"/>
          <w:woUserID w:val="2"/>
        </w:rPr>
        <w:t>新产品</w:t>
      </w:r>
      <w:r>
        <w:rPr>
          <w:rFonts w:hint="eastAsia" w:ascii="宋体" w:hAnsi="宋体" w:eastAsia="宋体"/>
          <w:sz w:val="28"/>
          <w:szCs w:val="28"/>
        </w:rPr>
        <w:t>鉴定服务业绩</w:t>
      </w:r>
      <w:r>
        <w:rPr>
          <w:rFonts w:ascii="宋体" w:hAnsi="宋体" w:eastAsia="宋体"/>
          <w:sz w:val="28"/>
          <w:szCs w:val="28"/>
        </w:rPr>
        <w:t>（须提供合同</w:t>
      </w:r>
      <w:r>
        <w:rPr>
          <w:rFonts w:hint="eastAsia" w:ascii="宋体" w:hAnsi="宋体" w:eastAsia="宋体"/>
          <w:sz w:val="28"/>
          <w:szCs w:val="28"/>
        </w:rPr>
        <w:t>关键页或验收证明</w:t>
      </w:r>
      <w:r>
        <w:rPr>
          <w:rFonts w:ascii="宋体" w:hAnsi="宋体" w:eastAsia="宋体"/>
          <w:sz w:val="28"/>
          <w:szCs w:val="28"/>
        </w:rPr>
        <w:t>等材料）；</w:t>
      </w:r>
    </w:p>
    <w:p w14:paraId="2A7E8073">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三</w:t>
      </w:r>
      <w:r>
        <w:rPr>
          <w:rFonts w:ascii="宋体" w:hAnsi="宋体" w:eastAsia="宋体"/>
          <w:sz w:val="28"/>
          <w:szCs w:val="28"/>
        </w:rPr>
        <w:t>）投标人须具备组建电力行业鉴定委员会的专家库，专家成员应具备高级工程师及以上职称，专业须覆盖电力系统、电器装备等鉴定所需领域。（提供</w:t>
      </w:r>
      <w:r>
        <w:rPr>
          <w:rFonts w:hint="eastAsia" w:ascii="宋体" w:hAnsi="宋体" w:eastAsia="宋体"/>
          <w:sz w:val="28"/>
          <w:szCs w:val="28"/>
        </w:rPr>
        <w:t>不少于5名</w:t>
      </w:r>
      <w:r>
        <w:rPr>
          <w:rFonts w:ascii="宋体" w:hAnsi="宋体" w:eastAsia="宋体"/>
          <w:sz w:val="28"/>
          <w:szCs w:val="28"/>
        </w:rPr>
        <w:t>专家名单及职称证明）</w:t>
      </w:r>
    </w:p>
    <w:p w14:paraId="1EA143C7">
      <w:pPr>
        <w:jc w:val="both"/>
        <w:rPr>
          <w:rFonts w:hint="eastAsia" w:ascii="宋体" w:hAnsi="宋体" w:eastAsia="宋体"/>
          <w:sz w:val="28"/>
          <w:szCs w:val="28"/>
        </w:rPr>
      </w:pPr>
      <w:r>
        <w:rPr>
          <w:rFonts w:ascii="宋体" w:hAnsi="宋体" w:eastAsia="宋体"/>
          <w:sz w:val="28"/>
          <w:szCs w:val="28"/>
        </w:rPr>
        <w:t>（</w:t>
      </w:r>
      <w:r>
        <w:rPr>
          <w:rFonts w:hint="eastAsia" w:ascii="宋体" w:hAnsi="宋体" w:eastAsia="宋体"/>
          <w:sz w:val="28"/>
          <w:szCs w:val="28"/>
        </w:rPr>
        <w:t>四</w:t>
      </w:r>
      <w:r>
        <w:rPr>
          <w:rFonts w:ascii="宋体" w:hAnsi="宋体" w:eastAsia="宋体"/>
          <w:sz w:val="28"/>
          <w:szCs w:val="28"/>
        </w:rPr>
        <w:t>）</w:t>
      </w:r>
      <w:r>
        <w:rPr>
          <w:rFonts w:hint="eastAsia" w:ascii="宋体" w:hAnsi="宋体" w:eastAsia="宋体"/>
          <w:sz w:val="28"/>
          <w:szCs w:val="28"/>
        </w:rPr>
        <w:t>投标人</w:t>
      </w:r>
      <w:r>
        <w:rPr>
          <w:rFonts w:ascii="宋体" w:hAnsi="宋体" w:eastAsia="宋体"/>
          <w:sz w:val="28"/>
          <w:szCs w:val="28"/>
        </w:rPr>
        <w:t>在“信用中国”网站（www.creditchina.gov.cn）中未被列入失信被执行人名单（提供“信用中国”网站或信用信息共享平台【查询结果截图】）</w:t>
      </w:r>
    </w:p>
    <w:p w14:paraId="0E2303CE">
      <w:pPr>
        <w:jc w:val="both"/>
        <w:rPr>
          <w:rFonts w:ascii="宋体" w:hAnsi="宋体" w:eastAsia="宋体"/>
          <w:sz w:val="28"/>
          <w:szCs w:val="28"/>
        </w:rPr>
      </w:pPr>
      <w:r>
        <w:rPr>
          <w:rFonts w:ascii="宋体" w:hAnsi="宋体" w:eastAsia="宋体"/>
          <w:sz w:val="28"/>
          <w:szCs w:val="28"/>
        </w:rPr>
        <w:t>（</w:t>
      </w:r>
      <w:r>
        <w:rPr>
          <w:rFonts w:hint="eastAsia" w:ascii="宋体" w:hAnsi="宋体" w:eastAsia="宋体"/>
          <w:sz w:val="28"/>
          <w:szCs w:val="28"/>
        </w:rPr>
        <w:t>五</w:t>
      </w:r>
      <w:r>
        <w:rPr>
          <w:rFonts w:ascii="宋体" w:hAnsi="宋体" w:eastAsia="宋体"/>
          <w:sz w:val="28"/>
          <w:szCs w:val="28"/>
        </w:rPr>
        <w:t>）</w:t>
      </w:r>
      <w:r>
        <w:rPr>
          <w:rFonts w:hint="eastAsia" w:ascii="宋体" w:hAnsi="宋体" w:eastAsia="宋体"/>
          <w:sz w:val="28"/>
          <w:szCs w:val="28"/>
        </w:rPr>
        <w:t>投标人</w:t>
      </w:r>
      <w:r>
        <w:rPr>
          <w:rFonts w:ascii="宋体" w:hAnsi="宋体" w:eastAsia="宋体"/>
          <w:sz w:val="28"/>
          <w:szCs w:val="28"/>
        </w:rPr>
        <w:t>在国家企业信用信息公示系统（www.gsxt.gov.cn）中未被列入严重违法失信企业名单（提供国家企业信用信息公示系统【查询结果截图】）</w:t>
      </w:r>
    </w:p>
    <w:p w14:paraId="357850A1">
      <w:pPr>
        <w:jc w:val="both"/>
        <w:rPr>
          <w:rFonts w:ascii="宋体" w:hAnsi="宋体" w:eastAsia="宋体"/>
          <w:sz w:val="28"/>
          <w:szCs w:val="28"/>
        </w:rPr>
      </w:pPr>
      <w:r>
        <w:rPr>
          <w:rFonts w:ascii="宋体" w:hAnsi="宋体" w:eastAsia="宋体"/>
          <w:sz w:val="28"/>
          <w:szCs w:val="28"/>
        </w:rPr>
        <w:t>（</w:t>
      </w:r>
      <w:r>
        <w:rPr>
          <w:rFonts w:ascii="宋体" w:hAnsi="宋体" w:eastAsia="宋体"/>
          <w:sz w:val="28"/>
          <w:szCs w:val="28"/>
          <w:woUserID w:val="1"/>
        </w:rPr>
        <w:t>六</w:t>
      </w:r>
      <w:r>
        <w:rPr>
          <w:rFonts w:ascii="宋体" w:hAnsi="宋体" w:eastAsia="宋体"/>
          <w:sz w:val="28"/>
          <w:szCs w:val="28"/>
        </w:rPr>
        <w:t>）投标人不在中国南方电网有限责任公司黑名单或预警名单内（处理措施为不接受投标或市场禁入，且未解除的）。</w:t>
      </w:r>
    </w:p>
    <w:p w14:paraId="230EF78C">
      <w:pPr>
        <w:jc w:val="both"/>
        <w:rPr>
          <w:rFonts w:ascii="宋体" w:hAnsi="宋体" w:eastAsia="宋体"/>
          <w:sz w:val="28"/>
          <w:szCs w:val="28"/>
        </w:rPr>
      </w:pPr>
      <w:r>
        <w:rPr>
          <w:rFonts w:ascii="宋体" w:hAnsi="宋体" w:eastAsia="宋体"/>
          <w:sz w:val="28"/>
          <w:szCs w:val="28"/>
        </w:rPr>
        <w:t>（</w:t>
      </w:r>
      <w:r>
        <w:rPr>
          <w:rFonts w:ascii="宋体" w:hAnsi="宋体" w:eastAsia="宋体"/>
          <w:sz w:val="28"/>
          <w:szCs w:val="28"/>
          <w:woUserID w:val="1"/>
        </w:rPr>
        <w:t>七</w:t>
      </w:r>
      <w:r>
        <w:rPr>
          <w:rFonts w:ascii="宋体" w:hAnsi="宋体" w:eastAsia="宋体"/>
          <w:sz w:val="28"/>
          <w:szCs w:val="28"/>
        </w:rPr>
        <w:t>）本项目不接受联合体申请。</w:t>
      </w:r>
    </w:p>
    <w:p w14:paraId="19B33515">
      <w:pPr>
        <w:jc w:val="both"/>
        <w:rPr>
          <w:rFonts w:hint="eastAsia" w:ascii="仿宋_GB2312" w:eastAsia="仿宋_GB2312"/>
          <w:sz w:val="28"/>
          <w:szCs w:val="28"/>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FFC6CFE">
        <w:pPr>
          <w:pStyle w:val="12"/>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0BFBD697">
    <w:pPr>
      <w:pStyle w:val="12"/>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E2YmFlOTgwMDNlMzU5NTk2NWJiZWFmOTBlMzkyYmUifQ=="/>
  </w:docVars>
  <w:rsids>
    <w:rsidRoot w:val="00AC2F54"/>
    <w:rsid w:val="000205C8"/>
    <w:rsid w:val="00021065"/>
    <w:rsid w:val="000519D7"/>
    <w:rsid w:val="000B4F64"/>
    <w:rsid w:val="000C10A0"/>
    <w:rsid w:val="000C4D13"/>
    <w:rsid w:val="000E2633"/>
    <w:rsid w:val="00115465"/>
    <w:rsid w:val="00137368"/>
    <w:rsid w:val="00144936"/>
    <w:rsid w:val="0019304B"/>
    <w:rsid w:val="00195643"/>
    <w:rsid w:val="001C73E3"/>
    <w:rsid w:val="001E27DE"/>
    <w:rsid w:val="002050D8"/>
    <w:rsid w:val="00211BC2"/>
    <w:rsid w:val="002163B2"/>
    <w:rsid w:val="002468C7"/>
    <w:rsid w:val="00276701"/>
    <w:rsid w:val="00292345"/>
    <w:rsid w:val="002A49C3"/>
    <w:rsid w:val="002A5F6D"/>
    <w:rsid w:val="002C7372"/>
    <w:rsid w:val="003074E2"/>
    <w:rsid w:val="00346590"/>
    <w:rsid w:val="003713F2"/>
    <w:rsid w:val="003A5B22"/>
    <w:rsid w:val="003A673E"/>
    <w:rsid w:val="003F3559"/>
    <w:rsid w:val="00400149"/>
    <w:rsid w:val="0040252C"/>
    <w:rsid w:val="00416EAF"/>
    <w:rsid w:val="00433E4C"/>
    <w:rsid w:val="00474E50"/>
    <w:rsid w:val="00484F18"/>
    <w:rsid w:val="004A19EA"/>
    <w:rsid w:val="004A580E"/>
    <w:rsid w:val="004A7397"/>
    <w:rsid w:val="004C4F38"/>
    <w:rsid w:val="0050271E"/>
    <w:rsid w:val="00557AF8"/>
    <w:rsid w:val="00574B7D"/>
    <w:rsid w:val="0058610C"/>
    <w:rsid w:val="005E4F05"/>
    <w:rsid w:val="005F06DF"/>
    <w:rsid w:val="005F3884"/>
    <w:rsid w:val="006277B4"/>
    <w:rsid w:val="006D0E1D"/>
    <w:rsid w:val="006D704C"/>
    <w:rsid w:val="007425A7"/>
    <w:rsid w:val="007610E1"/>
    <w:rsid w:val="007711D4"/>
    <w:rsid w:val="00790522"/>
    <w:rsid w:val="007A0F4F"/>
    <w:rsid w:val="007F3D13"/>
    <w:rsid w:val="00852F33"/>
    <w:rsid w:val="00864B69"/>
    <w:rsid w:val="008726C8"/>
    <w:rsid w:val="00883B24"/>
    <w:rsid w:val="00896AA3"/>
    <w:rsid w:val="008A4E08"/>
    <w:rsid w:val="008C601F"/>
    <w:rsid w:val="008D644E"/>
    <w:rsid w:val="008E38D3"/>
    <w:rsid w:val="0090691A"/>
    <w:rsid w:val="0091618A"/>
    <w:rsid w:val="009315E1"/>
    <w:rsid w:val="009442A5"/>
    <w:rsid w:val="009C00D5"/>
    <w:rsid w:val="009C12B5"/>
    <w:rsid w:val="009D36A1"/>
    <w:rsid w:val="009D3FE4"/>
    <w:rsid w:val="00A1443B"/>
    <w:rsid w:val="00A3198A"/>
    <w:rsid w:val="00A51191"/>
    <w:rsid w:val="00A9227A"/>
    <w:rsid w:val="00AB13DA"/>
    <w:rsid w:val="00AC1E10"/>
    <w:rsid w:val="00AC2F54"/>
    <w:rsid w:val="00AC3E53"/>
    <w:rsid w:val="00AD0918"/>
    <w:rsid w:val="00AE1E48"/>
    <w:rsid w:val="00B2552A"/>
    <w:rsid w:val="00B97790"/>
    <w:rsid w:val="00BB0B2C"/>
    <w:rsid w:val="00C15000"/>
    <w:rsid w:val="00C43484"/>
    <w:rsid w:val="00C50DD1"/>
    <w:rsid w:val="00C60345"/>
    <w:rsid w:val="00C96DAA"/>
    <w:rsid w:val="00CA10AA"/>
    <w:rsid w:val="00CB0131"/>
    <w:rsid w:val="00CE3DEA"/>
    <w:rsid w:val="00D161B1"/>
    <w:rsid w:val="00D52491"/>
    <w:rsid w:val="00D543E4"/>
    <w:rsid w:val="00DB76C1"/>
    <w:rsid w:val="00DD3C5C"/>
    <w:rsid w:val="00DF2FE0"/>
    <w:rsid w:val="00E20C65"/>
    <w:rsid w:val="00E273E4"/>
    <w:rsid w:val="00E45EEE"/>
    <w:rsid w:val="00E52A18"/>
    <w:rsid w:val="00E55F39"/>
    <w:rsid w:val="00E609DD"/>
    <w:rsid w:val="00E730E3"/>
    <w:rsid w:val="00EA42E8"/>
    <w:rsid w:val="00ED5F35"/>
    <w:rsid w:val="00F113CD"/>
    <w:rsid w:val="00F25587"/>
    <w:rsid w:val="00F47919"/>
    <w:rsid w:val="00F61FA7"/>
    <w:rsid w:val="00F67A99"/>
    <w:rsid w:val="00FB6D72"/>
    <w:rsid w:val="00FC74AC"/>
    <w:rsid w:val="00FD1CAF"/>
    <w:rsid w:val="081812DA"/>
    <w:rsid w:val="1380268A"/>
    <w:rsid w:val="15B900D5"/>
    <w:rsid w:val="1D7B2AF4"/>
    <w:rsid w:val="282437F8"/>
    <w:rsid w:val="29D5075A"/>
    <w:rsid w:val="3D7F72E2"/>
    <w:rsid w:val="3DDA11A8"/>
    <w:rsid w:val="3E7ACEC9"/>
    <w:rsid w:val="3EFF25E6"/>
    <w:rsid w:val="49BC3715"/>
    <w:rsid w:val="4A6A6B40"/>
    <w:rsid w:val="4E0A0568"/>
    <w:rsid w:val="5E826883"/>
    <w:rsid w:val="605C74E6"/>
    <w:rsid w:val="68C04067"/>
    <w:rsid w:val="69FFC0F0"/>
    <w:rsid w:val="6F0B2A10"/>
    <w:rsid w:val="732F1389"/>
    <w:rsid w:val="75A7212D"/>
    <w:rsid w:val="7DFDCCF7"/>
    <w:rsid w:val="7EDF3626"/>
    <w:rsid w:val="DBDF040B"/>
    <w:rsid w:val="DBEF0AD9"/>
    <w:rsid w:val="E7FE0019"/>
    <w:rsid w:val="EF7F0D8C"/>
    <w:rsid w:val="EFF95EF5"/>
    <w:rsid w:val="F7BC10DC"/>
    <w:rsid w:val="FCF820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footer"/>
    <w:basedOn w:val="1"/>
    <w:link w:val="40"/>
    <w:unhideWhenUsed/>
    <w:qFormat/>
    <w:uiPriority w:val="99"/>
    <w:pPr>
      <w:tabs>
        <w:tab w:val="center" w:pos="4153"/>
        <w:tab w:val="right" w:pos="8306"/>
      </w:tabs>
      <w:snapToGrid w:val="0"/>
      <w:spacing w:line="240" w:lineRule="auto"/>
    </w:pPr>
    <w:rPr>
      <w:sz w:val="18"/>
      <w:szCs w:val="18"/>
    </w:rPr>
  </w:style>
  <w:style w:type="paragraph" w:styleId="13">
    <w:name w:val="header"/>
    <w:basedOn w:val="1"/>
    <w:link w:val="39"/>
    <w:unhideWhenUsed/>
    <w:qFormat/>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Normal (Web)"/>
    <w:basedOn w:val="1"/>
    <w:semiHidden/>
    <w:unhideWhenUsed/>
    <w:qFormat/>
    <w:uiPriority w:val="99"/>
    <w:pPr>
      <w:widowControl/>
      <w:spacing w:before="100" w:beforeAutospacing="1" w:after="100" w:afterAutospacing="1" w:line="240" w:lineRule="auto"/>
    </w:pPr>
    <w:rPr>
      <w:rFonts w:ascii="宋体" w:hAnsi="宋体" w:eastAsia="宋体" w:cs="宋体"/>
      <w:kern w:val="0"/>
      <w:sz w:val="24"/>
      <w14:ligatures w14:val="none"/>
    </w:rPr>
  </w:style>
  <w:style w:type="paragraph" w:styleId="16">
    <w:name w:val="Title"/>
    <w:basedOn w:val="1"/>
    <w:next w:val="1"/>
    <w:link w:val="30"/>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8">
    <w:name w:val="Table Grid"/>
    <w:basedOn w:val="1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unhideWhenUsed/>
    <w:qFormat/>
    <w:uiPriority w:val="99"/>
    <w:rPr>
      <w:color w:val="467886" w:themeColor="hyperlink"/>
      <w:u w:val="single"/>
      <w14:textFill>
        <w14:solidFill>
          <w14:schemeClr w14:val="hlink"/>
        </w14:solidFill>
      </w14:textFill>
    </w:rPr>
  </w:style>
  <w:style w:type="character" w:customStyle="1" w:styleId="21">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9"/>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9"/>
    <w:link w:val="5"/>
    <w:semiHidden/>
    <w:qFormat/>
    <w:uiPriority w:val="9"/>
    <w:rPr>
      <w:rFonts w:cstheme="majorBidi"/>
      <w:color w:val="104862" w:themeColor="accent1" w:themeShade="BF"/>
      <w:sz w:val="28"/>
      <w:szCs w:val="28"/>
    </w:rPr>
  </w:style>
  <w:style w:type="character" w:customStyle="1" w:styleId="25">
    <w:name w:val="标题 5 字符"/>
    <w:basedOn w:val="19"/>
    <w:link w:val="6"/>
    <w:semiHidden/>
    <w:qFormat/>
    <w:uiPriority w:val="9"/>
    <w:rPr>
      <w:rFonts w:cstheme="majorBidi"/>
      <w:color w:val="104862" w:themeColor="accent1" w:themeShade="BF"/>
      <w:sz w:val="24"/>
    </w:rPr>
  </w:style>
  <w:style w:type="character" w:customStyle="1" w:styleId="26">
    <w:name w:val="标题 6 字符"/>
    <w:basedOn w:val="19"/>
    <w:link w:val="7"/>
    <w:semiHidden/>
    <w:qFormat/>
    <w:uiPriority w:val="9"/>
    <w:rPr>
      <w:rFonts w:cstheme="majorBidi"/>
      <w:b/>
      <w:bCs/>
      <w:color w:val="104862" w:themeColor="accent1" w:themeShade="BF"/>
    </w:rPr>
  </w:style>
  <w:style w:type="character" w:customStyle="1" w:styleId="27">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6"/>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qFormat/>
    <w:uiPriority w:val="30"/>
    <w:rPr>
      <w:i/>
      <w:iCs/>
      <w:color w:val="104862" w:themeColor="accent1" w:themeShade="BF"/>
    </w:rPr>
  </w:style>
  <w:style w:type="character" w:customStyle="1" w:styleId="38">
    <w:name w:val="明显参考1"/>
    <w:basedOn w:val="19"/>
    <w:qFormat/>
    <w:uiPriority w:val="32"/>
    <w:rPr>
      <w:b/>
      <w:bCs/>
      <w:smallCaps/>
      <w:color w:val="104862" w:themeColor="accent1" w:themeShade="BF"/>
      <w:spacing w:val="5"/>
    </w:rPr>
  </w:style>
  <w:style w:type="character" w:customStyle="1" w:styleId="39">
    <w:name w:val="页眉 字符"/>
    <w:basedOn w:val="19"/>
    <w:link w:val="13"/>
    <w:qFormat/>
    <w:uiPriority w:val="99"/>
    <w:rPr>
      <w:sz w:val="18"/>
      <w:szCs w:val="18"/>
    </w:rPr>
  </w:style>
  <w:style w:type="character" w:customStyle="1" w:styleId="40">
    <w:name w:val="页脚 字符"/>
    <w:basedOn w:val="19"/>
    <w:link w:val="12"/>
    <w:qFormat/>
    <w:uiPriority w:val="99"/>
    <w:rPr>
      <w:sz w:val="18"/>
      <w:szCs w:val="18"/>
    </w:rPr>
  </w:style>
  <w:style w:type="character" w:customStyle="1" w:styleId="41">
    <w:name w:val="未处理的提及1"/>
    <w:basedOn w:val="1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779</Words>
  <Characters>824</Characters>
  <Lines>94</Lines>
  <Paragraphs>60</Paragraphs>
  <TotalTime>112</TotalTime>
  <ScaleCrop>false</ScaleCrop>
  <LinksUpToDate>false</LinksUpToDate>
  <CharactersWithSpaces>832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2026-07-17T22:47:00Z</dcterms:created>
  <dc:creator>e27008</dc:creator>
  <cp:lastModifiedBy>胡琼</cp:lastModifiedBy>
  <dcterms:modified xsi:type="dcterms:W3CDTF">2026-08-24T02:56:05Z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8CAB29345F4C4B018F9CAF9761E4071D</vt:lpwstr>
  </property>
  <property fmtid="{D5CDD505-2E9C-101B-9397-08002B2CF9AE}" pid="4" name="KSOTemplateDocerSaveRecord">
    <vt:lpwstr>eyJoZGlkIjoiM2M2ZjQ3MmMyYTNlYmE4N2JmMjllZjM1NTBiZDYwMWMiLCJ1c2VySWQiOiIyOTg1NTYwNzEifQ==</vt:lpwstr>
  </property>
</Properties>
</file>