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8A5B8">
      <w:pPr>
        <w:spacing w:before="40" w:line="228" w:lineRule="auto"/>
        <w:ind w:left="2697"/>
        <w:rPr>
          <w:rFonts w:ascii="宋体" w:hAnsi="宋体" w:eastAsia="宋体" w:cs="宋体"/>
          <w:sz w:val="19"/>
          <w:szCs w:val="19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-931545</wp:posOffset>
            </wp:positionH>
            <wp:positionV relativeFrom="paragraph">
              <wp:posOffset>-897255</wp:posOffset>
            </wp:positionV>
            <wp:extent cx="8241030" cy="2885440"/>
            <wp:effectExtent l="0" t="0" r="7620" b="10160"/>
            <wp:wrapTight wrapText="bothSides">
              <wp:wrapPolygon>
                <wp:start x="0" y="0"/>
                <wp:lineTo x="0" y="21391"/>
                <wp:lineTo x="21570" y="21391"/>
                <wp:lineTo x="21570" y="0"/>
                <wp:lineTo x="0" y="0"/>
              </wp:wrapPolygon>
            </wp:wrapTight>
            <wp:docPr id="20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 descr="模板-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41030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8DD62F">
      <w:pPr>
        <w:spacing w:line="276" w:lineRule="auto"/>
        <w:rPr>
          <w:rFonts w:ascii="Arial"/>
          <w:sz w:val="21"/>
        </w:rPr>
      </w:pPr>
    </w:p>
    <w:p w14:paraId="56F92A78">
      <w:pPr>
        <w:spacing w:line="276" w:lineRule="auto"/>
        <w:rPr>
          <w:rFonts w:ascii="Arial"/>
          <w:sz w:val="21"/>
        </w:rPr>
      </w:pPr>
    </w:p>
    <w:p w14:paraId="6336487B">
      <w:pPr>
        <w:spacing w:line="276" w:lineRule="auto"/>
        <w:rPr>
          <w:rFonts w:ascii="Arial"/>
          <w:sz w:val="21"/>
        </w:rPr>
      </w:pPr>
    </w:p>
    <w:p w14:paraId="7C624C4A">
      <w:pPr>
        <w:spacing w:line="276" w:lineRule="auto"/>
        <w:rPr>
          <w:rFonts w:ascii="Arial"/>
          <w:sz w:val="21"/>
        </w:rPr>
      </w:pPr>
    </w:p>
    <w:p w14:paraId="6470A48C">
      <w:pPr>
        <w:spacing w:line="277" w:lineRule="auto"/>
        <w:rPr>
          <w:rFonts w:ascii="Arial"/>
          <w:sz w:val="21"/>
        </w:rPr>
      </w:pPr>
    </w:p>
    <w:p w14:paraId="3139A9F2">
      <w:pPr>
        <w:spacing w:before="312" w:beforeLines="100"/>
        <w:ind w:left="0" w:leftChars="0" w:firstLine="0" w:firstLineChars="0"/>
        <w:jc w:val="center"/>
        <w:outlineLvl w:val="9"/>
        <w:rPr>
          <w:rFonts w:eastAsia="黑体"/>
          <w:b/>
          <w:sz w:val="52"/>
        </w:rPr>
      </w:pPr>
      <w:r>
        <w:rPr>
          <w:rFonts w:hint="eastAsia" w:ascii="黑体" w:hAnsi="黑体" w:eastAsia="黑体"/>
          <w:b/>
          <w:sz w:val="52"/>
          <w:szCs w:val="52"/>
          <w:lang w:val="en-US" w:eastAsia="zh-CN"/>
        </w:rPr>
        <w:t>储能科技公司宝清储能站</w:t>
      </w:r>
      <w:r>
        <w:rPr>
          <w:rFonts w:hint="eastAsia" w:ascii="Times New Roman" w:hAnsi="Times New Roman" w:eastAsia="黑体" w:cs="Times New Roman"/>
          <w:b/>
          <w:sz w:val="52"/>
          <w:lang w:val="en-US" w:eastAsia="zh-CN"/>
        </w:rPr>
        <w:t>储能变流器功率模块维修项目</w:t>
      </w:r>
      <w:r>
        <w:rPr>
          <w:rFonts w:hint="eastAsia" w:eastAsia="黑体"/>
          <w:b/>
          <w:sz w:val="52"/>
        </w:rPr>
        <w:t>技术规范书</w:t>
      </w:r>
    </w:p>
    <w:p w14:paraId="0F761637">
      <w:pPr>
        <w:spacing w:before="624" w:beforeLines="200"/>
        <w:ind w:left="0" w:leftChars="0" w:firstLine="0" w:firstLineChars="0"/>
        <w:jc w:val="center"/>
        <w:rPr>
          <w:rFonts w:hint="eastAsia" w:eastAsia="黑体"/>
          <w:b/>
          <w:sz w:val="36"/>
        </w:rPr>
      </w:pPr>
    </w:p>
    <w:p w14:paraId="5013ECDC">
      <w:pPr>
        <w:spacing w:before="624" w:beforeLines="200"/>
        <w:ind w:left="0" w:leftChars="0" w:firstLine="0" w:firstLineChars="0"/>
        <w:jc w:val="center"/>
        <w:rPr>
          <w:rFonts w:hint="eastAsia" w:ascii="黑体" w:eastAsia="黑体"/>
          <w:b/>
          <w:spacing w:val="20"/>
          <w:w w:val="135"/>
          <w:sz w:val="30"/>
        </w:rPr>
      </w:pPr>
    </w:p>
    <w:p w14:paraId="6DD608DA">
      <w:pPr>
        <w:spacing w:before="624" w:beforeLines="200"/>
        <w:ind w:left="0" w:leftChars="0" w:firstLine="0" w:firstLineChars="0"/>
        <w:jc w:val="center"/>
        <w:rPr>
          <w:rFonts w:hint="eastAsia" w:ascii="黑体" w:eastAsia="黑体"/>
          <w:b/>
          <w:spacing w:val="20"/>
          <w:w w:val="135"/>
          <w:sz w:val="30"/>
        </w:rPr>
      </w:pPr>
    </w:p>
    <w:p w14:paraId="1639FD28">
      <w:pPr>
        <w:spacing w:before="624" w:beforeLines="200"/>
        <w:ind w:left="0" w:leftChars="0" w:firstLine="0" w:firstLineChars="0"/>
        <w:jc w:val="center"/>
        <w:rPr>
          <w:rFonts w:hint="eastAsia" w:ascii="黑体" w:eastAsia="黑体"/>
          <w:b/>
          <w:spacing w:val="20"/>
          <w:w w:val="135"/>
          <w:sz w:val="30"/>
        </w:rPr>
      </w:pPr>
    </w:p>
    <w:p w14:paraId="09A8F22E">
      <w:pPr>
        <w:spacing w:before="624" w:beforeLines="200"/>
        <w:ind w:left="0" w:leftChars="0" w:firstLine="0" w:firstLineChars="0"/>
        <w:jc w:val="center"/>
        <w:sectPr>
          <w:headerReference r:id="rId7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7" w:h="16839"/>
          <w:pgMar w:top="1417" w:right="1134" w:bottom="1134" w:left="1417" w:header="0" w:footer="0" w:gutter="0"/>
          <w:pgNumType w:start="1"/>
          <w:cols w:space="720" w:num="1"/>
          <w:titlePg/>
          <w:docGrid w:type="lines" w:linePitch="312" w:charSpace="0"/>
        </w:sectPr>
      </w:pPr>
      <w:r>
        <w:rPr>
          <w:rFonts w:ascii="黑体" w:eastAsia="黑体"/>
          <w:b/>
          <w:spacing w:val="20"/>
          <w:w w:val="135"/>
          <w:sz w:val="30"/>
        </w:rPr>
        <w:t>202</w:t>
      </w:r>
      <w: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  <w:t>6</w:t>
      </w:r>
      <w:r>
        <w:rPr>
          <w:rFonts w:hint="eastAsia" w:ascii="黑体" w:eastAsia="黑体"/>
          <w:b/>
          <w:spacing w:val="20"/>
          <w:w w:val="135"/>
          <w:sz w:val="30"/>
        </w:rPr>
        <w:t>年</w:t>
      </w:r>
      <w:r>
        <w:rPr>
          <w:rFonts w:ascii="黑体" w:eastAsia="黑体"/>
          <w:b/>
          <w:spacing w:val="20"/>
          <w:w w:val="135"/>
          <w:sz w:val="30"/>
        </w:rPr>
        <w:t>0</w:t>
      </w:r>
      <w:r>
        <w:rPr>
          <w:rFonts w:hint="eastAsia" w:ascii="黑体" w:eastAsia="黑体"/>
          <w:b/>
          <w:spacing w:val="20"/>
          <w:w w:val="135"/>
          <w:sz w:val="30"/>
          <w:lang w:val="en-US" w:eastAsia="zh-CN"/>
        </w:rPr>
        <w:t>8</w:t>
      </w:r>
      <w:r>
        <w:rPr>
          <w:rFonts w:hint="eastAsia" w:ascii="黑体" w:eastAsia="黑体"/>
          <w:b/>
          <w:spacing w:val="20"/>
          <w:w w:val="135"/>
          <w:sz w:val="30"/>
        </w:rPr>
        <w:t>月</w:t>
      </w:r>
    </w:p>
    <w:p w14:paraId="6FDC3FD9">
      <w:pPr>
        <w:spacing w:before="40" w:line="228" w:lineRule="auto"/>
        <w:ind w:left="2697"/>
        <w:rPr>
          <w:rFonts w:ascii="宋体" w:hAnsi="宋体" w:eastAsia="宋体" w:cs="宋体"/>
          <w:sz w:val="19"/>
          <w:szCs w:val="19"/>
        </w:rPr>
      </w:pPr>
    </w:p>
    <w:p w14:paraId="0F7DF0B9"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360" w:lineRule="auto"/>
        <w:rPr>
          <w:rFonts w:ascii="Arial"/>
          <w:sz w:val="21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工程概况</w:t>
      </w:r>
    </w:p>
    <w:p w14:paraId="498F2168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jc w:val="left"/>
        <w:textAlignment w:val="baseline"/>
        <w:rPr>
          <w:rFonts w:ascii="Arial"/>
          <w:sz w:val="21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深圳宝清储能站内#13储能分系统#1PCS功率模块出现硬件采样故障，经初步排查判定为功率模块内部采样电路硬件异常，直接影响#13储能分系统#1PCS的正常运行及站内整体供电可靠性，由于目前该批次设备已超出质量保证期限，为保障宝清储能站安全稳定运行，及时消除设备缺陷，现拟对上述故障功率模块实施维修，采购相关维修服务，以恢复设备正常运行。</w:t>
      </w:r>
    </w:p>
    <w:p w14:paraId="3F3CC72E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rPr>
          <w:rFonts w:ascii="Arial"/>
          <w:sz w:val="21"/>
        </w:rPr>
      </w:pPr>
    </w:p>
    <w:p w14:paraId="33B2C34A">
      <w:pPr>
        <w:keepNext w:val="0"/>
        <w:keepLines w:val="0"/>
        <w:pageBreakBefore w:val="0"/>
        <w:widowControl w:val="0"/>
        <w:numPr>
          <w:ilvl w:val="0"/>
          <w:numId w:val="1"/>
        </w:numPr>
        <w:wordWrap/>
        <w:overflowPunct/>
        <w:topLinePunct w:val="0"/>
        <w:bidi w:val="0"/>
        <w:spacing w:line="360" w:lineRule="auto"/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基本要求</w:t>
      </w:r>
    </w:p>
    <w:p w14:paraId="691B6F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1、维修</w:t>
      </w:r>
      <w:r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要求</w:t>
      </w:r>
    </w:p>
    <w:p w14:paraId="76EBF3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本次维修的功率模块采样板及相关配件须</w:t>
      </w: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能适配</w:t>
      </w:r>
      <w:r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深圳市盛弘电气股份有限公司原厂产品，硬件参数、通信协议、接口定义须与原模块完全一致，确保与现有系统兼容适配</w:t>
      </w: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且正常运行、无告警信号，此项要求将作为项目验收的硬性标准。</w:t>
      </w:r>
      <w:bookmarkStart w:id="0" w:name="_GoBack"/>
      <w:bookmarkEnd w:id="0"/>
    </w:p>
    <w:p w14:paraId="5F7E58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2、</w:t>
      </w:r>
      <w:r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资料移交要求</w:t>
      </w:r>
    </w:p>
    <w:p w14:paraId="3702F3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维修服务商须在项目完成后提交完整的检修报告，包括：配件更换清单（含配件出厂合格证明）、</w:t>
      </w: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维</w:t>
      </w:r>
      <w:r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修后试验记录报告等。所有资料应齐全、完整，移交甲方归档。</w:t>
      </w:r>
    </w:p>
    <w:p w14:paraId="7DEAB1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3、质保要求</w:t>
      </w:r>
    </w:p>
    <w:p w14:paraId="36F736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both"/>
        <w:textAlignment w:val="auto"/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维修服务商应提供不少于12个月质保期，质保期内因维修质量导致的产品损坏，须无偿修复或更换，更换件性能不低于原产品。服务商应提供7×24小时技术支持，指定固定技术负责人及联系方式。故障须在48小时内解决。维修完成后提交完整的检修报告及试验记录，</w:t>
      </w:r>
      <w:r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移交甲方</w:t>
      </w: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存</w:t>
      </w:r>
      <w:r>
        <w:rPr>
          <w:rFonts w:hint="default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档</w:t>
      </w: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lang w:val="en-US" w:eastAsia="zh-CN" w:bidi="ar-SA"/>
        </w:rPr>
        <w:t>。</w:t>
      </w:r>
    </w:p>
    <w:p w14:paraId="155605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</w:p>
    <w:p w14:paraId="69B59DC1">
      <w:pPr>
        <w:spacing w:line="303" w:lineRule="auto"/>
        <w:rPr>
          <w:rFonts w:ascii="Arial"/>
          <w:sz w:val="21"/>
        </w:rPr>
      </w:pPr>
    </w:p>
    <w:p w14:paraId="3160BF15">
      <w:pPr>
        <w:spacing w:before="124" w:line="228" w:lineRule="auto"/>
        <w:ind w:left="137"/>
        <w:rPr>
          <w:rFonts w:hint="eastAsia" w:ascii="仿宋" w:hAnsi="仿宋" w:eastAsia="仿宋" w:cs="仿宋"/>
          <w:spacing w:val="7"/>
          <w:sz w:val="24"/>
          <w:szCs w:val="24"/>
        </w:rPr>
      </w:pPr>
    </w:p>
    <w:sectPr>
      <w:footerReference r:id="rId10" w:type="default"/>
      <w:pgSz w:w="11910" w:h="16840"/>
      <w:pgMar w:top="870" w:right="1786" w:bottom="400" w:left="178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273776">
    <w:pPr>
      <w:pStyle w:val="17"/>
      <w:ind w:right="360" w:firstLine="360"/>
      <w:rPr>
        <w:rStyle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65F518">
    <w:pPr>
      <w:pStyle w:val="18"/>
      <w:ind w:right="360"/>
      <w:rPr>
        <w:rStyle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11656B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1E6D4A">
    <w:pPr>
      <w:pStyle w:val="8"/>
      <w:jc w:val="both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C324C1">
    <w:pPr>
      <w:pStyle w:val="8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1307B4F">
                          <w:pPr>
                            <w:pStyle w:val="8"/>
                          </w:pPr>
                          <w:r>
                            <w:rPr>
                              <w:rFonts w:hint="eastAsia"/>
                            </w:rPr>
                            <w:t>中国南方电网有限责任公司500kV 线路保护标准技术标书                        第</w:t>
                          </w:r>
                          <w:r>
                            <w:fldChar w:fldCharType="begin"/>
                          </w:r>
                          <w:r>
                            <w:rPr>
                              <w:rStyle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4"/>
                            </w:rPr>
                            <w:t>II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 /  共</w:t>
                          </w:r>
                          <w:r>
                            <w:fldChar w:fldCharType="begin"/>
                          </w:r>
                          <w:r>
                            <w:rPr>
                              <w:rStyle w:val="14"/>
                            </w:rPr>
                            <w:instrText xml:space="preserve"> NUMPAGES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4"/>
                            </w:rPr>
                            <w:t>61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aGmCS9MAAAAFAQAADwAAAAAAAAABACAAAAAiAAAA&#10;ZHJzL2Rvd25yZXYueG1sUEsBAhQAFAAAAAgAh07iQMr+HiHTAQAApQMAAA4AAAAAAAAAAQAgAAAA&#10;IgEAAGRycy9lMm9Eb2MueG1sUEsFBgAAAAAGAAYAWQEAAGc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1307B4F">
                    <w:pPr>
                      <w:pStyle w:val="8"/>
                    </w:pPr>
                    <w:r>
                      <w:rPr>
                        <w:rFonts w:hint="eastAsia"/>
                      </w:rPr>
                      <w:t>中国南方电网有限责任公司500kV 线路保护标准技术标书                        第</w:t>
                    </w:r>
                    <w:r>
                      <w:fldChar w:fldCharType="begin"/>
                    </w:r>
                    <w:r>
                      <w:rPr>
                        <w:rStyle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Style w:val="14"/>
                      </w:rPr>
                      <w:t>II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 /  共</w:t>
                    </w:r>
                    <w:r>
                      <w:fldChar w:fldCharType="begin"/>
                    </w:r>
                    <w:r>
                      <w:rPr>
                        <w:rStyle w:val="14"/>
                      </w:rPr>
                      <w:instrText xml:space="preserve"> NUMPAGES </w:instrText>
                    </w:r>
                    <w:r>
                      <w:fldChar w:fldCharType="separate"/>
                    </w:r>
                    <w:r>
                      <w:rPr>
                        <w:rStyle w:val="14"/>
                      </w:rPr>
                      <w:t>61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9323A3">
    <w:pPr>
      <w:pStyle w:val="8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1AFCE4"/>
    <w:multiLevelType w:val="singleLevel"/>
    <w:tmpl w:val="F41AFCE4"/>
    <w:lvl w:ilvl="0" w:tentative="0">
      <w:start w:val="1"/>
      <w:numFmt w:val="chineseCounting"/>
      <w:suff w:val="nothing"/>
      <w:lvlText w:val="%1、"/>
      <w:lvlJc w:val="left"/>
      <w:rPr>
        <w:rFonts w:hint="eastAsia" w:ascii="宋体" w:hAnsi="宋体" w:eastAsia="宋体" w:cs="宋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MDljNTBkODM1MTZlNDQzNTNiNzY5YjBlMTYyYTJkYTUifQ=="/>
    <w:docVar w:name="KSO_WPS_MARK_KEY" w:val="c79ee155-e5f1-428f-9265-e4a3eaf96382"/>
  </w:docVars>
  <w:rsids>
    <w:rsidRoot w:val="00000000"/>
    <w:rsid w:val="0030434A"/>
    <w:rsid w:val="018D00A7"/>
    <w:rsid w:val="0BED24F2"/>
    <w:rsid w:val="18684F65"/>
    <w:rsid w:val="1C785662"/>
    <w:rsid w:val="1C950DF5"/>
    <w:rsid w:val="22CA6707"/>
    <w:rsid w:val="26B85098"/>
    <w:rsid w:val="27CE7A10"/>
    <w:rsid w:val="2FEB0590"/>
    <w:rsid w:val="34D6142E"/>
    <w:rsid w:val="353D0864"/>
    <w:rsid w:val="3EA80B63"/>
    <w:rsid w:val="41945FEF"/>
    <w:rsid w:val="470345E3"/>
    <w:rsid w:val="47A9175D"/>
    <w:rsid w:val="4DB4784D"/>
    <w:rsid w:val="4DB72055"/>
    <w:rsid w:val="4E5B4085"/>
    <w:rsid w:val="528B4B12"/>
    <w:rsid w:val="5352557F"/>
    <w:rsid w:val="54F338AF"/>
    <w:rsid w:val="5F022792"/>
    <w:rsid w:val="5F772F66"/>
    <w:rsid w:val="5FB63C35"/>
    <w:rsid w:val="6D2F01D0"/>
    <w:rsid w:val="706E72BC"/>
    <w:rsid w:val="7490622B"/>
    <w:rsid w:val="781D0E87"/>
    <w:rsid w:val="7A951295"/>
    <w:rsid w:val="7C8D4118"/>
    <w:rsid w:val="7D7505F9"/>
    <w:rsid w:val="7F9B10FB"/>
    <w:rsid w:val="7FE026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adjustRightInd w:val="0"/>
      <w:spacing w:before="100" w:beforeLines="0" w:after="100" w:afterLines="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beforeLines="0" w:after="290" w:afterLines="0" w:line="372" w:lineRule="auto"/>
      <w:outlineLvl w:val="3"/>
    </w:pPr>
    <w:rPr>
      <w:rFonts w:ascii="Arial" w:hAnsi="Arial" w:eastAsia="黑体"/>
      <w:b/>
      <w:bCs/>
      <w:sz w:val="21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toc 2"/>
    <w:basedOn w:val="1"/>
    <w:next w:val="1"/>
    <w:qFormat/>
    <w:uiPriority w:val="0"/>
    <w:pPr>
      <w:ind w:left="420" w:leftChars="200"/>
    </w:pPr>
  </w:style>
  <w:style w:type="paragraph" w:styleId="11">
    <w:name w:val="Normal (Web)"/>
    <w:basedOn w:val="1"/>
    <w:qFormat/>
    <w:uiPriority w:val="0"/>
    <w:rPr>
      <w:sz w:val="24"/>
    </w:rPr>
  </w:style>
  <w:style w:type="character" w:styleId="14">
    <w:name w:val="page number"/>
    <w:qFormat/>
    <w:uiPriority w:val="0"/>
    <w:rPr>
      <w:rFonts w:ascii="Times New Roman" w:hAnsi="Times New Roman" w:eastAsia="宋体"/>
      <w:sz w:val="18"/>
    </w:rPr>
  </w:style>
  <w:style w:type="character" w:styleId="15">
    <w:name w:val="Hyperlink"/>
    <w:basedOn w:val="13"/>
    <w:qFormat/>
    <w:uiPriority w:val="0"/>
    <w:rPr>
      <w:color w:val="0000FF"/>
      <w:u w:val="single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18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19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0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1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506</Words>
  <Characters>525</Characters>
  <TotalTime>50</TotalTime>
  <ScaleCrop>false</ScaleCrop>
  <LinksUpToDate>false</LinksUpToDate>
  <CharactersWithSpaces>525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2025-03-03T10:49:00Z</dcterms:created>
  <dc:creator>汤明辉</dc:creator>
  <cp:lastModifiedBy>汤明辉</cp:lastModifiedBy>
  <dcterms:modified xsi:type="dcterms:W3CDTF">2026-08-06T18:27:53Z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2025-03-26T20:33:52Z</vt:filetime>
  </property>
  <property fmtid="{D5CDD505-2E9C-101B-9397-08002B2CF9AE}" pid="4" name="KSOProductBuildVer">
    <vt:lpwstr>2052-12.1.0.28043</vt:lpwstr>
  </property>
  <property fmtid="{D5CDD505-2E9C-101B-9397-08002B2CF9AE}" pid="5" name="ICV">
    <vt:lpwstr>2D6BE4E419C141448D5E84973B3307A2</vt:lpwstr>
  </property>
  <property fmtid="{D5CDD505-2E9C-101B-9397-08002B2CF9AE}" pid="6" name="KSOTemplateDocerSaveRecord">
    <vt:lpwstr>eyJoZGlkIjoiYjgzMGUyNmRmM2M4ZTk0ZGRlMmUxMjY4Y2Q2ZTcyMjEiLCJ1c2VySWQiOiI3MDUwMTE1ODcifQ==</vt:lpwstr>
  </property>
</Properties>
</file>