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2F5E55">
      <w:pPr>
        <w:adjustRightInd w:val="0"/>
        <w:snapToGrid w:val="0"/>
        <w:spacing w:line="360" w:lineRule="auto"/>
        <w:jc w:val="center"/>
        <w:rPr>
          <w:rFonts w:hint="eastAsia" w:ascii="Times New Roman" w:hAnsi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/>
          <w:b/>
          <w:bCs/>
          <w:sz w:val="32"/>
          <w:szCs w:val="32"/>
          <w:lang w:eastAsia="zh-CN"/>
        </w:rPr>
        <w:t>标的</w:t>
      </w:r>
      <w:r>
        <w:rPr>
          <w:rFonts w:hint="eastAsia" w:ascii="Times New Roman" w:hAnsi="Times New Roman"/>
          <w:b/>
          <w:bCs/>
          <w:sz w:val="32"/>
          <w:szCs w:val="32"/>
          <w:lang w:val="en-US" w:eastAsia="zh-CN"/>
        </w:rPr>
        <w:t>1</w:t>
      </w:r>
    </w:p>
    <w:p w14:paraId="6D8D729D">
      <w:pPr>
        <w:adjustRightInd w:val="0"/>
        <w:snapToGrid w:val="0"/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hint="eastAsia" w:ascii="Times New Roman" w:hAnsi="Times New Roman"/>
          <w:b/>
          <w:bCs/>
          <w:sz w:val="24"/>
          <w:szCs w:val="24"/>
          <w:lang w:eastAsia="zh-CN"/>
        </w:rPr>
        <w:t>项目</w:t>
      </w:r>
      <w:r>
        <w:rPr>
          <w:rFonts w:ascii="Times New Roman" w:hAnsi="Times New Roman"/>
          <w:b/>
          <w:bCs/>
          <w:sz w:val="24"/>
          <w:szCs w:val="24"/>
        </w:rPr>
        <w:t>名称：</w:t>
      </w:r>
      <w:r>
        <w:rPr>
          <w:rFonts w:hint="eastAsia" w:ascii="Times New Roman" w:hAnsi="Times New Roman"/>
          <w:b/>
          <w:bCs/>
          <w:sz w:val="24"/>
          <w:szCs w:val="24"/>
        </w:rPr>
        <w:t>藏粤直流工程广州小迳换流站建筑施工</w:t>
      </w:r>
    </w:p>
    <w:p w14:paraId="722FC439">
      <w:pPr>
        <w:pStyle w:val="11"/>
      </w:pPr>
    </w:p>
    <w:tbl>
      <w:tblPr>
        <w:tblStyle w:val="18"/>
        <w:tblW w:w="7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911"/>
        <w:gridCol w:w="3476"/>
      </w:tblGrid>
      <w:tr w14:paraId="0BD97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 w14:paraId="78EEC45F">
            <w:pPr>
              <w:pStyle w:val="11"/>
              <w:snapToGrid w:val="0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序号</w:t>
            </w:r>
          </w:p>
        </w:tc>
        <w:tc>
          <w:tcPr>
            <w:tcW w:w="2911" w:type="dxa"/>
            <w:vAlign w:val="center"/>
          </w:tcPr>
          <w:p w14:paraId="72A1FBB3">
            <w:pPr>
              <w:pStyle w:val="11"/>
              <w:snapToGrid w:val="0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文件名称</w:t>
            </w:r>
          </w:p>
        </w:tc>
        <w:tc>
          <w:tcPr>
            <w:tcW w:w="3476" w:type="dxa"/>
            <w:vAlign w:val="center"/>
          </w:tcPr>
          <w:p w14:paraId="4D6B43C8">
            <w:pPr>
              <w:pStyle w:val="11"/>
              <w:snapToGrid w:val="0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文件文号</w:t>
            </w:r>
          </w:p>
        </w:tc>
      </w:tr>
      <w:tr w14:paraId="43ACB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 w14:paraId="40710528">
            <w:pPr>
              <w:pStyle w:val="11"/>
              <w:snapToGrid w:val="0"/>
              <w:jc w:val="center"/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  <w:t>1</w:t>
            </w:r>
          </w:p>
        </w:tc>
        <w:tc>
          <w:tcPr>
            <w:tcW w:w="2911" w:type="dxa"/>
            <w:vAlign w:val="center"/>
          </w:tcPr>
          <w:p w14:paraId="206E3EB8">
            <w:pPr>
              <w:pStyle w:val="11"/>
              <w:snapToGrid w:val="0"/>
              <w:jc w:val="center"/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  <w:t>可研批复文号</w:t>
            </w:r>
          </w:p>
        </w:tc>
        <w:tc>
          <w:tcPr>
            <w:tcW w:w="3476" w:type="dxa"/>
            <w:vAlign w:val="center"/>
          </w:tcPr>
          <w:p w14:paraId="25AE1FD9">
            <w:pPr>
              <w:pStyle w:val="11"/>
              <w:snapToGrid w:val="0"/>
              <w:spacing w:line="360" w:lineRule="auto"/>
              <w:jc w:val="center"/>
              <w:rPr>
                <w:rFonts w:ascii="Times New Roman" w:hAnsi="Times New Roman"/>
                <w:snapToGrid w:val="0"/>
                <w:sz w:val="21"/>
                <w:szCs w:val="21"/>
              </w:rPr>
            </w:pPr>
            <w:r>
              <w:rPr>
                <w:rFonts w:ascii="Times New Roman" w:hAnsi="Times New Roman"/>
                <w:snapToGrid w:val="0"/>
                <w:sz w:val="21"/>
                <w:szCs w:val="21"/>
              </w:rPr>
              <w:t>南方电网规划〔2024〕137号</w:t>
            </w:r>
          </w:p>
        </w:tc>
      </w:tr>
      <w:tr w14:paraId="69E46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 w14:paraId="33860960">
            <w:pPr>
              <w:pStyle w:val="11"/>
              <w:snapToGrid w:val="0"/>
              <w:jc w:val="center"/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  <w:t>2</w:t>
            </w:r>
          </w:p>
        </w:tc>
        <w:tc>
          <w:tcPr>
            <w:tcW w:w="2911" w:type="dxa"/>
            <w:vAlign w:val="center"/>
          </w:tcPr>
          <w:p w14:paraId="2B5A5689">
            <w:pPr>
              <w:pStyle w:val="11"/>
              <w:snapToGrid w:val="0"/>
              <w:jc w:val="center"/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  <w:t>项目备案文号</w:t>
            </w:r>
          </w:p>
        </w:tc>
        <w:tc>
          <w:tcPr>
            <w:tcW w:w="3476" w:type="dxa"/>
            <w:vAlign w:val="bottom"/>
          </w:tcPr>
          <w:p w14:paraId="3A450126">
            <w:pPr>
              <w:pStyle w:val="11"/>
              <w:snapToGrid w:val="0"/>
              <w:spacing w:line="360" w:lineRule="auto"/>
              <w:jc w:val="center"/>
              <w:rPr>
                <w:rFonts w:ascii="Times New Roman" w:hAnsi="Times New Roman"/>
                <w:snapToGrid w:val="0"/>
                <w:color w:val="FF0000"/>
                <w:sz w:val="21"/>
                <w:szCs w:val="21"/>
              </w:rPr>
            </w:pPr>
            <w:r>
              <w:rPr>
                <w:rFonts w:ascii="Times New Roman" w:hAnsi="Times New Roman" w:eastAsiaTheme="minorEastAsia"/>
                <w:snapToGrid w:val="0"/>
                <w:sz w:val="21"/>
                <w:szCs w:val="21"/>
              </w:rPr>
              <w:t>发改能源〔2025〕791号</w:t>
            </w:r>
          </w:p>
        </w:tc>
      </w:tr>
      <w:tr w14:paraId="17A9C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 w14:paraId="5C8A0DA2">
            <w:pPr>
              <w:pStyle w:val="11"/>
              <w:snapToGrid w:val="0"/>
              <w:jc w:val="center"/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  <w:t>3</w:t>
            </w:r>
          </w:p>
        </w:tc>
        <w:tc>
          <w:tcPr>
            <w:tcW w:w="2911" w:type="dxa"/>
            <w:vAlign w:val="center"/>
          </w:tcPr>
          <w:p w14:paraId="087B3BAC">
            <w:pPr>
              <w:pStyle w:val="11"/>
              <w:snapToGrid w:val="0"/>
              <w:jc w:val="center"/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  <w:t>初设批复文号</w:t>
            </w:r>
          </w:p>
        </w:tc>
        <w:tc>
          <w:tcPr>
            <w:tcW w:w="3476" w:type="dxa"/>
            <w:vAlign w:val="center"/>
          </w:tcPr>
          <w:p w14:paraId="1C0A2912">
            <w:pPr>
              <w:widowControl/>
              <w:snapToGrid w:val="0"/>
              <w:jc w:val="center"/>
              <w:rPr>
                <w:rFonts w:ascii="Times New Roman" w:hAnsi="Times New Roman"/>
                <w:snapToGrid w:val="0"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snapToGrid w:val="0"/>
                <w:kern w:val="0"/>
                <w:szCs w:val="21"/>
              </w:rPr>
              <w:t>南方电网工程〔2026〕1 号</w:t>
            </w:r>
          </w:p>
        </w:tc>
      </w:tr>
      <w:tr w14:paraId="7B4D0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 w14:paraId="3E54C66B">
            <w:pPr>
              <w:pStyle w:val="11"/>
              <w:snapToGrid w:val="0"/>
              <w:jc w:val="center"/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  <w:t>4</w:t>
            </w:r>
          </w:p>
        </w:tc>
        <w:tc>
          <w:tcPr>
            <w:tcW w:w="2911" w:type="dxa"/>
            <w:vAlign w:val="center"/>
          </w:tcPr>
          <w:p w14:paraId="6D1FFAD6">
            <w:pPr>
              <w:pStyle w:val="11"/>
              <w:snapToGrid w:val="0"/>
              <w:jc w:val="center"/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  <w:t>资金落实情况</w:t>
            </w:r>
          </w:p>
        </w:tc>
        <w:tc>
          <w:tcPr>
            <w:tcW w:w="3476" w:type="dxa"/>
            <w:vAlign w:val="center"/>
          </w:tcPr>
          <w:p w14:paraId="3C9C9B3B">
            <w:pPr>
              <w:pStyle w:val="11"/>
              <w:snapToGrid w:val="0"/>
              <w:jc w:val="center"/>
              <w:rPr>
                <w:rFonts w:ascii="Times New Roman" w:hAnsi="Times New Roman"/>
                <w:snapToGrid w:val="0"/>
                <w:sz w:val="21"/>
                <w:szCs w:val="21"/>
              </w:rPr>
            </w:pPr>
            <w:r>
              <w:rPr>
                <w:rFonts w:hint="eastAsia" w:ascii="Times New Roman" w:hAnsi="Times New Roman"/>
                <w:snapToGrid w:val="0"/>
                <w:sz w:val="21"/>
                <w:szCs w:val="21"/>
              </w:rPr>
              <w:t>南方电网计财〔202</w:t>
            </w:r>
            <w:r>
              <w:rPr>
                <w:rFonts w:ascii="Times New Roman" w:hAnsi="Times New Roman"/>
                <w:snapToGrid w:val="0"/>
                <w:sz w:val="21"/>
                <w:szCs w:val="21"/>
              </w:rPr>
              <w:t>6</w:t>
            </w:r>
            <w:r>
              <w:rPr>
                <w:rFonts w:hint="eastAsia" w:ascii="Times New Roman" w:hAnsi="Times New Roman"/>
                <w:snapToGrid w:val="0"/>
                <w:sz w:val="21"/>
                <w:szCs w:val="21"/>
              </w:rPr>
              <w:t>〕</w:t>
            </w:r>
            <w:r>
              <w:rPr>
                <w:rFonts w:ascii="Times New Roman" w:hAnsi="Times New Roman"/>
                <w:snapToGrid w:val="0"/>
                <w:sz w:val="21"/>
                <w:szCs w:val="21"/>
              </w:rPr>
              <w:t>3</w:t>
            </w:r>
            <w:r>
              <w:rPr>
                <w:rFonts w:hint="eastAsia" w:ascii="Times New Roman" w:hAnsi="Times New Roman"/>
                <w:snapToGrid w:val="0"/>
                <w:sz w:val="21"/>
                <w:szCs w:val="21"/>
              </w:rPr>
              <w:t>号</w:t>
            </w:r>
          </w:p>
        </w:tc>
      </w:tr>
      <w:tr w14:paraId="44F22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 w14:paraId="1DD1E082">
            <w:pPr>
              <w:pStyle w:val="11"/>
              <w:snapToGrid w:val="0"/>
              <w:jc w:val="center"/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  <w:t>5</w:t>
            </w:r>
          </w:p>
        </w:tc>
        <w:tc>
          <w:tcPr>
            <w:tcW w:w="2911" w:type="dxa"/>
            <w:vAlign w:val="center"/>
          </w:tcPr>
          <w:p w14:paraId="6AB1460B">
            <w:pPr>
              <w:pStyle w:val="11"/>
              <w:snapToGrid w:val="0"/>
              <w:jc w:val="center"/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  <w:t>施工图预算批复文号</w:t>
            </w:r>
          </w:p>
        </w:tc>
        <w:tc>
          <w:tcPr>
            <w:tcW w:w="3476" w:type="dxa"/>
            <w:vAlign w:val="center"/>
          </w:tcPr>
          <w:p w14:paraId="0A1D934C">
            <w:pPr>
              <w:pStyle w:val="11"/>
              <w:snapToGrid w:val="0"/>
              <w:jc w:val="center"/>
              <w:rPr>
                <w:rFonts w:ascii="Times New Roman" w:hAnsi="Times New Roman"/>
                <w:snapToGrid w:val="0"/>
                <w:sz w:val="21"/>
                <w:szCs w:val="21"/>
              </w:rPr>
            </w:pPr>
            <w:r>
              <w:rPr>
                <w:rFonts w:ascii="Times New Roman" w:hAnsi="Times New Roman"/>
                <w:snapToGrid w:val="0"/>
                <w:sz w:val="21"/>
                <w:szCs w:val="21"/>
              </w:rPr>
              <w:t>/</w:t>
            </w:r>
          </w:p>
        </w:tc>
      </w:tr>
      <w:tr w14:paraId="58860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 w14:paraId="139A6828">
            <w:pPr>
              <w:pStyle w:val="11"/>
              <w:snapToGrid w:val="0"/>
              <w:jc w:val="center"/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  <w:t>6</w:t>
            </w:r>
          </w:p>
        </w:tc>
        <w:tc>
          <w:tcPr>
            <w:tcW w:w="2911" w:type="dxa"/>
            <w:vAlign w:val="center"/>
          </w:tcPr>
          <w:p w14:paraId="0E057B54">
            <w:pPr>
              <w:pStyle w:val="11"/>
              <w:snapToGrid w:val="0"/>
              <w:jc w:val="center"/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  <w:t>项目建设单位</w:t>
            </w:r>
          </w:p>
        </w:tc>
        <w:tc>
          <w:tcPr>
            <w:tcW w:w="3476" w:type="dxa"/>
            <w:vAlign w:val="center"/>
          </w:tcPr>
          <w:p w14:paraId="0B2F4507">
            <w:pPr>
              <w:pStyle w:val="11"/>
              <w:snapToGrid w:val="0"/>
              <w:jc w:val="center"/>
              <w:rPr>
                <w:rFonts w:ascii="Times New Roman" w:hAnsi="Times New Roman"/>
                <w:snapToGrid w:val="0"/>
                <w:sz w:val="21"/>
                <w:szCs w:val="21"/>
              </w:rPr>
            </w:pPr>
            <w:r>
              <w:rPr>
                <w:rFonts w:hint="eastAsia" w:ascii="Times New Roman" w:hAnsi="Times New Roman"/>
                <w:snapToGrid w:val="0"/>
                <w:sz w:val="21"/>
                <w:szCs w:val="21"/>
              </w:rPr>
              <w:t>广东藏粤直流电力运营有限公司</w:t>
            </w:r>
          </w:p>
        </w:tc>
      </w:tr>
      <w:tr w14:paraId="25551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 w14:paraId="10426581">
            <w:pPr>
              <w:pStyle w:val="11"/>
              <w:snapToGrid w:val="0"/>
              <w:jc w:val="center"/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  <w:t>7</w:t>
            </w:r>
          </w:p>
        </w:tc>
        <w:tc>
          <w:tcPr>
            <w:tcW w:w="2911" w:type="dxa"/>
            <w:vAlign w:val="center"/>
          </w:tcPr>
          <w:p w14:paraId="06B9902A">
            <w:pPr>
              <w:pStyle w:val="11"/>
              <w:snapToGrid w:val="0"/>
              <w:jc w:val="center"/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  <w:t>项目建设地点</w:t>
            </w:r>
          </w:p>
        </w:tc>
        <w:tc>
          <w:tcPr>
            <w:tcW w:w="3476" w:type="dxa"/>
            <w:vAlign w:val="center"/>
          </w:tcPr>
          <w:p w14:paraId="3E77A593">
            <w:pPr>
              <w:pStyle w:val="11"/>
              <w:snapToGrid w:val="0"/>
              <w:jc w:val="center"/>
              <w:rPr>
                <w:rFonts w:ascii="Times New Roman" w:hAnsi="Times New Roman"/>
                <w:snapToGrid w:val="0"/>
                <w:sz w:val="21"/>
                <w:szCs w:val="21"/>
              </w:rPr>
            </w:pPr>
            <w:r>
              <w:rPr>
                <w:rFonts w:hint="eastAsia" w:ascii="Times New Roman" w:hAnsi="Times New Roman"/>
                <w:snapToGrid w:val="0"/>
                <w:sz w:val="21"/>
                <w:szCs w:val="21"/>
              </w:rPr>
              <w:t>广东省广州市</w:t>
            </w:r>
          </w:p>
        </w:tc>
      </w:tr>
      <w:tr w14:paraId="72D2F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 w14:paraId="05B62D02">
            <w:pPr>
              <w:pStyle w:val="11"/>
              <w:snapToGrid w:val="0"/>
              <w:jc w:val="center"/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  <w:t>8</w:t>
            </w:r>
          </w:p>
        </w:tc>
        <w:tc>
          <w:tcPr>
            <w:tcW w:w="2911" w:type="dxa"/>
            <w:vAlign w:val="center"/>
          </w:tcPr>
          <w:p w14:paraId="4C7A0561">
            <w:pPr>
              <w:pStyle w:val="11"/>
              <w:snapToGrid w:val="0"/>
              <w:jc w:val="center"/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  <w:t>前期的设计或咨询服务单位名称</w:t>
            </w:r>
          </w:p>
        </w:tc>
        <w:tc>
          <w:tcPr>
            <w:tcW w:w="3476" w:type="dxa"/>
            <w:vAlign w:val="center"/>
          </w:tcPr>
          <w:p w14:paraId="5B9695B0">
            <w:pPr>
              <w:pStyle w:val="11"/>
              <w:snapToGrid w:val="0"/>
              <w:jc w:val="center"/>
              <w:rPr>
                <w:rFonts w:ascii="Times New Roman" w:hAnsi="Times New Roman"/>
                <w:snapToGrid w:val="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中国能源建设集团广东省电力设计研究院有限公司</w:t>
            </w:r>
          </w:p>
        </w:tc>
      </w:tr>
      <w:tr w14:paraId="21445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 w14:paraId="3339EA76">
            <w:pPr>
              <w:pStyle w:val="11"/>
              <w:snapToGrid w:val="0"/>
              <w:jc w:val="center"/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  <w:t>9</w:t>
            </w:r>
          </w:p>
        </w:tc>
        <w:tc>
          <w:tcPr>
            <w:tcW w:w="2911" w:type="dxa"/>
            <w:vAlign w:val="center"/>
          </w:tcPr>
          <w:p w14:paraId="5EE35586">
            <w:pPr>
              <w:pStyle w:val="11"/>
              <w:snapToGrid w:val="0"/>
              <w:jc w:val="center"/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1"/>
                <w:szCs w:val="21"/>
              </w:rPr>
              <w:t>项目监理单位</w:t>
            </w:r>
          </w:p>
        </w:tc>
        <w:tc>
          <w:tcPr>
            <w:tcW w:w="3476" w:type="dxa"/>
            <w:vAlign w:val="center"/>
          </w:tcPr>
          <w:p w14:paraId="72208331">
            <w:pPr>
              <w:pStyle w:val="11"/>
              <w:snapToGrid w:val="0"/>
              <w:jc w:val="center"/>
              <w:rPr>
                <w:rFonts w:ascii="Times New Roman" w:hAnsi="Times New Roman"/>
                <w:snapToGrid w:val="0"/>
                <w:sz w:val="21"/>
                <w:szCs w:val="21"/>
              </w:rPr>
            </w:pPr>
            <w:r>
              <w:rPr>
                <w:rFonts w:hint="eastAsia" w:ascii="Times New Roman" w:hAnsi="Times New Roman"/>
                <w:snapToGrid w:val="0"/>
                <w:sz w:val="21"/>
                <w:szCs w:val="21"/>
              </w:rPr>
              <w:t>广东天广能源科技发展有限公司</w:t>
            </w:r>
          </w:p>
        </w:tc>
      </w:tr>
    </w:tbl>
    <w:p w14:paraId="7FA20A5A">
      <w:pPr>
        <w:adjustRightInd w:val="0"/>
        <w:snapToGrid w:val="0"/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14:paraId="042132B6">
      <w:pPr>
        <w:adjustRightInd w:val="0"/>
        <w:snapToGrid w:val="0"/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一、项目概况</w:t>
      </w:r>
    </w:p>
    <w:p w14:paraId="6BAFF4F5">
      <w:pPr>
        <w:pStyle w:val="3"/>
        <w:snapToGrid w:val="0"/>
        <w:spacing w:line="360" w:lineRule="auto"/>
        <w:rPr>
          <w:rFonts w:ascii="Calibri" w:hAnsi="Calibri" w:eastAsiaTheme="minorEastAsia"/>
          <w:bCs/>
          <w:i w:val="0"/>
          <w:color w:val="auto"/>
          <w:sz w:val="21"/>
          <w:szCs w:val="21"/>
        </w:rPr>
      </w:pPr>
      <w:bookmarkStart w:id="0" w:name="_Toc443982837"/>
      <w:bookmarkStart w:id="1" w:name="_Toc218503331"/>
      <w:r>
        <w:rPr>
          <w:rFonts w:hint="eastAsia" w:ascii="Calibri" w:hAnsi="Calibri" w:eastAsiaTheme="minorEastAsia"/>
          <w:bCs/>
          <w:i w:val="0"/>
          <w:color w:val="auto"/>
          <w:sz w:val="21"/>
          <w:szCs w:val="21"/>
        </w:rPr>
        <w:t>（一）工程建设规模</w:t>
      </w:r>
      <w:bookmarkEnd w:id="0"/>
      <w:bookmarkEnd w:id="1"/>
    </w:p>
    <w:p w14:paraId="0553205D">
      <w:pPr>
        <w:adjustRightInd w:val="0"/>
        <w:snapToGrid w:val="0"/>
        <w:spacing w:line="360" w:lineRule="auto"/>
        <w:ind w:firstLine="480"/>
        <w:rPr>
          <w:rFonts w:eastAsiaTheme="minorEastAsia"/>
          <w:szCs w:val="21"/>
        </w:rPr>
      </w:pPr>
      <w:r>
        <w:rPr>
          <w:rFonts w:hint="eastAsia" w:eastAsiaTheme="minorEastAsia"/>
          <w:szCs w:val="21"/>
        </w:rPr>
        <w:t>藏粤直流工程广州小迳换流站建设规模如下：</w:t>
      </w:r>
    </w:p>
    <w:tbl>
      <w:tblPr>
        <w:tblStyle w:val="17"/>
        <w:tblpPr w:leftFromText="180" w:rightFromText="180" w:vertAnchor="text" w:horzAnchor="page" w:tblpX="1417" w:tblpY="268"/>
        <w:tblOverlap w:val="never"/>
        <w:tblW w:w="495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4"/>
        <w:gridCol w:w="1839"/>
        <w:gridCol w:w="2383"/>
        <w:gridCol w:w="2940"/>
      </w:tblGrid>
      <w:tr w14:paraId="36FC4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80" w:type="pct"/>
            <w:gridSpan w:val="2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339B67">
            <w:pPr>
              <w:pStyle w:val="33"/>
              <w:ind w:firstLine="420"/>
              <w:rPr>
                <w:rFonts w:hint="default"/>
                <w:sz w:val="18"/>
                <w:szCs w:val="18"/>
              </w:rPr>
            </w:pPr>
            <w:r>
              <w:rPr>
                <w:sz w:val="18"/>
                <w:szCs w:val="18"/>
              </w:rPr>
              <w:t>建 设 内 容</w:t>
            </w:r>
          </w:p>
        </w:tc>
        <w:tc>
          <w:tcPr>
            <w:tcW w:w="1441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487932">
            <w:pPr>
              <w:pStyle w:val="33"/>
              <w:ind w:firstLine="420"/>
              <w:rPr>
                <w:rFonts w:hint="default"/>
                <w:sz w:val="18"/>
                <w:szCs w:val="18"/>
              </w:rPr>
            </w:pPr>
            <w:r>
              <w:rPr>
                <w:sz w:val="18"/>
                <w:szCs w:val="18"/>
              </w:rPr>
              <w:t>本  期</w:t>
            </w:r>
          </w:p>
        </w:tc>
        <w:tc>
          <w:tcPr>
            <w:tcW w:w="1778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472740">
            <w:pPr>
              <w:pStyle w:val="33"/>
              <w:ind w:firstLine="420"/>
              <w:rPr>
                <w:rFonts w:hint="default"/>
                <w:sz w:val="18"/>
                <w:szCs w:val="18"/>
              </w:rPr>
            </w:pPr>
            <w:r>
              <w:rPr>
                <w:sz w:val="18"/>
                <w:szCs w:val="18"/>
              </w:rPr>
              <w:t>远  期</w:t>
            </w:r>
          </w:p>
        </w:tc>
      </w:tr>
      <w:tr w14:paraId="47E39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8" w:type="pct"/>
            <w:vMerge w:val="restar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F89C3D">
            <w:pPr>
              <w:pStyle w:val="33"/>
              <w:ind w:firstLine="420"/>
              <w:rPr>
                <w:rFonts w:hint="default"/>
                <w:sz w:val="18"/>
                <w:szCs w:val="18"/>
              </w:rPr>
            </w:pPr>
            <w:r>
              <w:rPr>
                <w:sz w:val="18"/>
                <w:szCs w:val="18"/>
              </w:rPr>
              <w:t>直</w:t>
            </w:r>
          </w:p>
          <w:p w14:paraId="6658CB9D">
            <w:pPr>
              <w:pStyle w:val="33"/>
              <w:ind w:firstLine="420"/>
              <w:rPr>
                <w:rFonts w:hint="default"/>
                <w:sz w:val="18"/>
                <w:szCs w:val="18"/>
              </w:rPr>
            </w:pPr>
            <w:r>
              <w:rPr>
                <w:sz w:val="18"/>
                <w:szCs w:val="18"/>
              </w:rPr>
              <w:t>流</w:t>
            </w:r>
          </w:p>
          <w:p w14:paraId="554B1C7B">
            <w:pPr>
              <w:pStyle w:val="33"/>
              <w:ind w:firstLine="420"/>
              <w:rPr>
                <w:rFonts w:hint="default"/>
                <w:sz w:val="18"/>
                <w:szCs w:val="18"/>
              </w:rPr>
            </w:pPr>
            <w:r>
              <w:rPr>
                <w:sz w:val="18"/>
                <w:szCs w:val="18"/>
              </w:rPr>
              <w:t>部</w:t>
            </w:r>
          </w:p>
          <w:p w14:paraId="1E11A659">
            <w:pPr>
              <w:pStyle w:val="33"/>
              <w:ind w:firstLine="420"/>
              <w:rPr>
                <w:rFonts w:hint="default"/>
                <w:sz w:val="18"/>
                <w:szCs w:val="18"/>
              </w:rPr>
            </w:pPr>
            <w:r>
              <w:rPr>
                <w:sz w:val="18"/>
                <w:szCs w:val="18"/>
              </w:rPr>
              <w:t>分</w:t>
            </w:r>
          </w:p>
        </w:tc>
        <w:tc>
          <w:tcPr>
            <w:tcW w:w="1112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360184">
            <w:pPr>
              <w:pStyle w:val="33"/>
              <w:ind w:firstLine="420"/>
              <w:rPr>
                <w:rFonts w:hint="default"/>
                <w:sz w:val="18"/>
                <w:szCs w:val="18"/>
              </w:rPr>
            </w:pPr>
            <w:r>
              <w:rPr>
                <w:sz w:val="18"/>
                <w:szCs w:val="18"/>
              </w:rPr>
              <w:t>额定输电电压</w:t>
            </w:r>
          </w:p>
        </w:tc>
        <w:tc>
          <w:tcPr>
            <w:tcW w:w="3219" w:type="pct"/>
            <w:gridSpan w:val="2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4DDAF4">
            <w:pPr>
              <w:pStyle w:val="33"/>
              <w:ind w:firstLine="420"/>
              <w:rPr>
                <w:rFonts w:hint="default"/>
                <w:sz w:val="18"/>
                <w:szCs w:val="18"/>
              </w:rPr>
            </w:pPr>
            <w:r>
              <w:rPr>
                <w:sz w:val="18"/>
                <w:szCs w:val="18"/>
              </w:rPr>
              <w:t>±800kV</w:t>
            </w:r>
          </w:p>
        </w:tc>
      </w:tr>
      <w:tr w14:paraId="4A2DC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8" w:type="pct"/>
            <w:vMerge w:val="continue"/>
            <w:shd w:val="clear" w:color="auto" w:fill="FFFFFF"/>
            <w:vAlign w:val="center"/>
          </w:tcPr>
          <w:p w14:paraId="06E2542E">
            <w:pPr>
              <w:pStyle w:val="33"/>
              <w:ind w:firstLine="420"/>
              <w:rPr>
                <w:rFonts w:hint="default"/>
                <w:sz w:val="18"/>
                <w:szCs w:val="18"/>
              </w:rPr>
            </w:pPr>
          </w:p>
        </w:tc>
        <w:tc>
          <w:tcPr>
            <w:tcW w:w="1112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787C00">
            <w:pPr>
              <w:pStyle w:val="33"/>
              <w:ind w:firstLine="420"/>
              <w:rPr>
                <w:rFonts w:hint="default"/>
                <w:sz w:val="18"/>
                <w:szCs w:val="18"/>
              </w:rPr>
            </w:pPr>
            <w:r>
              <w:rPr>
                <w:sz w:val="18"/>
                <w:szCs w:val="18"/>
              </w:rPr>
              <w:t>额定输电容量</w:t>
            </w:r>
          </w:p>
        </w:tc>
        <w:tc>
          <w:tcPr>
            <w:tcW w:w="3219" w:type="pct"/>
            <w:gridSpan w:val="2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1372D1">
            <w:pPr>
              <w:pStyle w:val="33"/>
              <w:ind w:firstLine="420"/>
              <w:rPr>
                <w:rFonts w:hint="default"/>
                <w:sz w:val="18"/>
                <w:szCs w:val="18"/>
              </w:rPr>
            </w:pPr>
            <w:r>
              <w:rPr>
                <w:sz w:val="18"/>
                <w:szCs w:val="18"/>
              </w:rPr>
              <w:t>单回5000MW、单极2500MW</w:t>
            </w:r>
          </w:p>
        </w:tc>
      </w:tr>
      <w:tr w14:paraId="5499C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8" w:type="pct"/>
            <w:vMerge w:val="continue"/>
            <w:shd w:val="clear" w:color="auto" w:fill="FFFFFF"/>
            <w:vAlign w:val="center"/>
          </w:tcPr>
          <w:p w14:paraId="16FC9C0B">
            <w:pPr>
              <w:pStyle w:val="33"/>
              <w:ind w:firstLine="420"/>
              <w:rPr>
                <w:rFonts w:hint="default"/>
                <w:sz w:val="18"/>
                <w:szCs w:val="18"/>
              </w:rPr>
            </w:pPr>
          </w:p>
        </w:tc>
        <w:tc>
          <w:tcPr>
            <w:tcW w:w="1112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E4BECE">
            <w:pPr>
              <w:pStyle w:val="33"/>
              <w:ind w:firstLine="420"/>
              <w:rPr>
                <w:rFonts w:hint="default"/>
                <w:sz w:val="18"/>
                <w:szCs w:val="18"/>
              </w:rPr>
            </w:pPr>
            <w:r>
              <w:rPr>
                <w:sz w:val="18"/>
                <w:szCs w:val="18"/>
              </w:rPr>
              <w:t>柔直变压器</w:t>
            </w:r>
          </w:p>
        </w:tc>
        <w:tc>
          <w:tcPr>
            <w:tcW w:w="3219" w:type="pct"/>
            <w:gridSpan w:val="2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526342">
            <w:pPr>
              <w:pStyle w:val="33"/>
              <w:ind w:firstLine="420"/>
              <w:rPr>
                <w:rFonts w:hint="default"/>
                <w:sz w:val="18"/>
                <w:szCs w:val="18"/>
              </w:rPr>
            </w:pPr>
            <w:r>
              <w:rPr>
                <w:sz w:val="18"/>
                <w:szCs w:val="18"/>
              </w:rPr>
              <w:t>单相双绕组变压器</w:t>
            </w:r>
          </w:p>
          <w:p w14:paraId="3F441ED1">
            <w:pPr>
              <w:pStyle w:val="33"/>
              <w:ind w:firstLine="420"/>
              <w:rPr>
                <w:rFonts w:hint="default"/>
                <w:sz w:val="18"/>
                <w:szCs w:val="18"/>
              </w:rPr>
            </w:pPr>
            <w:r>
              <w:rPr>
                <w:sz w:val="18"/>
                <w:szCs w:val="18"/>
              </w:rPr>
              <w:t>容量（12＋2）×450MVA</w:t>
            </w:r>
          </w:p>
        </w:tc>
      </w:tr>
      <w:tr w14:paraId="00069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8" w:type="pct"/>
            <w:vMerge w:val="continue"/>
            <w:shd w:val="clear" w:color="auto" w:fill="FFFFFF"/>
            <w:vAlign w:val="center"/>
          </w:tcPr>
          <w:p w14:paraId="366FF109">
            <w:pPr>
              <w:pStyle w:val="33"/>
              <w:ind w:firstLine="420"/>
              <w:rPr>
                <w:rFonts w:hint="default"/>
                <w:sz w:val="18"/>
                <w:szCs w:val="18"/>
              </w:rPr>
            </w:pPr>
          </w:p>
        </w:tc>
        <w:tc>
          <w:tcPr>
            <w:tcW w:w="1112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95FBB5">
            <w:pPr>
              <w:pStyle w:val="33"/>
              <w:ind w:firstLine="420"/>
              <w:rPr>
                <w:rFonts w:hint="default"/>
                <w:sz w:val="18"/>
                <w:szCs w:val="18"/>
              </w:rPr>
            </w:pPr>
            <w:r>
              <w:rPr>
                <w:sz w:val="18"/>
                <w:szCs w:val="18"/>
              </w:rPr>
              <w:t>直流出线</w:t>
            </w:r>
          </w:p>
        </w:tc>
        <w:tc>
          <w:tcPr>
            <w:tcW w:w="3219" w:type="pct"/>
            <w:gridSpan w:val="2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2D7B89">
            <w:pPr>
              <w:pStyle w:val="33"/>
              <w:ind w:firstLine="420"/>
              <w:rPr>
                <w:rFonts w:hint="default"/>
                <w:sz w:val="18"/>
                <w:szCs w:val="18"/>
              </w:rPr>
            </w:pPr>
            <w:r>
              <w:rPr>
                <w:sz w:val="18"/>
                <w:szCs w:val="18"/>
              </w:rPr>
              <w:t>2回，至西藏察隅站1回，至深圳中部站1回</w:t>
            </w:r>
          </w:p>
        </w:tc>
      </w:tr>
      <w:tr w14:paraId="0A8DA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8" w:type="pct"/>
            <w:vMerge w:val="restar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267B24">
            <w:pPr>
              <w:pStyle w:val="33"/>
              <w:ind w:firstLine="420"/>
              <w:rPr>
                <w:rFonts w:hint="default"/>
                <w:sz w:val="18"/>
                <w:szCs w:val="18"/>
              </w:rPr>
            </w:pPr>
            <w:r>
              <w:rPr>
                <w:sz w:val="18"/>
                <w:szCs w:val="18"/>
              </w:rPr>
              <w:t>交</w:t>
            </w:r>
          </w:p>
          <w:p w14:paraId="23F5A117">
            <w:pPr>
              <w:pStyle w:val="33"/>
              <w:ind w:firstLine="420"/>
              <w:rPr>
                <w:rFonts w:hint="default"/>
                <w:sz w:val="18"/>
                <w:szCs w:val="18"/>
              </w:rPr>
            </w:pPr>
            <w:r>
              <w:rPr>
                <w:sz w:val="18"/>
                <w:szCs w:val="18"/>
              </w:rPr>
              <w:t>流</w:t>
            </w:r>
          </w:p>
          <w:p w14:paraId="753A93DA">
            <w:pPr>
              <w:pStyle w:val="33"/>
              <w:ind w:firstLine="420"/>
              <w:rPr>
                <w:rFonts w:hint="default"/>
                <w:sz w:val="18"/>
                <w:szCs w:val="18"/>
              </w:rPr>
            </w:pPr>
            <w:r>
              <w:rPr>
                <w:sz w:val="18"/>
                <w:szCs w:val="18"/>
              </w:rPr>
              <w:t>部</w:t>
            </w:r>
          </w:p>
          <w:p w14:paraId="382C43E7">
            <w:pPr>
              <w:pStyle w:val="33"/>
              <w:ind w:firstLine="420"/>
              <w:rPr>
                <w:rFonts w:hint="default"/>
                <w:sz w:val="18"/>
                <w:szCs w:val="18"/>
              </w:rPr>
            </w:pPr>
            <w:r>
              <w:rPr>
                <w:sz w:val="18"/>
                <w:szCs w:val="18"/>
              </w:rPr>
              <w:t>分</w:t>
            </w:r>
          </w:p>
        </w:tc>
        <w:tc>
          <w:tcPr>
            <w:tcW w:w="1112" w:type="pct"/>
            <w:shd w:val="clear" w:color="auto" w:fill="FFFFFF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14:paraId="3F989C72">
            <w:pPr>
              <w:pStyle w:val="33"/>
              <w:ind w:firstLine="420"/>
              <w:rPr>
                <w:rFonts w:hint="default"/>
                <w:sz w:val="18"/>
                <w:szCs w:val="18"/>
              </w:rPr>
            </w:pPr>
            <w:r>
              <w:rPr>
                <w:sz w:val="18"/>
                <w:szCs w:val="18"/>
              </w:rPr>
              <w:t>500kV出线</w:t>
            </w:r>
          </w:p>
        </w:tc>
        <w:tc>
          <w:tcPr>
            <w:tcW w:w="1441" w:type="pct"/>
            <w:shd w:val="clear" w:color="auto" w:fill="FFFFFF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14:paraId="61F86FA3">
            <w:pPr>
              <w:pStyle w:val="33"/>
              <w:ind w:firstLine="420"/>
              <w:rPr>
                <w:rFonts w:hint="default"/>
                <w:sz w:val="18"/>
                <w:szCs w:val="18"/>
              </w:rPr>
            </w:pPr>
            <w:r>
              <w:rPr>
                <w:sz w:val="18"/>
                <w:szCs w:val="18"/>
              </w:rPr>
              <w:t>4回，其中至罗洞2回、至北郊2回</w:t>
            </w:r>
          </w:p>
        </w:tc>
        <w:tc>
          <w:tcPr>
            <w:tcW w:w="1778" w:type="pct"/>
            <w:shd w:val="clear" w:color="auto" w:fill="FFFFFF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14:paraId="535B157F">
            <w:pPr>
              <w:pStyle w:val="33"/>
              <w:ind w:firstLine="420"/>
              <w:rPr>
                <w:rFonts w:hint="default"/>
                <w:sz w:val="18"/>
                <w:szCs w:val="18"/>
              </w:rPr>
            </w:pPr>
            <w:r>
              <w:rPr>
                <w:sz w:val="18"/>
                <w:szCs w:val="18"/>
              </w:rPr>
              <w:t>6回，其中至罗洞2回、至北郊2回、至花都2回</w:t>
            </w:r>
          </w:p>
        </w:tc>
      </w:tr>
      <w:tr w14:paraId="43726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8" w:type="pct"/>
            <w:vMerge w:val="continue"/>
            <w:shd w:val="clear" w:color="auto" w:fill="FFFFFF"/>
            <w:vAlign w:val="center"/>
          </w:tcPr>
          <w:p w14:paraId="22DAEEA2">
            <w:pPr>
              <w:pStyle w:val="33"/>
              <w:ind w:firstLine="420"/>
              <w:rPr>
                <w:rFonts w:hint="default"/>
                <w:sz w:val="18"/>
                <w:szCs w:val="18"/>
              </w:rPr>
            </w:pPr>
          </w:p>
        </w:tc>
        <w:tc>
          <w:tcPr>
            <w:tcW w:w="1112" w:type="pct"/>
            <w:shd w:val="clear" w:color="auto" w:fill="FFFFFF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14:paraId="3E8BC606">
            <w:pPr>
              <w:pStyle w:val="33"/>
              <w:ind w:firstLine="420"/>
              <w:rPr>
                <w:rFonts w:hint="default"/>
                <w:sz w:val="18"/>
                <w:szCs w:val="18"/>
              </w:rPr>
            </w:pPr>
            <w:r>
              <w:rPr>
                <w:sz w:val="18"/>
                <w:szCs w:val="18"/>
              </w:rPr>
              <w:t>主变压器*</w:t>
            </w:r>
          </w:p>
        </w:tc>
        <w:tc>
          <w:tcPr>
            <w:tcW w:w="1441" w:type="pct"/>
            <w:shd w:val="clear" w:color="auto" w:fill="FFFFFF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14:paraId="686BDE0E">
            <w:pPr>
              <w:pStyle w:val="33"/>
              <w:ind w:firstLine="420"/>
              <w:rPr>
                <w:rFonts w:hint="default"/>
                <w:sz w:val="18"/>
                <w:szCs w:val="18"/>
              </w:rPr>
            </w:pPr>
            <w:r>
              <w:rPr>
                <w:sz w:val="18"/>
                <w:szCs w:val="18"/>
              </w:rPr>
              <w:t>2×1000MVA</w:t>
            </w:r>
          </w:p>
        </w:tc>
        <w:tc>
          <w:tcPr>
            <w:tcW w:w="1778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D8ACF1">
            <w:pPr>
              <w:pStyle w:val="33"/>
              <w:ind w:firstLine="420"/>
              <w:rPr>
                <w:rFonts w:hint="default"/>
                <w:sz w:val="18"/>
                <w:szCs w:val="18"/>
              </w:rPr>
            </w:pPr>
            <w:r>
              <w:rPr>
                <w:sz w:val="18"/>
                <w:szCs w:val="18"/>
              </w:rPr>
              <w:t>4×1000MVA</w:t>
            </w:r>
          </w:p>
        </w:tc>
      </w:tr>
      <w:tr w14:paraId="6019F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8" w:type="pct"/>
            <w:vMerge w:val="continue"/>
            <w:shd w:val="clear" w:color="auto" w:fill="FFFFFF"/>
            <w:vAlign w:val="center"/>
          </w:tcPr>
          <w:p w14:paraId="17D752B0">
            <w:pPr>
              <w:pStyle w:val="33"/>
              <w:ind w:firstLine="420"/>
              <w:rPr>
                <w:rFonts w:hint="default"/>
                <w:sz w:val="18"/>
                <w:szCs w:val="18"/>
              </w:rPr>
            </w:pPr>
          </w:p>
        </w:tc>
        <w:tc>
          <w:tcPr>
            <w:tcW w:w="1112" w:type="pct"/>
            <w:shd w:val="clear" w:color="auto" w:fill="FFFFFF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14:paraId="4158CADA">
            <w:pPr>
              <w:pStyle w:val="33"/>
              <w:ind w:firstLine="420"/>
              <w:rPr>
                <w:rFonts w:hint="default"/>
                <w:sz w:val="18"/>
                <w:szCs w:val="18"/>
              </w:rPr>
            </w:pPr>
            <w:r>
              <w:rPr>
                <w:sz w:val="18"/>
                <w:szCs w:val="18"/>
              </w:rPr>
              <w:t>220kV出线*</w:t>
            </w:r>
          </w:p>
        </w:tc>
        <w:tc>
          <w:tcPr>
            <w:tcW w:w="1441" w:type="pct"/>
            <w:shd w:val="clear" w:color="auto" w:fill="FFFFFF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14:paraId="1B4718E9">
            <w:pPr>
              <w:pStyle w:val="33"/>
              <w:ind w:firstLine="420"/>
              <w:rPr>
                <w:rFonts w:hint="default"/>
                <w:sz w:val="18"/>
                <w:szCs w:val="18"/>
              </w:rPr>
            </w:pPr>
            <w:r>
              <w:rPr>
                <w:sz w:val="18"/>
                <w:szCs w:val="18"/>
              </w:rPr>
              <w:t>无</w:t>
            </w:r>
          </w:p>
        </w:tc>
        <w:tc>
          <w:tcPr>
            <w:tcW w:w="1778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B661EB">
            <w:pPr>
              <w:pStyle w:val="33"/>
              <w:ind w:firstLine="420"/>
              <w:rPr>
                <w:rFonts w:hint="default"/>
                <w:sz w:val="18"/>
                <w:szCs w:val="18"/>
              </w:rPr>
            </w:pPr>
            <w:r>
              <w:rPr>
                <w:sz w:val="18"/>
                <w:szCs w:val="18"/>
              </w:rPr>
              <w:t>16回</w:t>
            </w:r>
          </w:p>
        </w:tc>
      </w:tr>
      <w:tr w14:paraId="7961D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8" w:type="pct"/>
            <w:vMerge w:val="continue"/>
            <w:shd w:val="clear" w:color="auto" w:fill="FFFFFF"/>
            <w:vAlign w:val="center"/>
          </w:tcPr>
          <w:p w14:paraId="15E3914D">
            <w:pPr>
              <w:pStyle w:val="33"/>
              <w:ind w:firstLine="420"/>
              <w:rPr>
                <w:rFonts w:hint="default"/>
                <w:sz w:val="18"/>
                <w:szCs w:val="18"/>
              </w:rPr>
            </w:pPr>
          </w:p>
        </w:tc>
        <w:tc>
          <w:tcPr>
            <w:tcW w:w="1112" w:type="pct"/>
            <w:shd w:val="clear" w:color="auto" w:fill="FFFFFF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14:paraId="5088F818">
            <w:pPr>
              <w:pStyle w:val="33"/>
              <w:ind w:firstLine="420"/>
              <w:rPr>
                <w:rFonts w:hint="default"/>
                <w:sz w:val="18"/>
                <w:szCs w:val="18"/>
              </w:rPr>
            </w:pPr>
            <w:r>
              <w:rPr>
                <w:sz w:val="18"/>
                <w:szCs w:val="18"/>
              </w:rPr>
              <w:t>低压无功补偿*</w:t>
            </w:r>
          </w:p>
        </w:tc>
        <w:tc>
          <w:tcPr>
            <w:tcW w:w="1441" w:type="pct"/>
            <w:shd w:val="clear" w:color="auto" w:fill="FFFFFF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14:paraId="242F0E31">
            <w:pPr>
              <w:pStyle w:val="33"/>
              <w:ind w:firstLine="420"/>
              <w:rPr>
                <w:rFonts w:hint="default"/>
                <w:sz w:val="18"/>
                <w:szCs w:val="18"/>
              </w:rPr>
            </w:pPr>
            <w:r>
              <w:rPr>
                <w:sz w:val="18"/>
                <w:szCs w:val="18"/>
              </w:rPr>
              <w:t>每台主变低压侧配置3×60Mvar低压电容器和1×60Mvar低压电抗器</w:t>
            </w:r>
          </w:p>
        </w:tc>
        <w:tc>
          <w:tcPr>
            <w:tcW w:w="1778" w:type="pct"/>
            <w:shd w:val="clear" w:color="auto" w:fill="FFFFFF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14:paraId="7A95FD0E">
            <w:pPr>
              <w:pStyle w:val="33"/>
              <w:ind w:firstLine="420"/>
              <w:rPr>
                <w:rFonts w:hint="default"/>
                <w:sz w:val="18"/>
                <w:szCs w:val="18"/>
              </w:rPr>
            </w:pPr>
            <w:r>
              <w:rPr>
                <w:sz w:val="18"/>
                <w:szCs w:val="18"/>
              </w:rPr>
              <w:t>每台主变低压侧配置3×60Mvar低压电容器和2×60Mvar低压电抗器</w:t>
            </w:r>
          </w:p>
        </w:tc>
      </w:tr>
      <w:tr w14:paraId="39CFB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8" w:type="pct"/>
            <w:vMerge w:val="continue"/>
            <w:shd w:val="clear" w:color="auto" w:fill="FFFFFF"/>
            <w:vAlign w:val="center"/>
          </w:tcPr>
          <w:p w14:paraId="5E2FA81B">
            <w:pPr>
              <w:pStyle w:val="33"/>
              <w:ind w:firstLine="420"/>
              <w:rPr>
                <w:rFonts w:hint="default"/>
                <w:sz w:val="18"/>
                <w:szCs w:val="18"/>
              </w:rPr>
            </w:pPr>
          </w:p>
        </w:tc>
        <w:tc>
          <w:tcPr>
            <w:tcW w:w="1112" w:type="pct"/>
            <w:shd w:val="clear" w:color="auto" w:fill="FFFFFF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14:paraId="079B12C3">
            <w:pPr>
              <w:pStyle w:val="33"/>
              <w:ind w:firstLine="420"/>
              <w:rPr>
                <w:rFonts w:hint="default"/>
                <w:sz w:val="18"/>
                <w:szCs w:val="18"/>
              </w:rPr>
            </w:pPr>
            <w:r>
              <w:rPr>
                <w:sz w:val="18"/>
                <w:szCs w:val="18"/>
              </w:rPr>
              <w:t>站用变压器*</w:t>
            </w:r>
          </w:p>
        </w:tc>
        <w:tc>
          <w:tcPr>
            <w:tcW w:w="3219" w:type="pct"/>
            <w:gridSpan w:val="2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CFE488">
            <w:pPr>
              <w:pStyle w:val="33"/>
              <w:ind w:firstLine="420"/>
              <w:rPr>
                <w:rFonts w:hint="default"/>
                <w:sz w:val="18"/>
                <w:szCs w:val="18"/>
              </w:rPr>
            </w:pPr>
            <w:r>
              <w:rPr>
                <w:sz w:val="18"/>
                <w:szCs w:val="18"/>
              </w:rPr>
              <w:t>2回工作电源：35kV/10kV变压器</w:t>
            </w:r>
          </w:p>
          <w:p w14:paraId="303B1256">
            <w:pPr>
              <w:pStyle w:val="33"/>
              <w:ind w:firstLine="420"/>
              <w:rPr>
                <w:rFonts w:hint="default"/>
                <w:sz w:val="18"/>
                <w:szCs w:val="18"/>
              </w:rPr>
            </w:pPr>
            <w:r>
              <w:rPr>
                <w:sz w:val="18"/>
                <w:szCs w:val="18"/>
              </w:rPr>
              <w:t>1回备用电源：从110kV蓝田变电站引接</w:t>
            </w:r>
          </w:p>
        </w:tc>
      </w:tr>
      <w:tr w14:paraId="7F765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8" w:type="pct"/>
            <w:vMerge w:val="continue"/>
            <w:shd w:val="clear" w:color="auto" w:fill="FFFFFF"/>
            <w:vAlign w:val="center"/>
          </w:tcPr>
          <w:p w14:paraId="6C27EA1F">
            <w:pPr>
              <w:pStyle w:val="33"/>
              <w:ind w:firstLine="420"/>
              <w:rPr>
                <w:rFonts w:hint="default"/>
                <w:sz w:val="18"/>
                <w:szCs w:val="18"/>
              </w:rPr>
            </w:pPr>
          </w:p>
        </w:tc>
        <w:tc>
          <w:tcPr>
            <w:tcW w:w="1112" w:type="pct"/>
            <w:shd w:val="clear" w:color="auto" w:fill="FFFFFF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14:paraId="62DFFB7C">
            <w:pPr>
              <w:pStyle w:val="33"/>
              <w:ind w:firstLine="420"/>
              <w:rPr>
                <w:rFonts w:hint="default"/>
                <w:sz w:val="18"/>
                <w:szCs w:val="18"/>
              </w:rPr>
            </w:pPr>
            <w:r>
              <w:rPr>
                <w:sz w:val="18"/>
                <w:szCs w:val="18"/>
              </w:rPr>
              <w:t>融冰装置</w:t>
            </w:r>
          </w:p>
        </w:tc>
        <w:tc>
          <w:tcPr>
            <w:tcW w:w="3219" w:type="pct"/>
            <w:gridSpan w:val="2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B90FB8">
            <w:pPr>
              <w:pStyle w:val="33"/>
              <w:ind w:firstLine="420"/>
              <w:rPr>
                <w:rFonts w:hint="default"/>
                <w:sz w:val="18"/>
                <w:szCs w:val="18"/>
              </w:rPr>
            </w:pPr>
            <w:r>
              <w:rPr>
                <w:sz w:val="18"/>
                <w:szCs w:val="18"/>
              </w:rPr>
              <w:t>1套68MW固定式融冰装置</w:t>
            </w:r>
          </w:p>
        </w:tc>
      </w:tr>
    </w:tbl>
    <w:p w14:paraId="4977F639">
      <w:pPr>
        <w:adjustRightInd w:val="0"/>
        <w:snapToGrid w:val="0"/>
        <w:spacing w:line="360" w:lineRule="auto"/>
        <w:rPr>
          <w:rFonts w:eastAsiaTheme="minorEastAsia"/>
          <w:szCs w:val="21"/>
        </w:rPr>
      </w:pPr>
    </w:p>
    <w:p w14:paraId="3F1CA6E3">
      <w:pPr>
        <w:pStyle w:val="3"/>
        <w:snapToGrid w:val="0"/>
        <w:spacing w:line="360" w:lineRule="auto"/>
        <w:rPr>
          <w:rFonts w:ascii="Calibri" w:hAnsi="Calibri" w:eastAsiaTheme="minorEastAsia"/>
          <w:bCs/>
          <w:i w:val="0"/>
          <w:color w:val="auto"/>
          <w:sz w:val="21"/>
          <w:szCs w:val="21"/>
        </w:rPr>
      </w:pPr>
      <w:bookmarkStart w:id="2" w:name="_Toc443982838"/>
      <w:bookmarkStart w:id="3" w:name="_Toc218503332"/>
      <w:r>
        <w:rPr>
          <w:rFonts w:hint="eastAsia" w:ascii="Calibri" w:hAnsi="Calibri" w:eastAsiaTheme="minorEastAsia"/>
          <w:bCs/>
          <w:i w:val="0"/>
          <w:color w:val="auto"/>
          <w:sz w:val="21"/>
          <w:szCs w:val="21"/>
        </w:rPr>
        <w:t>（二）站址概况</w:t>
      </w:r>
      <w:bookmarkEnd w:id="2"/>
      <w:bookmarkEnd w:id="3"/>
    </w:p>
    <w:p w14:paraId="583C508F">
      <w:pPr>
        <w:adjustRightInd w:val="0"/>
        <w:snapToGrid w:val="0"/>
        <w:spacing w:line="360" w:lineRule="auto"/>
        <w:ind w:firstLine="480"/>
        <w:rPr>
          <w:szCs w:val="21"/>
        </w:rPr>
      </w:pPr>
      <w:r>
        <w:rPr>
          <w:rFonts w:hint="eastAsia"/>
          <w:szCs w:val="21"/>
        </w:rPr>
        <w:t>广州小迳换流站站址位于广州市花都区赤坭镇西南6.0km处，西距小迳村200m，南距花都与佛山三水交界235m。站址主要为农用地，不占用基本农田，不涉及生态保护红线。站址周边交通便利，进站道路从北侧Y748乡道接入，进站道路长度590.6m，路面宽度6.0m。施工期间人员生产、生活等设施供应方便，施工条件较好。</w:t>
      </w:r>
    </w:p>
    <w:p w14:paraId="5960983F">
      <w:pPr>
        <w:pStyle w:val="34"/>
        <w:spacing w:line="360" w:lineRule="auto"/>
        <w:ind w:firstLine="420"/>
        <w:rPr>
          <w:color w:val="auto"/>
          <w:sz w:val="21"/>
          <w:szCs w:val="21"/>
        </w:rPr>
      </w:pPr>
      <w:r>
        <w:rPr>
          <w:color w:val="auto"/>
          <w:sz w:val="21"/>
          <w:szCs w:val="21"/>
        </w:rPr>
        <w:t>站区按长轴北偏西3.8166°方向布置。换流站总用地面积39.0100hm</w:t>
      </w:r>
      <w:r>
        <w:rPr>
          <w:color w:val="auto"/>
          <w:sz w:val="21"/>
          <w:szCs w:val="21"/>
          <w:vertAlign w:val="superscript"/>
        </w:rPr>
        <w:t>2</w:t>
      </w:r>
      <w:r>
        <w:rPr>
          <w:color w:val="auto"/>
          <w:sz w:val="21"/>
          <w:szCs w:val="21"/>
        </w:rPr>
        <w:t>，围墙内用地面积19.8261 hm</w:t>
      </w:r>
      <w:r>
        <w:rPr>
          <w:color w:val="auto"/>
          <w:sz w:val="21"/>
          <w:szCs w:val="21"/>
          <w:vertAlign w:val="superscript"/>
        </w:rPr>
        <w:t>2</w:t>
      </w:r>
      <w:r>
        <w:rPr>
          <w:color w:val="auto"/>
          <w:sz w:val="21"/>
          <w:szCs w:val="21"/>
        </w:rPr>
        <w:t>。</w:t>
      </w:r>
      <w:r>
        <w:rPr>
          <w:rFonts w:ascii="宋体" w:hAnsi="宋体"/>
          <w:kern w:val="0"/>
          <w:sz w:val="21"/>
          <w:szCs w:val="21"/>
        </w:rPr>
        <w:t>站区围墙长度1833m。</w:t>
      </w:r>
    </w:p>
    <w:p w14:paraId="3D698699">
      <w:pPr>
        <w:adjustRightInd w:val="0"/>
        <w:snapToGrid w:val="0"/>
        <w:spacing w:line="360" w:lineRule="auto"/>
        <w:ind w:firstLine="480"/>
        <w:rPr>
          <w:rFonts w:ascii="宋体" w:hAnsi="宋体"/>
          <w:kern w:val="0"/>
          <w:szCs w:val="21"/>
        </w:rPr>
      </w:pPr>
      <w:r>
        <w:rPr>
          <w:rFonts w:hint="eastAsia" w:ascii="Times New Roman" w:hAnsi="Times New Roman"/>
          <w:bCs/>
          <w:szCs w:val="21"/>
        </w:rPr>
        <w:t>站内布置按电气工艺流程、围绕主要建筑物阀厅所在区域进行布置，由北向南按照工艺流线依次布置：①±800kV直流场→②桥臂电抗器→③阀厅及柔直变压器区域→④交流配电装置区，⑤站前区布置于站址的东北角。</w:t>
      </w:r>
    </w:p>
    <w:p w14:paraId="2BFBF65A">
      <w:pPr>
        <w:pStyle w:val="11"/>
        <w:adjustRightInd w:val="0"/>
        <w:spacing w:line="360" w:lineRule="auto"/>
        <w:jc w:val="center"/>
        <w:rPr>
          <w:rFonts w:ascii="Times New Roman" w:hAnsi="Times New Roman"/>
          <w:bCs/>
          <w:sz w:val="21"/>
          <w:szCs w:val="21"/>
          <w:highlight w:val="yellow"/>
        </w:rPr>
      </w:pPr>
      <w:r>
        <w:rPr>
          <w:sz w:val="28"/>
          <w:szCs w:val="28"/>
        </w:rPr>
        <w:drawing>
          <wp:inline distT="0" distB="0" distL="0" distR="0">
            <wp:extent cx="5274310" cy="4434840"/>
            <wp:effectExtent l="0" t="0" r="0" b="0"/>
            <wp:docPr id="8" name="picture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" descr="descript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352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C89482">
      <w:pPr>
        <w:adjustRightInd w:val="0"/>
        <w:snapToGrid w:val="0"/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二、采购范围</w:t>
      </w:r>
    </w:p>
    <w:p w14:paraId="2A08C735">
      <w:pPr>
        <w:pStyle w:val="11"/>
        <w:snapToGrid w:val="0"/>
        <w:spacing w:line="360" w:lineRule="auto"/>
        <w:ind w:firstLine="422" w:firstLineChars="200"/>
        <w:jc w:val="left"/>
        <w:outlineLvl w:val="0"/>
        <w:rPr>
          <w:rFonts w:ascii="Times New Roman" w:hAnsi="Times New Roman"/>
          <w:b/>
          <w:bCs/>
          <w:snapToGrid w:val="0"/>
          <w:sz w:val="21"/>
          <w:szCs w:val="21"/>
        </w:rPr>
      </w:pPr>
      <w:r>
        <w:rPr>
          <w:rFonts w:ascii="Times New Roman" w:hAnsi="Times New Roman"/>
          <w:b/>
          <w:bCs/>
          <w:snapToGrid w:val="0"/>
          <w:sz w:val="21"/>
          <w:szCs w:val="21"/>
        </w:rPr>
        <w:t>包括</w:t>
      </w:r>
      <w:r>
        <w:rPr>
          <w:rFonts w:hint="eastAsia" w:ascii="Times New Roman" w:hAnsi="Times New Roman"/>
          <w:b/>
          <w:bCs/>
          <w:snapToGrid w:val="0"/>
          <w:sz w:val="21"/>
          <w:szCs w:val="21"/>
        </w:rPr>
        <w:t>全站</w:t>
      </w:r>
      <w:r>
        <w:rPr>
          <w:rFonts w:ascii="Times New Roman" w:hAnsi="Times New Roman"/>
          <w:b/>
          <w:bCs/>
          <w:snapToGrid w:val="0"/>
          <w:sz w:val="21"/>
          <w:szCs w:val="21"/>
        </w:rPr>
        <w:t>的建筑工程。施工图范围内的下列工作内容，无□及</w:t>
      </w:r>
      <w:r>
        <w:rPr>
          <w:rFonts w:ascii="Times New Roman" w:hAnsi="Times New Roman"/>
          <w:sz w:val="21"/>
          <w:szCs w:val="21"/>
        </w:rPr>
        <w:t>☑</w:t>
      </w:r>
      <w:r>
        <w:rPr>
          <w:rFonts w:ascii="Times New Roman" w:hAnsi="Times New Roman"/>
          <w:b/>
          <w:bCs/>
          <w:snapToGrid w:val="0"/>
          <w:sz w:val="21"/>
          <w:szCs w:val="21"/>
        </w:rPr>
        <w:t>的为本次报价范围；□未打√的，不在本次报价范围内，特殊情况在“其他”中说明。</w:t>
      </w:r>
    </w:p>
    <w:p w14:paraId="3CFE8B10"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hint="eastAsia"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土建A标：</w:t>
      </w:r>
      <w:r>
        <w:rPr>
          <w:rFonts w:hint="eastAsia" w:ascii="Times New Roman" w:hAnsi="Times New Roman"/>
          <w:szCs w:val="21"/>
        </w:rPr>
        <w:t>阀厅建筑的桩基及基础，阀厅内部的地面、沟道、设备基础及支架；主、辅控楼；柔直变区域（含备用柔直变）；直流场（阀厅北侧环形道路以南区域）等工程；</w:t>
      </w:r>
      <w:r>
        <w:rPr>
          <w:rFonts w:hint="eastAsia" w:ascii="Times New Roman" w:hAnsi="Times New Roman"/>
          <w:bCs/>
          <w:szCs w:val="21"/>
        </w:rPr>
        <w:t>含区域内桩基及超前钻。从本工程施工准备至工程竣工投产及工程移交、达标投产及创优为止各阶段的建筑等相关工作内容和服务。</w:t>
      </w:r>
    </w:p>
    <w:p w14:paraId="0AAC1122"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hint="eastAsia"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土建B标：</w:t>
      </w:r>
      <w:r>
        <w:rPr>
          <w:rFonts w:hint="eastAsia" w:ascii="Times New Roman" w:hAnsi="Times New Roman"/>
          <w:szCs w:val="21"/>
        </w:rPr>
        <w:t>交流场；直流场（阀厅北侧环形道路以北区域）；站前区；全站围墙等工程；</w:t>
      </w:r>
      <w:r>
        <w:rPr>
          <w:rFonts w:hint="eastAsia" w:ascii="Times New Roman" w:hAnsi="Times New Roman"/>
          <w:bCs/>
          <w:szCs w:val="21"/>
        </w:rPr>
        <w:t>含区域内桩基及超前钻。从本工程施工准备至工程竣工投产及工程移交、达标投产及创优为止各阶段的建筑等相关工作内容和服务。</w:t>
      </w:r>
    </w:p>
    <w:p w14:paraId="4F233785"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阀厅施工标：</w:t>
      </w:r>
      <w:r>
        <w:rPr>
          <w:rFonts w:hint="eastAsia" w:ascii="Times New Roman" w:hAnsi="Times New Roman"/>
          <w:szCs w:val="21"/>
        </w:rPr>
        <w:t>阀厅上部结构等工程，不在本次招标范围。</w:t>
      </w:r>
    </w:p>
    <w:p w14:paraId="39F28993"/>
    <w:p w14:paraId="000FC7B9">
      <w:pPr>
        <w:pStyle w:val="11"/>
        <w:snapToGrid w:val="0"/>
        <w:spacing w:line="360" w:lineRule="auto"/>
        <w:rPr>
          <w:rFonts w:ascii="Times New Roman" w:hAnsi="Times New Roman"/>
          <w:b/>
          <w:bCs/>
          <w:snapToGrid w:val="0"/>
          <w:sz w:val="24"/>
          <w:szCs w:val="24"/>
        </w:rPr>
      </w:pPr>
      <w:r>
        <w:rPr>
          <w:rFonts w:ascii="Times New Roman" w:hAnsi="Times New Roman"/>
          <w:b/>
          <w:bCs/>
          <w:snapToGrid w:val="0"/>
          <w:sz w:val="24"/>
          <w:szCs w:val="24"/>
        </w:rPr>
        <w:t>三、承包方式</w:t>
      </w:r>
    </w:p>
    <w:p w14:paraId="5F142031">
      <w:pPr>
        <w:pStyle w:val="11"/>
        <w:snapToGrid w:val="0"/>
        <w:spacing w:line="360" w:lineRule="auto"/>
        <w:ind w:firstLine="422" w:firstLineChars="200"/>
        <w:rPr>
          <w:rFonts w:ascii="Times New Roman" w:hAnsi="Times New Roman"/>
          <w:b/>
          <w:kern w:val="2"/>
          <w:sz w:val="21"/>
          <w:szCs w:val="21"/>
        </w:rPr>
      </w:pPr>
      <w:r>
        <w:rPr>
          <w:rFonts w:ascii="Times New Roman" w:hAnsi="Times New Roman"/>
          <w:b/>
          <w:kern w:val="2"/>
          <w:sz w:val="21"/>
          <w:szCs w:val="21"/>
        </w:rPr>
        <w:t>包工、部分包料，施工图纸范围内如有下列设备、材料，无□及</w:t>
      </w:r>
      <w:r>
        <w:rPr>
          <w:rFonts w:ascii="Times New Roman" w:hAnsi="Times New Roman"/>
          <w:b/>
          <w:kern w:val="2"/>
          <w:sz w:val="21"/>
          <w:szCs w:val="21"/>
        </w:rPr>
        <w:fldChar w:fldCharType="begin"/>
      </w:r>
      <w:r>
        <w:rPr>
          <w:rFonts w:ascii="Times New Roman" w:hAnsi="Times New Roman"/>
          <w:b/>
          <w:kern w:val="2"/>
          <w:sz w:val="21"/>
          <w:szCs w:val="21"/>
        </w:rPr>
        <w:instrText xml:space="preserve"> EQ \o\ac(□,√)</w:instrText>
      </w:r>
      <w:r>
        <w:rPr>
          <w:rFonts w:ascii="Times New Roman" w:hAnsi="Times New Roman"/>
          <w:b/>
          <w:kern w:val="2"/>
          <w:sz w:val="21"/>
          <w:szCs w:val="21"/>
        </w:rPr>
        <w:fldChar w:fldCharType="end"/>
      </w:r>
      <w:r>
        <w:rPr>
          <w:rFonts w:ascii="Times New Roman" w:hAnsi="Times New Roman"/>
          <w:b/>
          <w:kern w:val="2"/>
          <w:sz w:val="21"/>
          <w:szCs w:val="21"/>
        </w:rPr>
        <w:t>的为甲供，□未打√的及不在下列的为乙供。</w:t>
      </w:r>
    </w:p>
    <w:p w14:paraId="43A56A5C"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（一）甲供物资：</w:t>
      </w:r>
    </w:p>
    <w:p w14:paraId="47765339"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ascii="Times New Roman" w:hAnsi="Times New Roman"/>
          <w:bCs/>
          <w:szCs w:val="21"/>
        </w:rPr>
      </w:pPr>
      <w:r>
        <w:rPr>
          <w:rFonts w:hint="eastAsia" w:ascii="Times New Roman" w:hAnsi="Times New Roman"/>
          <w:b/>
          <w:szCs w:val="21"/>
        </w:rPr>
        <w:t>1）建筑工程：全站</w:t>
      </w:r>
      <w:r>
        <w:rPr>
          <w:rFonts w:hint="eastAsia" w:ascii="Times New Roman" w:hAnsi="Times New Roman"/>
          <w:bCs/>
          <w:szCs w:val="21"/>
        </w:rPr>
        <w:t>构支架钢结构、建筑钢结构（500kVGIS室、一次备品备件库、阀备品库、备用电抗器室、10kV及380V配电室）、建筑用压型钢板（包括檩条）（500kVGIS室、一次备品备件库、阀备品库、备用电抗器室、10kV及380V配电室）、行车（葫芦、桥式起重机）、智能仓储设备及系统、阀冷设备、消防炮、全站建筑物通风及空调系统、柔直变压器BOX-IN及围墙隔声屏障等。</w:t>
      </w:r>
    </w:p>
    <w:p w14:paraId="48DDF240">
      <w:pPr>
        <w:autoSpaceDE w:val="0"/>
        <w:autoSpaceDN w:val="0"/>
        <w:adjustRightInd w:val="0"/>
        <w:snapToGrid w:val="0"/>
        <w:spacing w:line="360" w:lineRule="auto"/>
        <w:ind w:firstLine="211" w:firstLineChars="100"/>
        <w:jc w:val="left"/>
        <w:rPr>
          <w:rFonts w:ascii="Times New Roman" w:hAnsi="Times New Roman"/>
          <w:bCs/>
          <w:szCs w:val="21"/>
          <w:u w:val="single"/>
        </w:rPr>
      </w:pPr>
      <w:r>
        <w:rPr>
          <w:rFonts w:ascii="Times New Roman" w:hAnsi="Times New Roman"/>
          <w:b/>
          <w:szCs w:val="21"/>
        </w:rPr>
        <w:t>（</w:t>
      </w:r>
      <w:r>
        <w:rPr>
          <w:rFonts w:hint="eastAsia" w:ascii="Times New Roman" w:hAnsi="Times New Roman"/>
          <w:b/>
          <w:szCs w:val="21"/>
        </w:rPr>
        <w:t>二</w:t>
      </w:r>
      <w:r>
        <w:rPr>
          <w:rFonts w:ascii="Times New Roman" w:hAnsi="Times New Roman"/>
          <w:b/>
          <w:szCs w:val="21"/>
        </w:rPr>
        <w:t>）其他甲供物资：</w:t>
      </w:r>
      <w:r>
        <w:rPr>
          <w:rFonts w:ascii="Times New Roman" w:hAnsi="Times New Roman"/>
          <w:bCs/>
          <w:szCs w:val="21"/>
          <w:u w:val="single"/>
        </w:rPr>
        <w:t xml:space="preserve"> /。</w:t>
      </w:r>
    </w:p>
    <w:p w14:paraId="56FD9AE1">
      <w:pPr>
        <w:pStyle w:val="11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注：建设单位提供的设备、材料以合同附件（甲供设备材料明细表）为准。</w:t>
      </w:r>
    </w:p>
    <w:p w14:paraId="33571EBB">
      <w:pPr>
        <w:pStyle w:val="11"/>
        <w:rPr>
          <w:rFonts w:ascii="Times New Roman" w:hAnsi="Times New Roman"/>
        </w:rPr>
      </w:pPr>
    </w:p>
    <w:p w14:paraId="0EC00353">
      <w:bookmarkStart w:id="4" w:name="_GoBack"/>
      <w:bookmarkEnd w:id="4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2AE21E">
    <w:pPr>
      <w:pStyle w:val="12"/>
      <w:ind w:right="360" w:firstLine="360"/>
      <w:jc w:val="center"/>
      <w:rPr>
        <w:sz w:val="21"/>
        <w:szCs w:val="21"/>
      </w:rPr>
    </w:pPr>
    <w:r>
      <w:rPr>
        <w:sz w:val="21"/>
        <w:szCs w:val="21"/>
      </w:rPr>
      <w:t xml:space="preserve"> </w:t>
    </w:r>
    <w:r>
      <w:rPr>
        <w:rFonts w:ascii="Times New Roman" w:hAnsi="Times New Roman"/>
        <w:sz w:val="21"/>
        <w:szCs w:val="21"/>
      </w:rPr>
      <w:fldChar w:fldCharType="begin"/>
    </w:r>
    <w:r>
      <w:rPr>
        <w:rFonts w:ascii="Times New Roman" w:hAnsi="Times New Roman"/>
        <w:sz w:val="21"/>
        <w:szCs w:val="21"/>
      </w:rPr>
      <w:instrText xml:space="preserve">PAGE   \* MERGEFORMAT</w:instrText>
    </w:r>
    <w:r>
      <w:rPr>
        <w:rFonts w:ascii="Times New Roman" w:hAnsi="Times New Roman"/>
        <w:sz w:val="21"/>
        <w:szCs w:val="21"/>
      </w:rPr>
      <w:fldChar w:fldCharType="separate"/>
    </w:r>
    <w:r>
      <w:rPr>
        <w:rFonts w:ascii="Times New Roman" w:hAnsi="Times New Roman"/>
        <w:sz w:val="21"/>
        <w:szCs w:val="21"/>
        <w:lang w:val="zh-CN"/>
      </w:rPr>
      <w:t>3</w:t>
    </w:r>
    <w:r>
      <w:rPr>
        <w:rFonts w:ascii="Times New Roman" w:hAnsi="Times New Roman"/>
        <w:sz w:val="21"/>
        <w:szCs w:val="21"/>
      </w:rPr>
      <w:fldChar w:fldCharType="end"/>
    </w:r>
    <w:r>
      <w:rPr>
        <w:sz w:val="21"/>
        <w:szCs w:val="21"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559EE1">
    <w:pPr>
      <w:spacing w:before="240" w:beforeLines="100"/>
      <w:rPr>
        <w:rFonts w:ascii="Times New Roman" w:hAnsi="Times New Roman" w:eastAsia="楷体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61DB9"/>
    <w:rsid w:val="00167D46"/>
    <w:rsid w:val="00172A27"/>
    <w:rsid w:val="001A7F4C"/>
    <w:rsid w:val="002521D4"/>
    <w:rsid w:val="00297547"/>
    <w:rsid w:val="002F1310"/>
    <w:rsid w:val="002F1943"/>
    <w:rsid w:val="003B21A8"/>
    <w:rsid w:val="003B4946"/>
    <w:rsid w:val="003C1C1E"/>
    <w:rsid w:val="00420E7C"/>
    <w:rsid w:val="00786DC0"/>
    <w:rsid w:val="008D637B"/>
    <w:rsid w:val="00901867"/>
    <w:rsid w:val="00910717"/>
    <w:rsid w:val="00956F58"/>
    <w:rsid w:val="009C7D59"/>
    <w:rsid w:val="00A40F8B"/>
    <w:rsid w:val="00A80C0E"/>
    <w:rsid w:val="00AA75A7"/>
    <w:rsid w:val="00AB4319"/>
    <w:rsid w:val="00AD017E"/>
    <w:rsid w:val="00AD4FDF"/>
    <w:rsid w:val="00AD6A88"/>
    <w:rsid w:val="00B82898"/>
    <w:rsid w:val="00BA51CC"/>
    <w:rsid w:val="00BD449B"/>
    <w:rsid w:val="00CF3D5A"/>
    <w:rsid w:val="00D35DD5"/>
    <w:rsid w:val="00D96EB1"/>
    <w:rsid w:val="00E33701"/>
    <w:rsid w:val="00FE3B33"/>
    <w:rsid w:val="010F4D4C"/>
    <w:rsid w:val="01C015FF"/>
    <w:rsid w:val="01F34FBF"/>
    <w:rsid w:val="0213224F"/>
    <w:rsid w:val="025A67AA"/>
    <w:rsid w:val="02721111"/>
    <w:rsid w:val="02886898"/>
    <w:rsid w:val="02AB31E9"/>
    <w:rsid w:val="02D07A79"/>
    <w:rsid w:val="034623EE"/>
    <w:rsid w:val="04184952"/>
    <w:rsid w:val="0438475D"/>
    <w:rsid w:val="04653A3F"/>
    <w:rsid w:val="047C49E9"/>
    <w:rsid w:val="04F049A8"/>
    <w:rsid w:val="056117E3"/>
    <w:rsid w:val="05BA2CB8"/>
    <w:rsid w:val="063F3A64"/>
    <w:rsid w:val="06666721"/>
    <w:rsid w:val="073F20F3"/>
    <w:rsid w:val="07E24976"/>
    <w:rsid w:val="08944426"/>
    <w:rsid w:val="096E4722"/>
    <w:rsid w:val="09B7769B"/>
    <w:rsid w:val="0A172612"/>
    <w:rsid w:val="0A2C0C06"/>
    <w:rsid w:val="0A892BC4"/>
    <w:rsid w:val="0AEC727C"/>
    <w:rsid w:val="0C93150A"/>
    <w:rsid w:val="0C9339D5"/>
    <w:rsid w:val="0C952D82"/>
    <w:rsid w:val="0CA563F5"/>
    <w:rsid w:val="0CBC3C74"/>
    <w:rsid w:val="0D8920C3"/>
    <w:rsid w:val="0DBE04C6"/>
    <w:rsid w:val="0DF6159C"/>
    <w:rsid w:val="0E890600"/>
    <w:rsid w:val="0EDC2445"/>
    <w:rsid w:val="0F013483"/>
    <w:rsid w:val="0F126346"/>
    <w:rsid w:val="0FEB729D"/>
    <w:rsid w:val="10D46A26"/>
    <w:rsid w:val="112A3D19"/>
    <w:rsid w:val="11472166"/>
    <w:rsid w:val="1171712A"/>
    <w:rsid w:val="11C955BB"/>
    <w:rsid w:val="11E12C61"/>
    <w:rsid w:val="120B2110"/>
    <w:rsid w:val="12D9053A"/>
    <w:rsid w:val="12DC5FA1"/>
    <w:rsid w:val="131577DB"/>
    <w:rsid w:val="13511BBE"/>
    <w:rsid w:val="13A965B0"/>
    <w:rsid w:val="13F6014E"/>
    <w:rsid w:val="14612762"/>
    <w:rsid w:val="15125241"/>
    <w:rsid w:val="154D0DEA"/>
    <w:rsid w:val="158F187F"/>
    <w:rsid w:val="15F56BD5"/>
    <w:rsid w:val="160D793F"/>
    <w:rsid w:val="163A4A10"/>
    <w:rsid w:val="16B32D29"/>
    <w:rsid w:val="1708238A"/>
    <w:rsid w:val="17464AB3"/>
    <w:rsid w:val="1783438E"/>
    <w:rsid w:val="185365BF"/>
    <w:rsid w:val="18787932"/>
    <w:rsid w:val="18866C6C"/>
    <w:rsid w:val="19567321"/>
    <w:rsid w:val="19B71113"/>
    <w:rsid w:val="1A473CA6"/>
    <w:rsid w:val="1A555BBE"/>
    <w:rsid w:val="1A85373E"/>
    <w:rsid w:val="1B846D66"/>
    <w:rsid w:val="1BB4525B"/>
    <w:rsid w:val="1BE7774A"/>
    <w:rsid w:val="1C4A05F8"/>
    <w:rsid w:val="1CBB20F3"/>
    <w:rsid w:val="1D181F4A"/>
    <w:rsid w:val="1DED69C6"/>
    <w:rsid w:val="1E35361B"/>
    <w:rsid w:val="1E964759"/>
    <w:rsid w:val="1EC2624D"/>
    <w:rsid w:val="200407CD"/>
    <w:rsid w:val="200F41A6"/>
    <w:rsid w:val="204D3C8B"/>
    <w:rsid w:val="206D64FC"/>
    <w:rsid w:val="20BB44E8"/>
    <w:rsid w:val="21115EF3"/>
    <w:rsid w:val="21293853"/>
    <w:rsid w:val="214848C1"/>
    <w:rsid w:val="21782177"/>
    <w:rsid w:val="227620EA"/>
    <w:rsid w:val="227F2CA6"/>
    <w:rsid w:val="232606DC"/>
    <w:rsid w:val="23607DE2"/>
    <w:rsid w:val="23895DB1"/>
    <w:rsid w:val="23CF381C"/>
    <w:rsid w:val="24053DA7"/>
    <w:rsid w:val="240A6030"/>
    <w:rsid w:val="24CE7A5A"/>
    <w:rsid w:val="250B44FA"/>
    <w:rsid w:val="252D708B"/>
    <w:rsid w:val="27924413"/>
    <w:rsid w:val="28220AFC"/>
    <w:rsid w:val="28A80261"/>
    <w:rsid w:val="290B5D62"/>
    <w:rsid w:val="29702FAD"/>
    <w:rsid w:val="29735D77"/>
    <w:rsid w:val="298B1640"/>
    <w:rsid w:val="29C410CB"/>
    <w:rsid w:val="2A8C2D26"/>
    <w:rsid w:val="2AF32708"/>
    <w:rsid w:val="2B13509A"/>
    <w:rsid w:val="2C31308C"/>
    <w:rsid w:val="2C8F0EA7"/>
    <w:rsid w:val="2CE26F74"/>
    <w:rsid w:val="2CE72BBB"/>
    <w:rsid w:val="2D1852EF"/>
    <w:rsid w:val="2DBA1D37"/>
    <w:rsid w:val="2E6F6B90"/>
    <w:rsid w:val="2E936C3D"/>
    <w:rsid w:val="2E993E36"/>
    <w:rsid w:val="2EBF0DB7"/>
    <w:rsid w:val="2EF23C52"/>
    <w:rsid w:val="2EF43B94"/>
    <w:rsid w:val="2F097580"/>
    <w:rsid w:val="2F197C4D"/>
    <w:rsid w:val="2F5100A4"/>
    <w:rsid w:val="3075179D"/>
    <w:rsid w:val="307B6474"/>
    <w:rsid w:val="30D366C7"/>
    <w:rsid w:val="319121DA"/>
    <w:rsid w:val="319375DC"/>
    <w:rsid w:val="32075EC9"/>
    <w:rsid w:val="321E6130"/>
    <w:rsid w:val="3243118A"/>
    <w:rsid w:val="32BD3524"/>
    <w:rsid w:val="345B286C"/>
    <w:rsid w:val="34902BCC"/>
    <w:rsid w:val="34961CD9"/>
    <w:rsid w:val="34A1443F"/>
    <w:rsid w:val="351C27B0"/>
    <w:rsid w:val="35F6026E"/>
    <w:rsid w:val="361424F5"/>
    <w:rsid w:val="36C02D19"/>
    <w:rsid w:val="371F7A61"/>
    <w:rsid w:val="37AB2D5A"/>
    <w:rsid w:val="37CF4189"/>
    <w:rsid w:val="38307AD1"/>
    <w:rsid w:val="38D40BFF"/>
    <w:rsid w:val="38F4537F"/>
    <w:rsid w:val="39023B77"/>
    <w:rsid w:val="396857D4"/>
    <w:rsid w:val="3A8F1D3B"/>
    <w:rsid w:val="3B720CD8"/>
    <w:rsid w:val="3BA52C45"/>
    <w:rsid w:val="3CA046BE"/>
    <w:rsid w:val="3DD006F5"/>
    <w:rsid w:val="3E1C2B61"/>
    <w:rsid w:val="3E3E7CC7"/>
    <w:rsid w:val="3E895925"/>
    <w:rsid w:val="3EA242D1"/>
    <w:rsid w:val="3F2A7C66"/>
    <w:rsid w:val="410427B6"/>
    <w:rsid w:val="41073E0E"/>
    <w:rsid w:val="41A11B43"/>
    <w:rsid w:val="422A4891"/>
    <w:rsid w:val="428B0805"/>
    <w:rsid w:val="42AB18C2"/>
    <w:rsid w:val="432730CB"/>
    <w:rsid w:val="43374CD4"/>
    <w:rsid w:val="43455B8A"/>
    <w:rsid w:val="435F7804"/>
    <w:rsid w:val="438225EE"/>
    <w:rsid w:val="43AA7164"/>
    <w:rsid w:val="44337C1C"/>
    <w:rsid w:val="446F0F4B"/>
    <w:rsid w:val="447311FF"/>
    <w:rsid w:val="44DF14C8"/>
    <w:rsid w:val="45010FCD"/>
    <w:rsid w:val="45670C50"/>
    <w:rsid w:val="45857D9C"/>
    <w:rsid w:val="45B90BAD"/>
    <w:rsid w:val="45D35BB2"/>
    <w:rsid w:val="463177A5"/>
    <w:rsid w:val="468F70F5"/>
    <w:rsid w:val="46B46844"/>
    <w:rsid w:val="46B9408D"/>
    <w:rsid w:val="46D332C1"/>
    <w:rsid w:val="46ED6069"/>
    <w:rsid w:val="47875FA2"/>
    <w:rsid w:val="483167CC"/>
    <w:rsid w:val="4942653E"/>
    <w:rsid w:val="49A847A6"/>
    <w:rsid w:val="49FF2174"/>
    <w:rsid w:val="4A180A44"/>
    <w:rsid w:val="4A45195C"/>
    <w:rsid w:val="4AE828A9"/>
    <w:rsid w:val="4AF34C74"/>
    <w:rsid w:val="4B32221A"/>
    <w:rsid w:val="4B7414A5"/>
    <w:rsid w:val="4B926AB1"/>
    <w:rsid w:val="4BC81760"/>
    <w:rsid w:val="4C27522D"/>
    <w:rsid w:val="4C55038A"/>
    <w:rsid w:val="4C717EE1"/>
    <w:rsid w:val="4CDD12A8"/>
    <w:rsid w:val="4D391DAD"/>
    <w:rsid w:val="4D510AD1"/>
    <w:rsid w:val="4DFA077B"/>
    <w:rsid w:val="4E1B0A03"/>
    <w:rsid w:val="4E335445"/>
    <w:rsid w:val="4E612ADD"/>
    <w:rsid w:val="4EE24A5B"/>
    <w:rsid w:val="4F4068DE"/>
    <w:rsid w:val="4F937849"/>
    <w:rsid w:val="506816E4"/>
    <w:rsid w:val="508558A6"/>
    <w:rsid w:val="5113047B"/>
    <w:rsid w:val="51145746"/>
    <w:rsid w:val="511C160B"/>
    <w:rsid w:val="515E7D31"/>
    <w:rsid w:val="51874B16"/>
    <w:rsid w:val="519F621D"/>
    <w:rsid w:val="52885076"/>
    <w:rsid w:val="535D61E7"/>
    <w:rsid w:val="53AB6B01"/>
    <w:rsid w:val="53DC18A1"/>
    <w:rsid w:val="54216091"/>
    <w:rsid w:val="545110D1"/>
    <w:rsid w:val="547B107C"/>
    <w:rsid w:val="54A07B2F"/>
    <w:rsid w:val="54AE588B"/>
    <w:rsid w:val="54E54D3D"/>
    <w:rsid w:val="552503C0"/>
    <w:rsid w:val="552D3719"/>
    <w:rsid w:val="5591023D"/>
    <w:rsid w:val="55D46A07"/>
    <w:rsid w:val="564E2C80"/>
    <w:rsid w:val="56563349"/>
    <w:rsid w:val="57F161C0"/>
    <w:rsid w:val="592856EA"/>
    <w:rsid w:val="59CE37A6"/>
    <w:rsid w:val="5A017854"/>
    <w:rsid w:val="5AD115CD"/>
    <w:rsid w:val="5B043B95"/>
    <w:rsid w:val="5B171E82"/>
    <w:rsid w:val="5B256DD6"/>
    <w:rsid w:val="5B4C5BFF"/>
    <w:rsid w:val="5CA90D7A"/>
    <w:rsid w:val="5D156186"/>
    <w:rsid w:val="5D4A0134"/>
    <w:rsid w:val="5DA546AF"/>
    <w:rsid w:val="5E92116F"/>
    <w:rsid w:val="5EE906B0"/>
    <w:rsid w:val="5F500D3D"/>
    <w:rsid w:val="5F813FC0"/>
    <w:rsid w:val="5F9271EE"/>
    <w:rsid w:val="5FA82DEF"/>
    <w:rsid w:val="5FD52EAC"/>
    <w:rsid w:val="5FFD1D7C"/>
    <w:rsid w:val="607B63D6"/>
    <w:rsid w:val="60807BFF"/>
    <w:rsid w:val="61245EFD"/>
    <w:rsid w:val="61EE6409"/>
    <w:rsid w:val="62714A32"/>
    <w:rsid w:val="62C457D8"/>
    <w:rsid w:val="633562CC"/>
    <w:rsid w:val="643166B3"/>
    <w:rsid w:val="643C3652"/>
    <w:rsid w:val="66533F6E"/>
    <w:rsid w:val="669C7C7D"/>
    <w:rsid w:val="67AD865D"/>
    <w:rsid w:val="6829183D"/>
    <w:rsid w:val="698718B2"/>
    <w:rsid w:val="698E123D"/>
    <w:rsid w:val="69E13737"/>
    <w:rsid w:val="6A043645"/>
    <w:rsid w:val="6AC95741"/>
    <w:rsid w:val="6AF81D8A"/>
    <w:rsid w:val="6B356FEF"/>
    <w:rsid w:val="6B3B2CBB"/>
    <w:rsid w:val="6B3D558B"/>
    <w:rsid w:val="6C457D16"/>
    <w:rsid w:val="6C5C22D4"/>
    <w:rsid w:val="6CA25582"/>
    <w:rsid w:val="6DA438F0"/>
    <w:rsid w:val="6E1E4715"/>
    <w:rsid w:val="6E7E2D5A"/>
    <w:rsid w:val="6E9A3E10"/>
    <w:rsid w:val="6EAF3408"/>
    <w:rsid w:val="6F8A028E"/>
    <w:rsid w:val="6FCE294B"/>
    <w:rsid w:val="6FD8258B"/>
    <w:rsid w:val="70025DF1"/>
    <w:rsid w:val="70AB6673"/>
    <w:rsid w:val="715273A6"/>
    <w:rsid w:val="7159528B"/>
    <w:rsid w:val="71887D53"/>
    <w:rsid w:val="72247D78"/>
    <w:rsid w:val="738E27FD"/>
    <w:rsid w:val="73C075B8"/>
    <w:rsid w:val="73C313C2"/>
    <w:rsid w:val="74167854"/>
    <w:rsid w:val="741B35EC"/>
    <w:rsid w:val="74BA7716"/>
    <w:rsid w:val="75892461"/>
    <w:rsid w:val="75BF2B4D"/>
    <w:rsid w:val="75FE0B1A"/>
    <w:rsid w:val="764E655D"/>
    <w:rsid w:val="765E0811"/>
    <w:rsid w:val="766A6DBB"/>
    <w:rsid w:val="7677576F"/>
    <w:rsid w:val="768F4E19"/>
    <w:rsid w:val="770B70DA"/>
    <w:rsid w:val="776A599D"/>
    <w:rsid w:val="778B672F"/>
    <w:rsid w:val="77972F48"/>
    <w:rsid w:val="77A7135E"/>
    <w:rsid w:val="77D55FB4"/>
    <w:rsid w:val="78362FBC"/>
    <w:rsid w:val="786C12A0"/>
    <w:rsid w:val="788274D1"/>
    <w:rsid w:val="789B17B9"/>
    <w:rsid w:val="78FA4387"/>
    <w:rsid w:val="79011794"/>
    <w:rsid w:val="799449A0"/>
    <w:rsid w:val="7A0479F1"/>
    <w:rsid w:val="7A403F0D"/>
    <w:rsid w:val="7A4778AC"/>
    <w:rsid w:val="7A5B103B"/>
    <w:rsid w:val="7A6678E3"/>
    <w:rsid w:val="7AE43B4F"/>
    <w:rsid w:val="7AEE0D33"/>
    <w:rsid w:val="7B115A6C"/>
    <w:rsid w:val="7B1E0809"/>
    <w:rsid w:val="7BBD1306"/>
    <w:rsid w:val="7BE11BCC"/>
    <w:rsid w:val="7BFA4CF4"/>
    <w:rsid w:val="7C3410A6"/>
    <w:rsid w:val="7C7D040E"/>
    <w:rsid w:val="7CCB17CA"/>
    <w:rsid w:val="7CEA1DC0"/>
    <w:rsid w:val="7D082779"/>
    <w:rsid w:val="7D4525F8"/>
    <w:rsid w:val="7D6C40EC"/>
    <w:rsid w:val="7D960ACB"/>
    <w:rsid w:val="7D9C3754"/>
    <w:rsid w:val="7DEF6F7E"/>
    <w:rsid w:val="7E0A29DC"/>
    <w:rsid w:val="7E7C75B1"/>
    <w:rsid w:val="7F33152B"/>
    <w:rsid w:val="7F392F22"/>
    <w:rsid w:val="7F3B0945"/>
    <w:rsid w:val="7FB0D292"/>
    <w:rsid w:val="7FE91CD5"/>
    <w:rsid w:val="9F5F74FD"/>
    <w:rsid w:val="AF3F2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/>
      <w:jc w:val="left"/>
      <w:outlineLvl w:val="0"/>
    </w:pPr>
    <w:rPr>
      <w:rFonts w:ascii="宋体" w:hAnsi="宋体"/>
      <w:b/>
      <w:bCs/>
      <w:color w:val="000000"/>
      <w:kern w:val="44"/>
      <w:szCs w:val="21"/>
    </w:rPr>
  </w:style>
  <w:style w:type="paragraph" w:styleId="3">
    <w:name w:val="heading 2"/>
    <w:basedOn w:val="1"/>
    <w:next w:val="1"/>
    <w:unhideWhenUsed/>
    <w:qFormat/>
    <w:uiPriority w:val="0"/>
    <w:pPr>
      <w:autoSpaceDE w:val="0"/>
      <w:autoSpaceDN w:val="0"/>
      <w:adjustRightInd w:val="0"/>
      <w:outlineLvl w:val="1"/>
    </w:pPr>
    <w:rPr>
      <w:rFonts w:ascii="Arial" w:hAnsi="Arial"/>
      <w:b/>
      <w:i/>
      <w:color w:val="000000"/>
      <w:sz w:val="28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ind w:firstLine="200" w:firstLineChars="200"/>
      <w:outlineLvl w:val="2"/>
    </w:pPr>
    <w:rPr>
      <w:rFonts w:ascii="Times New Roman" w:hAnsi="Times New Roman"/>
      <w:b/>
      <w:bCs/>
      <w:sz w:val="32"/>
      <w:szCs w:val="32"/>
    </w:rPr>
  </w:style>
  <w:style w:type="paragraph" w:styleId="5">
    <w:name w:val="heading 4"/>
    <w:basedOn w:val="4"/>
    <w:next w:val="6"/>
    <w:qFormat/>
    <w:uiPriority w:val="0"/>
    <w:pPr>
      <w:spacing w:beforeLines="50" w:afterLines="50" w:line="360" w:lineRule="auto"/>
      <w:jc w:val="center"/>
      <w:outlineLvl w:val="3"/>
    </w:pPr>
    <w:rPr>
      <w:rFonts w:ascii="Arial" w:hAnsi="Arial"/>
      <w:b w:val="0"/>
      <w:bCs w:val="0"/>
      <w:color w:val="000000"/>
      <w:sz w:val="24"/>
      <w:szCs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spacing w:line="360" w:lineRule="auto"/>
      <w:ind w:firstLine="420" w:firstLineChars="200"/>
    </w:pPr>
    <w:rPr>
      <w:rFonts w:ascii="Times New Roman" w:hAnsi="Times New Roman"/>
      <w:szCs w:val="20"/>
    </w:rPr>
  </w:style>
  <w:style w:type="paragraph" w:styleId="7">
    <w:name w:val="annotation text"/>
    <w:basedOn w:val="1"/>
    <w:unhideWhenUsed/>
    <w:qFormat/>
    <w:uiPriority w:val="0"/>
    <w:pPr>
      <w:jc w:val="left"/>
    </w:pPr>
  </w:style>
  <w:style w:type="paragraph" w:styleId="8">
    <w:name w:val="Body Text"/>
    <w:basedOn w:val="1"/>
    <w:next w:val="9"/>
    <w:unhideWhenUsed/>
    <w:qFormat/>
    <w:uiPriority w:val="99"/>
    <w:pPr>
      <w:spacing w:after="120"/>
    </w:pPr>
  </w:style>
  <w:style w:type="paragraph" w:styleId="9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10">
    <w:name w:val="Body Text Indent"/>
    <w:qFormat/>
    <w:uiPriority w:val="0"/>
    <w:pPr>
      <w:widowControl w:val="0"/>
      <w:adjustRightInd w:val="0"/>
      <w:spacing w:line="360" w:lineRule="auto"/>
      <w:ind w:firstLine="600"/>
      <w:textAlignment w:val="baseline"/>
    </w:pPr>
    <w:rPr>
      <w:rFonts w:ascii="Times New Roman" w:hAnsi="Times New Roman" w:eastAsia="宋体" w:cs="Times New Roman"/>
      <w:color w:val="000000"/>
      <w:sz w:val="28"/>
      <w:lang w:val="en-US" w:eastAsia="zh-CN" w:bidi="ar-SA"/>
    </w:rPr>
  </w:style>
  <w:style w:type="paragraph" w:styleId="11">
    <w:name w:val="Plain Text"/>
    <w:basedOn w:val="1"/>
    <w:qFormat/>
    <w:uiPriority w:val="0"/>
    <w:rPr>
      <w:rFonts w:ascii="宋体" w:hAnsi="Courier New"/>
      <w:kern w:val="0"/>
      <w:sz w:val="20"/>
      <w:szCs w:val="20"/>
    </w:r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4">
    <w:name w:val="toc 1"/>
    <w:basedOn w:val="1"/>
    <w:next w:val="1"/>
    <w:qFormat/>
    <w:uiPriority w:val="39"/>
    <w:pPr>
      <w:spacing w:beforeLines="50"/>
    </w:pPr>
    <w:rPr>
      <w:rFonts w:ascii="Times New Roman" w:hAnsi="Times New Roman"/>
      <w:szCs w:val="20"/>
    </w:rPr>
  </w:style>
  <w:style w:type="paragraph" w:styleId="15">
    <w:name w:val="toc 2"/>
    <w:basedOn w:val="1"/>
    <w:next w:val="1"/>
    <w:qFormat/>
    <w:uiPriority w:val="39"/>
    <w:pPr>
      <w:spacing w:beforeLines="50"/>
      <w:ind w:left="210"/>
    </w:pPr>
    <w:rPr>
      <w:rFonts w:ascii="Times New Roman" w:hAnsi="Times New Roman"/>
      <w:szCs w:val="20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 w:line="360" w:lineRule="auto"/>
      <w:ind w:firstLine="200" w:firstLineChars="200"/>
      <w:jc w:val="left"/>
    </w:pPr>
    <w:rPr>
      <w:rFonts w:ascii="宋体" w:hAnsi="宋体" w:cs="宋体"/>
      <w:kern w:val="0"/>
      <w:sz w:val="24"/>
      <w:szCs w:val="24"/>
    </w:rPr>
  </w:style>
  <w:style w:type="table" w:styleId="18">
    <w:name w:val="Table Grid"/>
    <w:basedOn w:val="1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Hyperlink"/>
    <w:qFormat/>
    <w:uiPriority w:val="99"/>
    <w:rPr>
      <w:color w:val="0000FF"/>
      <w:u w:val="single"/>
    </w:rPr>
  </w:style>
  <w:style w:type="character" w:styleId="22">
    <w:name w:val="annotation reference"/>
    <w:qFormat/>
    <w:uiPriority w:val="0"/>
    <w:rPr>
      <w:sz w:val="21"/>
      <w:szCs w:val="21"/>
    </w:rPr>
  </w:style>
  <w:style w:type="paragraph" w:customStyle="1" w:styleId="23">
    <w:name w:val="正文（首行缩进2字符）"/>
    <w:basedOn w:val="1"/>
    <w:qFormat/>
    <w:uiPriority w:val="0"/>
    <w:pPr>
      <w:topLinePunct/>
      <w:spacing w:line="360" w:lineRule="auto"/>
      <w:ind w:firstLine="200" w:firstLineChars="200"/>
    </w:pPr>
    <w:rPr>
      <w:rFonts w:cs="宋体"/>
      <w:sz w:val="28"/>
      <w:szCs w:val="28"/>
    </w:rPr>
  </w:style>
  <w:style w:type="table" w:customStyle="1" w:styleId="24">
    <w:name w:val="网格型31"/>
    <w:basedOn w:val="1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">
    <w:name w:val="网格型6"/>
    <w:basedOn w:val="1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">
    <w:name w:val="正文西部变电站"/>
    <w:basedOn w:val="1"/>
    <w:qFormat/>
    <w:uiPriority w:val="0"/>
    <w:pPr>
      <w:spacing w:line="360" w:lineRule="auto"/>
      <w:ind w:firstLine="200" w:firstLineChars="200"/>
    </w:pPr>
    <w:rPr>
      <w:rFonts w:ascii="Times New Roman" w:hAnsi="Times New Roman"/>
      <w:sz w:val="24"/>
      <w:szCs w:val="24"/>
    </w:rPr>
  </w:style>
  <w:style w:type="paragraph" w:customStyle="1" w:styleId="27">
    <w:name w:val="00正文"/>
    <w:basedOn w:val="28"/>
    <w:qFormat/>
    <w:uiPriority w:val="0"/>
    <w:pPr>
      <w:ind w:firstLine="480"/>
    </w:pPr>
    <w:rPr>
      <w:rFonts w:cs="宋体"/>
    </w:rPr>
  </w:style>
  <w:style w:type="paragraph" w:customStyle="1" w:styleId="28">
    <w:name w:val="0正文"/>
    <w:basedOn w:val="1"/>
    <w:qFormat/>
    <w:uiPriority w:val="0"/>
    <w:pPr>
      <w:adjustRightInd w:val="0"/>
      <w:snapToGrid w:val="0"/>
      <w:spacing w:line="360" w:lineRule="auto"/>
      <w:ind w:firstLine="200" w:firstLineChars="200"/>
    </w:pPr>
    <w:rPr>
      <w:rFonts w:ascii="Times New Roman" w:hAnsi="Times New Roman"/>
      <w:color w:val="000000"/>
      <w:kern w:val="0"/>
      <w:sz w:val="24"/>
      <w:szCs w:val="24"/>
    </w:rPr>
  </w:style>
  <w:style w:type="paragraph" w:styleId="29">
    <w:name w:val="List Paragraph"/>
    <w:basedOn w:val="1"/>
    <w:qFormat/>
    <w:uiPriority w:val="34"/>
    <w:pPr>
      <w:spacing w:line="360" w:lineRule="auto"/>
      <w:ind w:firstLine="420" w:firstLineChars="200"/>
    </w:pPr>
  </w:style>
  <w:style w:type="table" w:customStyle="1" w:styleId="30">
    <w:name w:val="网格型3"/>
    <w:basedOn w:val="1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1">
    <w:name w:val="font21"/>
    <w:qFormat/>
    <w:uiPriority w:val="0"/>
    <w:rPr>
      <w:rFonts w:hint="eastAsia" w:ascii="宋体" w:hAnsi="宋体" w:eastAsia="宋体"/>
      <w:color w:val="000000"/>
      <w:sz w:val="20"/>
      <w:szCs w:val="20"/>
      <w:u w:val="none"/>
    </w:rPr>
  </w:style>
  <w:style w:type="paragraph" w:customStyle="1" w:styleId="32">
    <w:name w:val="11444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80" w:after="80" w:line="520" w:lineRule="atLeast"/>
      <w:jc w:val="center"/>
      <w:textAlignment w:val="baseline"/>
    </w:pPr>
    <w:rPr>
      <w:rFonts w:ascii="华文楷体" w:hAnsi="华文楷体" w:eastAsia="华文楷体"/>
      <w:b/>
      <w:snapToGrid w:val="0"/>
      <w:color w:val="000000" w:themeColor="text1"/>
      <w:kern w:val="0"/>
      <w:sz w:val="28"/>
      <w:szCs w:val="28"/>
      <w14:textFill>
        <w14:solidFill>
          <w14:schemeClr w14:val="tx1"/>
        </w14:solidFill>
      </w14:textFill>
    </w:rPr>
  </w:style>
  <w:style w:type="paragraph" w:customStyle="1" w:styleId="33">
    <w:name w:val="表格丁伟"/>
    <w:basedOn w:val="1"/>
    <w:qFormat/>
    <w:uiPriority w:val="0"/>
    <w:pPr>
      <w:adjustRightInd w:val="0"/>
      <w:snapToGrid w:val="0"/>
      <w:jc w:val="center"/>
    </w:pPr>
    <w:rPr>
      <w:rFonts w:hint="eastAsia" w:ascii="Times New Roman" w:hAnsi="Times New Roman"/>
      <w:color w:val="000000"/>
      <w:spacing w:val="20"/>
      <w:sz w:val="24"/>
      <w:szCs w:val="28"/>
    </w:rPr>
  </w:style>
  <w:style w:type="paragraph" w:customStyle="1" w:styleId="34">
    <w:name w:val="000正文"/>
    <w:basedOn w:val="1"/>
    <w:next w:val="10"/>
    <w:qFormat/>
    <w:uiPriority w:val="0"/>
    <w:pPr>
      <w:adjustRightInd w:val="0"/>
      <w:spacing w:line="480" w:lineRule="atLeast"/>
      <w:ind w:firstLine="200" w:firstLineChars="200"/>
    </w:pPr>
    <w:rPr>
      <w:rFonts w:ascii="Times New Roman" w:hAnsi="Times New Roman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3</Pages>
  <Words>316</Words>
  <Characters>1804</Characters>
  <Lines>15</Lines>
  <Paragraphs>4</Paragraphs>
  <TotalTime>0</TotalTime>
  <ScaleCrop>false</ScaleCrop>
  <LinksUpToDate>false</LinksUpToDate>
  <CharactersWithSpaces>2116</CharactersWithSpaces>
  <Application>WPS Office_12.1.2.24720_F1E327BC-269C-435d-A152-05C5408002CA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2021-02-25T23:31:00Z</dcterms:created>
  <dc:creator>weixy</dc:creator>
  <cp:lastModifiedBy>XC~anxs</cp:lastModifiedBy>
  <dcterms:modified xsi:type="dcterms:W3CDTF">2026-09-08T10:32:06Z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2052-12.1.2.24720</vt:lpwstr>
  </property>
  <property fmtid="{D5CDD505-2E9C-101B-9397-08002B2CF9AE}" pid="3" name="ICV">
    <vt:lpwstr>1B5B3F7245914BD2949EB90CC0A79021_13</vt:lpwstr>
  </property>
  <property fmtid="{D5CDD505-2E9C-101B-9397-08002B2CF9AE}" pid="4" name="KSOTemplateDocerSaveRecord">
    <vt:lpwstr>eyJoZGlkIjoiMTkzMDZjNGI5NmU0ZmUyZTAwMGU0MTFjZmJmYmM0ZTkiLCJ1c2VySWQiOiIxNTUwNDM0NzEzIn0=</vt:lpwstr>
  </property>
</Properties>
</file>