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58B9E7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宋体"/>
          <w:b/>
          <w:bCs/>
          <w:sz w:val="44"/>
          <w:szCs w:val="44"/>
          <w:lang w:val="en-US" w:eastAsia="zh-CN"/>
        </w:rPr>
      </w:pPr>
      <w:r>
        <w:rPr>
          <w:rFonts w:hint="eastAsia" w:ascii="Times New Roman" w:hAnsi="Times New Roman"/>
          <w:b/>
          <w:bCs/>
          <w:sz w:val="32"/>
          <w:szCs w:val="32"/>
          <w:lang w:eastAsia="zh-CN"/>
        </w:rPr>
        <w:t>标的</w:t>
      </w:r>
      <w:r>
        <w:rPr>
          <w:rFonts w:hint="eastAsia" w:ascii="Times New Roman" w:hAnsi="Times New Roman"/>
          <w:b/>
          <w:bCs/>
          <w:sz w:val="32"/>
          <w:szCs w:val="32"/>
          <w:lang w:val="en-US" w:eastAsia="zh-CN"/>
        </w:rPr>
        <w:t>1</w:t>
      </w:r>
    </w:p>
    <w:p w14:paraId="738E46BE">
      <w:pPr>
        <w:adjustRightInd w:val="0"/>
        <w:snapToGrid w:val="0"/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hint="eastAsia" w:ascii="Times New Roman" w:hAnsi="Times New Roman"/>
          <w:b/>
          <w:bCs/>
          <w:sz w:val="24"/>
          <w:szCs w:val="24"/>
          <w:lang w:val="en-US" w:eastAsia="zh-CN"/>
        </w:rPr>
        <w:t>项目</w:t>
      </w:r>
      <w:r>
        <w:rPr>
          <w:rFonts w:ascii="Times New Roman" w:hAnsi="Times New Roman"/>
          <w:b/>
          <w:bCs/>
          <w:sz w:val="24"/>
          <w:szCs w:val="24"/>
        </w:rPr>
        <w:t>名称：</w:t>
      </w:r>
      <w:r>
        <w:rPr>
          <w:rFonts w:hint="eastAsia" w:ascii="Times New Roman" w:hAnsi="Times New Roman"/>
          <w:b/>
          <w:bCs/>
          <w:sz w:val="24"/>
          <w:szCs w:val="24"/>
        </w:rPr>
        <w:t>藏粤直流工程深圳中部换流站建筑施工</w:t>
      </w:r>
    </w:p>
    <w:p w14:paraId="14665E85">
      <w:pPr>
        <w:pStyle w:val="11"/>
      </w:pPr>
    </w:p>
    <w:tbl>
      <w:tblPr>
        <w:tblStyle w:val="18"/>
        <w:tblW w:w="73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8"/>
        <w:gridCol w:w="2911"/>
        <w:gridCol w:w="3476"/>
      </w:tblGrid>
      <w:tr w14:paraId="05762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0D871835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序号</w:t>
            </w:r>
          </w:p>
        </w:tc>
        <w:tc>
          <w:tcPr>
            <w:tcW w:w="2911" w:type="dxa"/>
            <w:vAlign w:val="center"/>
          </w:tcPr>
          <w:p w14:paraId="34C7780B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文件名称</w:t>
            </w:r>
          </w:p>
        </w:tc>
        <w:tc>
          <w:tcPr>
            <w:tcW w:w="3476" w:type="dxa"/>
            <w:vAlign w:val="center"/>
          </w:tcPr>
          <w:p w14:paraId="68C026B0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文件文号</w:t>
            </w:r>
          </w:p>
        </w:tc>
      </w:tr>
      <w:tr w14:paraId="345988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72FCD691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1</w:t>
            </w:r>
          </w:p>
        </w:tc>
        <w:tc>
          <w:tcPr>
            <w:tcW w:w="2911" w:type="dxa"/>
            <w:vAlign w:val="center"/>
          </w:tcPr>
          <w:p w14:paraId="065B84CE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可研批复文号</w:t>
            </w:r>
          </w:p>
        </w:tc>
        <w:tc>
          <w:tcPr>
            <w:tcW w:w="3476" w:type="dxa"/>
            <w:vAlign w:val="center"/>
          </w:tcPr>
          <w:p w14:paraId="46C80FBE">
            <w:pPr>
              <w:pStyle w:val="11"/>
              <w:snapToGrid w:val="0"/>
              <w:spacing w:line="360" w:lineRule="auto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snapToGrid w:val="0"/>
                <w:sz w:val="21"/>
                <w:szCs w:val="21"/>
              </w:rPr>
              <w:t>南方电网规划〔2024〕137号</w:t>
            </w:r>
          </w:p>
        </w:tc>
      </w:tr>
      <w:tr w14:paraId="7F4AB0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725DDA88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2</w:t>
            </w:r>
          </w:p>
        </w:tc>
        <w:tc>
          <w:tcPr>
            <w:tcW w:w="2911" w:type="dxa"/>
            <w:vAlign w:val="center"/>
          </w:tcPr>
          <w:p w14:paraId="4D3BC7F8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项目备案文号</w:t>
            </w:r>
          </w:p>
        </w:tc>
        <w:tc>
          <w:tcPr>
            <w:tcW w:w="3476" w:type="dxa"/>
            <w:vAlign w:val="bottom"/>
          </w:tcPr>
          <w:p w14:paraId="5452DA4E">
            <w:pPr>
              <w:pStyle w:val="11"/>
              <w:snapToGrid w:val="0"/>
              <w:spacing w:line="360" w:lineRule="auto"/>
              <w:jc w:val="center"/>
              <w:rPr>
                <w:rFonts w:ascii="Times New Roman" w:hAnsi="Times New Roman"/>
                <w:snapToGrid w:val="0"/>
                <w:color w:val="FF0000"/>
                <w:sz w:val="21"/>
                <w:szCs w:val="21"/>
              </w:rPr>
            </w:pPr>
            <w:r>
              <w:rPr>
                <w:rFonts w:ascii="Times New Roman" w:hAnsi="Times New Roman" w:eastAsiaTheme="minorEastAsia"/>
                <w:snapToGrid w:val="0"/>
                <w:sz w:val="21"/>
                <w:szCs w:val="21"/>
              </w:rPr>
              <w:t>发改能源〔2025〕791号</w:t>
            </w:r>
          </w:p>
        </w:tc>
      </w:tr>
      <w:tr w14:paraId="7C6D57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4B4437F1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3</w:t>
            </w:r>
          </w:p>
        </w:tc>
        <w:tc>
          <w:tcPr>
            <w:tcW w:w="2911" w:type="dxa"/>
            <w:vAlign w:val="center"/>
          </w:tcPr>
          <w:p w14:paraId="629E52D8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初设批复文号</w:t>
            </w:r>
          </w:p>
        </w:tc>
        <w:tc>
          <w:tcPr>
            <w:tcW w:w="3476" w:type="dxa"/>
            <w:vAlign w:val="center"/>
          </w:tcPr>
          <w:p w14:paraId="0B4D8CBA">
            <w:pPr>
              <w:widowControl/>
              <w:snapToGrid w:val="0"/>
              <w:jc w:val="center"/>
              <w:rPr>
                <w:rFonts w:ascii="Times New Roman" w:hAnsi="Times New Roman"/>
                <w:snapToGrid w:val="0"/>
                <w:color w:val="FF0000"/>
                <w:kern w:val="0"/>
                <w:szCs w:val="21"/>
              </w:rPr>
            </w:pPr>
            <w:r>
              <w:rPr>
                <w:rFonts w:hint="eastAsia" w:ascii="Times New Roman" w:hAnsi="Times New Roman" w:cs="Times New Roman" w:eastAsiaTheme="minorEastAsia"/>
                <w:b w:val="0"/>
                <w:bCs w:val="0"/>
                <w:i w:val="0"/>
                <w:iCs w:val="0"/>
                <w:snapToGrid w:val="0"/>
                <w:color w:val="auto"/>
                <w:kern w:val="0"/>
                <w:sz w:val="21"/>
                <w:szCs w:val="21"/>
                <w:highlight w:val="none"/>
                <w:u w:val="none"/>
                <w:vertAlign w:val="baseline"/>
                <w:lang w:val="en-US" w:eastAsia="zh-CN" w:bidi="ar-SA"/>
              </w:rPr>
              <w:t>南方电网工程〔2026〕1 号</w:t>
            </w:r>
          </w:p>
        </w:tc>
      </w:tr>
      <w:tr w14:paraId="489B69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197CA6C6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4</w:t>
            </w:r>
          </w:p>
        </w:tc>
        <w:tc>
          <w:tcPr>
            <w:tcW w:w="2911" w:type="dxa"/>
            <w:vAlign w:val="center"/>
          </w:tcPr>
          <w:p w14:paraId="4B85BBF0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资金落实情况</w:t>
            </w:r>
          </w:p>
        </w:tc>
        <w:tc>
          <w:tcPr>
            <w:tcW w:w="3476" w:type="dxa"/>
            <w:vAlign w:val="center"/>
          </w:tcPr>
          <w:p w14:paraId="30A07B4F">
            <w:pPr>
              <w:pStyle w:val="11"/>
              <w:snapToGrid w:val="0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南方电网计财〔202</w:t>
            </w:r>
            <w:r>
              <w:rPr>
                <w:rFonts w:ascii="Times New Roman" w:hAnsi="Times New Roman"/>
                <w:snapToGrid w:val="0"/>
                <w:sz w:val="21"/>
                <w:szCs w:val="21"/>
              </w:rPr>
              <w:t>6</w:t>
            </w: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〕</w:t>
            </w:r>
            <w:r>
              <w:rPr>
                <w:rFonts w:ascii="Times New Roman" w:hAnsi="Times New Roman"/>
                <w:snapToGrid w:val="0"/>
                <w:sz w:val="21"/>
                <w:szCs w:val="21"/>
              </w:rPr>
              <w:t>3</w:t>
            </w: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号</w:t>
            </w:r>
          </w:p>
        </w:tc>
      </w:tr>
      <w:tr w14:paraId="011C2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3E187C14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5</w:t>
            </w:r>
          </w:p>
        </w:tc>
        <w:tc>
          <w:tcPr>
            <w:tcW w:w="2911" w:type="dxa"/>
            <w:vAlign w:val="center"/>
          </w:tcPr>
          <w:p w14:paraId="331465ED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施工图预算批复文号</w:t>
            </w:r>
          </w:p>
        </w:tc>
        <w:tc>
          <w:tcPr>
            <w:tcW w:w="3476" w:type="dxa"/>
            <w:vAlign w:val="center"/>
          </w:tcPr>
          <w:p w14:paraId="5A60D21E">
            <w:pPr>
              <w:pStyle w:val="11"/>
              <w:snapToGrid w:val="0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snapToGrid w:val="0"/>
                <w:sz w:val="21"/>
                <w:szCs w:val="21"/>
              </w:rPr>
              <w:t>/</w:t>
            </w:r>
          </w:p>
        </w:tc>
      </w:tr>
      <w:tr w14:paraId="27D36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23985D74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6</w:t>
            </w:r>
          </w:p>
        </w:tc>
        <w:tc>
          <w:tcPr>
            <w:tcW w:w="2911" w:type="dxa"/>
            <w:vAlign w:val="center"/>
          </w:tcPr>
          <w:p w14:paraId="0E35C09B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项目建设单位</w:t>
            </w:r>
          </w:p>
        </w:tc>
        <w:tc>
          <w:tcPr>
            <w:tcW w:w="3476" w:type="dxa"/>
            <w:vAlign w:val="center"/>
          </w:tcPr>
          <w:p w14:paraId="0D392A64">
            <w:pPr>
              <w:pStyle w:val="11"/>
              <w:snapToGrid w:val="0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广东藏粤直流电力运营有限公司</w:t>
            </w:r>
          </w:p>
        </w:tc>
      </w:tr>
      <w:tr w14:paraId="6C41C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662F3693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7</w:t>
            </w:r>
          </w:p>
        </w:tc>
        <w:tc>
          <w:tcPr>
            <w:tcW w:w="2911" w:type="dxa"/>
            <w:vAlign w:val="center"/>
          </w:tcPr>
          <w:p w14:paraId="08A25F31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项目建设地点</w:t>
            </w:r>
          </w:p>
        </w:tc>
        <w:tc>
          <w:tcPr>
            <w:tcW w:w="3476" w:type="dxa"/>
            <w:vAlign w:val="center"/>
          </w:tcPr>
          <w:p w14:paraId="5739C6CB">
            <w:pPr>
              <w:pStyle w:val="11"/>
              <w:snapToGrid w:val="0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hint="eastAsia" w:ascii="Times New Roman" w:hAnsi="Times New Roman"/>
                <w:snapToGrid w:val="0"/>
                <w:sz w:val="21"/>
                <w:szCs w:val="21"/>
                <w:lang w:eastAsia="zh-CN"/>
              </w:rPr>
              <w:t>广东省</w:t>
            </w: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深圳市</w:t>
            </w:r>
          </w:p>
        </w:tc>
      </w:tr>
      <w:tr w14:paraId="380ED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2C7C3CC7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8</w:t>
            </w:r>
          </w:p>
        </w:tc>
        <w:tc>
          <w:tcPr>
            <w:tcW w:w="2911" w:type="dxa"/>
            <w:vAlign w:val="center"/>
          </w:tcPr>
          <w:p w14:paraId="666E85AD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前期的设计或咨询服务单位名称</w:t>
            </w:r>
          </w:p>
        </w:tc>
        <w:tc>
          <w:tcPr>
            <w:tcW w:w="3476" w:type="dxa"/>
            <w:vAlign w:val="center"/>
          </w:tcPr>
          <w:p w14:paraId="324CD894">
            <w:pPr>
              <w:pStyle w:val="11"/>
              <w:snapToGrid w:val="0"/>
              <w:jc w:val="center"/>
              <w:rPr>
                <w:rFonts w:hint="default" w:ascii="Times New Roman" w:hAnsi="Times New Roman" w:eastAsia="宋体"/>
                <w:snapToGrid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/>
                <w:sz w:val="21"/>
                <w:szCs w:val="21"/>
                <w:lang w:val="en-US" w:eastAsia="zh-CN"/>
              </w:rPr>
              <w:t>中国电力工程顾问集团华东电力设计院有限公司、中国能源建设集团云南省电力设计院有限公司（联合体）</w:t>
            </w:r>
          </w:p>
        </w:tc>
      </w:tr>
      <w:tr w14:paraId="02431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78" w:type="dxa"/>
            <w:vAlign w:val="center"/>
          </w:tcPr>
          <w:p w14:paraId="68C171D4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9</w:t>
            </w:r>
          </w:p>
        </w:tc>
        <w:tc>
          <w:tcPr>
            <w:tcW w:w="2911" w:type="dxa"/>
            <w:vAlign w:val="center"/>
          </w:tcPr>
          <w:p w14:paraId="2EEE62B1">
            <w:pPr>
              <w:pStyle w:val="11"/>
              <w:snapToGrid w:val="0"/>
              <w:jc w:val="center"/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1"/>
                <w:szCs w:val="21"/>
              </w:rPr>
              <w:t>项目监理单位</w:t>
            </w:r>
          </w:p>
        </w:tc>
        <w:tc>
          <w:tcPr>
            <w:tcW w:w="3476" w:type="dxa"/>
            <w:vAlign w:val="center"/>
          </w:tcPr>
          <w:p w14:paraId="62C0182F">
            <w:pPr>
              <w:pStyle w:val="11"/>
              <w:snapToGrid w:val="0"/>
              <w:jc w:val="center"/>
              <w:rPr>
                <w:rFonts w:ascii="Times New Roman" w:hAnsi="Times New Roman"/>
                <w:snapToGrid w:val="0"/>
                <w:sz w:val="21"/>
                <w:szCs w:val="21"/>
              </w:rPr>
            </w:pPr>
            <w:r>
              <w:rPr>
                <w:rFonts w:hint="eastAsia" w:ascii="Times New Roman" w:hAnsi="Times New Roman"/>
                <w:snapToGrid w:val="0"/>
                <w:sz w:val="21"/>
                <w:szCs w:val="21"/>
              </w:rPr>
              <w:t>广东创成建设监理咨询有限公司</w:t>
            </w:r>
          </w:p>
        </w:tc>
      </w:tr>
    </w:tbl>
    <w:p w14:paraId="51A085F5">
      <w:pPr>
        <w:adjustRightInd w:val="0"/>
        <w:snapToGrid w:val="0"/>
        <w:spacing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1DF1B9CE">
      <w:pPr>
        <w:adjustRightInd w:val="0"/>
        <w:snapToGrid w:val="0"/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一、项目概况</w:t>
      </w:r>
    </w:p>
    <w:p w14:paraId="32F0D144">
      <w:pPr>
        <w:pStyle w:val="3"/>
        <w:snapToGrid w:val="0"/>
        <w:spacing w:line="360" w:lineRule="auto"/>
        <w:rPr>
          <w:rFonts w:ascii="Calibri" w:hAnsi="Calibri" w:eastAsiaTheme="minorEastAsia"/>
          <w:bCs/>
          <w:i w:val="0"/>
          <w:color w:val="auto"/>
          <w:sz w:val="21"/>
          <w:szCs w:val="21"/>
        </w:rPr>
      </w:pPr>
      <w:bookmarkStart w:id="0" w:name="_Toc218503331"/>
      <w:bookmarkStart w:id="1" w:name="_Toc443982837"/>
      <w:r>
        <w:rPr>
          <w:rFonts w:hint="eastAsia" w:ascii="Calibri" w:hAnsi="Calibri" w:eastAsiaTheme="minorEastAsia"/>
          <w:bCs/>
          <w:i w:val="0"/>
          <w:color w:val="auto"/>
          <w:sz w:val="21"/>
          <w:szCs w:val="21"/>
        </w:rPr>
        <w:t>（一）工程建设规模</w:t>
      </w:r>
      <w:bookmarkEnd w:id="0"/>
      <w:bookmarkEnd w:id="1"/>
    </w:p>
    <w:p w14:paraId="0469FB55">
      <w:pPr>
        <w:adjustRightInd w:val="0"/>
        <w:snapToGrid w:val="0"/>
        <w:spacing w:line="360" w:lineRule="auto"/>
        <w:ind w:firstLine="480"/>
        <w:rPr>
          <w:rFonts w:eastAsiaTheme="minorEastAsia"/>
          <w:szCs w:val="21"/>
        </w:rPr>
      </w:pPr>
      <w:r>
        <w:rPr>
          <w:rFonts w:hint="eastAsia" w:eastAsiaTheme="minorEastAsia"/>
          <w:szCs w:val="21"/>
        </w:rPr>
        <w:t>藏粤直流工程深圳中部换流站建设规模如下：</w:t>
      </w:r>
    </w:p>
    <w:tbl>
      <w:tblPr>
        <w:tblStyle w:val="17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1828"/>
        <w:gridCol w:w="3013"/>
        <w:gridCol w:w="3521"/>
      </w:tblGrid>
      <w:tr w14:paraId="1AEBC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blHeader/>
          <w:jc w:val="center"/>
        </w:trPr>
        <w:tc>
          <w:tcPr>
            <w:tcW w:w="1093" w:type="pct"/>
            <w:vAlign w:val="center"/>
          </w:tcPr>
          <w:p w14:paraId="2E61CA31">
            <w:pPr>
              <w:kinsoku w:val="0"/>
              <w:adjustRightInd w:val="0"/>
              <w:snapToGrid w:val="0"/>
              <w:ind w:firstLine="42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</w:p>
        </w:tc>
        <w:tc>
          <w:tcPr>
            <w:tcW w:w="1801" w:type="pct"/>
            <w:vAlign w:val="center"/>
          </w:tcPr>
          <w:p w14:paraId="4A24193A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本期</w:t>
            </w:r>
          </w:p>
        </w:tc>
        <w:tc>
          <w:tcPr>
            <w:tcW w:w="2105" w:type="pct"/>
            <w:vAlign w:val="center"/>
          </w:tcPr>
          <w:p w14:paraId="4F4F6233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终期</w:t>
            </w:r>
          </w:p>
        </w:tc>
      </w:tr>
      <w:tr w14:paraId="6FB6F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063CDE7A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直流额定功率</w:t>
            </w:r>
          </w:p>
        </w:tc>
        <w:tc>
          <w:tcPr>
            <w:tcW w:w="3906" w:type="pct"/>
            <w:gridSpan w:val="2"/>
            <w:vAlign w:val="center"/>
          </w:tcPr>
          <w:p w14:paraId="76ED04E6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50</w:t>
            </w:r>
            <w:r>
              <w:rPr>
                <w:snapToGrid w:val="0"/>
                <w:kern w:val="0"/>
                <w:szCs w:val="21"/>
              </w:rPr>
              <w:t>00MW</w:t>
            </w:r>
          </w:p>
        </w:tc>
      </w:tr>
      <w:tr w14:paraId="53021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3C509858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直流主接线方式</w:t>
            </w:r>
          </w:p>
        </w:tc>
        <w:tc>
          <w:tcPr>
            <w:tcW w:w="3906" w:type="pct"/>
            <w:gridSpan w:val="2"/>
            <w:vAlign w:val="center"/>
          </w:tcPr>
          <w:p w14:paraId="0DB8184F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对称双极接线，接地极出线1回</w:t>
            </w:r>
          </w:p>
        </w:tc>
      </w:tr>
      <w:tr w14:paraId="6BD002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00370646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柔直变压器</w:t>
            </w:r>
          </w:p>
        </w:tc>
        <w:tc>
          <w:tcPr>
            <w:tcW w:w="3906" w:type="pct"/>
            <w:gridSpan w:val="2"/>
            <w:vAlign w:val="center"/>
          </w:tcPr>
          <w:p w14:paraId="78CB45A8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按</w:t>
            </w:r>
            <w:r>
              <w:rPr>
                <w:snapToGrid w:val="0"/>
                <w:kern w:val="0"/>
                <w:szCs w:val="21"/>
              </w:rPr>
              <w:t>12</w:t>
            </w:r>
            <w:r>
              <w:rPr>
                <w:rFonts w:hint="eastAsia"/>
                <w:snapToGrid w:val="0"/>
                <w:kern w:val="0"/>
                <w:szCs w:val="21"/>
              </w:rPr>
              <w:t>台4</w:t>
            </w:r>
            <w:r>
              <w:rPr>
                <w:snapToGrid w:val="0"/>
                <w:kern w:val="0"/>
                <w:szCs w:val="21"/>
              </w:rPr>
              <w:t>50MVA</w:t>
            </w:r>
            <w:r>
              <w:rPr>
                <w:rFonts w:hint="eastAsia"/>
                <w:snapToGrid w:val="0"/>
                <w:kern w:val="0"/>
                <w:szCs w:val="21"/>
              </w:rPr>
              <w:t>单相双绕组变压器设计，</w:t>
            </w:r>
            <w:r>
              <w:rPr>
                <w:snapToGrid w:val="0"/>
                <w:kern w:val="0"/>
                <w:szCs w:val="21"/>
              </w:rPr>
              <w:t xml:space="preserve"> </w:t>
            </w:r>
            <w:r>
              <w:rPr>
                <w:rFonts w:hint="eastAsia"/>
                <w:snapToGrid w:val="0"/>
                <w:kern w:val="0"/>
                <w:szCs w:val="21"/>
              </w:rPr>
              <w:t>2台备用，共</w:t>
            </w:r>
            <w:r>
              <w:rPr>
                <w:snapToGrid w:val="0"/>
                <w:kern w:val="0"/>
                <w:szCs w:val="21"/>
              </w:rPr>
              <w:t>1</w:t>
            </w:r>
            <w:r>
              <w:rPr>
                <w:rFonts w:hint="eastAsia"/>
                <w:snapToGrid w:val="0"/>
                <w:kern w:val="0"/>
                <w:szCs w:val="21"/>
              </w:rPr>
              <w:t>4台</w:t>
            </w:r>
          </w:p>
        </w:tc>
      </w:tr>
      <w:tr w14:paraId="43DB2F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3C7B02F1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主变规模</w:t>
            </w:r>
          </w:p>
        </w:tc>
        <w:tc>
          <w:tcPr>
            <w:tcW w:w="1801" w:type="pct"/>
            <w:vAlign w:val="center"/>
          </w:tcPr>
          <w:p w14:paraId="4879541B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2</w:t>
            </w:r>
            <w:r>
              <w:rPr>
                <w:snapToGrid w:val="0"/>
                <w:kern w:val="0"/>
                <w:szCs w:val="21"/>
              </w:rPr>
              <w:t>×1000MVA</w:t>
            </w:r>
          </w:p>
        </w:tc>
        <w:tc>
          <w:tcPr>
            <w:tcW w:w="2105" w:type="pct"/>
            <w:vAlign w:val="center"/>
          </w:tcPr>
          <w:p w14:paraId="10D8F790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4</w:t>
            </w:r>
            <w:r>
              <w:rPr>
                <w:snapToGrid w:val="0"/>
                <w:kern w:val="0"/>
                <w:szCs w:val="21"/>
              </w:rPr>
              <w:t>×1000MVA</w:t>
            </w:r>
          </w:p>
        </w:tc>
      </w:tr>
      <w:tr w14:paraId="51AA33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06BA8AC4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交流</w:t>
            </w:r>
            <w:r>
              <w:rPr>
                <w:b/>
                <w:bCs/>
                <w:snapToGrid w:val="0"/>
                <w:kern w:val="0"/>
                <w:szCs w:val="21"/>
              </w:rPr>
              <w:t>500kV</w:t>
            </w: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出线</w:t>
            </w:r>
          </w:p>
        </w:tc>
        <w:tc>
          <w:tcPr>
            <w:tcW w:w="1801" w:type="pct"/>
            <w:vAlign w:val="center"/>
          </w:tcPr>
          <w:p w14:paraId="0B40842E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  <w:lang w:val="zh-CN"/>
              </w:rPr>
              <w:t>500kV交流出线</w:t>
            </w:r>
            <w:r>
              <w:rPr>
                <w:rFonts w:hint="eastAsia"/>
                <w:snapToGrid w:val="0"/>
                <w:kern w:val="0"/>
                <w:szCs w:val="21"/>
              </w:rPr>
              <w:t>6</w:t>
            </w:r>
            <w:r>
              <w:rPr>
                <w:rFonts w:hint="eastAsia"/>
                <w:snapToGrid w:val="0"/>
                <w:kern w:val="0"/>
                <w:szCs w:val="21"/>
                <w:lang w:val="zh-CN"/>
              </w:rPr>
              <w:t>回，分别为深圳2回、鹏城2回、现代2回</w:t>
            </w:r>
          </w:p>
        </w:tc>
        <w:tc>
          <w:tcPr>
            <w:tcW w:w="2105" w:type="pct"/>
            <w:vAlign w:val="center"/>
          </w:tcPr>
          <w:p w14:paraId="741B6579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  <w:lang w:val="zh-CN"/>
              </w:rPr>
              <w:t>500kV交流出线8回，分别为深圳2回、鹏城2回、现代2回</w:t>
            </w:r>
            <w:r>
              <w:rPr>
                <w:rFonts w:hint="eastAsia"/>
                <w:snapToGrid w:val="0"/>
                <w:kern w:val="0"/>
                <w:szCs w:val="21"/>
              </w:rPr>
              <w:t>及</w:t>
            </w:r>
            <w:r>
              <w:rPr>
                <w:rFonts w:hint="eastAsia"/>
                <w:snapToGrid w:val="0"/>
                <w:kern w:val="0"/>
                <w:szCs w:val="21"/>
                <w:lang w:val="zh-CN"/>
              </w:rPr>
              <w:t>远景备用2回</w:t>
            </w:r>
          </w:p>
        </w:tc>
      </w:tr>
      <w:tr w14:paraId="4D909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093" w:type="pct"/>
            <w:vAlign w:val="center"/>
          </w:tcPr>
          <w:p w14:paraId="62A79A7F">
            <w:pPr>
              <w:kinsoku w:val="0"/>
              <w:adjustRightInd w:val="0"/>
              <w:snapToGrid w:val="0"/>
              <w:jc w:val="center"/>
              <w:rPr>
                <w:b/>
                <w:bCs/>
                <w:snapToGrid w:val="0"/>
                <w:kern w:val="0"/>
                <w:szCs w:val="21"/>
              </w:rPr>
            </w:pPr>
            <w:r>
              <w:rPr>
                <w:rFonts w:hint="eastAsia"/>
                <w:b/>
                <w:bCs/>
                <w:snapToGrid w:val="0"/>
                <w:kern w:val="0"/>
                <w:szCs w:val="21"/>
              </w:rPr>
              <w:t>低压无功补偿</w:t>
            </w:r>
          </w:p>
        </w:tc>
        <w:tc>
          <w:tcPr>
            <w:tcW w:w="1801" w:type="pct"/>
            <w:vAlign w:val="center"/>
          </w:tcPr>
          <w:p w14:paraId="53EEB750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  <w:lang w:val="zh-CN"/>
              </w:rPr>
              <w:t>每组主变低压侧装设3组60Mvar 低压电容器和1组60Mvar低压电抗器</w:t>
            </w:r>
          </w:p>
        </w:tc>
        <w:tc>
          <w:tcPr>
            <w:tcW w:w="2105" w:type="pct"/>
            <w:vAlign w:val="center"/>
          </w:tcPr>
          <w:p w14:paraId="58659E70">
            <w:pPr>
              <w:kinsoku w:val="0"/>
              <w:adjustRightInd w:val="0"/>
              <w:snapToGrid w:val="0"/>
              <w:jc w:val="center"/>
              <w:rPr>
                <w:snapToGrid w:val="0"/>
                <w:kern w:val="0"/>
                <w:szCs w:val="21"/>
              </w:rPr>
            </w:pPr>
            <w:r>
              <w:rPr>
                <w:rFonts w:hint="eastAsia"/>
                <w:snapToGrid w:val="0"/>
                <w:kern w:val="0"/>
                <w:szCs w:val="21"/>
              </w:rPr>
              <w:t>每组主变低压侧预留</w:t>
            </w:r>
            <w:r>
              <w:rPr>
                <w:snapToGrid w:val="0"/>
                <w:kern w:val="0"/>
                <w:szCs w:val="21"/>
              </w:rPr>
              <w:t>5</w:t>
            </w:r>
            <w:r>
              <w:rPr>
                <w:rFonts w:hint="eastAsia"/>
                <w:snapToGrid w:val="0"/>
                <w:kern w:val="0"/>
                <w:szCs w:val="21"/>
              </w:rPr>
              <w:t>组低压无功补偿设备</w:t>
            </w:r>
          </w:p>
        </w:tc>
      </w:tr>
    </w:tbl>
    <w:p w14:paraId="2A7BDC24">
      <w:pPr>
        <w:adjustRightInd w:val="0"/>
        <w:snapToGrid w:val="0"/>
        <w:spacing w:line="360" w:lineRule="auto"/>
        <w:ind w:firstLine="480"/>
        <w:rPr>
          <w:rFonts w:eastAsiaTheme="minorEastAsia"/>
          <w:szCs w:val="21"/>
        </w:rPr>
      </w:pPr>
    </w:p>
    <w:p w14:paraId="2182EBA7">
      <w:pPr>
        <w:pStyle w:val="3"/>
        <w:snapToGrid w:val="0"/>
        <w:spacing w:line="360" w:lineRule="auto"/>
        <w:rPr>
          <w:rFonts w:ascii="Calibri" w:hAnsi="Calibri" w:eastAsiaTheme="minorEastAsia"/>
          <w:bCs/>
          <w:i w:val="0"/>
          <w:color w:val="auto"/>
          <w:sz w:val="21"/>
          <w:szCs w:val="21"/>
        </w:rPr>
      </w:pPr>
      <w:bookmarkStart w:id="2" w:name="_Toc443982838"/>
      <w:bookmarkStart w:id="3" w:name="_Toc218503332"/>
      <w:r>
        <w:rPr>
          <w:rFonts w:hint="eastAsia" w:ascii="Calibri" w:hAnsi="Calibri" w:eastAsiaTheme="minorEastAsia"/>
          <w:bCs/>
          <w:i w:val="0"/>
          <w:color w:val="auto"/>
          <w:sz w:val="21"/>
          <w:szCs w:val="21"/>
        </w:rPr>
        <w:t>（二）站址概况</w:t>
      </w:r>
      <w:bookmarkEnd w:id="2"/>
      <w:bookmarkEnd w:id="3"/>
    </w:p>
    <w:p w14:paraId="66FDF888">
      <w:pPr>
        <w:pStyle w:val="8"/>
        <w:snapToGrid w:val="0"/>
        <w:spacing w:after="0"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深圳中部站址位于广东省深圳市龙华区与龙岗区交界处，处在坂澜大道与坂李大道交接处地块，站址周边无其他工业企业污染源。站址主要为林地，不占用基本农田。进站道路由西北侧基地联络道引接。</w:t>
      </w:r>
    </w:p>
    <w:p w14:paraId="4E58DD78">
      <w:pPr>
        <w:adjustRightInd w:val="0"/>
        <w:snapToGrid w:val="0"/>
        <w:spacing w:line="360" w:lineRule="auto"/>
        <w:ind w:firstLine="48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站址围墙内占地面积20.4791hm</w:t>
      </w:r>
      <w:r>
        <w:rPr>
          <w:rFonts w:ascii="宋体" w:hAnsi="宋体"/>
          <w:kern w:val="0"/>
          <w:szCs w:val="21"/>
          <w:vertAlign w:val="superscript"/>
        </w:rPr>
        <w:t>2</w:t>
      </w:r>
      <w:r>
        <w:rPr>
          <w:rFonts w:ascii="宋体" w:hAnsi="宋体"/>
          <w:kern w:val="0"/>
          <w:szCs w:val="21"/>
        </w:rPr>
        <w:t>，进站道路长度</w:t>
      </w:r>
      <w:r>
        <w:rPr>
          <w:rFonts w:hint="eastAsia" w:ascii="宋体" w:hAnsi="宋体"/>
          <w:kern w:val="0"/>
          <w:szCs w:val="21"/>
        </w:rPr>
        <w:t>约2</w:t>
      </w:r>
      <w:r>
        <w:rPr>
          <w:rFonts w:ascii="宋体" w:hAnsi="宋体"/>
          <w:kern w:val="0"/>
          <w:szCs w:val="21"/>
        </w:rPr>
        <w:t>00m，站区围墙长度1818m。</w:t>
      </w:r>
    </w:p>
    <w:p w14:paraId="5B155952">
      <w:pPr>
        <w:snapToGrid w:val="0"/>
        <w:spacing w:line="360" w:lineRule="auto"/>
        <w:ind w:firstLine="420" w:firstLineChars="200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站址按</w:t>
      </w:r>
      <w:r>
        <w:rPr>
          <w:rFonts w:hint="eastAsia" w:ascii="Times New Roman" w:hAnsi="Times New Roman"/>
          <w:bCs/>
          <w:szCs w:val="21"/>
        </w:rPr>
        <w:t>长</w:t>
      </w:r>
      <w:r>
        <w:rPr>
          <w:rFonts w:ascii="Times New Roman" w:hAnsi="Times New Roman"/>
          <w:bCs/>
          <w:szCs w:val="21"/>
        </w:rPr>
        <w:t>轴北偏</w:t>
      </w:r>
      <w:r>
        <w:rPr>
          <w:rFonts w:hint="eastAsia" w:ascii="Times New Roman" w:hAnsi="Times New Roman"/>
          <w:bCs/>
          <w:szCs w:val="21"/>
        </w:rPr>
        <w:t>东3</w:t>
      </w:r>
      <w:r>
        <w:rPr>
          <w:rFonts w:ascii="Times New Roman" w:hAnsi="Times New Roman"/>
          <w:bCs/>
          <w:szCs w:val="21"/>
        </w:rPr>
        <w:t>6.13°方向布置，全站根据功能分区，可划分为“</w:t>
      </w:r>
      <w:r>
        <w:rPr>
          <w:rFonts w:hint="eastAsia" w:ascii="Times New Roman" w:hAnsi="Times New Roman"/>
          <w:bCs/>
          <w:szCs w:val="21"/>
        </w:rPr>
        <w:t>直流场</w:t>
      </w:r>
      <w:r>
        <w:rPr>
          <w:rFonts w:ascii="Times New Roman" w:hAnsi="Times New Roman"/>
          <w:bCs/>
          <w:szCs w:val="21"/>
        </w:rPr>
        <w:t>”、“</w:t>
      </w:r>
      <w:r>
        <w:rPr>
          <w:rFonts w:hint="eastAsia" w:ascii="Times New Roman" w:hAnsi="Times New Roman"/>
          <w:bCs/>
          <w:szCs w:val="21"/>
        </w:rPr>
        <w:t>阀厅及柔直变区</w:t>
      </w:r>
      <w:r>
        <w:rPr>
          <w:rFonts w:ascii="Times New Roman" w:hAnsi="Times New Roman"/>
          <w:bCs/>
          <w:szCs w:val="21"/>
        </w:rPr>
        <w:t>”、“</w:t>
      </w:r>
      <w:r>
        <w:rPr>
          <w:rFonts w:hint="eastAsia" w:ascii="Times New Roman" w:hAnsi="Times New Roman"/>
          <w:bCs/>
          <w:szCs w:val="21"/>
        </w:rPr>
        <w:t>交流配电装置区</w:t>
      </w:r>
      <w:r>
        <w:rPr>
          <w:rFonts w:ascii="Times New Roman" w:hAnsi="Times New Roman"/>
          <w:bCs/>
          <w:szCs w:val="21"/>
        </w:rPr>
        <w:t>”、 “站前区”区域。</w:t>
      </w:r>
    </w:p>
    <w:p w14:paraId="1347183C">
      <w:pPr>
        <w:adjustRightInd w:val="0"/>
        <w:snapToGrid w:val="0"/>
        <w:spacing w:line="360" w:lineRule="auto"/>
        <w:ind w:firstLine="48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总平面由西向东四列式布置：</w:t>
      </w:r>
      <w:r>
        <w:rPr>
          <w:rFonts w:hint="eastAsia" w:ascii="Times New Roman" w:hAnsi="Times New Roman"/>
          <w:bCs/>
          <w:szCs w:val="21"/>
        </w:rPr>
        <w:t>交流配电装置区</w:t>
      </w:r>
      <w:r>
        <w:rPr>
          <w:rFonts w:ascii="宋体" w:hAnsi="宋体"/>
          <w:kern w:val="0"/>
          <w:szCs w:val="21"/>
        </w:rPr>
        <w:t>→</w:t>
      </w:r>
      <w:r>
        <w:rPr>
          <w:rFonts w:hint="eastAsia" w:ascii="Times New Roman" w:hAnsi="Times New Roman"/>
          <w:bCs/>
          <w:szCs w:val="21"/>
        </w:rPr>
        <w:t>阀厅及柔直变区</w:t>
      </w:r>
      <w:r>
        <w:rPr>
          <w:rFonts w:ascii="宋体" w:hAnsi="宋体"/>
          <w:kern w:val="0"/>
          <w:szCs w:val="21"/>
        </w:rPr>
        <w:t>→</w:t>
      </w:r>
      <w:r>
        <w:rPr>
          <w:rFonts w:hint="eastAsia" w:ascii="Times New Roman" w:hAnsi="Times New Roman"/>
          <w:bCs/>
          <w:szCs w:val="21"/>
        </w:rPr>
        <w:t>直流场</w:t>
      </w:r>
      <w:r>
        <w:rPr>
          <w:rFonts w:ascii="宋体" w:hAnsi="宋体"/>
          <w:kern w:val="0"/>
          <w:szCs w:val="21"/>
        </w:rPr>
        <w:t>。</w:t>
      </w:r>
    </w:p>
    <w:tbl>
      <w:tblPr>
        <w:tblStyle w:val="1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19A159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86" w:type="dxa"/>
            <w:vAlign w:val="center"/>
          </w:tcPr>
          <w:p w14:paraId="6A97E261">
            <w:pPr>
              <w:pStyle w:val="28"/>
              <w:ind w:firstLine="0" w:firstLineChars="0"/>
              <w:jc w:val="center"/>
              <w:rPr>
                <w:rFonts w:ascii="宋体" w:hAnsi="宋体"/>
                <w:bCs/>
                <w:color w:val="auto"/>
              </w:rPr>
            </w:pPr>
            <w:r>
              <w:rPr>
                <w:rFonts w:ascii="宋体" w:hAnsi="宋体"/>
                <w:bCs/>
                <w:color w:val="auto"/>
              </w:rPr>
              <w:drawing>
                <wp:inline distT="0" distB="0" distL="0" distR="0">
                  <wp:extent cx="5270500" cy="4895850"/>
                  <wp:effectExtent l="0" t="0" r="635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D02575">
      <w:pPr>
        <w:pStyle w:val="11"/>
        <w:adjustRightInd w:val="0"/>
        <w:spacing w:line="360" w:lineRule="auto"/>
        <w:ind w:firstLine="420" w:firstLineChars="200"/>
        <w:rPr>
          <w:rFonts w:ascii="Times New Roman" w:hAnsi="Times New Roman"/>
          <w:bCs/>
          <w:sz w:val="21"/>
          <w:szCs w:val="21"/>
          <w:highlight w:val="yellow"/>
        </w:rPr>
      </w:pPr>
    </w:p>
    <w:p w14:paraId="3706991C">
      <w:pPr>
        <w:adjustRightInd w:val="0"/>
        <w:snapToGrid w:val="0"/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二、采购范围</w:t>
      </w:r>
    </w:p>
    <w:p w14:paraId="413A63B7">
      <w:pPr>
        <w:pStyle w:val="11"/>
        <w:snapToGrid w:val="0"/>
        <w:spacing w:line="360" w:lineRule="auto"/>
        <w:ind w:firstLine="422" w:firstLineChars="200"/>
        <w:jc w:val="left"/>
        <w:outlineLvl w:val="0"/>
        <w:rPr>
          <w:rFonts w:ascii="Times New Roman" w:hAnsi="Times New Roman"/>
          <w:b/>
          <w:bCs/>
          <w:snapToGrid w:val="0"/>
          <w:sz w:val="21"/>
          <w:szCs w:val="21"/>
        </w:rPr>
      </w:pPr>
      <w:r>
        <w:rPr>
          <w:rFonts w:ascii="Times New Roman" w:hAnsi="Times New Roman"/>
          <w:b/>
          <w:bCs/>
          <w:snapToGrid w:val="0"/>
          <w:sz w:val="21"/>
          <w:szCs w:val="21"/>
        </w:rPr>
        <w:t>包括</w:t>
      </w:r>
      <w:r>
        <w:rPr>
          <w:rFonts w:hint="eastAsia" w:ascii="Times New Roman" w:hAnsi="Times New Roman"/>
          <w:b/>
          <w:bCs/>
          <w:snapToGrid w:val="0"/>
          <w:sz w:val="21"/>
          <w:szCs w:val="21"/>
        </w:rPr>
        <w:t>全站</w:t>
      </w:r>
      <w:r>
        <w:rPr>
          <w:rFonts w:ascii="Times New Roman" w:hAnsi="Times New Roman"/>
          <w:b/>
          <w:bCs/>
          <w:snapToGrid w:val="0"/>
          <w:sz w:val="21"/>
          <w:szCs w:val="21"/>
        </w:rPr>
        <w:t>的建筑工程。施工图范围内的下列工作内容，无□及</w:t>
      </w:r>
      <w:r>
        <w:rPr>
          <w:rFonts w:ascii="Times New Roman" w:hAnsi="Times New Roman"/>
          <w:sz w:val="21"/>
          <w:szCs w:val="21"/>
        </w:rPr>
        <w:t>☑</w:t>
      </w:r>
      <w:r>
        <w:rPr>
          <w:rFonts w:ascii="Times New Roman" w:hAnsi="Times New Roman"/>
          <w:b/>
          <w:bCs/>
          <w:snapToGrid w:val="0"/>
          <w:sz w:val="21"/>
          <w:szCs w:val="21"/>
        </w:rPr>
        <w:t>的为本次报价范围；□未打√的，不在本次报价范围内，特殊情况在“其他”中说明。</w:t>
      </w:r>
    </w:p>
    <w:p w14:paraId="5B4EC5AD">
      <w:pPr>
        <w:autoSpaceDE w:val="0"/>
        <w:autoSpaceDN w:val="0"/>
        <w:adjustRightInd w:val="0"/>
        <w:snapToGrid w:val="0"/>
        <w:spacing w:line="360" w:lineRule="auto"/>
        <w:ind w:firstLine="422" w:firstLineChars="200"/>
        <w:jc w:val="left"/>
        <w:rPr>
          <w:rFonts w:ascii="Times New Roman" w:hAnsi="Times New Roman"/>
          <w:bCs/>
          <w:szCs w:val="21"/>
        </w:rPr>
      </w:pPr>
      <w:r>
        <w:rPr>
          <w:rFonts w:hint="eastAsia" w:ascii="Times New Roman" w:hAnsi="Times New Roman"/>
          <w:b/>
          <w:szCs w:val="21"/>
        </w:rPr>
        <w:t>建筑</w:t>
      </w:r>
      <w:r>
        <w:rPr>
          <w:rFonts w:ascii="Times New Roman" w:hAnsi="Times New Roman"/>
          <w:b/>
          <w:szCs w:val="21"/>
        </w:rPr>
        <w:t>A标：</w:t>
      </w:r>
      <w:r>
        <w:rPr>
          <w:rFonts w:ascii="Times New Roman" w:hAnsi="Times New Roman"/>
          <w:bCs/>
          <w:szCs w:val="21"/>
        </w:rPr>
        <w:t>阀厅、主辅控楼、柔直变区域、</w:t>
      </w:r>
      <w:r>
        <w:rPr>
          <w:rFonts w:hint="eastAsia" w:ascii="Times New Roman" w:hAnsi="Times New Roman"/>
          <w:bCs/>
          <w:szCs w:val="21"/>
          <w:lang w:val="en-US" w:eastAsia="zh-CN"/>
        </w:rPr>
        <w:t>西侧</w:t>
      </w:r>
      <w:r>
        <w:rPr>
          <w:rFonts w:hint="eastAsia" w:ascii="Times New Roman" w:hAnsi="Times New Roman"/>
          <w:bCs/>
          <w:szCs w:val="21"/>
        </w:rPr>
        <w:t>直流场</w:t>
      </w:r>
      <w:r>
        <w:rPr>
          <w:rFonts w:ascii="Times New Roman" w:hAnsi="Times New Roman"/>
          <w:bCs/>
          <w:szCs w:val="21"/>
        </w:rPr>
        <w:t>内建筑工程</w:t>
      </w:r>
      <w:r>
        <w:rPr>
          <w:rFonts w:hint="eastAsia" w:ascii="Times New Roman" w:hAnsi="Times New Roman"/>
          <w:bCs/>
          <w:szCs w:val="21"/>
        </w:rPr>
        <w:t>，含区域内桩基</w:t>
      </w:r>
      <w:r>
        <w:rPr>
          <w:rFonts w:ascii="Times New Roman" w:hAnsi="Times New Roman"/>
          <w:bCs/>
          <w:szCs w:val="21"/>
        </w:rPr>
        <w:t>。从本工程施工准备至工程竣工投产及工程移交、达标投产及创优</w:t>
      </w:r>
      <w:r>
        <w:rPr>
          <w:rFonts w:hint="eastAsia" w:ascii="Times New Roman" w:hAnsi="Times New Roman"/>
          <w:bCs/>
          <w:szCs w:val="21"/>
        </w:rPr>
        <w:t>为</w:t>
      </w:r>
      <w:r>
        <w:rPr>
          <w:rFonts w:ascii="Times New Roman" w:hAnsi="Times New Roman"/>
          <w:bCs/>
          <w:szCs w:val="21"/>
        </w:rPr>
        <w:t>止各阶段的建筑等相关工作内容和服务。</w:t>
      </w:r>
    </w:p>
    <w:p w14:paraId="14E021F8">
      <w:pPr>
        <w:autoSpaceDE w:val="0"/>
        <w:autoSpaceDN w:val="0"/>
        <w:adjustRightInd w:val="0"/>
        <w:snapToGrid w:val="0"/>
        <w:spacing w:line="360" w:lineRule="auto"/>
        <w:ind w:firstLine="422" w:firstLineChars="200"/>
        <w:jc w:val="left"/>
        <w:rPr>
          <w:rFonts w:ascii="Times New Roman" w:hAnsi="Times New Roman"/>
          <w:bCs/>
          <w:szCs w:val="21"/>
        </w:rPr>
      </w:pPr>
      <w:r>
        <w:rPr>
          <w:rFonts w:hint="eastAsia" w:ascii="Times New Roman" w:hAnsi="Times New Roman"/>
          <w:b/>
          <w:szCs w:val="21"/>
        </w:rPr>
        <w:t>建筑</w:t>
      </w:r>
      <w:r>
        <w:rPr>
          <w:rFonts w:ascii="Times New Roman" w:hAnsi="Times New Roman"/>
          <w:b/>
          <w:szCs w:val="21"/>
        </w:rPr>
        <w:t>B标：</w:t>
      </w:r>
      <w:r>
        <w:rPr>
          <w:rFonts w:ascii="Times New Roman" w:hAnsi="Times New Roman"/>
          <w:bCs/>
          <w:szCs w:val="21"/>
        </w:rPr>
        <w:t>站前区、交流</w:t>
      </w:r>
      <w:r>
        <w:rPr>
          <w:rFonts w:hint="eastAsia" w:ascii="Times New Roman" w:hAnsi="Times New Roman"/>
          <w:bCs/>
          <w:szCs w:val="21"/>
        </w:rPr>
        <w:t>配电装置区、串抗区、</w:t>
      </w:r>
      <w:r>
        <w:rPr>
          <w:rFonts w:hint="eastAsia" w:ascii="Times New Roman" w:hAnsi="Times New Roman"/>
          <w:bCs/>
          <w:szCs w:val="21"/>
          <w:lang w:val="en-US" w:eastAsia="zh-CN"/>
        </w:rPr>
        <w:t>东侧直流场、</w:t>
      </w:r>
      <w:r>
        <w:rPr>
          <w:rFonts w:hint="eastAsia" w:ascii="Times New Roman" w:hAnsi="Times New Roman"/>
          <w:bCs/>
          <w:szCs w:val="21"/>
        </w:rPr>
        <w:t>一次备品备件库及阀备品库、露天堆场</w:t>
      </w:r>
      <w:r>
        <w:rPr>
          <w:rFonts w:ascii="Times New Roman" w:hAnsi="Times New Roman"/>
          <w:bCs/>
          <w:szCs w:val="21"/>
        </w:rPr>
        <w:t>区域内建筑工程，以及全站围墙施工</w:t>
      </w:r>
      <w:r>
        <w:rPr>
          <w:rFonts w:hint="eastAsia" w:ascii="Times New Roman" w:hAnsi="Times New Roman"/>
          <w:bCs/>
          <w:szCs w:val="21"/>
        </w:rPr>
        <w:t>，含区域内桩基</w:t>
      </w:r>
      <w:r>
        <w:rPr>
          <w:rFonts w:ascii="Times New Roman" w:hAnsi="Times New Roman"/>
          <w:bCs/>
          <w:szCs w:val="21"/>
        </w:rPr>
        <w:t>。从本工程施工准备至工程竣工投产及工程移交、达标投产及创优</w:t>
      </w:r>
      <w:r>
        <w:rPr>
          <w:rFonts w:hint="eastAsia" w:ascii="Times New Roman" w:hAnsi="Times New Roman"/>
          <w:bCs/>
          <w:szCs w:val="21"/>
        </w:rPr>
        <w:t>为</w:t>
      </w:r>
      <w:r>
        <w:rPr>
          <w:rFonts w:ascii="Times New Roman" w:hAnsi="Times New Roman"/>
          <w:bCs/>
          <w:szCs w:val="21"/>
        </w:rPr>
        <w:t>止各阶段的建筑等相关工作内容和服务。</w:t>
      </w:r>
    </w:p>
    <w:p w14:paraId="548B51AF"/>
    <w:p w14:paraId="4C20AEDA">
      <w:pPr>
        <w:pStyle w:val="11"/>
        <w:snapToGrid w:val="0"/>
        <w:spacing w:line="360" w:lineRule="auto"/>
        <w:rPr>
          <w:rFonts w:ascii="Times New Roman" w:hAnsi="Times New Roman"/>
          <w:b/>
          <w:bCs/>
          <w:snapToGrid w:val="0"/>
          <w:sz w:val="24"/>
          <w:szCs w:val="24"/>
        </w:rPr>
      </w:pPr>
      <w:r>
        <w:rPr>
          <w:rFonts w:ascii="Times New Roman" w:hAnsi="Times New Roman"/>
          <w:b/>
          <w:bCs/>
          <w:snapToGrid w:val="0"/>
          <w:sz w:val="24"/>
          <w:szCs w:val="24"/>
        </w:rPr>
        <w:t>三、承包方式</w:t>
      </w:r>
    </w:p>
    <w:p w14:paraId="3668AECF">
      <w:pPr>
        <w:pStyle w:val="11"/>
        <w:snapToGrid w:val="0"/>
        <w:spacing w:line="360" w:lineRule="auto"/>
        <w:ind w:firstLine="422" w:firstLineChars="200"/>
        <w:rPr>
          <w:rFonts w:ascii="Times New Roman" w:hAnsi="Times New Roman"/>
          <w:b/>
          <w:kern w:val="2"/>
          <w:sz w:val="21"/>
          <w:szCs w:val="21"/>
        </w:rPr>
      </w:pPr>
      <w:r>
        <w:rPr>
          <w:rFonts w:ascii="Times New Roman" w:hAnsi="Times New Roman"/>
          <w:b/>
          <w:kern w:val="2"/>
          <w:sz w:val="21"/>
          <w:szCs w:val="21"/>
        </w:rPr>
        <w:t>包工、部分包料，施工图纸范围内如有下列设备、材料，无□及</w:t>
      </w:r>
      <w:r>
        <w:rPr>
          <w:rFonts w:ascii="Times New Roman" w:hAnsi="Times New Roman"/>
          <w:b/>
          <w:kern w:val="2"/>
          <w:sz w:val="21"/>
          <w:szCs w:val="21"/>
        </w:rPr>
        <w:fldChar w:fldCharType="begin"/>
      </w:r>
      <w:r>
        <w:rPr>
          <w:rFonts w:ascii="Times New Roman" w:hAnsi="Times New Roman"/>
          <w:b/>
          <w:kern w:val="2"/>
          <w:sz w:val="21"/>
          <w:szCs w:val="21"/>
        </w:rPr>
        <w:instrText xml:space="preserve"> EQ \o\ac(□,√)</w:instrText>
      </w:r>
      <w:r>
        <w:rPr>
          <w:rFonts w:ascii="Times New Roman" w:hAnsi="Times New Roman"/>
          <w:b/>
          <w:kern w:val="2"/>
          <w:sz w:val="21"/>
          <w:szCs w:val="21"/>
        </w:rPr>
        <w:fldChar w:fldCharType="end"/>
      </w:r>
      <w:r>
        <w:rPr>
          <w:rFonts w:ascii="Times New Roman" w:hAnsi="Times New Roman"/>
          <w:b/>
          <w:kern w:val="2"/>
          <w:sz w:val="21"/>
          <w:szCs w:val="21"/>
        </w:rPr>
        <w:t>的为甲供，□未打√的及不在下列的为乙供。</w:t>
      </w:r>
    </w:p>
    <w:p w14:paraId="49D5163D">
      <w:pPr>
        <w:autoSpaceDE w:val="0"/>
        <w:autoSpaceDN w:val="0"/>
        <w:adjustRightInd w:val="0"/>
        <w:snapToGrid w:val="0"/>
        <w:spacing w:line="360" w:lineRule="auto"/>
        <w:ind w:firstLine="422" w:firstLineChars="200"/>
        <w:jc w:val="left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（一）甲供物资：</w:t>
      </w:r>
    </w:p>
    <w:p w14:paraId="66BDB5BB">
      <w:pPr>
        <w:autoSpaceDE w:val="0"/>
        <w:autoSpaceDN w:val="0"/>
        <w:adjustRightInd w:val="0"/>
        <w:snapToGrid w:val="0"/>
        <w:spacing w:line="360" w:lineRule="auto"/>
        <w:ind w:firstLine="422" w:firstLineChars="200"/>
        <w:jc w:val="left"/>
        <w:rPr>
          <w:rFonts w:ascii="Times New Roman" w:hAnsi="Times New Roman"/>
          <w:bCs/>
          <w:szCs w:val="21"/>
        </w:rPr>
      </w:pPr>
      <w:r>
        <w:rPr>
          <w:rFonts w:hint="eastAsia" w:ascii="Times New Roman" w:hAnsi="Times New Roman"/>
          <w:b/>
          <w:szCs w:val="21"/>
        </w:rPr>
        <w:t>1）建筑工程：全站</w:t>
      </w:r>
      <w:r>
        <w:rPr>
          <w:rFonts w:hint="eastAsia" w:ascii="Times New Roman" w:hAnsi="Times New Roman"/>
          <w:bCs/>
          <w:szCs w:val="21"/>
        </w:rPr>
        <w:t>构支架钢结构、建筑钢结构、建筑用压型钢板（包括檩条）、行车（葫芦、桥式起重机）、</w:t>
      </w:r>
      <w:r>
        <w:rPr>
          <w:rFonts w:hint="eastAsia" w:ascii="Times New Roman" w:hAnsi="Times New Roman"/>
          <w:bCs/>
          <w:szCs w:val="21"/>
          <w:highlight w:val="none"/>
        </w:rPr>
        <w:t>智能仓储设备及系统</w:t>
      </w:r>
      <w:r>
        <w:rPr>
          <w:rFonts w:hint="eastAsia" w:ascii="Times New Roman" w:hAnsi="Times New Roman"/>
          <w:bCs/>
          <w:szCs w:val="21"/>
        </w:rPr>
        <w:t>、阀冷设备、消防炮、全站建筑物通风及空调系统、柔直变压器BOX-IN及围墙隔声屏障等。</w:t>
      </w:r>
    </w:p>
    <w:p w14:paraId="0A1CCE00">
      <w:pPr>
        <w:autoSpaceDE w:val="0"/>
        <w:autoSpaceDN w:val="0"/>
        <w:adjustRightInd w:val="0"/>
        <w:snapToGrid w:val="0"/>
        <w:spacing w:line="360" w:lineRule="auto"/>
        <w:ind w:firstLine="211" w:firstLineChars="100"/>
        <w:jc w:val="left"/>
        <w:rPr>
          <w:rFonts w:ascii="Times New Roman" w:hAnsi="Times New Roman"/>
          <w:bCs/>
          <w:szCs w:val="21"/>
          <w:u w:val="single"/>
        </w:rPr>
      </w:pPr>
      <w:r>
        <w:rPr>
          <w:rFonts w:ascii="Times New Roman" w:hAnsi="Times New Roman"/>
          <w:b/>
          <w:szCs w:val="21"/>
        </w:rPr>
        <w:t>（</w:t>
      </w:r>
      <w:r>
        <w:rPr>
          <w:rFonts w:hint="eastAsia" w:ascii="Times New Roman" w:hAnsi="Times New Roman"/>
          <w:b/>
          <w:szCs w:val="21"/>
        </w:rPr>
        <w:t>二</w:t>
      </w:r>
      <w:r>
        <w:rPr>
          <w:rFonts w:ascii="Times New Roman" w:hAnsi="Times New Roman"/>
          <w:b/>
          <w:szCs w:val="21"/>
        </w:rPr>
        <w:t>）其他甲供物资：</w:t>
      </w:r>
      <w:r>
        <w:rPr>
          <w:rFonts w:ascii="Times New Roman" w:hAnsi="Times New Roman"/>
          <w:bCs/>
          <w:szCs w:val="21"/>
          <w:u w:val="single"/>
        </w:rPr>
        <w:t xml:space="preserve"> /。</w:t>
      </w:r>
    </w:p>
    <w:p w14:paraId="3D293BDC">
      <w:pPr>
        <w:pStyle w:val="11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注：建设单位提供的设备、材料以合同附件（甲供设备材料明细表）为准。</w:t>
      </w:r>
    </w:p>
    <w:p w14:paraId="55E7C558">
      <w:pPr>
        <w:pStyle w:val="11"/>
        <w:rPr>
          <w:rFonts w:ascii="Times New Roman" w:hAnsi="Times New Roman"/>
        </w:rPr>
      </w:pPr>
    </w:p>
    <w:p w14:paraId="3DC05FF3">
      <w:bookmarkStart w:id="4" w:name="_GoBack"/>
      <w:bookmarkEnd w:id="4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B7D7F7">
    <w:pPr>
      <w:pStyle w:val="12"/>
      <w:ind w:right="360" w:firstLine="360"/>
      <w:jc w:val="center"/>
      <w:rPr>
        <w:sz w:val="21"/>
        <w:szCs w:val="21"/>
      </w:rPr>
    </w:pPr>
    <w:r>
      <w:rPr>
        <w:sz w:val="21"/>
        <w:szCs w:val="21"/>
      </w:rPr>
      <w:t xml:space="preserve"> </w:t>
    </w:r>
    <w:r>
      <w:rPr>
        <w:rFonts w:ascii="Times New Roman" w:hAnsi="Times New Roman"/>
        <w:sz w:val="21"/>
        <w:szCs w:val="21"/>
      </w:rPr>
      <w:fldChar w:fldCharType="begin"/>
    </w:r>
    <w:r>
      <w:rPr>
        <w:rFonts w:ascii="Times New Roman" w:hAnsi="Times New Roman"/>
        <w:sz w:val="21"/>
        <w:szCs w:val="21"/>
      </w:rPr>
      <w:instrText xml:space="preserve">PAGE   \* MERGEFORMAT</w:instrText>
    </w:r>
    <w:r>
      <w:rPr>
        <w:rFonts w:ascii="Times New Roman" w:hAnsi="Times New Roman"/>
        <w:sz w:val="21"/>
        <w:szCs w:val="21"/>
      </w:rPr>
      <w:fldChar w:fldCharType="separate"/>
    </w:r>
    <w:r>
      <w:rPr>
        <w:rFonts w:ascii="Times New Roman" w:hAnsi="Times New Roman"/>
        <w:sz w:val="21"/>
        <w:szCs w:val="21"/>
        <w:lang w:val="zh-CN"/>
      </w:rPr>
      <w:t>3</w:t>
    </w:r>
    <w:r>
      <w:rPr>
        <w:rFonts w:ascii="Times New Roman" w:hAnsi="Times New Roman"/>
        <w:sz w:val="21"/>
        <w:szCs w:val="21"/>
      </w:rPr>
      <w:fldChar w:fldCharType="end"/>
    </w:r>
    <w:r>
      <w:rPr>
        <w:sz w:val="21"/>
        <w:szCs w:val="21"/>
      </w:rPr>
      <w:t xml:space="preserve">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D1BDD">
    <w:pPr>
      <w:spacing w:before="240" w:beforeLines="100"/>
      <w:rPr>
        <w:rFonts w:ascii="Times New Roman" w:hAnsi="Times New Roman" w:eastAsia="楷体"/>
        <w:sz w:val="18"/>
        <w:szCs w:val="18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67D46"/>
    <w:rsid w:val="00172A27"/>
    <w:rsid w:val="001A7F4C"/>
    <w:rsid w:val="00297547"/>
    <w:rsid w:val="002F1310"/>
    <w:rsid w:val="003B21A8"/>
    <w:rsid w:val="003C1C1E"/>
    <w:rsid w:val="00420E7C"/>
    <w:rsid w:val="00786DC0"/>
    <w:rsid w:val="00901867"/>
    <w:rsid w:val="00910717"/>
    <w:rsid w:val="009C7D59"/>
    <w:rsid w:val="00A80C0E"/>
    <w:rsid w:val="00AA75A7"/>
    <w:rsid w:val="00AD017E"/>
    <w:rsid w:val="00AD4FDF"/>
    <w:rsid w:val="00AD6A88"/>
    <w:rsid w:val="00B82898"/>
    <w:rsid w:val="00BA51CC"/>
    <w:rsid w:val="00BD449B"/>
    <w:rsid w:val="00D35DD5"/>
    <w:rsid w:val="00D96EB1"/>
    <w:rsid w:val="00E33701"/>
    <w:rsid w:val="00FE3B33"/>
    <w:rsid w:val="010F4D4C"/>
    <w:rsid w:val="01C015FF"/>
    <w:rsid w:val="01F34FBF"/>
    <w:rsid w:val="0213224F"/>
    <w:rsid w:val="025A67AA"/>
    <w:rsid w:val="02721111"/>
    <w:rsid w:val="02886898"/>
    <w:rsid w:val="02AB31E9"/>
    <w:rsid w:val="02D07A79"/>
    <w:rsid w:val="034623EE"/>
    <w:rsid w:val="04184952"/>
    <w:rsid w:val="04653A3F"/>
    <w:rsid w:val="047C49E9"/>
    <w:rsid w:val="04F049A8"/>
    <w:rsid w:val="056117E3"/>
    <w:rsid w:val="05BA2CB8"/>
    <w:rsid w:val="063F3A64"/>
    <w:rsid w:val="06666721"/>
    <w:rsid w:val="073F20F3"/>
    <w:rsid w:val="07E24976"/>
    <w:rsid w:val="08944426"/>
    <w:rsid w:val="096E4722"/>
    <w:rsid w:val="09B7769B"/>
    <w:rsid w:val="0A172612"/>
    <w:rsid w:val="0A2C0C06"/>
    <w:rsid w:val="0A892BC4"/>
    <w:rsid w:val="0AEC727C"/>
    <w:rsid w:val="0C93150A"/>
    <w:rsid w:val="0C9339D5"/>
    <w:rsid w:val="0C952D82"/>
    <w:rsid w:val="0CA563F5"/>
    <w:rsid w:val="0CBC3C74"/>
    <w:rsid w:val="0D8920C3"/>
    <w:rsid w:val="0DBE04C6"/>
    <w:rsid w:val="0DF6159C"/>
    <w:rsid w:val="0E890600"/>
    <w:rsid w:val="0EDC2445"/>
    <w:rsid w:val="0F013483"/>
    <w:rsid w:val="0F126346"/>
    <w:rsid w:val="0FEB729D"/>
    <w:rsid w:val="10D46A26"/>
    <w:rsid w:val="112A3D19"/>
    <w:rsid w:val="11472166"/>
    <w:rsid w:val="1171712A"/>
    <w:rsid w:val="11C955BB"/>
    <w:rsid w:val="11E12C61"/>
    <w:rsid w:val="120B2110"/>
    <w:rsid w:val="12D9053A"/>
    <w:rsid w:val="12DC5FA1"/>
    <w:rsid w:val="131577DB"/>
    <w:rsid w:val="13511BBE"/>
    <w:rsid w:val="13A965B0"/>
    <w:rsid w:val="13F6014E"/>
    <w:rsid w:val="14612762"/>
    <w:rsid w:val="15125241"/>
    <w:rsid w:val="154D0DEA"/>
    <w:rsid w:val="158F187F"/>
    <w:rsid w:val="160D793F"/>
    <w:rsid w:val="163A4A10"/>
    <w:rsid w:val="16B32D29"/>
    <w:rsid w:val="1708238A"/>
    <w:rsid w:val="17464AB3"/>
    <w:rsid w:val="1783438E"/>
    <w:rsid w:val="185365BF"/>
    <w:rsid w:val="18787932"/>
    <w:rsid w:val="18866C6C"/>
    <w:rsid w:val="19567321"/>
    <w:rsid w:val="19B71113"/>
    <w:rsid w:val="1A473CA6"/>
    <w:rsid w:val="1A555BBE"/>
    <w:rsid w:val="1A85373E"/>
    <w:rsid w:val="1B846D66"/>
    <w:rsid w:val="1BB4525B"/>
    <w:rsid w:val="1BE7774A"/>
    <w:rsid w:val="1C4A05F8"/>
    <w:rsid w:val="1CBB20F3"/>
    <w:rsid w:val="1D181F4A"/>
    <w:rsid w:val="1DED69C6"/>
    <w:rsid w:val="1E35361B"/>
    <w:rsid w:val="1E964759"/>
    <w:rsid w:val="1EC2624D"/>
    <w:rsid w:val="200407CD"/>
    <w:rsid w:val="200F41A6"/>
    <w:rsid w:val="204D3C8B"/>
    <w:rsid w:val="206D64FC"/>
    <w:rsid w:val="20AF0F8B"/>
    <w:rsid w:val="20BB44E8"/>
    <w:rsid w:val="21115EF3"/>
    <w:rsid w:val="21293853"/>
    <w:rsid w:val="214848C1"/>
    <w:rsid w:val="21782177"/>
    <w:rsid w:val="227620EA"/>
    <w:rsid w:val="227F2CA6"/>
    <w:rsid w:val="232606DC"/>
    <w:rsid w:val="23607DE2"/>
    <w:rsid w:val="23895DB1"/>
    <w:rsid w:val="23CF381C"/>
    <w:rsid w:val="24053DA7"/>
    <w:rsid w:val="240A6030"/>
    <w:rsid w:val="24CE7A5A"/>
    <w:rsid w:val="250B44FA"/>
    <w:rsid w:val="252D708B"/>
    <w:rsid w:val="26BB1DD1"/>
    <w:rsid w:val="27924413"/>
    <w:rsid w:val="28220AFC"/>
    <w:rsid w:val="28A80261"/>
    <w:rsid w:val="290B5D62"/>
    <w:rsid w:val="29702FAD"/>
    <w:rsid w:val="29735D77"/>
    <w:rsid w:val="298B1640"/>
    <w:rsid w:val="29C410CB"/>
    <w:rsid w:val="2A8C2D26"/>
    <w:rsid w:val="2AF32708"/>
    <w:rsid w:val="2B13509A"/>
    <w:rsid w:val="2C31308C"/>
    <w:rsid w:val="2C8F0EA7"/>
    <w:rsid w:val="2CE26F74"/>
    <w:rsid w:val="2CE72BBB"/>
    <w:rsid w:val="2D1852EF"/>
    <w:rsid w:val="2DBA1D37"/>
    <w:rsid w:val="2E6F6B90"/>
    <w:rsid w:val="2E936C3D"/>
    <w:rsid w:val="2E993E36"/>
    <w:rsid w:val="2EBF0DB7"/>
    <w:rsid w:val="2EF23C52"/>
    <w:rsid w:val="2EF43B94"/>
    <w:rsid w:val="2F097580"/>
    <w:rsid w:val="2F197C4D"/>
    <w:rsid w:val="2F5100A4"/>
    <w:rsid w:val="3075179D"/>
    <w:rsid w:val="307B6474"/>
    <w:rsid w:val="30D366C7"/>
    <w:rsid w:val="319121DA"/>
    <w:rsid w:val="319375DC"/>
    <w:rsid w:val="32075EC9"/>
    <w:rsid w:val="321E6130"/>
    <w:rsid w:val="3243118A"/>
    <w:rsid w:val="32BD3524"/>
    <w:rsid w:val="345B286C"/>
    <w:rsid w:val="34902BCC"/>
    <w:rsid w:val="34961CD9"/>
    <w:rsid w:val="34A1443F"/>
    <w:rsid w:val="351C27B0"/>
    <w:rsid w:val="35F6026E"/>
    <w:rsid w:val="361424F5"/>
    <w:rsid w:val="36C02D19"/>
    <w:rsid w:val="371F7A61"/>
    <w:rsid w:val="37AB2D5A"/>
    <w:rsid w:val="37CF4189"/>
    <w:rsid w:val="38307AD1"/>
    <w:rsid w:val="38D40BFF"/>
    <w:rsid w:val="38F4537F"/>
    <w:rsid w:val="39023B77"/>
    <w:rsid w:val="396857D4"/>
    <w:rsid w:val="3A8F1D3B"/>
    <w:rsid w:val="3B720CD8"/>
    <w:rsid w:val="3BA52C45"/>
    <w:rsid w:val="3CA046BE"/>
    <w:rsid w:val="3DD006F5"/>
    <w:rsid w:val="3E1C2B61"/>
    <w:rsid w:val="3E3E7CC7"/>
    <w:rsid w:val="3E895925"/>
    <w:rsid w:val="3EA242D1"/>
    <w:rsid w:val="3F1902E6"/>
    <w:rsid w:val="3F2A7C66"/>
    <w:rsid w:val="3F9FAB97"/>
    <w:rsid w:val="40DD4F24"/>
    <w:rsid w:val="410427B6"/>
    <w:rsid w:val="41073E0E"/>
    <w:rsid w:val="41A11B43"/>
    <w:rsid w:val="422A4891"/>
    <w:rsid w:val="428B0805"/>
    <w:rsid w:val="42AB18C2"/>
    <w:rsid w:val="432730CB"/>
    <w:rsid w:val="43374CD4"/>
    <w:rsid w:val="43455B8A"/>
    <w:rsid w:val="435F7804"/>
    <w:rsid w:val="438225EE"/>
    <w:rsid w:val="43AA7164"/>
    <w:rsid w:val="44337C1C"/>
    <w:rsid w:val="446F0F4B"/>
    <w:rsid w:val="447311FF"/>
    <w:rsid w:val="44DF14C8"/>
    <w:rsid w:val="45010FCD"/>
    <w:rsid w:val="453B1AF8"/>
    <w:rsid w:val="45670C50"/>
    <w:rsid w:val="45857D9C"/>
    <w:rsid w:val="45B90BAD"/>
    <w:rsid w:val="45D35BB2"/>
    <w:rsid w:val="463177A5"/>
    <w:rsid w:val="468F70F5"/>
    <w:rsid w:val="46B46844"/>
    <w:rsid w:val="46B9408D"/>
    <w:rsid w:val="46D332C1"/>
    <w:rsid w:val="46ED6069"/>
    <w:rsid w:val="47875FA2"/>
    <w:rsid w:val="4942653E"/>
    <w:rsid w:val="49A847A6"/>
    <w:rsid w:val="49FF2174"/>
    <w:rsid w:val="4A180A44"/>
    <w:rsid w:val="4A45195C"/>
    <w:rsid w:val="4AE828A9"/>
    <w:rsid w:val="4AF34C74"/>
    <w:rsid w:val="4B32221A"/>
    <w:rsid w:val="4B7414A5"/>
    <w:rsid w:val="4B926AB1"/>
    <w:rsid w:val="4BC81760"/>
    <w:rsid w:val="4C27522D"/>
    <w:rsid w:val="4C55038A"/>
    <w:rsid w:val="4C717EE1"/>
    <w:rsid w:val="4CDD12A8"/>
    <w:rsid w:val="4D391DAD"/>
    <w:rsid w:val="4D510AD1"/>
    <w:rsid w:val="4DFA077B"/>
    <w:rsid w:val="4E1B0A03"/>
    <w:rsid w:val="4E335445"/>
    <w:rsid w:val="4E612ADD"/>
    <w:rsid w:val="4EE24A5B"/>
    <w:rsid w:val="4F4068DE"/>
    <w:rsid w:val="4F937849"/>
    <w:rsid w:val="506816E4"/>
    <w:rsid w:val="508558A6"/>
    <w:rsid w:val="5113047B"/>
    <w:rsid w:val="51145746"/>
    <w:rsid w:val="511C160B"/>
    <w:rsid w:val="515E7D31"/>
    <w:rsid w:val="51874B16"/>
    <w:rsid w:val="519F621D"/>
    <w:rsid w:val="52885076"/>
    <w:rsid w:val="535D61E7"/>
    <w:rsid w:val="53AB6B01"/>
    <w:rsid w:val="53DC18A1"/>
    <w:rsid w:val="54216091"/>
    <w:rsid w:val="545110D1"/>
    <w:rsid w:val="547B107C"/>
    <w:rsid w:val="54A07B2F"/>
    <w:rsid w:val="54AE588B"/>
    <w:rsid w:val="54E54D3D"/>
    <w:rsid w:val="552503C0"/>
    <w:rsid w:val="552D3719"/>
    <w:rsid w:val="5591023D"/>
    <w:rsid w:val="55D46A07"/>
    <w:rsid w:val="564E2C80"/>
    <w:rsid w:val="56563349"/>
    <w:rsid w:val="57F161C0"/>
    <w:rsid w:val="592856EA"/>
    <w:rsid w:val="59CE37A6"/>
    <w:rsid w:val="5A017854"/>
    <w:rsid w:val="5AD115CD"/>
    <w:rsid w:val="5B043B95"/>
    <w:rsid w:val="5B171E82"/>
    <w:rsid w:val="5B256DD6"/>
    <w:rsid w:val="5B7E7977"/>
    <w:rsid w:val="5CA90D7A"/>
    <w:rsid w:val="5D156186"/>
    <w:rsid w:val="5D4A0134"/>
    <w:rsid w:val="5DA546AF"/>
    <w:rsid w:val="5E92116F"/>
    <w:rsid w:val="5EE906B0"/>
    <w:rsid w:val="5F500D3D"/>
    <w:rsid w:val="5F813FC0"/>
    <w:rsid w:val="5F9271EE"/>
    <w:rsid w:val="5FA82DEF"/>
    <w:rsid w:val="5FD52EAC"/>
    <w:rsid w:val="5FFD1D7C"/>
    <w:rsid w:val="607B63D6"/>
    <w:rsid w:val="60807BFF"/>
    <w:rsid w:val="61245EFD"/>
    <w:rsid w:val="61EE6409"/>
    <w:rsid w:val="62714A32"/>
    <w:rsid w:val="62C457D8"/>
    <w:rsid w:val="633562CC"/>
    <w:rsid w:val="643166B3"/>
    <w:rsid w:val="643C3652"/>
    <w:rsid w:val="66533F6E"/>
    <w:rsid w:val="669C7C7D"/>
    <w:rsid w:val="67FA7F5F"/>
    <w:rsid w:val="6829183D"/>
    <w:rsid w:val="698718B2"/>
    <w:rsid w:val="698E123D"/>
    <w:rsid w:val="69E13737"/>
    <w:rsid w:val="6A043645"/>
    <w:rsid w:val="6AC95741"/>
    <w:rsid w:val="6AF81D8A"/>
    <w:rsid w:val="6B356FEF"/>
    <w:rsid w:val="6B3B2CBB"/>
    <w:rsid w:val="6B3D558B"/>
    <w:rsid w:val="6C5C22D4"/>
    <w:rsid w:val="6CA25582"/>
    <w:rsid w:val="6CFD09B5"/>
    <w:rsid w:val="6DA438F0"/>
    <w:rsid w:val="6E1E4715"/>
    <w:rsid w:val="6E7E2D5A"/>
    <w:rsid w:val="6E9A3E10"/>
    <w:rsid w:val="6EAF3408"/>
    <w:rsid w:val="6F8A028E"/>
    <w:rsid w:val="6FCE294B"/>
    <w:rsid w:val="6FD8258B"/>
    <w:rsid w:val="70025DF1"/>
    <w:rsid w:val="70AB6673"/>
    <w:rsid w:val="715273A6"/>
    <w:rsid w:val="7159528B"/>
    <w:rsid w:val="71887D53"/>
    <w:rsid w:val="72247D78"/>
    <w:rsid w:val="738E27FD"/>
    <w:rsid w:val="73C075B8"/>
    <w:rsid w:val="73C313C2"/>
    <w:rsid w:val="74167854"/>
    <w:rsid w:val="741B35EC"/>
    <w:rsid w:val="74BA7716"/>
    <w:rsid w:val="75892461"/>
    <w:rsid w:val="75BF2B4D"/>
    <w:rsid w:val="75FE0B1A"/>
    <w:rsid w:val="764E655D"/>
    <w:rsid w:val="765E0811"/>
    <w:rsid w:val="766A6DBB"/>
    <w:rsid w:val="7677576F"/>
    <w:rsid w:val="768F4E19"/>
    <w:rsid w:val="76FF4347"/>
    <w:rsid w:val="770B70DA"/>
    <w:rsid w:val="7737A4B4"/>
    <w:rsid w:val="776A599D"/>
    <w:rsid w:val="778B672F"/>
    <w:rsid w:val="77972F48"/>
    <w:rsid w:val="77A7135E"/>
    <w:rsid w:val="77D55FB4"/>
    <w:rsid w:val="78362FBC"/>
    <w:rsid w:val="786C12A0"/>
    <w:rsid w:val="788274D1"/>
    <w:rsid w:val="789B17B9"/>
    <w:rsid w:val="78FA4387"/>
    <w:rsid w:val="79011794"/>
    <w:rsid w:val="799449A0"/>
    <w:rsid w:val="7A0479F1"/>
    <w:rsid w:val="7A403F0D"/>
    <w:rsid w:val="7A4778AC"/>
    <w:rsid w:val="7A5B103B"/>
    <w:rsid w:val="7A6678E3"/>
    <w:rsid w:val="7AE43B4F"/>
    <w:rsid w:val="7AEE0D33"/>
    <w:rsid w:val="7B115A6C"/>
    <w:rsid w:val="7B1E0809"/>
    <w:rsid w:val="7BE11BCC"/>
    <w:rsid w:val="7BFA4CF4"/>
    <w:rsid w:val="7C3410A6"/>
    <w:rsid w:val="7C7D040E"/>
    <w:rsid w:val="7CCB17CA"/>
    <w:rsid w:val="7CEA1DC0"/>
    <w:rsid w:val="7D082779"/>
    <w:rsid w:val="7D4525F8"/>
    <w:rsid w:val="7D6C40EC"/>
    <w:rsid w:val="7D960ACB"/>
    <w:rsid w:val="7D9C3754"/>
    <w:rsid w:val="7DEF6F7E"/>
    <w:rsid w:val="7E0A29DC"/>
    <w:rsid w:val="7E7C75B1"/>
    <w:rsid w:val="7F33152B"/>
    <w:rsid w:val="7F392F22"/>
    <w:rsid w:val="7F3B0945"/>
    <w:rsid w:val="7FE91CD5"/>
    <w:rsid w:val="BFF75A83"/>
    <w:rsid w:val="E9FFB5EB"/>
    <w:rsid w:val="EFFFDEB7"/>
    <w:rsid w:val="FDFD2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99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/>
      <w:jc w:val="left"/>
      <w:outlineLvl w:val="0"/>
    </w:pPr>
    <w:rPr>
      <w:rFonts w:ascii="宋体" w:hAnsi="宋体"/>
      <w:b/>
      <w:bCs/>
      <w:color w:val="000000"/>
      <w:kern w:val="44"/>
      <w:szCs w:val="21"/>
    </w:rPr>
  </w:style>
  <w:style w:type="paragraph" w:styleId="3">
    <w:name w:val="heading 2"/>
    <w:basedOn w:val="1"/>
    <w:next w:val="1"/>
    <w:unhideWhenUsed/>
    <w:qFormat/>
    <w:uiPriority w:val="0"/>
    <w:pPr>
      <w:autoSpaceDE w:val="0"/>
      <w:autoSpaceDN w:val="0"/>
      <w:adjustRightInd w:val="0"/>
      <w:outlineLvl w:val="1"/>
    </w:pPr>
    <w:rPr>
      <w:rFonts w:ascii="Arial" w:hAnsi="Arial"/>
      <w:b/>
      <w:i/>
      <w:color w:val="000000"/>
      <w:sz w:val="28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6" w:lineRule="auto"/>
      <w:ind w:firstLine="200" w:firstLineChars="200"/>
      <w:outlineLvl w:val="2"/>
    </w:pPr>
    <w:rPr>
      <w:rFonts w:ascii="Times New Roman" w:hAnsi="Times New Roman"/>
      <w:b/>
      <w:bCs/>
      <w:sz w:val="32"/>
      <w:szCs w:val="32"/>
    </w:rPr>
  </w:style>
  <w:style w:type="paragraph" w:styleId="5">
    <w:name w:val="heading 4"/>
    <w:basedOn w:val="4"/>
    <w:next w:val="6"/>
    <w:qFormat/>
    <w:uiPriority w:val="0"/>
    <w:pPr>
      <w:spacing w:beforeLines="50" w:afterLines="50" w:line="360" w:lineRule="auto"/>
      <w:jc w:val="center"/>
      <w:outlineLvl w:val="3"/>
    </w:pPr>
    <w:rPr>
      <w:rFonts w:ascii="Arial" w:hAnsi="Arial"/>
      <w:b w:val="0"/>
      <w:bCs w:val="0"/>
      <w:color w:val="000000"/>
      <w:sz w:val="24"/>
      <w:szCs w:val="24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qFormat/>
    <w:uiPriority w:val="0"/>
    <w:pPr>
      <w:spacing w:line="360" w:lineRule="auto"/>
      <w:ind w:firstLine="420" w:firstLineChars="200"/>
    </w:pPr>
    <w:rPr>
      <w:rFonts w:ascii="Times New Roman" w:hAnsi="Times New Roman"/>
      <w:szCs w:val="20"/>
    </w:rPr>
  </w:style>
  <w:style w:type="paragraph" w:styleId="7">
    <w:name w:val="annotation text"/>
    <w:basedOn w:val="1"/>
    <w:unhideWhenUsed/>
    <w:qFormat/>
    <w:uiPriority w:val="0"/>
    <w:pPr>
      <w:jc w:val="left"/>
    </w:pPr>
  </w:style>
  <w:style w:type="paragraph" w:styleId="8">
    <w:name w:val="Body Text"/>
    <w:basedOn w:val="1"/>
    <w:next w:val="9"/>
    <w:unhideWhenUsed/>
    <w:qFormat/>
    <w:uiPriority w:val="99"/>
    <w:pPr>
      <w:spacing w:after="120"/>
    </w:pPr>
  </w:style>
  <w:style w:type="paragraph" w:styleId="9">
    <w:name w:val="Title"/>
    <w:basedOn w:val="1"/>
    <w:next w:val="1"/>
    <w:qFormat/>
    <w:uiPriority w:val="0"/>
    <w:pPr>
      <w:widowControl/>
      <w:spacing w:before="240" w:after="60" w:line="560" w:lineRule="exact"/>
      <w:jc w:val="center"/>
      <w:outlineLvl w:val="0"/>
    </w:pPr>
    <w:rPr>
      <w:rFonts w:ascii="Arial" w:hAnsi="Arial" w:eastAsia="华文中宋" w:cs="Arial"/>
      <w:b/>
      <w:bCs/>
      <w:color w:val="FF0000"/>
      <w:kern w:val="0"/>
      <w:sz w:val="84"/>
      <w:szCs w:val="32"/>
    </w:rPr>
  </w:style>
  <w:style w:type="paragraph" w:styleId="10">
    <w:name w:val="Body Text Indent"/>
    <w:qFormat/>
    <w:uiPriority w:val="0"/>
    <w:pPr>
      <w:widowControl w:val="0"/>
      <w:adjustRightInd w:val="0"/>
      <w:spacing w:line="360" w:lineRule="auto"/>
      <w:ind w:firstLine="600"/>
      <w:textAlignment w:val="baseline"/>
    </w:pPr>
    <w:rPr>
      <w:rFonts w:ascii="Times New Roman" w:hAnsi="Times New Roman" w:eastAsia="宋体" w:cs="Times New Roman"/>
      <w:color w:val="000000"/>
      <w:sz w:val="28"/>
      <w:lang w:val="en-US" w:eastAsia="zh-CN" w:bidi="ar-SA"/>
    </w:rPr>
  </w:style>
  <w:style w:type="paragraph" w:styleId="11">
    <w:name w:val="Plain Text"/>
    <w:basedOn w:val="1"/>
    <w:qFormat/>
    <w:uiPriority w:val="0"/>
    <w:rPr>
      <w:rFonts w:ascii="宋体" w:hAnsi="Courier New"/>
      <w:kern w:val="0"/>
      <w:sz w:val="20"/>
      <w:szCs w:val="20"/>
    </w:r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4">
    <w:name w:val="toc 1"/>
    <w:basedOn w:val="1"/>
    <w:next w:val="1"/>
    <w:qFormat/>
    <w:uiPriority w:val="39"/>
    <w:pPr>
      <w:spacing w:beforeLines="50"/>
    </w:pPr>
    <w:rPr>
      <w:rFonts w:ascii="Times New Roman" w:hAnsi="Times New Roman"/>
      <w:szCs w:val="20"/>
    </w:rPr>
  </w:style>
  <w:style w:type="paragraph" w:styleId="15">
    <w:name w:val="toc 2"/>
    <w:basedOn w:val="1"/>
    <w:next w:val="1"/>
    <w:qFormat/>
    <w:uiPriority w:val="39"/>
    <w:pPr>
      <w:spacing w:beforeLines="50"/>
      <w:ind w:left="210"/>
    </w:pPr>
    <w:rPr>
      <w:rFonts w:ascii="Times New Roman" w:hAnsi="Times New Roman"/>
      <w:szCs w:val="20"/>
    </w:rPr>
  </w:style>
  <w:style w:type="paragraph" w:styleId="16">
    <w:name w:val="Normal (Web)"/>
    <w:basedOn w:val="1"/>
    <w:qFormat/>
    <w:uiPriority w:val="99"/>
    <w:pPr>
      <w:widowControl/>
      <w:spacing w:before="100" w:beforeAutospacing="1" w:after="100" w:afterAutospacing="1" w:line="360" w:lineRule="auto"/>
      <w:ind w:firstLine="200" w:firstLineChars="200"/>
      <w:jc w:val="left"/>
    </w:pPr>
    <w:rPr>
      <w:rFonts w:ascii="宋体" w:hAnsi="宋体" w:cs="宋体"/>
      <w:kern w:val="0"/>
      <w:sz w:val="24"/>
      <w:szCs w:val="24"/>
    </w:rPr>
  </w:style>
  <w:style w:type="table" w:styleId="18">
    <w:name w:val="Table Grid"/>
    <w:basedOn w:val="1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page number"/>
    <w:basedOn w:val="19"/>
    <w:qFormat/>
    <w:uiPriority w:val="0"/>
  </w:style>
  <w:style w:type="character" w:styleId="21">
    <w:name w:val="Hyperlink"/>
    <w:qFormat/>
    <w:uiPriority w:val="99"/>
    <w:rPr>
      <w:color w:val="0000FF"/>
      <w:u w:val="single"/>
    </w:rPr>
  </w:style>
  <w:style w:type="character" w:styleId="22">
    <w:name w:val="annotation reference"/>
    <w:qFormat/>
    <w:uiPriority w:val="0"/>
    <w:rPr>
      <w:sz w:val="21"/>
      <w:szCs w:val="21"/>
    </w:rPr>
  </w:style>
  <w:style w:type="paragraph" w:customStyle="1" w:styleId="23">
    <w:name w:val="正文（首行缩进2字符）"/>
    <w:basedOn w:val="1"/>
    <w:qFormat/>
    <w:uiPriority w:val="0"/>
    <w:pPr>
      <w:topLinePunct/>
      <w:spacing w:line="360" w:lineRule="auto"/>
      <w:ind w:firstLine="200" w:firstLineChars="200"/>
    </w:pPr>
    <w:rPr>
      <w:rFonts w:cs="宋体"/>
      <w:sz w:val="28"/>
      <w:szCs w:val="28"/>
    </w:rPr>
  </w:style>
  <w:style w:type="table" w:customStyle="1" w:styleId="24">
    <w:name w:val="网格型31"/>
    <w:basedOn w:val="1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5">
    <w:name w:val="网格型6"/>
    <w:basedOn w:val="1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">
    <w:name w:val="正文西部变电站"/>
    <w:basedOn w:val="1"/>
    <w:qFormat/>
    <w:uiPriority w:val="0"/>
    <w:pPr>
      <w:spacing w:line="360" w:lineRule="auto"/>
      <w:ind w:firstLine="200" w:firstLineChars="200"/>
    </w:pPr>
    <w:rPr>
      <w:rFonts w:ascii="Times New Roman" w:hAnsi="Times New Roman"/>
      <w:sz w:val="24"/>
      <w:szCs w:val="24"/>
    </w:rPr>
  </w:style>
  <w:style w:type="paragraph" w:customStyle="1" w:styleId="27">
    <w:name w:val="00正文"/>
    <w:basedOn w:val="28"/>
    <w:qFormat/>
    <w:uiPriority w:val="0"/>
    <w:pPr>
      <w:ind w:firstLine="480"/>
    </w:pPr>
    <w:rPr>
      <w:rFonts w:cs="宋体"/>
    </w:rPr>
  </w:style>
  <w:style w:type="paragraph" w:customStyle="1" w:styleId="28">
    <w:name w:val="0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rFonts w:ascii="Times New Roman" w:hAnsi="Times New Roman"/>
      <w:color w:val="000000"/>
      <w:kern w:val="0"/>
      <w:sz w:val="24"/>
      <w:szCs w:val="24"/>
    </w:rPr>
  </w:style>
  <w:style w:type="paragraph" w:styleId="29">
    <w:name w:val="List Paragraph"/>
    <w:basedOn w:val="1"/>
    <w:qFormat/>
    <w:uiPriority w:val="34"/>
    <w:pPr>
      <w:spacing w:line="360" w:lineRule="auto"/>
      <w:ind w:firstLine="420" w:firstLineChars="200"/>
    </w:pPr>
  </w:style>
  <w:style w:type="table" w:customStyle="1" w:styleId="30">
    <w:name w:val="网格型3"/>
    <w:basedOn w:val="1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">
    <w:name w:val="font21"/>
    <w:qFormat/>
    <w:uiPriority w:val="0"/>
    <w:rPr>
      <w:rFonts w:hint="eastAsia" w:ascii="宋体" w:hAnsi="宋体" w:eastAsia="宋体"/>
      <w:color w:val="000000"/>
      <w:sz w:val="20"/>
      <w:szCs w:val="20"/>
      <w:u w:val="none"/>
    </w:rPr>
  </w:style>
  <w:style w:type="paragraph" w:customStyle="1" w:styleId="32">
    <w:name w:val="11444"/>
    <w:basedOn w:val="1"/>
    <w:qFormat/>
    <w:uiPriority w:val="0"/>
    <w:pPr>
      <w:overflowPunct w:val="0"/>
      <w:autoSpaceDE w:val="0"/>
      <w:autoSpaceDN w:val="0"/>
      <w:adjustRightInd w:val="0"/>
      <w:snapToGrid w:val="0"/>
      <w:spacing w:before="80" w:after="80" w:line="520" w:lineRule="atLeast"/>
      <w:jc w:val="center"/>
      <w:textAlignment w:val="baseline"/>
    </w:pPr>
    <w:rPr>
      <w:rFonts w:ascii="华文楷体" w:hAnsi="华文楷体" w:eastAsia="华文楷体"/>
      <w:b/>
      <w:snapToGrid w:val="0"/>
      <w:color w:val="000000" w:themeColor="text1"/>
      <w:kern w:val="0"/>
      <w:sz w:val="28"/>
      <w:szCs w:val="28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emf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1481</Words>
  <Characters>1585</Characters>
  <Lines>12</Lines>
  <Paragraphs>3</Paragraphs>
  <TotalTime>7</TotalTime>
  <ScaleCrop>false</ScaleCrop>
  <LinksUpToDate>false</LinksUpToDate>
  <CharactersWithSpaces>1593</CharactersWithSpaces>
  <Application>WPS Office_12.1.2.24720_F1E327BC-269C-435d-A152-05C5408002CA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2021-02-26T07:31:00Z</dcterms:created>
  <dc:creator>weixy</dc:creator>
  <cp:lastModifiedBy>XC~anxs</cp:lastModifiedBy>
  <dcterms:modified xsi:type="dcterms:W3CDTF">2026-09-08T10:31:55Z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2052-12.1.2.24720</vt:lpwstr>
  </property>
  <property fmtid="{D5CDD505-2E9C-101B-9397-08002B2CF9AE}" pid="3" name="ICV">
    <vt:lpwstr>1B5B3F7245914BD2949EB90CC0A79021_13</vt:lpwstr>
  </property>
  <property fmtid="{D5CDD505-2E9C-101B-9397-08002B2CF9AE}" pid="4" name="KSOTemplateDocerSaveRecord">
    <vt:lpwstr>eyJoZGlkIjoiYzA1NDFmMTQ1OGJlYzNlMGZkMzQ1ZGYwM2ExMmRkN2UiLCJ1c2VySWQiOiI2NjIwMjQ5NjYifQ==</vt:lpwstr>
  </property>
</Properties>
</file>