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881A">
      <w:pPr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lang w:eastAsia="zh-CN"/>
        </w:rPr>
        <w:t>标的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2</w:t>
      </w:r>
    </w:p>
    <w:p w14:paraId="2CDB89AA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项目</w:t>
      </w:r>
      <w:r>
        <w:rPr>
          <w:rFonts w:ascii="Times New Roman" w:hAnsi="Times New Roman"/>
          <w:b/>
          <w:bCs/>
          <w:sz w:val="24"/>
          <w:szCs w:val="24"/>
        </w:rPr>
        <w:t>名称：</w:t>
      </w:r>
      <w:r>
        <w:rPr>
          <w:rFonts w:hint="default" w:ascii="Times New Roman" w:hAnsi="Times New Roman" w:eastAsia="宋体"/>
          <w:b/>
          <w:bCs/>
          <w:sz w:val="24"/>
          <w:szCs w:val="24"/>
          <w:highlight w:val="none"/>
        </w:rPr>
        <w:t>藏粤直流工程小迳站、中部站接地极施工</w:t>
      </w:r>
    </w:p>
    <w:p w14:paraId="04905A38">
      <w:pPr>
        <w:pStyle w:val="11"/>
      </w:pPr>
    </w:p>
    <w:tbl>
      <w:tblPr>
        <w:tblStyle w:val="19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 w14:paraId="1574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22197CB0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 w14:paraId="7BC4A107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 w14:paraId="533036C9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文件文号</w:t>
            </w:r>
          </w:p>
        </w:tc>
      </w:tr>
      <w:tr w14:paraId="41359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ED6D7DC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 w14:paraId="1BF9A1C2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 w14:paraId="4A3661C4">
            <w:pPr>
              <w:pStyle w:val="11"/>
              <w:snapToGrid w:val="0"/>
              <w:spacing w:line="36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snapToGrid w:val="0"/>
                <w:sz w:val="21"/>
                <w:szCs w:val="21"/>
              </w:rPr>
              <w:t>南方电网规划〔2024〕137号</w:t>
            </w:r>
          </w:p>
        </w:tc>
      </w:tr>
      <w:tr w14:paraId="5B0D5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81806C0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 w14:paraId="6D157CEB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bottom"/>
          </w:tcPr>
          <w:p w14:paraId="5EFB6D10">
            <w:pPr>
              <w:pStyle w:val="11"/>
              <w:snapToGrid w:val="0"/>
              <w:spacing w:line="360" w:lineRule="auto"/>
              <w:jc w:val="center"/>
              <w:rPr>
                <w:rFonts w:ascii="Times New Roman" w:hAnsi="Times New Roman"/>
                <w:snapToGrid w:val="0"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napToGrid w:val="0"/>
                <w:sz w:val="21"/>
                <w:szCs w:val="21"/>
              </w:rPr>
              <w:t>发改能源〔2025〕791号</w:t>
            </w:r>
          </w:p>
        </w:tc>
      </w:tr>
      <w:tr w14:paraId="27FA3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2328D5F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 w14:paraId="064FD314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 w14:paraId="26E414BB">
            <w:pPr>
              <w:widowControl/>
              <w:snapToGrid w:val="0"/>
              <w:jc w:val="center"/>
              <w:rPr>
                <w:rFonts w:ascii="Times New Roman" w:hAnsi="Times New Roman"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snapToGrid w:val="0"/>
                <w:kern w:val="0"/>
                <w:szCs w:val="21"/>
              </w:rPr>
              <w:t>南方电网工程〔2026〕1 号</w:t>
            </w:r>
          </w:p>
        </w:tc>
      </w:tr>
      <w:tr w14:paraId="65CD5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72401F91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 w14:paraId="6573B3B3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 w14:paraId="4B2F156C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南方电网计财〔202</w:t>
            </w:r>
            <w:r>
              <w:rPr>
                <w:rFonts w:ascii="Times New Roman" w:hAnsi="Times New Roman"/>
                <w:snapToGrid w:val="0"/>
                <w:sz w:val="21"/>
                <w:szCs w:val="21"/>
              </w:rPr>
              <w:t>6</w:t>
            </w: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〕</w:t>
            </w:r>
            <w:r>
              <w:rPr>
                <w:rFonts w:ascii="Times New Roman" w:hAnsi="Times New Roman"/>
                <w:snapToGrid w:val="0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号</w:t>
            </w:r>
          </w:p>
        </w:tc>
      </w:tr>
      <w:tr w14:paraId="6326A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2B74E979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 w14:paraId="6DD461E9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 w14:paraId="4EAEEA3D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snapToGrid w:val="0"/>
                <w:sz w:val="21"/>
                <w:szCs w:val="21"/>
              </w:rPr>
              <w:t>/</w:t>
            </w:r>
          </w:p>
        </w:tc>
      </w:tr>
      <w:tr w14:paraId="379E7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7F5B6469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 w14:paraId="19796B0B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 w14:paraId="422EF95C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广东藏粤直流电力运营有限公司</w:t>
            </w:r>
          </w:p>
        </w:tc>
      </w:tr>
      <w:tr w14:paraId="563B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A585AD4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 w14:paraId="1C53A21F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 w14:paraId="50A118C4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广东省清远市</w:t>
            </w:r>
            <w:r>
              <w:rPr>
                <w:rFonts w:ascii="Times New Roman" w:hAnsi="Times New Roman"/>
                <w:snapToGrid w:val="0"/>
                <w:sz w:val="21"/>
                <w:szCs w:val="21"/>
              </w:rPr>
              <w:t>英德市大湾镇</w:t>
            </w:r>
          </w:p>
          <w:p w14:paraId="47598E75">
            <w:pPr>
              <w:pStyle w:val="11"/>
              <w:snapToGrid w:val="0"/>
              <w:jc w:val="center"/>
              <w:rPr>
                <w:rFonts w:hint="default" w:ascii="Times New Roman" w:hAnsi="Times New Roman" w:eastAsia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  <w:lang w:val="en-US" w:eastAsia="zh-CN"/>
              </w:rPr>
              <w:t>广东省惠州市大布村</w:t>
            </w:r>
          </w:p>
        </w:tc>
      </w:tr>
      <w:tr w14:paraId="505A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52E45EBD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 w14:paraId="0EC9BA5A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 w14:paraId="10693023">
            <w:pPr>
              <w:pStyle w:val="11"/>
              <w:snapToGrid w:val="0"/>
              <w:jc w:val="center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小迳站接地极：</w:t>
            </w:r>
            <w:r>
              <w:rPr>
                <w:rFonts w:ascii="Times New Roman" w:hAnsi="Times New Roman"/>
                <w:sz w:val="21"/>
                <w:szCs w:val="21"/>
              </w:rPr>
              <w:t>中国能源建设集团广东省电力设计研究院有限公司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；</w:t>
            </w:r>
          </w:p>
          <w:p w14:paraId="51320214">
            <w:pPr>
              <w:pStyle w:val="11"/>
              <w:snapToGrid w:val="0"/>
              <w:jc w:val="center"/>
              <w:rPr>
                <w:rFonts w:hint="default" w:ascii="Times New Roman" w:hAnsi="Times New Roman" w:eastAsia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中部站接地极：中国电力工程顾问集团华东电力设计院有限公司、中国能源建设集团云南省电力设计院有限公司（联合体）</w:t>
            </w:r>
          </w:p>
        </w:tc>
      </w:tr>
      <w:tr w14:paraId="5E87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7E65F7D1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 w14:paraId="4A26D15E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 w14:paraId="56495686">
            <w:pPr>
              <w:pStyle w:val="11"/>
              <w:snapToGrid w:val="0"/>
              <w:jc w:val="center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广东天广能源科技发展有限公司</w:t>
            </w:r>
          </w:p>
          <w:p w14:paraId="1FDEBFC2">
            <w:pPr>
              <w:pStyle w:val="11"/>
              <w:snapToGrid w:val="0"/>
              <w:jc w:val="center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  <w:highlight w:val="none"/>
              </w:rPr>
              <w:t>广东创成建设监理咨询有限公司</w:t>
            </w:r>
          </w:p>
        </w:tc>
      </w:tr>
    </w:tbl>
    <w:p w14:paraId="12702FCD">
      <w:pPr>
        <w:adjustRightInd w:val="0"/>
        <w:snapToGrid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53F7C674">
      <w:pPr>
        <w:pStyle w:val="3"/>
        <w:spacing w:after="156" w:afterLines="50" w:line="360" w:lineRule="auto"/>
        <w:rPr>
          <w:rFonts w:ascii="Calibri" w:hAnsi="Calibri" w:eastAsiaTheme="minorEastAsia"/>
          <w:bCs/>
          <w:i w:val="0"/>
          <w:color w:val="auto"/>
          <w:sz w:val="24"/>
          <w:szCs w:val="24"/>
        </w:rPr>
      </w:pPr>
      <w:r>
        <w:rPr>
          <w:rFonts w:hint="eastAsia" w:ascii="Calibri" w:hAnsi="Calibri" w:eastAsiaTheme="minorEastAsia"/>
          <w:bCs/>
          <w:i w:val="0"/>
          <w:color w:val="auto"/>
          <w:sz w:val="24"/>
          <w:szCs w:val="24"/>
        </w:rPr>
        <w:t>一、项目概况</w:t>
      </w:r>
    </w:p>
    <w:p w14:paraId="41971D34">
      <w:pPr>
        <w:pStyle w:val="3"/>
        <w:snapToGrid w:val="0"/>
        <w:spacing w:line="360" w:lineRule="auto"/>
        <w:rPr>
          <w:rFonts w:ascii="Calibri" w:hAnsi="Calibri" w:eastAsiaTheme="minorEastAsia"/>
          <w:bCs/>
          <w:i w:val="0"/>
          <w:color w:val="auto"/>
          <w:sz w:val="21"/>
          <w:szCs w:val="21"/>
        </w:rPr>
      </w:pPr>
      <w:bookmarkStart w:id="0" w:name="_Toc218503331"/>
      <w:bookmarkStart w:id="1" w:name="_Toc443982837"/>
      <w:r>
        <w:rPr>
          <w:rFonts w:hint="eastAsia" w:ascii="Calibri" w:hAnsi="Calibri" w:eastAsiaTheme="minorEastAsia"/>
          <w:bCs/>
          <w:i w:val="0"/>
          <w:color w:val="auto"/>
          <w:sz w:val="21"/>
          <w:szCs w:val="21"/>
        </w:rPr>
        <w:t>（一）工程建设规模</w:t>
      </w:r>
      <w:bookmarkEnd w:id="0"/>
      <w:bookmarkEnd w:id="1"/>
    </w:p>
    <w:p w14:paraId="6001DBEF">
      <w:pPr>
        <w:adjustRightInd w:val="0"/>
        <w:spacing w:line="360" w:lineRule="auto"/>
        <w:ind w:firstLine="480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藏粤直流工程拟建设1回±800kV、10000MW直流输电工程。在受端广州市和深圳市各建设一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座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±800kV/5000MW受端柔性直流换流站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在广东省清远市英德市大湾镇、广东省惠州市大布村，分别建设</w:t>
      </w:r>
      <w:r>
        <w:rPr>
          <w:rFonts w:hint="default" w:ascii="Times New Roman" w:hAnsi="Times New Roman" w:cs="Times New Roman"/>
          <w:color w:val="333333"/>
          <w:sz w:val="21"/>
          <w:szCs w:val="21"/>
          <w:highlight w:val="none"/>
        </w:rPr>
        <w:t>受端</w:t>
      </w:r>
      <w:r>
        <w:rPr>
          <w:rFonts w:hint="eastAsia" w:ascii="Times New Roman" w:hAnsi="Times New Roman" w:cs="Times New Roman"/>
          <w:color w:val="333333"/>
          <w:sz w:val="21"/>
          <w:szCs w:val="21"/>
          <w:highlight w:val="none"/>
          <w:lang w:val="en-US" w:eastAsia="zh-CN"/>
        </w:rPr>
        <w:t>广州小迳换流站、</w:t>
      </w:r>
      <w:r>
        <w:rPr>
          <w:rFonts w:hint="default" w:ascii="Times New Roman" w:hAnsi="Times New Roman" w:cs="Times New Roman"/>
          <w:color w:val="333333"/>
          <w:sz w:val="21"/>
          <w:szCs w:val="21"/>
          <w:highlight w:val="none"/>
          <w:lang w:val="en-US" w:eastAsia="zh-CN"/>
        </w:rPr>
        <w:t>深圳中部换流站接地极</w:t>
      </w:r>
      <w:r>
        <w:rPr>
          <w:rFonts w:hint="eastAsia" w:ascii="Times New Roman" w:hAnsi="Times New Roman" w:cs="Times New Roman"/>
          <w:color w:val="333333"/>
          <w:sz w:val="21"/>
          <w:szCs w:val="21"/>
          <w:highlight w:val="none"/>
          <w:lang w:val="en-US" w:eastAsia="zh-CN"/>
        </w:rPr>
        <w:t>，接地极采用专用深井接地极方案</w:t>
      </w:r>
      <w:r>
        <w:rPr>
          <w:rFonts w:hint="default" w:ascii="Times New Roman" w:hAnsi="Times New Roman" w:cs="Times New Roman"/>
          <w:color w:val="333333"/>
          <w:sz w:val="21"/>
          <w:szCs w:val="21"/>
          <w:highlight w:val="none"/>
        </w:rPr>
        <w:t>。</w:t>
      </w:r>
    </w:p>
    <w:p w14:paraId="008F6BCF">
      <w:pPr>
        <w:pStyle w:val="3"/>
        <w:snapToGrid w:val="0"/>
        <w:spacing w:line="360" w:lineRule="auto"/>
        <w:rPr>
          <w:rFonts w:hint="default" w:ascii="Calibri" w:hAnsi="Calibri" w:eastAsiaTheme="minorEastAsia"/>
          <w:bCs/>
          <w:i w:val="0"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Theme="minorEastAsia"/>
          <w:bCs/>
          <w:i w:val="0"/>
          <w:color w:val="auto"/>
          <w:sz w:val="21"/>
          <w:szCs w:val="21"/>
          <w:lang w:val="en-US" w:eastAsia="zh-CN"/>
        </w:rPr>
        <w:t>（二）接地极概况</w:t>
      </w:r>
    </w:p>
    <w:p w14:paraId="7A10D34B">
      <w:pPr>
        <w:widowControl/>
        <w:snapToGrid w:val="0"/>
        <w:spacing w:line="360" w:lineRule="auto"/>
        <w:jc w:val="left"/>
        <w:textAlignment w:val="baseline"/>
        <w:rPr>
          <w:rFonts w:hint="default" w:ascii="Times New Roman" w:hAnsi="Times New Roman" w:eastAsia="宋体"/>
          <w:b/>
          <w:bCs/>
          <w:lang w:val="en-US" w:eastAsia="zh-CN"/>
        </w:rPr>
      </w:pPr>
      <w:r>
        <w:rPr>
          <w:rFonts w:hint="eastAsia" w:ascii="Times New Roman" w:hAnsi="Times New Roman"/>
          <w:b/>
          <w:bCs/>
          <w:lang w:val="en-US" w:eastAsia="zh-CN"/>
        </w:rPr>
        <w:t>1.广州小迳换流站接地极</w:t>
      </w:r>
    </w:p>
    <w:p w14:paraId="188D0363">
      <w:pPr>
        <w:adjustRightInd w:val="0"/>
        <w:spacing w:line="360" w:lineRule="auto"/>
        <w:ind w:firstLine="480"/>
        <w:rPr>
          <w:rFonts w:hint="default" w:ascii="Times New Roman" w:hAnsi="Times New Roman" w:cs="Times New Roman"/>
          <w:color w:val="auto"/>
          <w:sz w:val="21"/>
          <w:szCs w:val="20"/>
        </w:rPr>
      </w:pPr>
      <w:bookmarkStart w:id="2" w:name="_Toc443982838"/>
      <w:bookmarkStart w:id="3" w:name="_Toc218503332"/>
      <w:r>
        <w:rPr>
          <w:rFonts w:hint="default" w:ascii="Times New Roman" w:hAnsi="Times New Roman" w:cs="Times New Roman"/>
          <w:color w:val="auto"/>
          <w:sz w:val="21"/>
          <w:szCs w:val="20"/>
        </w:rPr>
        <w:t>极址位置</w:t>
      </w:r>
      <w:r>
        <w:rPr>
          <w:rFonts w:hint="eastAsia" w:ascii="Times New Roman" w:hAnsi="Times New Roman" w:cs="Times New Roman"/>
          <w:color w:val="auto"/>
          <w:sz w:val="21"/>
          <w:szCs w:val="20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围仔下极址是广州小迳换流站专用接地极，位于小迳换流站西北方向110km</w:t>
      </w:r>
      <w:r>
        <w:rPr>
          <w:rFonts w:hint="eastAsia" w:ascii="Times New Roman" w:hAnsi="Times New Roman" w:cs="Times New Roman"/>
          <w:color w:val="auto"/>
          <w:sz w:val="21"/>
          <w:szCs w:val="20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具体位于英德市大湾镇北部约5.8km处。</w:t>
      </w:r>
    </w:p>
    <w:p w14:paraId="4C2B7A57">
      <w:pPr>
        <w:adjustRightInd w:val="0"/>
        <w:spacing w:line="360" w:lineRule="auto"/>
        <w:ind w:firstLine="480"/>
        <w:rPr>
          <w:rFonts w:hint="default" w:ascii="Times New Roman" w:hAnsi="Times New Roman" w:cs="Times New Roman"/>
          <w:color w:val="auto"/>
          <w:sz w:val="21"/>
          <w:szCs w:val="20"/>
        </w:rPr>
      </w:pPr>
      <w:r>
        <w:rPr>
          <w:rFonts w:hint="default" w:ascii="Times New Roman" w:hAnsi="Times New Roman" w:cs="Times New Roman"/>
          <w:color w:val="auto"/>
          <w:sz w:val="21"/>
          <w:szCs w:val="20"/>
        </w:rPr>
        <w:t>极址地理位置及地形地貌</w:t>
      </w:r>
      <w:r>
        <w:rPr>
          <w:rFonts w:hint="eastAsia" w:ascii="Times New Roman" w:hAnsi="Times New Roman" w:cs="Times New Roman"/>
          <w:color w:val="auto"/>
          <w:sz w:val="21"/>
          <w:szCs w:val="20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极址场地地貌主要为冲积平原，局部为丘陵地貌，中间高、四周低，场地旁有一条波罗河通过，地面高程40.0m~75.4m。现主要为耕地，以及少量林地，主要种植有竹子等。极址导流中心征地388.86㎡</w:t>
      </w:r>
      <w:r>
        <w:rPr>
          <w:rFonts w:hint="eastAsia" w:ascii="Times New Roman" w:hAnsi="Times New Roman" w:cs="Times New Roman"/>
          <w:color w:val="auto"/>
          <w:sz w:val="21"/>
          <w:szCs w:val="20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深井及电缆永久租地面积暂估4530㎡。</w:t>
      </w:r>
    </w:p>
    <w:p w14:paraId="5878D1F0">
      <w:pPr>
        <w:adjustRightInd w:val="0"/>
        <w:spacing w:line="360" w:lineRule="auto"/>
        <w:ind w:firstLine="480"/>
        <w:rPr>
          <w:rFonts w:hint="default" w:ascii="Times New Roman" w:hAnsi="Times New Roman" w:cs="Times New Roman"/>
          <w:color w:val="auto"/>
          <w:sz w:val="21"/>
          <w:szCs w:val="20"/>
        </w:rPr>
      </w:pPr>
      <w:r>
        <w:rPr>
          <w:rFonts w:hint="default" w:ascii="Times New Roman" w:hAnsi="Times New Roman" w:cs="Times New Roman"/>
          <w:color w:val="auto"/>
          <w:sz w:val="21"/>
          <w:szCs w:val="20"/>
        </w:rPr>
        <w:t>广州小迳换流站接地极采用四口深井布置，深井电极间距不小于85m，井深850m，单口深井接地极馈电棒有效导电长度765m，馈电棒选用外径73mm、厚度12mm的</w:t>
      </w:r>
      <w:r>
        <w:rPr>
          <w:rFonts w:hint="default" w:ascii="Times New Roman" w:hAnsi="Times New Roman" w:cs="Times New Roman"/>
          <w:color w:val="000000"/>
          <w:highlight w:val="none"/>
        </w:rPr>
        <w:t>N80石油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钢管，馈电棒埋深为10m-850m，引流电缆接入端子分别离地面为12m、14m、340m、595m，与</w:t>
      </w:r>
      <w:r>
        <w:rPr>
          <w:rFonts w:hint="eastAsia" w:ascii="Times New Roman" w:hAnsi="Times New Roman" w:cs="Times New Roman"/>
          <w:color w:val="auto"/>
          <w:sz w:val="21"/>
          <w:szCs w:val="20"/>
          <w:lang w:val="en-US" w:eastAsia="zh-CN"/>
        </w:rPr>
        <w:t>馈电棒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采用放热焊接，焦炭沉降按注入焦炭深度的不大于10%考虑。新建接地极中心引流构架，深井接地极引</w:t>
      </w:r>
      <w:r>
        <w:rPr>
          <w:rFonts w:hint="eastAsia" w:ascii="Times New Roman" w:hAnsi="Times New Roman" w:cs="Times New Roman"/>
          <w:color w:val="auto"/>
          <w:sz w:val="21"/>
          <w:szCs w:val="20"/>
          <w:lang w:val="en-US" w:eastAsia="zh-CN"/>
        </w:rPr>
        <w:t>出4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根YJAY443-6-1x300引流电缆至井口附近的电缆转接井，每根引流电缆经中间头转接通过1根YJAY63-6-1x300导流电缆至极址中心引流构架。</w:t>
      </w:r>
    </w:p>
    <w:p w14:paraId="7FF53412"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color w:val="auto"/>
          <w:sz w:val="21"/>
          <w:szCs w:val="20"/>
        </w:rPr>
      </w:pPr>
      <w:r>
        <w:drawing>
          <wp:inline distT="0" distB="0" distL="114300" distR="114300">
            <wp:extent cx="5270500" cy="3061970"/>
            <wp:effectExtent l="0" t="0" r="8255" b="381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6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6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B654F">
      <w:pPr>
        <w:pStyle w:val="3"/>
        <w:snapToGrid w:val="0"/>
        <w:spacing w:line="360" w:lineRule="auto"/>
        <w:rPr>
          <w:rFonts w:hint="default" w:ascii="Calibri" w:hAnsi="Calibri" w:eastAsiaTheme="minorEastAsia"/>
          <w:bCs/>
          <w:i w:val="0"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Theme="minorEastAsia"/>
          <w:bCs/>
          <w:i w:val="0"/>
          <w:color w:val="auto"/>
          <w:sz w:val="21"/>
          <w:szCs w:val="21"/>
          <w:lang w:val="en-US" w:eastAsia="zh-CN"/>
        </w:rPr>
        <w:t>2.深圳中部站专用接地极</w:t>
      </w:r>
    </w:p>
    <w:p w14:paraId="59A5C85C">
      <w:pPr>
        <w:adjustRightInd w:val="0"/>
        <w:snapToGrid w:val="0"/>
        <w:spacing w:line="360" w:lineRule="auto"/>
        <w:ind w:firstLine="48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极址位置</w:t>
      </w:r>
      <w:r>
        <w:rPr>
          <w:rFonts w:hint="eastAsia" w:ascii="Times New Roman" w:hAnsi="Times New Roman" w:cs="Times New Roman"/>
          <w:highlight w:val="none"/>
          <w:lang w:eastAsia="zh-CN"/>
        </w:rPr>
        <w:t>：</w:t>
      </w:r>
      <w:r>
        <w:rPr>
          <w:rFonts w:hint="default" w:ascii="Times New Roman" w:hAnsi="Times New Roman" w:cs="Times New Roman"/>
          <w:highlight w:val="none"/>
        </w:rPr>
        <w:t>大布村极址是深圳中部换流站专用接地极，位于深圳中部换流站东北方向约115km，惠东县安墩镇大布村西南侧安墩河北侧岸边，距安墩镇中心约3.5km，极址距离深圳中部换流站站址直线距离约114km。</w:t>
      </w:r>
    </w:p>
    <w:p w14:paraId="24FB9FC6">
      <w:pPr>
        <w:adjustRightInd w:val="0"/>
        <w:snapToGrid w:val="0"/>
        <w:spacing w:line="360" w:lineRule="auto"/>
        <w:ind w:firstLine="48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极址地理位置及地形地貌</w:t>
      </w:r>
      <w:r>
        <w:rPr>
          <w:rFonts w:hint="eastAsia" w:ascii="Times New Roman" w:hAnsi="Times New Roman" w:cs="Times New Roman"/>
          <w:highlight w:val="none"/>
          <w:lang w:eastAsia="zh-CN"/>
        </w:rPr>
        <w:t>：</w:t>
      </w:r>
      <w:r>
        <w:rPr>
          <w:rFonts w:hint="default" w:ascii="Times New Roman" w:hAnsi="Times New Roman" w:cs="Times New Roman"/>
          <w:highlight w:val="none"/>
        </w:rPr>
        <w:t>大布村极址位于广东省惠州市惠东县安墩镇，大布村西南侧安墩河北侧岸边，河岸边有村级道路大布桥-海四道路，为水泥硬化路。极址导流中心征地597.74㎡，深井及电缆永久租地面积暂估859.95㎡。极址属山间盆地，地形平坦开阔，现状为耕地、林地，海拔高程在70.0~75.0m。</w:t>
      </w:r>
    </w:p>
    <w:p w14:paraId="0E7AF0F3">
      <w:pPr>
        <w:adjustRightInd w:val="0"/>
        <w:snapToGrid w:val="0"/>
        <w:spacing w:line="360" w:lineRule="auto"/>
        <w:ind w:firstLine="480"/>
        <w:rPr>
          <w:rFonts w:hint="default" w:ascii="Times New Roman" w:hAnsi="Times New Roman" w:cs="Times New Roman"/>
          <w:color w:val="000000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深圳中部换流站接地极采用四口深井</w:t>
      </w:r>
      <w:r>
        <w:rPr>
          <w:rFonts w:hint="eastAsia" w:cs="Times New Roman"/>
          <w:highlight w:val="none"/>
          <w:lang w:val="en-US" w:eastAsia="zh-CN"/>
        </w:rPr>
        <w:t>一字型</w:t>
      </w:r>
      <w:r>
        <w:rPr>
          <w:rFonts w:hint="default" w:ascii="Times New Roman" w:hAnsi="Times New Roman" w:cs="Times New Roman"/>
          <w:highlight w:val="none"/>
        </w:rPr>
        <w:t>布置，深井电极间距不小于90m，井深900m，</w:t>
      </w:r>
      <w:r>
        <w:rPr>
          <w:rFonts w:hint="default" w:ascii="Times New Roman" w:hAnsi="Times New Roman" w:cs="Times New Roman"/>
          <w:color w:val="000000"/>
          <w:highlight w:val="none"/>
        </w:rPr>
        <w:t>单口深井接地极馈电棒有效导电长度810m，馈电棒选用外径73mm、厚度12mm的N80石油钢管，馈电棒埋深为10m-900m，引流电缆接入端子分别离地面为12m、14m、360m、630m，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与</w:t>
      </w:r>
      <w:r>
        <w:rPr>
          <w:rFonts w:hint="eastAsia" w:ascii="Times New Roman" w:hAnsi="Times New Roman" w:cs="Times New Roman"/>
          <w:color w:val="auto"/>
          <w:sz w:val="21"/>
          <w:szCs w:val="20"/>
          <w:lang w:val="en-US" w:eastAsia="zh-CN"/>
        </w:rPr>
        <w:t>馈电棒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采用放热焊接，</w:t>
      </w:r>
      <w:r>
        <w:rPr>
          <w:rFonts w:hint="default" w:ascii="Times New Roman" w:hAnsi="Times New Roman" w:cs="Times New Roman"/>
          <w:color w:val="000000"/>
          <w:highlight w:val="none"/>
        </w:rPr>
        <w:t>焦炭沉降按注入焦炭深度的</w:t>
      </w:r>
      <w:r>
        <w:rPr>
          <w:rFonts w:hint="default" w:ascii="Times New Roman" w:hAnsi="Times New Roman" w:cs="Times New Roman"/>
          <w:color w:val="000000"/>
          <w:highlight w:val="none"/>
          <w:lang w:val="en-US" w:eastAsia="zh-CN"/>
        </w:rPr>
        <w:t>不大于</w:t>
      </w:r>
      <w:r>
        <w:rPr>
          <w:rFonts w:hint="default" w:ascii="Times New Roman" w:hAnsi="Times New Roman" w:cs="Times New Roman"/>
          <w:color w:val="000000"/>
          <w:highlight w:val="none"/>
        </w:rPr>
        <w:t>10%考虑。新建接地极中心引流构架，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深井接地极引</w:t>
      </w:r>
      <w:r>
        <w:rPr>
          <w:rFonts w:hint="eastAsia" w:ascii="Times New Roman" w:hAnsi="Times New Roman" w:cs="Times New Roman"/>
          <w:color w:val="auto"/>
          <w:sz w:val="21"/>
          <w:szCs w:val="20"/>
          <w:lang w:val="en-US" w:eastAsia="zh-CN"/>
        </w:rPr>
        <w:t>出4</w:t>
      </w:r>
      <w:r>
        <w:rPr>
          <w:rFonts w:hint="default" w:ascii="Times New Roman" w:hAnsi="Times New Roman" w:cs="Times New Roman"/>
          <w:color w:val="auto"/>
          <w:sz w:val="21"/>
          <w:szCs w:val="20"/>
        </w:rPr>
        <w:t>根</w:t>
      </w:r>
      <w:r>
        <w:rPr>
          <w:rFonts w:hint="default" w:ascii="Times New Roman" w:hAnsi="Times New Roman" w:cs="Times New Roman"/>
          <w:color w:val="000000"/>
          <w:highlight w:val="none"/>
        </w:rPr>
        <w:t>YJAY443-6-1x300引流电缆至井口附近的电缆转接井，每根引流电缆经中间头</w:t>
      </w:r>
      <w:r>
        <w:rPr>
          <w:rFonts w:hint="default" w:ascii="Times New Roman" w:hAnsi="Times New Roman" w:cs="Times New Roman"/>
          <w:color w:val="000000"/>
          <w:highlight w:val="none"/>
          <w:lang w:val="en-US" w:eastAsia="zh-CN"/>
        </w:rPr>
        <w:t>转接通过1</w:t>
      </w:r>
      <w:r>
        <w:rPr>
          <w:rFonts w:hint="default" w:ascii="Times New Roman" w:hAnsi="Times New Roman" w:cs="Times New Roman"/>
          <w:color w:val="000000"/>
          <w:highlight w:val="none"/>
        </w:rPr>
        <w:t>根YJAY63-6-1x300导流电缆至极址中心引流构架。</w:t>
      </w:r>
    </w:p>
    <w:p w14:paraId="47574EBA">
      <w:pPr>
        <w:adjustRightInd w:val="0"/>
        <w:spacing w:line="360" w:lineRule="auto"/>
        <w:jc w:val="center"/>
        <w:rPr>
          <w:rFonts w:hint="default"/>
        </w:rPr>
      </w:pPr>
      <w:r>
        <w:drawing>
          <wp:inline distT="0" distB="0" distL="114300" distR="114300">
            <wp:extent cx="5266055" cy="3350895"/>
            <wp:effectExtent l="0" t="0" r="1905" b="635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5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bookmarkEnd w:id="3"/>
    <w:p w14:paraId="7F321163">
      <w:pPr>
        <w:pStyle w:val="3"/>
        <w:spacing w:after="156" w:afterLines="50"/>
        <w:rPr>
          <w:rFonts w:ascii="Calibri" w:hAnsi="Calibri" w:eastAsiaTheme="minorEastAsia"/>
          <w:bCs/>
          <w:i w:val="0"/>
          <w:color w:val="auto"/>
          <w:sz w:val="24"/>
          <w:szCs w:val="24"/>
        </w:rPr>
      </w:pPr>
      <w:r>
        <w:rPr>
          <w:rFonts w:hint="eastAsia" w:ascii="Calibri" w:hAnsi="Calibri" w:eastAsiaTheme="minorEastAsia"/>
          <w:bCs/>
          <w:i w:val="0"/>
          <w:color w:val="auto"/>
          <w:sz w:val="24"/>
          <w:szCs w:val="24"/>
        </w:rPr>
        <w:t>二、采购范围</w:t>
      </w:r>
    </w:p>
    <w:p w14:paraId="67A48365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</w:rPr>
        <w:t>广州小迳</w:t>
      </w:r>
      <w:r>
        <w:rPr>
          <w:rFonts w:ascii="Times New Roman" w:hAnsi="Times New Roman"/>
        </w:rPr>
        <w:t>换流站接地极工程施工范围包括：三通一平</w:t>
      </w:r>
      <w:r>
        <w:rPr>
          <w:rFonts w:hint="eastAsia" w:ascii="Times New Roman" w:hAnsi="Times New Roman"/>
          <w:lang w:eastAsia="zh"/>
        </w:rPr>
        <w:t>（含青赔补偿、相关手续办理等）</w:t>
      </w:r>
      <w:r>
        <w:rPr>
          <w:rFonts w:ascii="Times New Roman" w:hAnsi="Times New Roman"/>
        </w:rPr>
        <w:t>、土建施工</w:t>
      </w:r>
      <w:r>
        <w:rPr>
          <w:rFonts w:hint="eastAsia" w:ascii="Times New Roman" w:hAnsi="Times New Roman"/>
          <w:lang w:eastAsia="zh"/>
        </w:rPr>
        <w:t>（含钻井施工）</w:t>
      </w:r>
      <w:r>
        <w:rPr>
          <w:rFonts w:ascii="Times New Roman" w:hAnsi="Times New Roman"/>
        </w:rPr>
        <w:t>、电气安装</w:t>
      </w:r>
      <w:r>
        <w:rPr>
          <w:rFonts w:hint="eastAsia" w:ascii="Times New Roman" w:hAnsi="Times New Roman"/>
          <w:lang w:eastAsia="zh"/>
        </w:rPr>
        <w:t>，施工用地恢复等全部内容。</w:t>
      </w:r>
      <w:r>
        <w:rPr>
          <w:rFonts w:ascii="Times New Roman" w:hAnsi="Times New Roman"/>
          <w:bCs/>
          <w:szCs w:val="21"/>
        </w:rPr>
        <w:t>从本工程施工准备至工程竣工投产及工程移交、达标投产及创优</w:t>
      </w:r>
      <w:r>
        <w:rPr>
          <w:rFonts w:hint="eastAsia" w:ascii="Times New Roman" w:hAnsi="Times New Roman"/>
          <w:bCs/>
          <w:szCs w:val="21"/>
        </w:rPr>
        <w:t>为</w:t>
      </w:r>
      <w:r>
        <w:rPr>
          <w:rFonts w:ascii="Times New Roman" w:hAnsi="Times New Roman"/>
          <w:bCs/>
          <w:szCs w:val="21"/>
        </w:rPr>
        <w:t>止各阶段相关工作内容和服务。</w:t>
      </w:r>
    </w:p>
    <w:p w14:paraId="6132ED69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="Calibri" w:hAnsi="Calibri" w:eastAsiaTheme="minorEastAsia"/>
          <w:bCs/>
          <w:i w:val="0"/>
          <w:color w:val="auto"/>
          <w:sz w:val="24"/>
          <w:szCs w:val="24"/>
        </w:rPr>
      </w:pPr>
      <w:r>
        <w:rPr>
          <w:rFonts w:hint="default" w:ascii="Times New Roman" w:hAnsi="Times New Roman" w:eastAsia="宋体"/>
          <w:b w:val="0"/>
          <w:bCs w:val="0"/>
          <w:snapToGrid/>
          <w:sz w:val="21"/>
          <w:szCs w:val="22"/>
          <w:highlight w:val="none"/>
        </w:rPr>
        <w:t>深圳中部换流站接地极工程施工范围包括：三通一平</w:t>
      </w:r>
      <w:r>
        <w:rPr>
          <w:rFonts w:hint="eastAsia" w:ascii="Times New Roman" w:hAnsi="Times New Roman" w:eastAsia="宋体"/>
          <w:b w:val="0"/>
          <w:bCs w:val="0"/>
          <w:snapToGrid/>
          <w:sz w:val="21"/>
          <w:szCs w:val="22"/>
          <w:highlight w:val="none"/>
          <w:lang w:eastAsia="zh"/>
        </w:rPr>
        <w:t>（含青赔补偿、相关手续办理等）</w:t>
      </w:r>
      <w:r>
        <w:rPr>
          <w:rFonts w:hint="default" w:ascii="Times New Roman" w:hAnsi="Times New Roman" w:eastAsia="宋体"/>
          <w:b w:val="0"/>
          <w:bCs w:val="0"/>
          <w:snapToGrid/>
          <w:sz w:val="21"/>
          <w:szCs w:val="22"/>
          <w:highlight w:val="none"/>
        </w:rPr>
        <w:t>、土建施工</w:t>
      </w:r>
      <w:r>
        <w:rPr>
          <w:rFonts w:hint="eastAsia" w:ascii="Times New Roman" w:hAnsi="Times New Roman" w:eastAsia="宋体"/>
          <w:b w:val="0"/>
          <w:bCs w:val="0"/>
          <w:snapToGrid/>
          <w:sz w:val="21"/>
          <w:szCs w:val="22"/>
          <w:highlight w:val="none"/>
          <w:lang w:eastAsia="zh"/>
        </w:rPr>
        <w:t>（含钻井施工）</w:t>
      </w:r>
      <w:r>
        <w:rPr>
          <w:rFonts w:hint="default" w:ascii="Times New Roman" w:hAnsi="Times New Roman" w:eastAsia="宋体"/>
          <w:b w:val="0"/>
          <w:bCs w:val="0"/>
          <w:snapToGrid/>
          <w:sz w:val="21"/>
          <w:szCs w:val="22"/>
          <w:highlight w:val="none"/>
        </w:rPr>
        <w:t>、电气安装</w:t>
      </w:r>
      <w:r>
        <w:rPr>
          <w:rFonts w:hint="eastAsia" w:ascii="Times New Roman" w:hAnsi="Times New Roman" w:eastAsia="宋体"/>
          <w:b w:val="0"/>
          <w:bCs w:val="0"/>
          <w:snapToGrid/>
          <w:sz w:val="21"/>
          <w:szCs w:val="22"/>
          <w:highlight w:val="none"/>
          <w:lang w:val="en-US" w:eastAsia="zh"/>
        </w:rPr>
        <w:t>，施工用地恢复等全部内容</w:t>
      </w:r>
      <w:r>
        <w:rPr>
          <w:rFonts w:hint="eastAsia" w:ascii="Times New Roman" w:hAnsi="Times New Roman"/>
          <w:b w:val="0"/>
          <w:bCs w:val="0"/>
          <w:snapToGrid/>
          <w:sz w:val="21"/>
          <w:szCs w:val="22"/>
          <w:highlight w:val="none"/>
          <w:lang w:val="en-US" w:eastAsia="zh-CN"/>
        </w:rPr>
        <w:t>，包含</w:t>
      </w:r>
      <w:r>
        <w:rPr>
          <w:rFonts w:ascii="Times New Roman" w:hAnsi="Times New Roman"/>
          <w:bCs/>
          <w:szCs w:val="21"/>
          <w:highlight w:val="none"/>
        </w:rPr>
        <w:t>从本工程施工准备至工程竣工投产及工程移交、达标投产及创优</w:t>
      </w:r>
      <w:r>
        <w:rPr>
          <w:rFonts w:hint="eastAsia" w:ascii="Times New Roman" w:hAnsi="Times New Roman"/>
          <w:bCs/>
          <w:szCs w:val="21"/>
          <w:highlight w:val="none"/>
        </w:rPr>
        <w:t>为</w:t>
      </w:r>
      <w:r>
        <w:rPr>
          <w:rFonts w:ascii="Times New Roman" w:hAnsi="Times New Roman"/>
          <w:bCs/>
          <w:szCs w:val="21"/>
          <w:highlight w:val="none"/>
        </w:rPr>
        <w:t>止各阶段相关工作内容和服务。</w:t>
      </w:r>
    </w:p>
    <w:p w14:paraId="58C60B53">
      <w:pPr>
        <w:pStyle w:val="3"/>
        <w:spacing w:after="156" w:afterLines="50"/>
        <w:rPr>
          <w:rFonts w:ascii="Calibri" w:hAnsi="Calibri" w:eastAsiaTheme="minorEastAsia"/>
          <w:bCs/>
          <w:i w:val="0"/>
          <w:color w:val="auto"/>
          <w:sz w:val="24"/>
          <w:szCs w:val="24"/>
        </w:rPr>
      </w:pPr>
      <w:r>
        <w:rPr>
          <w:rFonts w:hint="eastAsia" w:ascii="Calibri" w:hAnsi="Calibri" w:eastAsiaTheme="minorEastAsia"/>
          <w:bCs/>
          <w:i w:val="0"/>
          <w:color w:val="auto"/>
          <w:sz w:val="24"/>
          <w:szCs w:val="24"/>
        </w:rPr>
        <w:t>三、承包方式</w:t>
      </w:r>
    </w:p>
    <w:p w14:paraId="31CF96A4">
      <w:pPr>
        <w:pStyle w:val="11"/>
        <w:snapToGrid w:val="0"/>
        <w:spacing w:line="360" w:lineRule="auto"/>
        <w:ind w:firstLine="422" w:firstLineChars="200"/>
        <w:rPr>
          <w:rFonts w:ascii="Times New Roman" w:hAnsi="Times New Roman"/>
          <w:b/>
          <w:kern w:val="2"/>
          <w:sz w:val="21"/>
          <w:szCs w:val="21"/>
        </w:rPr>
      </w:pPr>
      <w:r>
        <w:rPr>
          <w:rFonts w:ascii="Times New Roman" w:hAnsi="Times New Roman"/>
          <w:b/>
          <w:kern w:val="2"/>
          <w:sz w:val="21"/>
          <w:szCs w:val="21"/>
        </w:rPr>
        <w:t>包工、部分包料，施工图纸范围内如有下列设备、材料，无□及</w:t>
      </w:r>
      <w:r>
        <w:rPr>
          <w:rFonts w:ascii="Times New Roman" w:hAnsi="Times New Roman"/>
          <w:b/>
          <w:kern w:val="2"/>
          <w:sz w:val="21"/>
          <w:szCs w:val="21"/>
        </w:rPr>
        <w:fldChar w:fldCharType="begin"/>
      </w:r>
      <w:r>
        <w:rPr>
          <w:rFonts w:ascii="Times New Roman" w:hAnsi="Times New Roman"/>
          <w:b/>
          <w:kern w:val="2"/>
          <w:sz w:val="21"/>
          <w:szCs w:val="21"/>
        </w:rPr>
        <w:instrText xml:space="preserve"> EQ \o\ac(□,√)</w:instrText>
      </w:r>
      <w:r>
        <w:rPr>
          <w:rFonts w:ascii="Times New Roman" w:hAnsi="Times New Roman"/>
          <w:b/>
          <w:kern w:val="2"/>
          <w:sz w:val="21"/>
          <w:szCs w:val="21"/>
        </w:rPr>
        <w:fldChar w:fldCharType="end"/>
      </w:r>
      <w:r>
        <w:rPr>
          <w:rFonts w:ascii="Times New Roman" w:hAnsi="Times New Roman"/>
          <w:b/>
          <w:kern w:val="2"/>
          <w:sz w:val="21"/>
          <w:szCs w:val="21"/>
        </w:rPr>
        <w:t>的为甲供，□未打√的及不在下列的为乙供。</w:t>
      </w:r>
    </w:p>
    <w:p w14:paraId="00E214F9">
      <w:pPr>
        <w:widowControl/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Times New Roman" w:hAnsi="Times New Roman"/>
          <w:kern w:val="0"/>
        </w:rPr>
      </w:pPr>
      <w:r>
        <w:rPr>
          <w:rFonts w:ascii="Times New Roman" w:hAnsi="Times New Roman"/>
          <w:b/>
          <w:szCs w:val="21"/>
        </w:rPr>
        <w:t>（一）甲供物资：</w:t>
      </w:r>
    </w:p>
    <w:p w14:paraId="39F279B6">
      <w:pPr>
        <w:widowControl/>
        <w:snapToGrid w:val="0"/>
        <w:spacing w:line="360" w:lineRule="auto"/>
        <w:ind w:firstLine="480"/>
        <w:jc w:val="left"/>
        <w:textAlignment w:val="baseline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石油焦炭、阻断设备、隔离开关、支柱绝缘子、管型母线、管母、金具、设备线夹、引下线及设备间连接导线、设备支架、钢构架、电力电缆及电缆终端（接地极导流电缆、配电电缆等）、接地极在线监测系统等。</w:t>
      </w:r>
    </w:p>
    <w:p w14:paraId="73008835">
      <w:pPr>
        <w:widowControl/>
        <w:snapToGrid w:val="0"/>
        <w:spacing w:line="360" w:lineRule="auto"/>
        <w:ind w:firstLine="480"/>
        <w:jc w:val="left"/>
        <w:textAlignment w:val="baseline"/>
        <w:rPr>
          <w:rFonts w:ascii="Times New Roman" w:hAnsi="Times New Roman"/>
          <w:kern w:val="0"/>
          <w:lang w:eastAsia="zh"/>
        </w:rPr>
      </w:pPr>
      <w:r>
        <w:rPr>
          <w:rFonts w:hint="eastAsia" w:ascii="Times New Roman" w:hAnsi="Times New Roman"/>
          <w:kern w:val="0"/>
          <w:lang w:eastAsia="zh"/>
        </w:rPr>
        <w:t>（二）其他不在甲供物资以外的，包括但不限于：</w:t>
      </w:r>
    </w:p>
    <w:p w14:paraId="7446259A">
      <w:pPr>
        <w:widowControl/>
        <w:snapToGrid w:val="0"/>
        <w:spacing w:line="360" w:lineRule="auto"/>
        <w:ind w:firstLine="480"/>
        <w:jc w:val="left"/>
        <w:textAlignment w:val="baseline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深井馈电棒、护壁钢管及井内辅助装置、热镀锌扁钢、铜绞线、标识桩、细沙、盖板、铜排、垂直接地体、阻尼线、放热焊接、环氧树脂、镀锌钢管、抱箍、电缆槽盒、钢筋、砂石、混凝土及土建施工相关材料。还包括电缆防火涂料等，以及其它除甲供材料以外可能未提及的材料。</w:t>
      </w:r>
    </w:p>
    <w:p w14:paraId="575B35A3">
      <w:pPr>
        <w:pStyle w:val="11"/>
        <w:rPr>
          <w:highlight w:val="yellow"/>
        </w:rPr>
      </w:pPr>
      <w:r>
        <w:rPr>
          <w:rFonts w:ascii="Times New Roman" w:hAnsi="Times New Roman"/>
          <w:b/>
          <w:bCs/>
        </w:rPr>
        <w:t>注：建设单位提供的设备、材料以合同附件（甲供设备材料明细表）为准。</w:t>
      </w:r>
      <w:bookmarkStart w:id="4" w:name="_GoBack"/>
      <w:bookmarkEnd w:id="4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0D0B9">
    <w:pPr>
      <w:pStyle w:val="13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/>
        <w:sz w:val="21"/>
        <w:szCs w:val="21"/>
      </w:rPr>
      <w:fldChar w:fldCharType="begin"/>
    </w:r>
    <w:r>
      <w:rPr>
        <w:rFonts w:ascii="Times New Roman" w:hAnsi="Times New Roman"/>
        <w:sz w:val="21"/>
        <w:szCs w:val="21"/>
      </w:rPr>
      <w:instrText xml:space="preserve">PAGE   \* MERGEFORMAT</w:instrText>
    </w:r>
    <w:r>
      <w:rPr>
        <w:rFonts w:ascii="Times New Roman" w:hAnsi="Times New Roman"/>
        <w:sz w:val="21"/>
        <w:szCs w:val="21"/>
      </w:rPr>
      <w:fldChar w:fldCharType="separate"/>
    </w:r>
    <w:r>
      <w:rPr>
        <w:rFonts w:ascii="Times New Roman" w:hAnsi="Times New Roman"/>
        <w:sz w:val="21"/>
        <w:szCs w:val="21"/>
        <w:lang w:val="zh-CN"/>
      </w:rPr>
      <w:t>5</w:t>
    </w:r>
    <w:r>
      <w:rPr>
        <w:rFonts w:ascii="Times New Roman" w:hAnsi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F4ABE">
    <w:pPr>
      <w:spacing w:before="240" w:beforeLines="100"/>
      <w:rPr>
        <w:rFonts w:ascii="Times New Roman" w:hAnsi="Times New Roman" w:eastAsia="楷体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00042"/>
    <w:rsid w:val="00167D46"/>
    <w:rsid w:val="00172A27"/>
    <w:rsid w:val="001A7F4C"/>
    <w:rsid w:val="00297547"/>
    <w:rsid w:val="002F1310"/>
    <w:rsid w:val="003B21A8"/>
    <w:rsid w:val="003C1C1E"/>
    <w:rsid w:val="00420E7C"/>
    <w:rsid w:val="004C135A"/>
    <w:rsid w:val="004F0EE2"/>
    <w:rsid w:val="00530A47"/>
    <w:rsid w:val="005E0321"/>
    <w:rsid w:val="00786DC0"/>
    <w:rsid w:val="007C7B86"/>
    <w:rsid w:val="00901867"/>
    <w:rsid w:val="00910717"/>
    <w:rsid w:val="00956583"/>
    <w:rsid w:val="009C7D59"/>
    <w:rsid w:val="00A14558"/>
    <w:rsid w:val="00A635CC"/>
    <w:rsid w:val="00A80C0E"/>
    <w:rsid w:val="00AA75A7"/>
    <w:rsid w:val="00AD017E"/>
    <w:rsid w:val="00AD4FDF"/>
    <w:rsid w:val="00AD6A88"/>
    <w:rsid w:val="00AE69D9"/>
    <w:rsid w:val="00B82898"/>
    <w:rsid w:val="00BA51CC"/>
    <w:rsid w:val="00BD449B"/>
    <w:rsid w:val="00D35DD5"/>
    <w:rsid w:val="00D96EB1"/>
    <w:rsid w:val="00E33701"/>
    <w:rsid w:val="00E465D0"/>
    <w:rsid w:val="00FE3B33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892BC4"/>
    <w:rsid w:val="0AEC727C"/>
    <w:rsid w:val="0C93150A"/>
    <w:rsid w:val="0C9339D5"/>
    <w:rsid w:val="0C952D82"/>
    <w:rsid w:val="0CA563F5"/>
    <w:rsid w:val="0CBC3C74"/>
    <w:rsid w:val="0D8920C3"/>
    <w:rsid w:val="0DBE04C6"/>
    <w:rsid w:val="0DF6159C"/>
    <w:rsid w:val="0E5F022A"/>
    <w:rsid w:val="0E890600"/>
    <w:rsid w:val="0EDC2445"/>
    <w:rsid w:val="0F013483"/>
    <w:rsid w:val="0F126346"/>
    <w:rsid w:val="0F5F4C93"/>
    <w:rsid w:val="0FEB729D"/>
    <w:rsid w:val="10D46A26"/>
    <w:rsid w:val="112A3D19"/>
    <w:rsid w:val="11472166"/>
    <w:rsid w:val="1171712A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4612762"/>
    <w:rsid w:val="15125241"/>
    <w:rsid w:val="154D0DEA"/>
    <w:rsid w:val="158F187F"/>
    <w:rsid w:val="160D793F"/>
    <w:rsid w:val="163A4A10"/>
    <w:rsid w:val="16B32D29"/>
    <w:rsid w:val="1708238A"/>
    <w:rsid w:val="17464AB3"/>
    <w:rsid w:val="1783438E"/>
    <w:rsid w:val="185365BF"/>
    <w:rsid w:val="18787932"/>
    <w:rsid w:val="18866C6C"/>
    <w:rsid w:val="19567321"/>
    <w:rsid w:val="19B71113"/>
    <w:rsid w:val="1A473CA6"/>
    <w:rsid w:val="1A555BBE"/>
    <w:rsid w:val="1A85373E"/>
    <w:rsid w:val="1B846D66"/>
    <w:rsid w:val="1BB4525B"/>
    <w:rsid w:val="1BE7774A"/>
    <w:rsid w:val="1C4A05F8"/>
    <w:rsid w:val="1CBB20F3"/>
    <w:rsid w:val="1D181F4A"/>
    <w:rsid w:val="1DED69C6"/>
    <w:rsid w:val="1E35361B"/>
    <w:rsid w:val="1E730FE4"/>
    <w:rsid w:val="1E964759"/>
    <w:rsid w:val="1EC2624D"/>
    <w:rsid w:val="1F59113C"/>
    <w:rsid w:val="200407CD"/>
    <w:rsid w:val="200F41A6"/>
    <w:rsid w:val="202C617E"/>
    <w:rsid w:val="204D3C8B"/>
    <w:rsid w:val="206D64FC"/>
    <w:rsid w:val="20BB44E8"/>
    <w:rsid w:val="21115EF3"/>
    <w:rsid w:val="21293853"/>
    <w:rsid w:val="214848C1"/>
    <w:rsid w:val="21782177"/>
    <w:rsid w:val="227620EA"/>
    <w:rsid w:val="227F2CA6"/>
    <w:rsid w:val="232606DC"/>
    <w:rsid w:val="23607DE2"/>
    <w:rsid w:val="23895DB1"/>
    <w:rsid w:val="23CF381C"/>
    <w:rsid w:val="24053DA7"/>
    <w:rsid w:val="240A6030"/>
    <w:rsid w:val="24CE7A5A"/>
    <w:rsid w:val="250B44FA"/>
    <w:rsid w:val="252D708B"/>
    <w:rsid w:val="27924413"/>
    <w:rsid w:val="28220AFC"/>
    <w:rsid w:val="28A80261"/>
    <w:rsid w:val="290B5D62"/>
    <w:rsid w:val="29702FAD"/>
    <w:rsid w:val="29735D77"/>
    <w:rsid w:val="298B1640"/>
    <w:rsid w:val="29C410CB"/>
    <w:rsid w:val="2A8C2D26"/>
    <w:rsid w:val="2AF32708"/>
    <w:rsid w:val="2B13509A"/>
    <w:rsid w:val="2C31308C"/>
    <w:rsid w:val="2C614B0A"/>
    <w:rsid w:val="2C8F0EA7"/>
    <w:rsid w:val="2C92435F"/>
    <w:rsid w:val="2CE26F74"/>
    <w:rsid w:val="2CE72BBB"/>
    <w:rsid w:val="2D1852EF"/>
    <w:rsid w:val="2DBA1D37"/>
    <w:rsid w:val="2E6F6B90"/>
    <w:rsid w:val="2E936C3D"/>
    <w:rsid w:val="2E993E36"/>
    <w:rsid w:val="2EBF0DB7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075EC9"/>
    <w:rsid w:val="321E6130"/>
    <w:rsid w:val="3243118A"/>
    <w:rsid w:val="32BD3524"/>
    <w:rsid w:val="345B286C"/>
    <w:rsid w:val="34902BCC"/>
    <w:rsid w:val="34961CD9"/>
    <w:rsid w:val="34A1443F"/>
    <w:rsid w:val="351C27B0"/>
    <w:rsid w:val="356C0C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023B77"/>
    <w:rsid w:val="396857D4"/>
    <w:rsid w:val="3A8F1D3B"/>
    <w:rsid w:val="3ABF685A"/>
    <w:rsid w:val="3B720CD8"/>
    <w:rsid w:val="3BA52C45"/>
    <w:rsid w:val="3CA046BE"/>
    <w:rsid w:val="3D7CFC4D"/>
    <w:rsid w:val="3DD006F5"/>
    <w:rsid w:val="3E1C2B61"/>
    <w:rsid w:val="3E3E7CC7"/>
    <w:rsid w:val="3E895925"/>
    <w:rsid w:val="3EA242D1"/>
    <w:rsid w:val="3F2A7C66"/>
    <w:rsid w:val="3F9FAB97"/>
    <w:rsid w:val="40E70100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8225EE"/>
    <w:rsid w:val="43AA7164"/>
    <w:rsid w:val="44337C1C"/>
    <w:rsid w:val="446F0F4B"/>
    <w:rsid w:val="447311FF"/>
    <w:rsid w:val="44DF14C8"/>
    <w:rsid w:val="45010FCD"/>
    <w:rsid w:val="45670C50"/>
    <w:rsid w:val="45857D9C"/>
    <w:rsid w:val="45B90BAD"/>
    <w:rsid w:val="45D35BB2"/>
    <w:rsid w:val="463177A5"/>
    <w:rsid w:val="468F70F5"/>
    <w:rsid w:val="46B46844"/>
    <w:rsid w:val="46B9408D"/>
    <w:rsid w:val="46D332C1"/>
    <w:rsid w:val="46ED6069"/>
    <w:rsid w:val="47875FA2"/>
    <w:rsid w:val="4942653E"/>
    <w:rsid w:val="49A847A6"/>
    <w:rsid w:val="49FF2174"/>
    <w:rsid w:val="4A180A44"/>
    <w:rsid w:val="4A45195C"/>
    <w:rsid w:val="4AE828A9"/>
    <w:rsid w:val="4AF34C74"/>
    <w:rsid w:val="4B32221A"/>
    <w:rsid w:val="4B7414A5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37849"/>
    <w:rsid w:val="4FDB8BB9"/>
    <w:rsid w:val="506816E4"/>
    <w:rsid w:val="508558A6"/>
    <w:rsid w:val="5113047B"/>
    <w:rsid w:val="51145746"/>
    <w:rsid w:val="511C160B"/>
    <w:rsid w:val="515E7D31"/>
    <w:rsid w:val="51874B16"/>
    <w:rsid w:val="519F621D"/>
    <w:rsid w:val="521D76C0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503C0"/>
    <w:rsid w:val="552D3719"/>
    <w:rsid w:val="5591023D"/>
    <w:rsid w:val="55D46A07"/>
    <w:rsid w:val="564E2C80"/>
    <w:rsid w:val="56563349"/>
    <w:rsid w:val="56DC6447"/>
    <w:rsid w:val="57F161C0"/>
    <w:rsid w:val="57F77799"/>
    <w:rsid w:val="57FA311D"/>
    <w:rsid w:val="592856EA"/>
    <w:rsid w:val="59CE37A6"/>
    <w:rsid w:val="5A017854"/>
    <w:rsid w:val="5AD115CD"/>
    <w:rsid w:val="5B043B95"/>
    <w:rsid w:val="5B171E82"/>
    <w:rsid w:val="5B256DD6"/>
    <w:rsid w:val="5CA90D7A"/>
    <w:rsid w:val="5D156186"/>
    <w:rsid w:val="5D4A0134"/>
    <w:rsid w:val="5DA546AF"/>
    <w:rsid w:val="5E5EAB64"/>
    <w:rsid w:val="5E92116F"/>
    <w:rsid w:val="5EE906B0"/>
    <w:rsid w:val="5F500D3D"/>
    <w:rsid w:val="5F7BD80E"/>
    <w:rsid w:val="5F813FC0"/>
    <w:rsid w:val="5F9271EE"/>
    <w:rsid w:val="5FA82DEF"/>
    <w:rsid w:val="5FD52EAC"/>
    <w:rsid w:val="5FFD1D7C"/>
    <w:rsid w:val="5FFD97B5"/>
    <w:rsid w:val="607B63D6"/>
    <w:rsid w:val="60807BFF"/>
    <w:rsid w:val="61245EFD"/>
    <w:rsid w:val="61EE6409"/>
    <w:rsid w:val="62714A32"/>
    <w:rsid w:val="62C457D8"/>
    <w:rsid w:val="633562CC"/>
    <w:rsid w:val="643166B3"/>
    <w:rsid w:val="643C3652"/>
    <w:rsid w:val="66533F6E"/>
    <w:rsid w:val="666F7628"/>
    <w:rsid w:val="669C7C7D"/>
    <w:rsid w:val="6829183D"/>
    <w:rsid w:val="698718B2"/>
    <w:rsid w:val="698E123D"/>
    <w:rsid w:val="69E13737"/>
    <w:rsid w:val="6A043645"/>
    <w:rsid w:val="6AC95741"/>
    <w:rsid w:val="6AF81D8A"/>
    <w:rsid w:val="6B356FEF"/>
    <w:rsid w:val="6B3B2CBB"/>
    <w:rsid w:val="6B3D558B"/>
    <w:rsid w:val="6C5C22D4"/>
    <w:rsid w:val="6CA25582"/>
    <w:rsid w:val="6DA438F0"/>
    <w:rsid w:val="6E1E4715"/>
    <w:rsid w:val="6E7E2D5A"/>
    <w:rsid w:val="6E9A3E10"/>
    <w:rsid w:val="6EAF3408"/>
    <w:rsid w:val="6ED2F1C6"/>
    <w:rsid w:val="6F39E63A"/>
    <w:rsid w:val="6F8A028E"/>
    <w:rsid w:val="6FCE294B"/>
    <w:rsid w:val="6FD8258B"/>
    <w:rsid w:val="6FFB10AF"/>
    <w:rsid w:val="70025DF1"/>
    <w:rsid w:val="70AB6673"/>
    <w:rsid w:val="715273A6"/>
    <w:rsid w:val="7159528B"/>
    <w:rsid w:val="71887D53"/>
    <w:rsid w:val="72247D78"/>
    <w:rsid w:val="72CD0F60"/>
    <w:rsid w:val="738E27FD"/>
    <w:rsid w:val="73C075B8"/>
    <w:rsid w:val="73C313C2"/>
    <w:rsid w:val="74167854"/>
    <w:rsid w:val="741B35EC"/>
    <w:rsid w:val="74BA7716"/>
    <w:rsid w:val="75892461"/>
    <w:rsid w:val="75BF2B4D"/>
    <w:rsid w:val="75FE0B1A"/>
    <w:rsid w:val="764E655D"/>
    <w:rsid w:val="765E0811"/>
    <w:rsid w:val="766A6DBB"/>
    <w:rsid w:val="7677576F"/>
    <w:rsid w:val="768F4E19"/>
    <w:rsid w:val="770B70DA"/>
    <w:rsid w:val="776A599D"/>
    <w:rsid w:val="778B672F"/>
    <w:rsid w:val="77972F48"/>
    <w:rsid w:val="77A7135E"/>
    <w:rsid w:val="77D55FB4"/>
    <w:rsid w:val="77D77CDA"/>
    <w:rsid w:val="78362FBC"/>
    <w:rsid w:val="786C12A0"/>
    <w:rsid w:val="788274D1"/>
    <w:rsid w:val="789B17B9"/>
    <w:rsid w:val="78FA4387"/>
    <w:rsid w:val="79011794"/>
    <w:rsid w:val="799449A0"/>
    <w:rsid w:val="79F3E0C7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E11BCC"/>
    <w:rsid w:val="7BFA4CF4"/>
    <w:rsid w:val="7C3410A6"/>
    <w:rsid w:val="7C7D040E"/>
    <w:rsid w:val="7CCB17CA"/>
    <w:rsid w:val="7CEA1DC0"/>
    <w:rsid w:val="7D082779"/>
    <w:rsid w:val="7D4525F8"/>
    <w:rsid w:val="7D6C40EC"/>
    <w:rsid w:val="7D960ACB"/>
    <w:rsid w:val="7D9C3754"/>
    <w:rsid w:val="7DEDF2D4"/>
    <w:rsid w:val="7DEF6F7E"/>
    <w:rsid w:val="7DFFB902"/>
    <w:rsid w:val="7E0A29DC"/>
    <w:rsid w:val="7E7C75B1"/>
    <w:rsid w:val="7F33152B"/>
    <w:rsid w:val="7F392F22"/>
    <w:rsid w:val="7F3B0945"/>
    <w:rsid w:val="7F5BC7E7"/>
    <w:rsid w:val="7F6E0F67"/>
    <w:rsid w:val="7F7F5530"/>
    <w:rsid w:val="7FE91CD5"/>
    <w:rsid w:val="7FF89AE5"/>
    <w:rsid w:val="7FFF6224"/>
    <w:rsid w:val="AF5DEA91"/>
    <w:rsid w:val="B5FF75FF"/>
    <w:rsid w:val="BAE1B051"/>
    <w:rsid w:val="BEEBC5C3"/>
    <w:rsid w:val="DD7E57D6"/>
    <w:rsid w:val="DFEB9E58"/>
    <w:rsid w:val="DFFE4156"/>
    <w:rsid w:val="E7AD636A"/>
    <w:rsid w:val="EBBF19E8"/>
    <w:rsid w:val="EFFFF562"/>
    <w:rsid w:val="F8FD9B8F"/>
    <w:rsid w:val="FADFF4D2"/>
    <w:rsid w:val="FBEF70DF"/>
    <w:rsid w:val="FBFD13E4"/>
    <w:rsid w:val="FD5F1F1C"/>
    <w:rsid w:val="FD67865E"/>
    <w:rsid w:val="FDD638EE"/>
    <w:rsid w:val="FDF6FA47"/>
    <w:rsid w:val="FF6E2D38"/>
    <w:rsid w:val="FF6FE90B"/>
    <w:rsid w:val="FFB7E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/>
      <w:b/>
      <w:bCs/>
      <w:color w:val="000000"/>
      <w:kern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/>
      <w:b/>
      <w:bCs/>
      <w:sz w:val="32"/>
      <w:szCs w:val="32"/>
    </w:rPr>
  </w:style>
  <w:style w:type="paragraph" w:styleId="5">
    <w:name w:val="heading 4"/>
    <w:basedOn w:val="4"/>
    <w:next w:val="6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/>
      <w:szCs w:val="20"/>
    </w:rPr>
  </w:style>
  <w:style w:type="paragraph" w:styleId="7">
    <w:name w:val="annotation text"/>
    <w:basedOn w:val="1"/>
    <w:unhideWhenUsed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1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2">
    <w:name w:val="Balloon Text"/>
    <w:basedOn w:val="1"/>
    <w:link w:val="35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beforeLines="50"/>
    </w:pPr>
    <w:rPr>
      <w:rFonts w:ascii="Times New Roman" w:hAnsi="Times New Roman"/>
      <w:szCs w:val="20"/>
    </w:rPr>
  </w:style>
  <w:style w:type="paragraph" w:styleId="16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/>
      <w:szCs w:val="20"/>
    </w:r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cs="宋体"/>
      <w:kern w:val="0"/>
      <w:sz w:val="24"/>
      <w:szCs w:val="24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paragraph" w:customStyle="1" w:styleId="24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5">
    <w:name w:val="网格型31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网格型6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  <w:szCs w:val="24"/>
    </w:rPr>
  </w:style>
  <w:style w:type="paragraph" w:customStyle="1" w:styleId="28">
    <w:name w:val="00正文"/>
    <w:basedOn w:val="29"/>
    <w:qFormat/>
    <w:uiPriority w:val="0"/>
    <w:pPr>
      <w:ind w:firstLine="480"/>
    </w:pPr>
    <w:rPr>
      <w:rFonts w:cs="宋体"/>
    </w:rPr>
  </w:style>
  <w:style w:type="paragraph" w:customStyle="1" w:styleId="29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/>
      <w:color w:val="000000"/>
      <w:kern w:val="0"/>
      <w:sz w:val="24"/>
      <w:szCs w:val="24"/>
    </w:rPr>
  </w:style>
  <w:style w:type="paragraph" w:styleId="30">
    <w:name w:val="List Paragraph"/>
    <w:basedOn w:val="1"/>
    <w:qFormat/>
    <w:uiPriority w:val="34"/>
    <w:pPr>
      <w:spacing w:line="360" w:lineRule="auto"/>
      <w:ind w:firstLine="420" w:firstLineChars="200"/>
    </w:pPr>
  </w:style>
  <w:style w:type="table" w:customStyle="1" w:styleId="31">
    <w:name w:val="网格型3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3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  <w:style w:type="paragraph" w:customStyle="1" w:styleId="34">
    <w:name w:val="说明文件正文"/>
    <w:qFormat/>
    <w:uiPriority w:val="0"/>
    <w:pPr>
      <w:spacing w:line="4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35">
    <w:name w:val="批注框文本 字符"/>
    <w:basedOn w:val="20"/>
    <w:link w:val="1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414</Words>
  <Characters>2365</Characters>
  <Lines>19</Lines>
  <Paragraphs>5</Paragraphs>
  <TotalTime>4</TotalTime>
  <ScaleCrop>false</ScaleCrop>
  <LinksUpToDate>false</LinksUpToDate>
  <CharactersWithSpaces>2774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2026-08-18T01:38:00Z</dcterms:created>
  <dc:creator>weixy</dc:creator>
  <cp:lastModifiedBy>XC~anxs</cp:lastModifiedBy>
  <dcterms:modified xsi:type="dcterms:W3CDTF">2026-09-08T10:34:38Z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21A11BD7F34E6C3BA39A7C6AFDF43F73_43</vt:lpwstr>
  </property>
  <property fmtid="{D5CDD505-2E9C-101B-9397-08002B2CF9AE}" pid="4" name="KSOTemplateDocerSaveRecord">
    <vt:lpwstr>eyJoZGlkIjoiYzA1NDFmMTQ1OGJlYzNlMGZkMzQ1ZGYwM2ExMmRkN2UiLCJ1c2VySWQiOiI2NjIwMjQ5NjYifQ==</vt:lpwstr>
  </property>
</Properties>
</file>