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CC2777">
      <w:pPr>
        <w:keepNext w:val="0"/>
        <w:keepLines w:val="0"/>
        <w:pageBreakBefore w:val="0"/>
        <w:widowControl/>
        <w:kinsoku/>
        <w:wordWrap/>
        <w:overflowPunct/>
        <w:topLinePunct w:val="0"/>
        <w:bidi w:val="0"/>
        <w:spacing w:line="580" w:lineRule="exact"/>
        <w:jc w:val="center"/>
        <w:textAlignment w:val="auto"/>
        <w:outlineLvl w:val="0"/>
        <w:rPr>
          <w:rFonts w:hint="eastAsia" w:ascii="方正小标宋_GBK" w:hAnsi="方正小标宋_GBK" w:eastAsia="方正小标宋_GBK" w:cs="方正小标宋_GBK"/>
          <w:b/>
          <w:bCs/>
          <w:color w:val="auto"/>
          <w:kern w:val="0"/>
          <w:sz w:val="36"/>
          <w:szCs w:val="36"/>
          <w:highlight w:val="none"/>
          <w:lang w:val="en-US" w:eastAsia="zh-CN"/>
        </w:rPr>
      </w:pPr>
      <w:r>
        <w:rPr>
          <w:rFonts w:hint="eastAsia" w:ascii="方正小标宋_GBK" w:hAnsi="方正小标宋_GBK" w:eastAsia="方正小标宋_GBK" w:cs="方正小标宋_GBK"/>
          <w:b/>
          <w:color w:val="auto"/>
          <w:kern w:val="0"/>
          <w:sz w:val="36"/>
          <w:szCs w:val="36"/>
          <w:highlight w:val="none"/>
        </w:rPr>
        <w:t>南宁供电局一级仓库项目资料归档到城建馆服务</w:t>
      </w:r>
      <w:r>
        <w:rPr>
          <w:rFonts w:hint="eastAsia" w:ascii="方正小标宋_GBK" w:hAnsi="方正小标宋_GBK" w:eastAsia="方正小标宋_GBK" w:cs="方正小标宋_GBK"/>
          <w:b/>
          <w:color w:val="auto"/>
          <w:kern w:val="0"/>
          <w:sz w:val="36"/>
          <w:szCs w:val="36"/>
          <w:highlight w:val="none"/>
          <w:lang w:eastAsia="zh-CN"/>
        </w:rPr>
        <w:t>要求</w:t>
      </w:r>
    </w:p>
    <w:p w14:paraId="724C428D">
      <w:pPr>
        <w:keepNext w:val="0"/>
        <w:keepLines w:val="0"/>
        <w:pageBreakBefore w:val="0"/>
        <w:kinsoku/>
        <w:wordWrap/>
        <w:overflowPunct/>
        <w:topLinePunct w:val="0"/>
        <w:bidi w:val="0"/>
        <w:spacing w:line="580" w:lineRule="exact"/>
        <w:textAlignment w:val="auto"/>
        <w:rPr>
          <w:rFonts w:hint="eastAsia"/>
          <w:sz w:val="28"/>
          <w:szCs w:val="28"/>
        </w:rPr>
      </w:pPr>
    </w:p>
    <w:p w14:paraId="3213E4F2">
      <w:pPr>
        <w:keepNext w:val="0"/>
        <w:keepLines w:val="0"/>
        <w:pageBreakBefore w:val="0"/>
        <w:tabs>
          <w:tab w:val="left" w:pos="0"/>
        </w:tabs>
        <w:kinsoku/>
        <w:wordWrap/>
        <w:overflowPunct/>
        <w:topLinePunct w:val="0"/>
        <w:autoSpaceDE w:val="0"/>
        <w:autoSpaceDN w:val="0"/>
        <w:bidi w:val="0"/>
        <w:adjustRightInd w:val="0"/>
        <w:spacing w:beforeLines="0" w:afterLines="0" w:line="580" w:lineRule="exact"/>
        <w:textAlignment w:val="auto"/>
        <w:rPr>
          <w:rFonts w:hint="eastAsia" w:ascii="黑体" w:hAnsi="黑体" w:eastAsia="黑体" w:cs="黑体"/>
          <w:kern w:val="0"/>
          <w:sz w:val="32"/>
          <w:szCs w:val="32"/>
          <w:lang w:val="en-GB"/>
        </w:rPr>
      </w:pPr>
      <w:r>
        <w:rPr>
          <w:rFonts w:hint="eastAsia" w:ascii="黑体" w:hAnsi="黑体" w:eastAsia="黑体" w:cs="黑体"/>
          <w:kern w:val="0"/>
          <w:sz w:val="32"/>
          <w:szCs w:val="32"/>
          <w:lang w:val="en-GB"/>
        </w:rPr>
        <w:t>一、项目简介</w:t>
      </w:r>
    </w:p>
    <w:p w14:paraId="2D780ED0">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楷体_GB2312" w:hAnsi="楷体_GB2312" w:eastAsia="楷体_GB2312" w:cs="楷体_GB2312"/>
          <w:b w:val="0"/>
          <w:bCs/>
          <w:kern w:val="0"/>
          <w:sz w:val="32"/>
          <w:szCs w:val="32"/>
          <w:lang w:eastAsia="zh-CN"/>
        </w:rPr>
      </w:pPr>
      <w:r>
        <w:rPr>
          <w:rFonts w:hint="eastAsia" w:ascii="楷体_GB2312" w:hAnsi="楷体_GB2312" w:eastAsia="楷体_GB2312" w:cs="楷体_GB2312"/>
          <w:b w:val="0"/>
          <w:bCs/>
          <w:kern w:val="0"/>
          <w:sz w:val="32"/>
          <w:szCs w:val="32"/>
          <w:lang w:val="en-US" w:eastAsia="zh-CN"/>
        </w:rPr>
        <w:t>（一）</w:t>
      </w:r>
      <w:r>
        <w:rPr>
          <w:rFonts w:hint="eastAsia" w:ascii="楷体_GB2312" w:hAnsi="楷体_GB2312" w:eastAsia="楷体_GB2312" w:cs="楷体_GB2312"/>
          <w:b w:val="0"/>
          <w:bCs/>
          <w:kern w:val="0"/>
          <w:sz w:val="32"/>
          <w:szCs w:val="32"/>
          <w:lang w:eastAsia="zh-CN"/>
        </w:rPr>
        <w:t>项目服务内容</w:t>
      </w:r>
    </w:p>
    <w:p w14:paraId="505AA0A8">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eastAsia="zh-CN"/>
        </w:rPr>
      </w:pPr>
      <w:r>
        <w:rPr>
          <w:rFonts w:hint="eastAsia" w:ascii="仿宋_GB2312" w:hAnsi="仿宋_GB2312" w:eastAsia="仿宋_GB2312" w:cs="仿宋_GB2312"/>
          <w:sz w:val="32"/>
          <w:szCs w:val="32"/>
          <w:lang w:eastAsia="zh-CN"/>
        </w:rPr>
        <w:t>配合广西电网有限责任公司南宁供电局开展南宁供电局一级仓库项目档案审核、材料查缺、分类排序、编目、打印装订、信息核对与专项审核、系统录入等整理服务工作，将南宁供电局一级仓库项目资料完成规范化整理、数字化扫描、信息化著录，移交南宁市城市建设档案馆的竣工档案。工作内容主要包括纸质档案规范化整理、电子目录数据录入、档案数字化扫描及图像处理；档案数据挂接；档案消毒及库房上架。</w:t>
      </w:r>
    </w:p>
    <w:p w14:paraId="332A7D89">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楷体_GB2312" w:hAnsi="楷体_GB2312" w:eastAsia="楷体_GB2312" w:cs="楷体_GB2312"/>
          <w:b w:val="0"/>
          <w:bCs/>
          <w:kern w:val="0"/>
          <w:sz w:val="32"/>
          <w:szCs w:val="32"/>
        </w:rPr>
      </w:pPr>
      <w:r>
        <w:rPr>
          <w:rFonts w:hint="eastAsia" w:ascii="楷体_GB2312" w:hAnsi="楷体_GB2312" w:eastAsia="楷体_GB2312" w:cs="楷体_GB2312"/>
          <w:b w:val="0"/>
          <w:bCs/>
          <w:kern w:val="0"/>
          <w:sz w:val="32"/>
          <w:szCs w:val="32"/>
          <w:lang w:eastAsia="zh-CN"/>
        </w:rPr>
        <w:t>（二）</w:t>
      </w:r>
      <w:r>
        <w:rPr>
          <w:rFonts w:hint="eastAsia" w:ascii="楷体_GB2312" w:hAnsi="楷体_GB2312" w:eastAsia="楷体_GB2312" w:cs="楷体_GB2312"/>
          <w:b w:val="0"/>
          <w:bCs/>
          <w:kern w:val="0"/>
          <w:sz w:val="32"/>
          <w:szCs w:val="32"/>
        </w:rPr>
        <w:t>服务范围</w:t>
      </w:r>
    </w:p>
    <w:p w14:paraId="723AAA40">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kern w:val="0"/>
          <w:sz w:val="32"/>
          <w:szCs w:val="32"/>
          <w:lang w:eastAsia="zh-CN"/>
        </w:rPr>
      </w:pPr>
      <w:r>
        <w:rPr>
          <w:rFonts w:hint="eastAsia" w:ascii="仿宋_GB2312" w:hAnsi="仿宋_GB2312" w:eastAsia="仿宋_GB2312" w:cs="仿宋_GB2312"/>
          <w:sz w:val="32"/>
          <w:szCs w:val="32"/>
          <w:lang w:eastAsia="zh-CN"/>
        </w:rPr>
        <w:t>南宁供电局一级仓库项目</w:t>
      </w:r>
      <w:r>
        <w:rPr>
          <w:rFonts w:hint="eastAsia" w:ascii="仿宋_GB2312" w:hAnsi="仿宋_GB2312" w:eastAsia="仿宋_GB2312" w:cs="仿宋_GB2312"/>
          <w:kern w:val="0"/>
          <w:sz w:val="32"/>
          <w:szCs w:val="32"/>
          <w:lang w:eastAsia="zh-CN"/>
        </w:rPr>
        <w:t>。</w:t>
      </w:r>
    </w:p>
    <w:p w14:paraId="0B4C4F87">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2"/>
        <w:textAlignment w:val="auto"/>
        <w:rPr>
          <w:rFonts w:hint="eastAsia" w:ascii="楷体_GB2312" w:hAnsi="楷体_GB2312" w:eastAsia="楷体_GB2312" w:cs="楷体_GB2312"/>
          <w:b w:val="0"/>
          <w:bCs/>
          <w:kern w:val="0"/>
          <w:sz w:val="32"/>
          <w:szCs w:val="32"/>
          <w:lang w:val="en-US" w:eastAsia="zh-CN"/>
        </w:rPr>
      </w:pPr>
      <w:r>
        <w:rPr>
          <w:rFonts w:hint="eastAsia" w:ascii="楷体_GB2312" w:hAnsi="楷体_GB2312" w:eastAsia="楷体_GB2312" w:cs="楷体_GB2312"/>
          <w:b w:val="0"/>
          <w:bCs/>
          <w:kern w:val="0"/>
          <w:sz w:val="32"/>
          <w:szCs w:val="32"/>
          <w:lang w:val="en-US" w:eastAsia="zh-CN"/>
        </w:rPr>
        <w:t>（三）服务期限</w:t>
      </w:r>
    </w:p>
    <w:p w14:paraId="1D0E6B16">
      <w:pPr>
        <w:pStyle w:val="8"/>
        <w:keepNext w:val="0"/>
        <w:keepLines w:val="0"/>
        <w:pageBreakBefore w:val="0"/>
        <w:kinsoku/>
        <w:wordWrap/>
        <w:overflowPunct/>
        <w:topLinePunct w:val="0"/>
        <w:bidi w:val="0"/>
        <w:spacing w:line="580" w:lineRule="exact"/>
        <w:ind w:firstLine="640"/>
        <w:textAlignment w:val="auto"/>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eastAsia="zh-CN"/>
        </w:rPr>
        <w:t>服务期：</w:t>
      </w:r>
      <w:r>
        <w:rPr>
          <w:rFonts w:hint="eastAsia" w:ascii="仿宋_GB2312" w:hAnsi="仿宋_GB2312" w:eastAsia="仿宋_GB2312" w:cs="仿宋_GB2312"/>
          <w:kern w:val="0"/>
          <w:sz w:val="32"/>
          <w:szCs w:val="32"/>
        </w:rPr>
        <w:t>合同</w:t>
      </w:r>
      <w:r>
        <w:rPr>
          <w:rFonts w:hint="eastAsia" w:ascii="仿宋_GB2312" w:hAnsi="仿宋_GB2312" w:eastAsia="仿宋_GB2312" w:cs="仿宋_GB2312"/>
          <w:kern w:val="0"/>
          <w:sz w:val="32"/>
          <w:szCs w:val="32"/>
          <w:lang w:eastAsia="zh-CN"/>
        </w:rPr>
        <w:t>约定之日</w:t>
      </w:r>
      <w:bookmarkStart w:id="0" w:name="_GoBack"/>
      <w:bookmarkEnd w:id="0"/>
      <w:r>
        <w:rPr>
          <w:rFonts w:hint="eastAsia" w:ascii="仿宋_GB2312" w:hAnsi="仿宋_GB2312" w:eastAsia="仿宋_GB2312" w:cs="仿宋_GB2312"/>
          <w:kern w:val="0"/>
          <w:sz w:val="32"/>
          <w:szCs w:val="32"/>
        </w:rPr>
        <w:t>起至合同规定的归档工作结束为止</w:t>
      </w:r>
    </w:p>
    <w:p w14:paraId="52BC77D6">
      <w:pPr>
        <w:pStyle w:val="8"/>
        <w:keepNext w:val="0"/>
        <w:keepLines w:val="0"/>
        <w:pageBreakBefore w:val="0"/>
        <w:kinsoku/>
        <w:wordWrap/>
        <w:overflowPunct/>
        <w:topLinePunct w:val="0"/>
        <w:bidi w:val="0"/>
        <w:spacing w:line="580" w:lineRule="exact"/>
        <w:textAlignment w:val="auto"/>
        <w:rPr>
          <w:rFonts w:hint="eastAsia" w:ascii="黑体" w:hAnsi="黑体" w:eastAsia="黑体" w:cs="黑体"/>
          <w:kern w:val="0"/>
          <w:sz w:val="32"/>
          <w:szCs w:val="32"/>
          <w:lang w:val="en-US" w:eastAsia="zh-CN" w:bidi="ar-SA"/>
        </w:rPr>
      </w:pPr>
      <w:r>
        <w:rPr>
          <w:rFonts w:hint="eastAsia" w:ascii="黑体" w:hAnsi="黑体" w:eastAsia="黑体" w:cs="黑体"/>
          <w:kern w:val="0"/>
          <w:sz w:val="32"/>
          <w:szCs w:val="32"/>
          <w:lang w:val="en-US" w:eastAsia="zh-CN" w:bidi="ar-SA"/>
        </w:rPr>
        <w:t>二、整理技术规范</w:t>
      </w:r>
    </w:p>
    <w:p w14:paraId="70214398">
      <w:pPr>
        <w:pStyle w:val="8"/>
        <w:keepNext w:val="0"/>
        <w:keepLines w:val="0"/>
        <w:pageBreakBefore w:val="0"/>
        <w:kinsoku/>
        <w:wordWrap/>
        <w:overflowPunct/>
        <w:topLinePunct w:val="0"/>
        <w:bidi w:val="0"/>
        <w:spacing w:line="58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b w:val="0"/>
          <w:bCs/>
          <w:kern w:val="0"/>
          <w:sz w:val="32"/>
          <w:szCs w:val="32"/>
          <w:lang w:val="en-US" w:eastAsia="zh-CN" w:bidi="ar-SA"/>
        </w:rPr>
        <w:t>（一）相关国家标准、行业标准、规定</w:t>
      </w:r>
    </w:p>
    <w:p w14:paraId="5D3D06E8">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1.《建设工程文件归档规范》（GB/T 50328--2014）</w:t>
      </w:r>
    </w:p>
    <w:p w14:paraId="1928EDD9">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2.《科学技术档案案卷构成的一般要求》（GB/T11822—2008）</w:t>
      </w:r>
    </w:p>
    <w:p w14:paraId="479623CC">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3.《建设电子档案元数据标准》（CJJ/T 187-2012）</w:t>
      </w:r>
    </w:p>
    <w:p w14:paraId="3FE0BE7C">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4.《城建档案业务管理规范》（CJJ/T 158-2011）</w:t>
      </w:r>
    </w:p>
    <w:p w14:paraId="6BD779B8">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5.《GB/T 18894-2016电子文件归档档与电子档案管理规范》</w:t>
      </w:r>
    </w:p>
    <w:p w14:paraId="24BEEA30">
      <w:pPr>
        <w:pStyle w:val="8"/>
        <w:keepNext w:val="0"/>
        <w:keepLines w:val="0"/>
        <w:pageBreakBefore w:val="0"/>
        <w:kinsoku/>
        <w:wordWrap/>
        <w:overflowPunct/>
        <w:topLinePunct w:val="0"/>
        <w:bidi w:val="0"/>
        <w:spacing w:line="580" w:lineRule="exact"/>
        <w:ind w:firstLine="640" w:firstLineChars="200"/>
        <w:textAlignment w:val="auto"/>
        <w:rPr>
          <w:rFonts w:hint="eastAsia" w:ascii="楷体_GB2312" w:hAnsi="楷体_GB2312" w:eastAsia="楷体_GB2312" w:cs="楷体_GB2312"/>
          <w:b w:val="0"/>
          <w:bCs/>
          <w:kern w:val="0"/>
          <w:sz w:val="32"/>
          <w:szCs w:val="32"/>
          <w:lang w:val="en-US" w:eastAsia="zh-CN" w:bidi="ar-SA"/>
        </w:rPr>
      </w:pPr>
      <w:r>
        <w:rPr>
          <w:rFonts w:hint="eastAsia" w:ascii="楷体_GB2312" w:hAnsi="楷体_GB2312" w:eastAsia="楷体_GB2312" w:cs="楷体_GB2312"/>
          <w:b w:val="0"/>
          <w:bCs/>
          <w:kern w:val="0"/>
          <w:sz w:val="32"/>
          <w:szCs w:val="32"/>
          <w:lang w:val="en-US" w:eastAsia="zh-CN" w:bidi="ar-SA"/>
        </w:rPr>
        <w:t>（二）档案整理具体要求</w:t>
      </w:r>
    </w:p>
    <w:p w14:paraId="695B4E9E">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1.按南宁市城市建设档案馆现行档案接收内容收集、排序</w:t>
      </w:r>
    </w:p>
    <w:p w14:paraId="0B236A41">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 目录著录要求</w:t>
      </w:r>
    </w:p>
    <w:p w14:paraId="5D330A51">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2.1案卷题名：建设单位名称+工程项目名称（具体到子单位工程项目名称）+空一格+该卷材料的类型（如：综合文字材1、2….；建筑施工图1、2…；结构施工图1、2…。</w:t>
      </w:r>
    </w:p>
    <w:p w14:paraId="5708259C">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注意：图纸目录与图纸分别录入，目录中有图名而实际资料中无图纸的，在目录中标注无。图纸部分不能写成竣工图，应为施工图。</w:t>
      </w:r>
    </w:p>
    <w:p w14:paraId="4E1E0A84">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2.2立卷单位</w:t>
      </w:r>
    </w:p>
    <w:p w14:paraId="3127A642">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2.3开工日期：与卷组目录开工时间相同。</w:t>
      </w:r>
    </w:p>
    <w:p w14:paraId="5BF0DD2E">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2.4与竣工档案模板差别：封面的编制时间为一级目录中的  “开工日期”无“竣工日期”）。整理过程中无多卷装一盒的情况，正侧面均可以在系统中自动打印。</w:t>
      </w:r>
    </w:p>
    <w:p w14:paraId="7336701C">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3.案卷资料的整理详细要求，按《南宁市城建档案归档整理基本要求》执行：</w:t>
      </w:r>
    </w:p>
    <w:p w14:paraId="3AD359D6">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3.1.立卷的原则和方法</w:t>
      </w:r>
    </w:p>
    <w:p w14:paraId="3E0C1C55">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立卷应遵循工程文件的自然形成规律，保持卷内文件的有机联系,便于档案的保管和利用。</w:t>
      </w:r>
    </w:p>
    <w:p w14:paraId="4FF12197">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3.2．整理要求：</w:t>
      </w:r>
    </w:p>
    <w:p w14:paraId="4ADFA035">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3.2.1拆钉：把归档文件所有的金属物拆除，以免锈蚀纸张。</w:t>
      </w:r>
    </w:p>
    <w:p w14:paraId="70A89713">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3.2.2托裱或修补：文件纸张幅面小于260×184毫米（16K）的用A4白纸裱托（印制成一本的除外）；凡破损的文件都要用A4白纸托补，图纸破损用毛边纸托补，并压平整。用档案专用胶水或浆糊粘贴，不能用双面胶或透明胶等粘贴。</w:t>
      </w:r>
    </w:p>
    <w:p w14:paraId="649DB871">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3.2.3图纸裁边：按照图纸的边框线（有内框线和外框线），裁去外框线以外的多余纸边，保留外框线。</w:t>
      </w:r>
    </w:p>
    <w:p w14:paraId="6FE681C5">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3.2.4图纸折叠方法：按A4纸张尺寸，用“手风琴”式折叠法，先上下，后左右折叠，图标外翻，以便查阅。</w:t>
      </w:r>
    </w:p>
    <w:p w14:paraId="1C0A5C09">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3.2.5装册：按档案内容有机联系分类组合成卷，每一份文件(散件)装要用棉纱线绳捆扎好，不需要装订。</w:t>
      </w:r>
    </w:p>
    <w:p w14:paraId="34928AE3">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3.2.6组卷规则：文件与图纸分开单独组卷，文件在前，图纸在后，文件或图纸多于一卷的情况下（一般每卷不超过3.0cm）可分多盒组卷。装订成册的设计方案、勘察报告等亦需单独组卷。 </w:t>
      </w:r>
    </w:p>
    <w:p w14:paraId="41AC12B1">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3.3 卷内文件编目要求</w:t>
      </w:r>
    </w:p>
    <w:p w14:paraId="05924714">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3.3.1编写页号：无书写内容的页面不编页号。用打码机打印页号，使用红色快干清洁印泥油。案卷封面、卷内目录、卷内备考表不编页号。</w:t>
      </w:r>
    </w:p>
    <w:p w14:paraId="6230589B">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3.3.2页号编写位置：单、双面书写的文件一律在正面的右下角编页号。如遇纸张幅面大于A4纸尺寸的，在正面的右下角编页号后折成A4尺寸，显示文件标题。图纸在图标下面右下角编页号。页号位置在距纸边的右边和下边各10毫米。</w:t>
      </w:r>
    </w:p>
    <w:p w14:paraId="5F89BE38">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3.3.3档案卷号(档号)盖印位置：每份文件正面右上角空白位置盖上档案卷号,用数字号码印盖印，每张图纸折叠好后，盖印在翻开图标面（直开面）的左上角。档案卷号距离纸边的左边和上边各10毫米。</w:t>
      </w:r>
    </w:p>
    <w:p w14:paraId="687D0C57">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3.3.4印油：应使用红色快干清洁印泥油，不能用染料类印油，以免褪色。</w:t>
      </w:r>
    </w:p>
    <w:p w14:paraId="75F9B00D">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3.4.卷内目录的填写方法： </w:t>
      </w:r>
    </w:p>
    <w:p w14:paraId="10AD323A">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3.4.1卷内目录需按统一表格打印。</w:t>
      </w:r>
    </w:p>
    <w:p w14:paraId="6383A971">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3.4.2顺序号：以一份文件为单位，用阿拉伯数字，由“1、2……”</w:t>
      </w:r>
    </w:p>
    <w:p w14:paraId="5FB0B79C">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按顺序排列编写。</w:t>
      </w:r>
    </w:p>
    <w:p w14:paraId="4F0B0331">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3.4.3责任者：填写文件直接形成的单位和个人，有多个责任者时，选择两个主要责任者，其余用“等”代替。有审批部门盖章的文件或图纸，责任者填写审批单位。</w:t>
      </w:r>
    </w:p>
    <w:p w14:paraId="1ACE835F">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3.4.4文件编号：填写文件的文号或图号。</w:t>
      </w:r>
    </w:p>
    <w:p w14:paraId="77B5549E">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3.4.5文件题名：文件标题的全称。</w:t>
      </w:r>
    </w:p>
    <w:p w14:paraId="24F8EA1C">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3.4.6日期：填写文件形成日期。</w:t>
      </w:r>
    </w:p>
    <w:p w14:paraId="0FFD2CF7">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3.4.7页次：填写文件在卷内所排列的起始页号。</w:t>
      </w:r>
    </w:p>
    <w:p w14:paraId="720CCBC3">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3.4.8卷内目录放在案卷内文件之前。</w:t>
      </w:r>
    </w:p>
    <w:p w14:paraId="2E6BF9AB">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4.档案盒封面和脊背填写方法</w:t>
      </w:r>
    </w:p>
    <w:p w14:paraId="5ADB788A">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4.1档案盒封面及脊背字体用小二号黑体加粗，居中打印；阿拉伯数字用小一号黑体加粗。</w:t>
      </w:r>
    </w:p>
    <w:p w14:paraId="64ED57AE">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4.2使用红色快干清洁印泥油盖印。</w:t>
      </w:r>
    </w:p>
    <w:p w14:paraId="0AC8D119">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4.3所用牛皮纸的颜色必须接近于档案盒的颜色。</w:t>
      </w:r>
    </w:p>
    <w:p w14:paraId="0681C3FF">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4.4用档案专用胶水或浆糊粘贴，不能用双面胶或透明胶等粘贴。</w:t>
      </w:r>
    </w:p>
    <w:p w14:paraId="473355FB">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4.5案卷封面的填写方法：</w:t>
      </w:r>
    </w:p>
    <w:p w14:paraId="27EF1E17">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4.5.1档号：按档案组卷数量确定档案卷号，用数字(规格61×11×37㎜)盖印。用通用的数字号码印组盖印（单个号码印大小为11×6mm）</w:t>
      </w:r>
    </w:p>
    <w:p w14:paraId="7382A798">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4.5.2案卷题名：跟3.1一致。</w:t>
      </w:r>
    </w:p>
    <w:p w14:paraId="77DC2044">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4.5.3立卷单位：填写案卷内文件的形成单位。</w:t>
      </w:r>
    </w:p>
    <w:p w14:paraId="270AE269">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4.5.4起止日期：填写案卷内文件形成的最早日期至最晚日期。</w:t>
      </w:r>
    </w:p>
    <w:p w14:paraId="721C529B">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4.5.5保管期限：填写档案保管期限（分永久、长期）按卷内文件内容确定保管期限。</w:t>
      </w:r>
    </w:p>
    <w:p w14:paraId="5726CF94">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4.5.6案卷脊背的填写方法：</w:t>
      </w:r>
    </w:p>
    <w:p w14:paraId="2162A593">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 xml:space="preserve">档号：同封面一样的档号，用数字号码印盖在侧面顶端处。 </w:t>
      </w:r>
    </w:p>
    <w:p w14:paraId="3727C835">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案卷题名：将案卷题名的内容打印在70g的牛皮纸上后粘贴。</w:t>
      </w:r>
    </w:p>
    <w:p w14:paraId="1189B513">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5.卷内备考表的填写方法：</w:t>
      </w:r>
    </w:p>
    <w:p w14:paraId="3C85D9AC">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5.1卷内备考表是记录案卷内文件的总页数、各类文件页数（照片张数），以及在组卷和使用过程中需要说明的问题，并填写立卷时间。</w:t>
      </w:r>
    </w:p>
    <w:p w14:paraId="67033304">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5.2备考表放在本卷内文件之后。</w:t>
      </w:r>
    </w:p>
    <w:p w14:paraId="1B73EBBC">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6.档案盒材料规格</w:t>
      </w:r>
    </w:p>
    <w:p w14:paraId="6FEFB882">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6.1一般常用档案盒的外表尺寸为310mm×220mm，其它可用规格为A3外表尺寸的档案盒。档案盒的外表尺寸为310mm×220mm。要求选用适当厚度的档案盒装载（标准卷盒厚度为2cm，特殊印刷成册的文件，档案盒厚度最大不超过4cm）。</w:t>
      </w:r>
    </w:p>
    <w:p w14:paraId="50C744A2">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6.2档案盒所用材料应采用无酸纸（680g）制作（需提供产品合格的检测报告）。</w:t>
      </w:r>
    </w:p>
    <w:p w14:paraId="69D187BA">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6.3 档案盒由服务方提供，应包含在报价之中。</w:t>
      </w:r>
    </w:p>
    <w:p w14:paraId="67CA4BB6">
      <w:pPr>
        <w:pStyle w:val="8"/>
        <w:keepNext w:val="0"/>
        <w:keepLines w:val="0"/>
        <w:pageBreakBefore w:val="0"/>
        <w:kinsoku/>
        <w:wordWrap/>
        <w:overflowPunct/>
        <w:topLinePunct w:val="0"/>
        <w:bidi w:val="0"/>
        <w:spacing w:line="580" w:lineRule="exact"/>
        <w:ind w:firstLine="640" w:firstLineChars="200"/>
        <w:textAlignment w:val="auto"/>
        <w:rPr>
          <w:rFonts w:hint="eastAsia" w:ascii="仿宋_GB2312" w:hAnsi="仿宋_GB2312" w:eastAsia="仿宋_GB2312" w:cs="仿宋_GB2312"/>
          <w:kern w:val="2"/>
          <w:sz w:val="32"/>
          <w:szCs w:val="32"/>
          <w:lang w:val="en-US" w:eastAsia="zh-CN" w:bidi="ar-SA"/>
        </w:rPr>
      </w:pPr>
      <w:r>
        <w:rPr>
          <w:rFonts w:hint="eastAsia" w:ascii="楷体_GB2312" w:hAnsi="楷体_GB2312" w:eastAsia="楷体_GB2312" w:cs="楷体_GB2312"/>
          <w:b w:val="0"/>
          <w:bCs/>
          <w:kern w:val="0"/>
          <w:sz w:val="32"/>
          <w:szCs w:val="32"/>
          <w:lang w:val="en-US" w:eastAsia="zh-CN" w:bidi="ar-SA"/>
        </w:rPr>
        <w:t>（三）南宁市城建档案馆目录数据系统录入规范</w:t>
      </w:r>
    </w:p>
    <w:p w14:paraId="00B1240C">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1.卷组目录录入规范</w:t>
      </w:r>
    </w:p>
    <w:p w14:paraId="33558ECB">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1.1档案卷组号：南宁市城建档案馆分配的档案卷组号</w:t>
      </w:r>
    </w:p>
    <w:p w14:paraId="591BA14F">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1.2施工单位：填写档案移交单位（审批单位）。</w:t>
      </w:r>
    </w:p>
    <w:p w14:paraId="30682542">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1.3移交方负责人、经办人、联系方式、交接日期由南宁市城市建设档案馆确定。</w:t>
      </w:r>
    </w:p>
    <w:p w14:paraId="30D083D2">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2.一级目录录入规范</w:t>
      </w:r>
    </w:p>
    <w:p w14:paraId="18ECF651">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2.1档案卷号、立卷单位、开工日期、竣工日期。</w:t>
      </w:r>
    </w:p>
    <w:p w14:paraId="1D83A4D8">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其中，综合文字部分的立卷单位要改为业主（申请、建设）单位，施工部分的立卷单位为施工单位。附属工程（二次装修、钢结构、专项消防等）的施工单位与土建施工单位不同，立卷单位不必套用土建的施工单位名称。同时移交若干个工程档案的，则需分别填写对应的立卷单位、开工、竣工日期。</w:t>
      </w:r>
    </w:p>
    <w:p w14:paraId="43A0367E">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2.2案卷题名：案卷题名是每盒档案的内容概括。</w:t>
      </w:r>
    </w:p>
    <w:p w14:paraId="4913BA66">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2.2.1一个工程项目分几个小项目时案卷题名为：小项目名称+空一格+内容概括（同项用阿拉伯数字标识），例：万达广场1#楼 综合文字资料1、2……，1#楼 建筑施工图1、2 ……</w:t>
      </w:r>
    </w:p>
    <w:p w14:paraId="7EAA05E3">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2.2.2共用或套图时案卷题名为：小项目名称+（、）或（-）+小项目名称+空一格+内容概括，例：万达广场1#、2#楼 建筑施工图（同共资料组卷时放在第一个小项目内，即1#而不是2#楼）2#-5# 综合文字资料</w:t>
      </w:r>
    </w:p>
    <w:p w14:paraId="6844B801">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2.2.3合（共）卷档案：两种内容合一卷，中间用“、”隔开；所有文字资料共一卷时，写“综合文字材料”=综合+其他文字材料，其中，其他文字材料=勘察+批复+招投标等；建、结、水、电图共组一卷时，写“施工图”；所有资料共一卷时，写“综合文字材料、施工图”</w:t>
      </w:r>
    </w:p>
    <w:p w14:paraId="0BCE9492">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2.3页数：填写该卷档案内所有文字、图纸、照片等资料的实际总页数。</w:t>
      </w:r>
    </w:p>
    <w:p w14:paraId="06A248B6">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2.4盒厚：档案盒厚度，以毫米为单位。</w:t>
      </w:r>
    </w:p>
    <w:p w14:paraId="6180D337">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3.二级目录录入规范</w:t>
      </w:r>
    </w:p>
    <w:p w14:paraId="53581DB4">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3.1档案卷号：南宁市城市建设档案馆分配的档案卷号。</w:t>
      </w:r>
    </w:p>
    <w:p w14:paraId="7791CB52">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3.2序号：序号从1起按顺序递增，不能为空为0，也不可跳号。</w:t>
      </w:r>
    </w:p>
    <w:p w14:paraId="48821F4B">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3.3文件题名：为一般为文件函头或文件标题，图纸的图标（图纸标题），无题名单份文件依据内容拟写题名。</w:t>
      </w:r>
    </w:p>
    <w:p w14:paraId="366F0A39">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同一张施工图图标为多项内容，则各项内容间空两格。如：一层平面图  二层平面图  一层平面布置图</w:t>
      </w:r>
    </w:p>
    <w:p w14:paraId="601E0D0B">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施工图图标为同项内容用“、”分隔。如：一层平面布置图  二、三层平面图</w:t>
      </w:r>
    </w:p>
    <w:p w14:paraId="5B49881F">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3.4日期的录入格式为YYYY-MM-DD，无“日”的自动为当月的第一日。</w:t>
      </w:r>
    </w:p>
    <w:p w14:paraId="7355E3AA">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3.5类型：分为文件、图纸、照片。</w:t>
      </w:r>
    </w:p>
    <w:p w14:paraId="436A4E25">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3.6页次：为每份文件的起始页。</w:t>
      </w:r>
    </w:p>
    <w:p w14:paraId="6913ABB2">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3.7备注：一般用于复印件、文件夹查询级别的限制的标注，填写：复印件或部分复印件、限制</w:t>
      </w:r>
    </w:p>
    <w:p w14:paraId="7FE93DF2">
      <w:pPr>
        <w:pStyle w:val="8"/>
        <w:keepNext w:val="0"/>
        <w:keepLines w:val="0"/>
        <w:pageBreakBefore w:val="0"/>
        <w:kinsoku/>
        <w:wordWrap/>
        <w:overflowPunct/>
        <w:topLinePunct w:val="0"/>
        <w:bidi w:val="0"/>
        <w:spacing w:line="580" w:lineRule="exact"/>
        <w:ind w:firstLine="640" w:firstLineChars="200"/>
        <w:textAlignment w:val="auto"/>
        <w:rPr>
          <w:rFonts w:hint="eastAsia" w:ascii="楷体_GB2312" w:hAnsi="楷体_GB2312" w:eastAsia="楷体_GB2312" w:cs="楷体_GB2312"/>
          <w:b w:val="0"/>
          <w:bCs/>
          <w:kern w:val="0"/>
          <w:sz w:val="32"/>
          <w:szCs w:val="32"/>
          <w:lang w:val="en-US" w:eastAsia="zh-CN" w:bidi="ar-SA"/>
        </w:rPr>
      </w:pPr>
      <w:r>
        <w:rPr>
          <w:rFonts w:hint="eastAsia" w:ascii="楷体_GB2312" w:hAnsi="楷体_GB2312" w:eastAsia="楷体_GB2312" w:cs="楷体_GB2312"/>
          <w:b w:val="0"/>
          <w:bCs/>
          <w:kern w:val="0"/>
          <w:sz w:val="32"/>
          <w:szCs w:val="32"/>
          <w:lang w:val="en-US" w:eastAsia="zh-CN" w:bidi="ar-SA"/>
        </w:rPr>
        <w:t>（四）南宁市城建档案扫描数字化技术要求</w:t>
      </w:r>
    </w:p>
    <w:p w14:paraId="7A09B359">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1．档案数字化的依据</w:t>
      </w:r>
    </w:p>
    <w:p w14:paraId="4F9DC474">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《中华人民共和国行业标准纸质档案数字化技术规范 》DA/T 31—2017 《建设电子文件与电子档案管理规范》CJJ/T117-2017  J  725-2017</w:t>
      </w:r>
    </w:p>
    <w:p w14:paraId="58E1E53F">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2．纸质档案数字化标准</w:t>
      </w:r>
    </w:p>
    <w:p w14:paraId="176FA688">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▲2．1 纸质档案数字化的扫描方式</w:t>
      </w:r>
    </w:p>
    <w:p w14:paraId="314C4E8F">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根据档案幅面的大小选择相应规格的扫描仪或专业扫描仪进行扫描。</w:t>
      </w:r>
    </w:p>
    <w:p w14:paraId="44ED9238">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超过设备幅面范围的采用图像拼接方式处理。</w:t>
      </w:r>
    </w:p>
    <w:p w14:paraId="0D21A174">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纸张状况较差，以及过薄、过软或超厚的档案，采用平板扫描方式。</w:t>
      </w:r>
    </w:p>
    <w:p w14:paraId="668B470E">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▲2．2 纸质档案数字化扫描分辨率</w:t>
      </w:r>
    </w:p>
    <w:p w14:paraId="288E163B">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采用彩色模式对档案进行扫描时，一般文件分辨率为200dpi，图纸文件分辨率为300 dpi。</w:t>
      </w:r>
    </w:p>
    <w:p w14:paraId="384BEAB1">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特殊情况下，如文字偏小、密集、清晰度较差等，分辨率为300dpi。</w:t>
      </w:r>
    </w:p>
    <w:p w14:paraId="4FCD9120">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2．3图像数据储存格式</w:t>
      </w:r>
    </w:p>
    <w:p w14:paraId="156D0D45">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彩色模式：JPEG格式</w:t>
      </w:r>
    </w:p>
    <w:p w14:paraId="6FD665BA">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2．4 文件结构及命名</w:t>
      </w:r>
    </w:p>
    <w:p w14:paraId="79AFB3F1">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详见《南宁市城建档案扫描档案目录与文件命名规则》</w:t>
      </w:r>
    </w:p>
    <w:p w14:paraId="068BDC86">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 数据备份</w:t>
      </w:r>
    </w:p>
    <w:p w14:paraId="12E67E15">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3.1备份载体</w:t>
      </w:r>
    </w:p>
    <w:p w14:paraId="35B220BF">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文件备份采用光盘存储载体，要求光盘面为可打印面</w:t>
      </w:r>
    </w:p>
    <w:p w14:paraId="2DDC950E">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3.2 数据备份编号</w:t>
      </w:r>
    </w:p>
    <w:p w14:paraId="5D12464D">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光盘命名规则：</w:t>
      </w:r>
    </w:p>
    <w:p w14:paraId="146D9856">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移交单位+工程名+项目名称（项目档案号）</w:t>
      </w:r>
    </w:p>
    <w:p w14:paraId="6646E8CD">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第X张，共Y张</w:t>
      </w:r>
    </w:p>
    <w:p w14:paraId="755464F9">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本张光盘的开始档案号-本张光盘的结束档案号</w:t>
      </w:r>
    </w:p>
    <w:p w14:paraId="3B45DE20">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3.3标签打印方式</w:t>
      </w:r>
    </w:p>
    <w:p w14:paraId="2DFE0C84">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r>
        <w:rPr>
          <w:rFonts w:hint="eastAsia" w:ascii="仿宋_GB2312" w:hAnsi="仿宋_GB2312" w:eastAsia="仿宋_GB2312" w:cs="仿宋_GB2312"/>
          <w:kern w:val="2"/>
          <w:sz w:val="32"/>
          <w:szCs w:val="32"/>
          <w:lang w:val="en-US" w:eastAsia="zh-CN" w:bidi="ar-SA"/>
        </w:rPr>
        <w:t>采用光盘打印机直接打印在光盘印刷面上。</w:t>
      </w:r>
    </w:p>
    <w:p w14:paraId="2ED13780">
      <w:pPr>
        <w:keepNext w:val="0"/>
        <w:keepLines w:val="0"/>
        <w:pageBreakBefore w:val="0"/>
        <w:widowControl w:val="0"/>
        <w:tabs>
          <w:tab w:val="left" w:pos="0"/>
        </w:tabs>
        <w:kinsoku/>
        <w:wordWrap/>
        <w:overflowPunct/>
        <w:topLinePunct w:val="0"/>
        <w:autoSpaceDE w:val="0"/>
        <w:autoSpaceDN w:val="0"/>
        <w:bidi w:val="0"/>
        <w:adjustRightInd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三、其它要求</w:t>
      </w:r>
    </w:p>
    <w:p w14:paraId="4ED38F9A">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（一）</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rPr>
        <w:t>业务范围包括档案整理、专项审核、档案加工服务、档案数据处理服务等</w:t>
      </w:r>
      <w:r>
        <w:rPr>
          <w:rFonts w:hint="eastAsia"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rPr>
        <w:t>承诺所提供的单位、人员资质证明文件材料齐全完整、真实有效。</w:t>
      </w:r>
    </w:p>
    <w:p w14:paraId="49C238AD">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w:t>
      </w:r>
      <w:r>
        <w:rPr>
          <w:rFonts w:hint="eastAsia" w:ascii="仿宋_GB2312" w:hAnsi="仿宋_GB2312" w:eastAsia="仿宋_GB2312" w:cs="仿宋_GB2312"/>
          <w:sz w:val="32"/>
          <w:szCs w:val="32"/>
          <w:lang w:eastAsia="zh-CN"/>
        </w:rPr>
        <w:t>供应商应</w:t>
      </w:r>
      <w:r>
        <w:rPr>
          <w:rFonts w:hint="eastAsia" w:ascii="仿宋_GB2312" w:hAnsi="仿宋_GB2312" w:eastAsia="仿宋_GB2312" w:cs="仿宋_GB2312"/>
          <w:sz w:val="32"/>
          <w:szCs w:val="32"/>
          <w:lang w:val="en-US" w:eastAsia="zh-CN"/>
        </w:rPr>
        <w:t>指派</w:t>
      </w:r>
      <w:r>
        <w:rPr>
          <w:rFonts w:hint="eastAsia" w:ascii="仿宋_GB2312" w:hAnsi="仿宋_GB2312" w:eastAsia="仿宋_GB2312" w:cs="仿宋_GB2312"/>
          <w:sz w:val="32"/>
          <w:szCs w:val="32"/>
          <w:lang w:eastAsia="zh-CN"/>
        </w:rPr>
        <w:t>一名项目</w:t>
      </w:r>
      <w:r>
        <w:rPr>
          <w:rFonts w:hint="eastAsia" w:ascii="仿宋_GB2312" w:hAnsi="仿宋_GB2312" w:eastAsia="仿宋_GB2312" w:cs="仿宋_GB2312"/>
          <w:sz w:val="32"/>
          <w:szCs w:val="32"/>
          <w:lang w:val="en-US" w:eastAsia="zh-CN"/>
        </w:rPr>
        <w:t>负责人，全程负责本项目的现场管理，安排1-2名工作人员参与项目工作。</w:t>
      </w:r>
    </w:p>
    <w:p w14:paraId="31DF6C77">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（三）</w:t>
      </w:r>
      <w:r>
        <w:rPr>
          <w:rFonts w:hint="eastAsia" w:ascii="仿宋_GB2312" w:hAnsi="仿宋_GB2312" w:eastAsia="仿宋_GB2312" w:cs="仿宋_GB2312"/>
          <w:sz w:val="32"/>
          <w:szCs w:val="32"/>
          <w:lang w:eastAsia="zh-CN"/>
        </w:rPr>
        <w:t>供应商应</w:t>
      </w:r>
      <w:r>
        <w:rPr>
          <w:rFonts w:hint="eastAsia" w:ascii="仿宋_GB2312" w:hAnsi="仿宋_GB2312" w:eastAsia="仿宋_GB2312" w:cs="仿宋_GB2312"/>
          <w:sz w:val="32"/>
          <w:szCs w:val="32"/>
          <w:lang w:val="en-US" w:eastAsia="zh-CN"/>
        </w:rPr>
        <w:t>保证制作服务满足采购方服务要求和服务方案的规范标准，采购</w:t>
      </w:r>
      <w:r>
        <w:rPr>
          <w:rFonts w:hint="default" w:ascii="仿宋_GB2312" w:hAnsi="仿宋_GB2312" w:eastAsia="仿宋_GB2312" w:cs="仿宋_GB2312"/>
          <w:sz w:val="32"/>
          <w:szCs w:val="32"/>
          <w:lang w:val="en-US" w:eastAsia="zh-CN"/>
        </w:rPr>
        <w:t>方根据项目进度可要求</w:t>
      </w:r>
      <w:r>
        <w:rPr>
          <w:rFonts w:hint="eastAsia" w:ascii="仿宋_GB2312" w:hAnsi="仿宋_GB2312" w:eastAsia="仿宋_GB2312" w:cs="仿宋_GB2312"/>
          <w:sz w:val="32"/>
          <w:szCs w:val="32"/>
          <w:lang w:eastAsia="zh-CN"/>
        </w:rPr>
        <w:t>供应商</w:t>
      </w:r>
      <w:r>
        <w:rPr>
          <w:rFonts w:hint="default" w:ascii="仿宋_GB2312" w:hAnsi="仿宋_GB2312" w:eastAsia="仿宋_GB2312" w:cs="仿宋_GB2312"/>
          <w:sz w:val="32"/>
          <w:szCs w:val="32"/>
          <w:lang w:val="en-US" w:eastAsia="zh-CN"/>
        </w:rPr>
        <w:t>调整</w:t>
      </w:r>
      <w:r>
        <w:rPr>
          <w:rFonts w:hint="eastAsia" w:ascii="仿宋_GB2312" w:hAnsi="仿宋_GB2312" w:eastAsia="仿宋_GB2312" w:cs="仿宋_GB2312"/>
          <w:sz w:val="32"/>
          <w:szCs w:val="32"/>
          <w:lang w:val="en-US" w:eastAsia="zh-CN"/>
        </w:rPr>
        <w:t>或增加</w:t>
      </w:r>
      <w:r>
        <w:rPr>
          <w:rFonts w:hint="default" w:ascii="仿宋_GB2312" w:hAnsi="仿宋_GB2312" w:eastAsia="仿宋_GB2312" w:cs="仿宋_GB2312"/>
          <w:sz w:val="32"/>
          <w:szCs w:val="32"/>
          <w:lang w:val="en-US" w:eastAsia="zh-CN"/>
        </w:rPr>
        <w:t>工作</w:t>
      </w:r>
      <w:r>
        <w:rPr>
          <w:rFonts w:hint="eastAsia" w:ascii="仿宋_GB2312" w:hAnsi="仿宋_GB2312" w:eastAsia="仿宋_GB2312" w:cs="仿宋_GB2312"/>
          <w:sz w:val="32"/>
          <w:szCs w:val="32"/>
          <w:lang w:val="en-US" w:eastAsia="zh-CN"/>
        </w:rPr>
        <w:t>人员</w:t>
      </w:r>
      <w:r>
        <w:rPr>
          <w:rFonts w:hint="default" w:ascii="仿宋_GB2312" w:hAnsi="仿宋_GB2312" w:eastAsia="仿宋_GB2312" w:cs="仿宋_GB2312"/>
          <w:sz w:val="32"/>
          <w:szCs w:val="32"/>
          <w:lang w:val="en-US" w:eastAsia="zh-CN"/>
        </w:rPr>
        <w:t>，</w:t>
      </w:r>
      <w:r>
        <w:rPr>
          <w:rFonts w:hint="eastAsia" w:ascii="仿宋_GB2312" w:hAnsi="仿宋_GB2312" w:eastAsia="仿宋_GB2312" w:cs="仿宋_GB2312"/>
          <w:sz w:val="32"/>
          <w:szCs w:val="32"/>
          <w:lang w:eastAsia="zh-CN"/>
        </w:rPr>
        <w:t>供应商应积极响应配合</w:t>
      </w:r>
      <w:r>
        <w:rPr>
          <w:rFonts w:hint="eastAsia" w:ascii="仿宋_GB2312" w:hAnsi="仿宋_GB2312" w:eastAsia="仿宋_GB2312" w:cs="仿宋_GB2312"/>
          <w:sz w:val="32"/>
          <w:szCs w:val="32"/>
          <w:lang w:val="en-US" w:eastAsia="zh-CN"/>
        </w:rPr>
        <w:t>。</w:t>
      </w:r>
    </w:p>
    <w:p w14:paraId="7A3CD00D">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（四）</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lang w:val="en-US" w:eastAsia="zh-CN"/>
        </w:rPr>
        <w:t>参与本项目的工作人员应自觉学习相关保密知识，严格遵守《档案法》《保密法》及其他有关法规。</w:t>
      </w:r>
    </w:p>
    <w:p w14:paraId="7346F3B6">
      <w:pPr>
        <w:keepNext w:val="0"/>
        <w:keepLines w:val="0"/>
        <w:pageBreakBefore w:val="0"/>
        <w:widowControl w:val="0"/>
        <w:kinsoku/>
        <w:wordWrap/>
        <w:overflowPunct/>
        <w:topLinePunct w:val="0"/>
        <w:bidi w:val="0"/>
        <w:snapToGrid/>
        <w:spacing w:line="58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（五）</w:t>
      </w:r>
      <w:r>
        <w:rPr>
          <w:rFonts w:hint="eastAsia" w:ascii="仿宋_GB2312" w:hAnsi="仿宋_GB2312" w:eastAsia="仿宋_GB2312" w:cs="仿宋_GB2312"/>
          <w:sz w:val="32"/>
          <w:szCs w:val="32"/>
          <w:lang w:eastAsia="zh-CN"/>
        </w:rPr>
        <w:t>供应商</w:t>
      </w:r>
      <w:r>
        <w:rPr>
          <w:rFonts w:hint="eastAsia" w:ascii="仿宋_GB2312" w:hAnsi="仿宋_GB2312" w:eastAsia="仿宋_GB2312" w:cs="仿宋_GB2312"/>
          <w:sz w:val="32"/>
          <w:szCs w:val="32"/>
          <w:lang w:val="en-US" w:eastAsia="zh-CN"/>
        </w:rPr>
        <w:t>参加本项目的人员变动必须取得采购方书面同意。如需变更则应履行变更手续，变更后人员资质及经验不得低于变更前人员。若采购方认为本项目工作人员不能满足工作需求的，应按采购方要求及时更换。</w:t>
      </w:r>
    </w:p>
    <w:p w14:paraId="3B1967D1">
      <w:pPr>
        <w:pStyle w:val="8"/>
        <w:keepNext w:val="0"/>
        <w:keepLines w:val="0"/>
        <w:pageBreakBefore w:val="0"/>
        <w:kinsoku/>
        <w:wordWrap/>
        <w:overflowPunct/>
        <w:topLinePunct w:val="0"/>
        <w:bidi w:val="0"/>
        <w:spacing w:line="580" w:lineRule="exact"/>
        <w:textAlignment w:val="auto"/>
        <w:rPr>
          <w:rFonts w:hint="eastAsia" w:ascii="仿宋_GB2312" w:hAnsi="仿宋_GB2312" w:eastAsia="仿宋_GB2312" w:cs="仿宋_GB2312"/>
          <w:kern w:val="2"/>
          <w:sz w:val="32"/>
          <w:szCs w:val="32"/>
          <w:lang w:val="en-US" w:eastAsia="zh-CN" w:bidi="ar-SA"/>
        </w:rPr>
      </w:pPr>
    </w:p>
    <w:sectPr>
      <w:pgSz w:w="11906" w:h="16838"/>
      <w:pgMar w:top="1134" w:right="1800" w:bottom="1134" w:left="1800" w:header="851" w:footer="992" w:gutter="0"/>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_GBK">
    <w:altName w:val="微软雅黑"/>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docVars>
    <w:docVar w:name="commondata" w:val="eyJoZGlkIjoiMDQwNTIyZmUzMGM1YjMxZGMyNmJiNjEzYzZmY2JlYWEifQ=="/>
  </w:docVars>
  <w:rsids>
    <w:rsidRoot w:val="00FE30AD"/>
    <w:rsid w:val="00021524"/>
    <w:rsid w:val="00054D80"/>
    <w:rsid w:val="000B6B79"/>
    <w:rsid w:val="000C34CB"/>
    <w:rsid w:val="001506F8"/>
    <w:rsid w:val="0016097E"/>
    <w:rsid w:val="001763FD"/>
    <w:rsid w:val="00181A24"/>
    <w:rsid w:val="00202A19"/>
    <w:rsid w:val="0023458A"/>
    <w:rsid w:val="00325D82"/>
    <w:rsid w:val="00364F4A"/>
    <w:rsid w:val="00365D68"/>
    <w:rsid w:val="00444C22"/>
    <w:rsid w:val="00474AE7"/>
    <w:rsid w:val="004B4C00"/>
    <w:rsid w:val="004F5D3A"/>
    <w:rsid w:val="00521F63"/>
    <w:rsid w:val="00580EC0"/>
    <w:rsid w:val="005E1BB3"/>
    <w:rsid w:val="0062399F"/>
    <w:rsid w:val="006A757B"/>
    <w:rsid w:val="007045B6"/>
    <w:rsid w:val="00716041"/>
    <w:rsid w:val="007A0A6A"/>
    <w:rsid w:val="007B7C49"/>
    <w:rsid w:val="00844FFD"/>
    <w:rsid w:val="00846DC0"/>
    <w:rsid w:val="00865992"/>
    <w:rsid w:val="00887303"/>
    <w:rsid w:val="008C37C1"/>
    <w:rsid w:val="008E1B52"/>
    <w:rsid w:val="009637AC"/>
    <w:rsid w:val="00A80114"/>
    <w:rsid w:val="00AA0A93"/>
    <w:rsid w:val="00AC50DA"/>
    <w:rsid w:val="00B41258"/>
    <w:rsid w:val="00BB52AD"/>
    <w:rsid w:val="00BF0445"/>
    <w:rsid w:val="00C075B9"/>
    <w:rsid w:val="00C36AF4"/>
    <w:rsid w:val="00C36E27"/>
    <w:rsid w:val="00C81276"/>
    <w:rsid w:val="00C976F8"/>
    <w:rsid w:val="00D125AB"/>
    <w:rsid w:val="00D317D1"/>
    <w:rsid w:val="00D365A1"/>
    <w:rsid w:val="00D50F55"/>
    <w:rsid w:val="00D92938"/>
    <w:rsid w:val="00EB592D"/>
    <w:rsid w:val="00EB687C"/>
    <w:rsid w:val="00F06293"/>
    <w:rsid w:val="00FE30AD"/>
    <w:rsid w:val="030466C4"/>
    <w:rsid w:val="03AE5B7F"/>
    <w:rsid w:val="03E23C0D"/>
    <w:rsid w:val="053036D3"/>
    <w:rsid w:val="05784DD8"/>
    <w:rsid w:val="07F2040E"/>
    <w:rsid w:val="08AE0998"/>
    <w:rsid w:val="08FF059B"/>
    <w:rsid w:val="08FF30F0"/>
    <w:rsid w:val="0D1D3BD7"/>
    <w:rsid w:val="0D223B53"/>
    <w:rsid w:val="0E4F0F11"/>
    <w:rsid w:val="12764AE9"/>
    <w:rsid w:val="131A64BA"/>
    <w:rsid w:val="149F00CA"/>
    <w:rsid w:val="14FB346D"/>
    <w:rsid w:val="169D7E59"/>
    <w:rsid w:val="17773ABE"/>
    <w:rsid w:val="19002CED"/>
    <w:rsid w:val="19D54AC1"/>
    <w:rsid w:val="1A447215"/>
    <w:rsid w:val="1B3D1B5C"/>
    <w:rsid w:val="1BE557EE"/>
    <w:rsid w:val="1CE21452"/>
    <w:rsid w:val="1DC859C6"/>
    <w:rsid w:val="1EC724D7"/>
    <w:rsid w:val="22EC647C"/>
    <w:rsid w:val="23E67864"/>
    <w:rsid w:val="2800617D"/>
    <w:rsid w:val="281D1A3D"/>
    <w:rsid w:val="2ADF388F"/>
    <w:rsid w:val="2AF70449"/>
    <w:rsid w:val="2B2F3F33"/>
    <w:rsid w:val="2D6D43F6"/>
    <w:rsid w:val="2D8C3BFA"/>
    <w:rsid w:val="3037289D"/>
    <w:rsid w:val="30AB1642"/>
    <w:rsid w:val="30EF76F8"/>
    <w:rsid w:val="316146CC"/>
    <w:rsid w:val="32040AFB"/>
    <w:rsid w:val="328278D5"/>
    <w:rsid w:val="35074470"/>
    <w:rsid w:val="35433AB3"/>
    <w:rsid w:val="358D37AB"/>
    <w:rsid w:val="35A11C2D"/>
    <w:rsid w:val="3629210B"/>
    <w:rsid w:val="38B017C1"/>
    <w:rsid w:val="39631265"/>
    <w:rsid w:val="39A572CB"/>
    <w:rsid w:val="3A6411A8"/>
    <w:rsid w:val="3B1768EB"/>
    <w:rsid w:val="419C2A69"/>
    <w:rsid w:val="436678DC"/>
    <w:rsid w:val="438A5284"/>
    <w:rsid w:val="44ED6F49"/>
    <w:rsid w:val="49262128"/>
    <w:rsid w:val="499C3D71"/>
    <w:rsid w:val="4A5A6B50"/>
    <w:rsid w:val="4CD22956"/>
    <w:rsid w:val="4CE1504A"/>
    <w:rsid w:val="4DEA67AC"/>
    <w:rsid w:val="4EE50C2F"/>
    <w:rsid w:val="4EF306D4"/>
    <w:rsid w:val="509B3DE1"/>
    <w:rsid w:val="50BA6969"/>
    <w:rsid w:val="51F556BC"/>
    <w:rsid w:val="52306EB6"/>
    <w:rsid w:val="53501777"/>
    <w:rsid w:val="540B11D1"/>
    <w:rsid w:val="54CC32A0"/>
    <w:rsid w:val="55C273F3"/>
    <w:rsid w:val="55FE581F"/>
    <w:rsid w:val="575A6458"/>
    <w:rsid w:val="58CA5C64"/>
    <w:rsid w:val="5C7D3C78"/>
    <w:rsid w:val="5E3948CD"/>
    <w:rsid w:val="607119FF"/>
    <w:rsid w:val="61C46016"/>
    <w:rsid w:val="6471448D"/>
    <w:rsid w:val="66570294"/>
    <w:rsid w:val="66D33B54"/>
    <w:rsid w:val="673E22B3"/>
    <w:rsid w:val="6BB047C6"/>
    <w:rsid w:val="72171C3C"/>
    <w:rsid w:val="72956E23"/>
    <w:rsid w:val="744F240A"/>
    <w:rsid w:val="74BE7B3F"/>
    <w:rsid w:val="76666010"/>
    <w:rsid w:val="76CD3AF4"/>
    <w:rsid w:val="780A542F"/>
    <w:rsid w:val="7C025260"/>
    <w:rsid w:val="7C202CC5"/>
    <w:rsid w:val="7D74329C"/>
    <w:rsid w:val="7E1C69DB"/>
    <w:rsid w:val="7E8B338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3"/>
    <w:basedOn w:val="1"/>
    <w:next w:val="1"/>
    <w:qFormat/>
    <w:uiPriority w:val="1"/>
    <w:pPr>
      <w:spacing w:before="32"/>
      <w:ind w:left="372"/>
      <w:jc w:val="center"/>
      <w:outlineLvl w:val="2"/>
    </w:pPr>
    <w:rPr>
      <w:b/>
      <w:bCs/>
      <w:sz w:val="32"/>
      <w:szCs w:val="30"/>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4">
    <w:name w:val="annotation text"/>
    <w:basedOn w:val="1"/>
    <w:link w:val="21"/>
    <w:qFormat/>
    <w:uiPriority w:val="0"/>
    <w:pPr>
      <w:jc w:val="left"/>
    </w:pPr>
    <w:rPr>
      <w:rFonts w:ascii="Times New Roman" w:hAnsi="Times New Roman" w:cs="Times New Roman"/>
      <w:szCs w:val="22"/>
    </w:rPr>
  </w:style>
  <w:style w:type="paragraph" w:styleId="5">
    <w:name w:val="Body Text"/>
    <w:basedOn w:val="1"/>
    <w:next w:val="1"/>
    <w:qFormat/>
    <w:uiPriority w:val="0"/>
    <w:pPr>
      <w:spacing w:line="380" w:lineRule="exact"/>
    </w:pPr>
    <w:rPr>
      <w:sz w:val="24"/>
    </w:rPr>
  </w:style>
  <w:style w:type="paragraph" w:styleId="6">
    <w:name w:val="Plain Text"/>
    <w:basedOn w:val="1"/>
    <w:link w:val="23"/>
    <w:unhideWhenUsed/>
    <w:qFormat/>
    <w:uiPriority w:val="0"/>
    <w:pPr>
      <w:widowControl/>
      <w:spacing w:before="100" w:beforeAutospacing="1" w:after="100" w:afterAutospacing="1"/>
      <w:jc w:val="left"/>
    </w:pPr>
    <w:rPr>
      <w:rFonts w:ascii="宋体" w:hAnsi="宋体"/>
      <w:kern w:val="0"/>
      <w:sz w:val="24"/>
    </w:rPr>
  </w:style>
  <w:style w:type="paragraph" w:styleId="7">
    <w:name w:val="Balloon Text"/>
    <w:basedOn w:val="1"/>
    <w:link w:val="24"/>
    <w:semiHidden/>
    <w:unhideWhenUsed/>
    <w:qFormat/>
    <w:uiPriority w:val="99"/>
    <w:rPr>
      <w:sz w:val="18"/>
      <w:szCs w:val="18"/>
    </w:rPr>
  </w:style>
  <w:style w:type="paragraph" w:styleId="8">
    <w:name w:val="footer"/>
    <w:basedOn w:val="1"/>
    <w:link w:val="19"/>
    <w:unhideWhenUsed/>
    <w:qFormat/>
    <w:uiPriority w:val="99"/>
    <w:pPr>
      <w:tabs>
        <w:tab w:val="center" w:pos="4153"/>
        <w:tab w:val="right" w:pos="8306"/>
      </w:tabs>
      <w:snapToGrid w:val="0"/>
      <w:jc w:val="left"/>
    </w:pPr>
    <w:rPr>
      <w:sz w:val="18"/>
      <w:szCs w:val="18"/>
    </w:rPr>
  </w:style>
  <w:style w:type="paragraph" w:styleId="9">
    <w:name w:val="header"/>
    <w:basedOn w:val="1"/>
    <w:link w:val="18"/>
    <w:unhideWhenUsed/>
    <w:qFormat/>
    <w:uiPriority w:val="99"/>
    <w:pPr>
      <w:pBdr>
        <w:bottom w:val="single" w:color="auto" w:sz="6" w:space="1"/>
      </w:pBdr>
      <w:tabs>
        <w:tab w:val="center" w:pos="4153"/>
        <w:tab w:val="right" w:pos="8306"/>
      </w:tabs>
      <w:snapToGrid w:val="0"/>
      <w:jc w:val="center"/>
    </w:pPr>
    <w:rPr>
      <w:sz w:val="18"/>
      <w:szCs w:val="18"/>
    </w:rPr>
  </w:style>
  <w:style w:type="paragraph" w:styleId="10">
    <w:name w:val="Normal (Web)"/>
    <w:basedOn w:val="1"/>
    <w:semiHidden/>
    <w:unhideWhenUsed/>
    <w:qFormat/>
    <w:uiPriority w:val="99"/>
    <w:pPr>
      <w:spacing w:beforeAutospacing="1" w:afterAutospacing="1"/>
      <w:jc w:val="left"/>
    </w:pPr>
    <w:rPr>
      <w:rFonts w:cs="Times New Roman"/>
      <w:kern w:val="0"/>
      <w:sz w:val="24"/>
    </w:rPr>
  </w:style>
  <w:style w:type="character" w:styleId="13">
    <w:name w:val="Strong"/>
    <w:basedOn w:val="12"/>
    <w:qFormat/>
    <w:uiPriority w:val="22"/>
    <w:rPr>
      <w:b/>
    </w:rPr>
  </w:style>
  <w:style w:type="character" w:styleId="14">
    <w:name w:val="page number"/>
    <w:basedOn w:val="12"/>
    <w:unhideWhenUsed/>
    <w:qFormat/>
    <w:uiPriority w:val="99"/>
  </w:style>
  <w:style w:type="character" w:styleId="15">
    <w:name w:val="Hyperlink"/>
    <w:basedOn w:val="12"/>
    <w:semiHidden/>
    <w:unhideWhenUsed/>
    <w:qFormat/>
    <w:uiPriority w:val="99"/>
    <w:rPr>
      <w:color w:val="0000FF"/>
      <w:u w:val="single"/>
    </w:rPr>
  </w:style>
  <w:style w:type="paragraph" w:customStyle="1" w:styleId="16">
    <w:name w:val="无间隔1"/>
    <w:basedOn w:val="1"/>
    <w:qFormat/>
    <w:uiPriority w:val="99"/>
  </w:style>
  <w:style w:type="character" w:customStyle="1" w:styleId="17">
    <w:name w:val="15"/>
    <w:basedOn w:val="12"/>
    <w:qFormat/>
    <w:uiPriority w:val="0"/>
    <w:rPr>
      <w:rFonts w:hint="default" w:ascii="Calibri" w:hAnsi="Calibri" w:cs="Calibri"/>
      <w:b/>
      <w:bCs/>
    </w:rPr>
  </w:style>
  <w:style w:type="character" w:customStyle="1" w:styleId="18">
    <w:name w:val="页眉 Char"/>
    <w:basedOn w:val="12"/>
    <w:link w:val="9"/>
    <w:qFormat/>
    <w:uiPriority w:val="99"/>
    <w:rPr>
      <w:rFonts w:ascii="Calibri" w:hAnsi="Calibri" w:eastAsia="宋体" w:cs="Calibri"/>
      <w:kern w:val="2"/>
      <w:sz w:val="18"/>
      <w:szCs w:val="18"/>
    </w:rPr>
  </w:style>
  <w:style w:type="character" w:customStyle="1" w:styleId="19">
    <w:name w:val="页脚 Char"/>
    <w:basedOn w:val="12"/>
    <w:link w:val="8"/>
    <w:qFormat/>
    <w:uiPriority w:val="99"/>
    <w:rPr>
      <w:rFonts w:ascii="Calibri" w:hAnsi="Calibri" w:eastAsia="宋体" w:cs="Calibri"/>
      <w:kern w:val="2"/>
      <w:sz w:val="18"/>
      <w:szCs w:val="18"/>
    </w:rPr>
  </w:style>
  <w:style w:type="paragraph" w:customStyle="1" w:styleId="20">
    <w:name w:val="cucd-0"/>
    <w:qFormat/>
    <w:uiPriority w:val="0"/>
    <w:pPr>
      <w:spacing w:line="360" w:lineRule="auto"/>
      <w:ind w:firstLine="480" w:firstLineChars="200"/>
    </w:pPr>
    <w:rPr>
      <w:rFonts w:ascii="Calibri" w:hAnsi="Calibri" w:eastAsia="宋体" w:cs="Times New Roman"/>
      <w:kern w:val="2"/>
      <w:sz w:val="24"/>
      <w:szCs w:val="24"/>
      <w:lang w:val="en-US" w:eastAsia="zh-CN" w:bidi="ar-SA"/>
    </w:rPr>
  </w:style>
  <w:style w:type="character" w:customStyle="1" w:styleId="21">
    <w:name w:val="批注文字 Char"/>
    <w:basedOn w:val="12"/>
    <w:link w:val="4"/>
    <w:qFormat/>
    <w:uiPriority w:val="0"/>
    <w:rPr>
      <w:kern w:val="2"/>
      <w:sz w:val="21"/>
      <w:szCs w:val="22"/>
    </w:rPr>
  </w:style>
  <w:style w:type="paragraph" w:styleId="22">
    <w:name w:val="List Paragraph"/>
    <w:basedOn w:val="1"/>
    <w:qFormat/>
    <w:uiPriority w:val="99"/>
    <w:pPr>
      <w:ind w:firstLine="420" w:firstLineChars="200"/>
    </w:pPr>
  </w:style>
  <w:style w:type="character" w:customStyle="1" w:styleId="23">
    <w:name w:val="纯文本 Char"/>
    <w:link w:val="6"/>
    <w:qFormat/>
    <w:uiPriority w:val="0"/>
    <w:rPr>
      <w:rFonts w:ascii="宋体" w:hAnsi="宋体" w:cs="Calibri"/>
      <w:sz w:val="24"/>
      <w:szCs w:val="21"/>
    </w:rPr>
  </w:style>
  <w:style w:type="character" w:customStyle="1" w:styleId="24">
    <w:name w:val="批注框文本 Char"/>
    <w:basedOn w:val="12"/>
    <w:link w:val="7"/>
    <w:semiHidden/>
    <w:qFormat/>
    <w:uiPriority w:val="99"/>
    <w:rPr>
      <w:rFonts w:ascii="Calibri" w:hAnsi="Calibri" w:cs="Calibri"/>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9</Pages>
  <Words>578</Words>
  <Characters>3295</Characters>
  <Lines>27</Lines>
  <Paragraphs>7</Paragraphs>
  <TotalTime>1</TotalTime>
  <ScaleCrop>false</ScaleCrop>
  <LinksUpToDate>false</LinksUpToDate>
  <CharactersWithSpaces>3866</CharactersWithSpaces>
  <Application>WPS Office_12.8.2.20324_F1E327BC-269C-435d-A152-05C5408002CA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2019-12-30T07:45:00Z</dcterms:created>
  <dc:creator>微软用户</dc:creator>
  <cp:lastModifiedBy>Administrator</cp:lastModifiedBy>
  <cp:lastPrinted>2025-08-29T03:53:00Z</cp:lastPrinted>
  <dcterms:modified xsi:type="dcterms:W3CDTF">2026-08-27T03:32:17Z</dcterms:modified>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2052-12.8.2.20324</vt:lpwstr>
  </property>
  <property fmtid="{D5CDD505-2E9C-101B-9397-08002B2CF9AE}" pid="3" name="ICV">
    <vt:lpwstr>65A9639DA7BA46CFB3884170BA4BAA13_12</vt:lpwstr>
  </property>
  <property fmtid="{D5CDD505-2E9C-101B-9397-08002B2CF9AE}" pid="4" name="KSOTemplateDocerSaveRecord">
    <vt:lpwstr>eyJoZGlkIjoiMDQwNTIyZmUzMGM1YjMxZGMyNmJiNjEzYzZmY2JlYWEifQ==</vt:lpwstr>
  </property>
</Properties>
</file>