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江门500千伏圭峰站扩建第三台主变工程监理</w:t>
      </w:r>
    </w:p>
    <w:tbl>
      <w:tblPr>
        <w:tblStyle w:val="12"/>
        <w:tblW w:w="8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43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5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435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江门供电局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435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江门市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435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南方电网规划〔2025〕119号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435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江发改核准〔2025〕8号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435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广电规〔2026〕73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前期的设计或咨询服务单位名称</w:t>
            </w:r>
          </w:p>
        </w:tc>
        <w:tc>
          <w:tcPr>
            <w:tcW w:w="435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佛山电力设计院有限公司（牵头方）/深圳市工勘岩土集团有限公司（成员方）</w:t>
            </w:r>
          </w:p>
        </w:tc>
      </w:tr>
    </w:tbl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FF0000"/>
          <w:sz w:val="28"/>
          <w:szCs w:val="28"/>
          <w:highlight w:val="none"/>
          <w:lang w:val="en-US" w:eastAsia="zh-CN"/>
        </w:rPr>
      </w:pPr>
    </w:p>
    <w:bookmarkEnd w:id="0"/>
    <w:p>
      <w:pPr>
        <w:pStyle w:val="2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变电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1、500千伏圭峰站扩建第三台主变工程：本期扩建#1主变1×1000MVA，终期规模4×1000MVA，已投运2×1000MVA，本期扩建1回至汇宁储能站500kV出线间隔，220kV不新增出线，新建主变低压侧安装2组60MVar低压电容器，设自动投切装置。本期不新增低压电抗器，本期扩建无新增建筑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）通信工程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1、配套通信设备工程：配合圭峰站内配串调整，需重新敷设新香山甲、乙线，汇宁储能间隔至通信机房的管道光缆，光缆型号与原光缆保持一致。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以上各项具体建设规模最终以施工图纸为准。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采购范围</w:t>
      </w:r>
      <w:bookmarkStart w:id="1" w:name="施工招标范围综合"/>
    </w:p>
    <w:bookmarkEnd w:id="1"/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勘察设计、施工准备（含三通一平）、施工（含通信）、竣工结算、缺陷责任期、电子化移交的全过程监理。按照建设单位要求使用工程信息管理系统。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jc w:val="left"/>
        <w:textAlignment w:val="auto"/>
        <w:outlineLvl w:val="9"/>
        <w:rPr>
          <w:rFonts w:hint="eastAsia" w:hAnsi="宋体" w:cs="宋体"/>
          <w:b/>
          <w:bCs/>
          <w:snapToGrid w:val="0"/>
          <w:sz w:val="21"/>
          <w:szCs w:val="21"/>
          <w:highlight w:val="none"/>
          <w:lang w:val="en-US" w:eastAsia="zh-CN"/>
        </w:rPr>
      </w:pPr>
    </w:p>
    <w:p>
      <w:pPr>
        <w:pStyle w:val="3"/>
        <w:rPr>
          <w:rFonts w:hint="eastAsia" w:hAnsi="宋体" w:cs="宋体"/>
          <w:b/>
          <w:bCs/>
          <w:snapToGrid w:val="0"/>
          <w:sz w:val="21"/>
          <w:szCs w:val="21"/>
          <w:highlight w:val="none"/>
          <w:lang w:val="en-US" w:eastAsia="zh-CN"/>
        </w:rPr>
      </w:pPr>
    </w:p>
    <w:p>
      <w:pPr>
        <w:rPr>
          <w:rFonts w:hint="eastAsia" w:hAnsi="宋体" w:cs="宋体"/>
          <w:b/>
          <w:bCs/>
          <w:snapToGrid w:val="0"/>
          <w:sz w:val="21"/>
          <w:szCs w:val="21"/>
          <w:highlight w:val="none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2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</w:t>
      </w:r>
      <w:r>
        <w:rPr>
          <w:rFonts w:hint="eastAsia" w:ascii="宋体" w:hAnsi="宋体" w:cs="宋体"/>
          <w:b/>
          <w:color w:val="auto"/>
          <w:sz w:val="28"/>
          <w:szCs w:val="28"/>
          <w:highlight w:val="none"/>
          <w:lang w:val="en-US" w:eastAsia="zh-CN"/>
        </w:rPr>
        <w:t>：500千伏科北站扩建第三台主变工程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监理</w:t>
      </w:r>
    </w:p>
    <w:tbl>
      <w:tblPr>
        <w:tblStyle w:val="12"/>
        <w:tblW w:w="89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5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bookmarkStart w:id="2" w:name="OLE_LINK3" w:colFirst="2" w:colLast="2"/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广东电网有限责任公司广州供电局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广州市黄埔区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南方电网规划〔2025〕113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bookmarkStart w:id="3" w:name="OLE_LINK2"/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穗发改核准〔</w:t>
            </w: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2026〕8号</w:t>
            </w:r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广电规〔2026〕98号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南方电网工程〔2026〕33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施工图预算批复文号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前期的设计或咨询服务单位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中国能源集团广东省电力设计研究院有限公司</w:t>
            </w:r>
          </w:p>
        </w:tc>
      </w:tr>
      <w:bookmarkEnd w:id="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291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项目监理单位</w:t>
            </w:r>
          </w:p>
        </w:tc>
        <w:tc>
          <w:tcPr>
            <w:tcW w:w="506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</w:tbl>
    <w:p>
      <w:pPr>
        <w:pStyle w:val="2"/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numPr>
          <w:ilvl w:val="0"/>
          <w:numId w:val="2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建设规模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/>
        </w:rPr>
      </w:pPr>
      <w:bookmarkStart w:id="4" w:name="OLE_LINK4"/>
      <w:r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/>
        </w:rPr>
        <w:t>1.</w:t>
      </w:r>
      <w:bookmarkStart w:id="5" w:name="OLE_LINK1"/>
      <w:r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500 千伏科北站扩建第三台主变工程</w:t>
      </w:r>
      <w:bookmarkEnd w:id="5"/>
    </w:p>
    <w:p>
      <w:pPr>
        <w:keepNext w:val="0"/>
        <w:keepLines w:val="0"/>
        <w:widowControl/>
        <w:suppressLineNumbers w:val="0"/>
        <w:spacing w:line="360" w:lineRule="auto"/>
        <w:ind w:firstLine="420" w:firstLineChars="200"/>
        <w:jc w:val="left"/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500 千伏科北站扩建第三台主变工程，本期扩建 1000 兆伏安 主变压器 1 组，主变低压侧安装 2 组 60 兆乏低压并联电容器。</w:t>
      </w:r>
    </w:p>
    <w:p>
      <w:pPr>
        <w:keepNext w:val="0"/>
        <w:keepLines w:val="0"/>
        <w:widowControl/>
        <w:suppressLineNumbers w:val="0"/>
        <w:spacing w:line="360" w:lineRule="auto"/>
        <w:ind w:firstLine="420" w:firstLineChars="200"/>
        <w:jc w:val="left"/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 xml:space="preserve"> 500 千伏采用 1 个半断路器接线，本期安装 1 组断路器。35 千伏侧采用单母线单元接线，装设总断路器，本期安装 3 组断路器。 </w:t>
      </w:r>
    </w:p>
    <w:p>
      <w:pPr>
        <w:keepNext w:val="0"/>
        <w:keepLines w:val="0"/>
        <w:widowControl/>
        <w:suppressLineNumbers w:val="0"/>
        <w:spacing w:line="360" w:lineRule="auto"/>
        <w:ind w:firstLine="420" w:firstLineChars="200"/>
        <w:jc w:val="left"/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 xml:space="preserve">主变采用单相、自耦、油浸式、无励磁调压变压器。500 千伏、220 千伏均采用户内 GIS 设备，35 千伏采用 SF6 罐式断路器。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本期扩建工程在围墙内进行，不新征用地。</w:t>
      </w:r>
    </w:p>
    <w:bookmarkEnd w:id="4"/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bookmarkStart w:id="6" w:name="_GoBack"/>
      <w:bookmarkEnd w:id="6"/>
    </w:p>
    <w:p>
      <w:pPr>
        <w:pStyle w:val="2"/>
        <w:keepNext w:val="0"/>
        <w:keepLines w:val="0"/>
        <w:pageBreakBefore w:val="0"/>
        <w:numPr>
          <w:ilvl w:val="0"/>
          <w:numId w:val="2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采购范围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包括施工图范围内的建筑、安装及调试工程。施工图范围内的下列工作内容，无□及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instrText xml:space="preserve"> EQ \o\ac(</w:instrTex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position w:val="-4"/>
          <w:sz w:val="31"/>
          <w:szCs w:val="21"/>
          <w:highlight w:val="none"/>
          <w:lang w:val="en-US" w:eastAsia="zh-CN"/>
        </w:rPr>
        <w:instrText xml:space="preserve">□</w:instrTex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position w:val="0"/>
          <w:sz w:val="21"/>
          <w:szCs w:val="21"/>
          <w:highlight w:val="none"/>
          <w:lang w:val="en-US" w:eastAsia="zh-CN"/>
        </w:rPr>
        <w:instrText xml:space="preserve">,√)</w:instrTex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fldChar w:fldCharType="end"/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的为本次报价范围；□未打√的，不在本次报价范围内，特殊情况在“其他”中说明。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  <w:t>※变电部分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变电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  <w:t>建筑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工程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  <w:t>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（一）主要生产工程：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配电装置建筑，消防系统；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（二）辅助生产工程：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vertAlign w:val="baseline"/>
          <w:lang w:val="en-US" w:eastAsia="zh-CN" w:bidi="ar-SA"/>
        </w:rPr>
        <w:t>站区性建筑，站区绿化；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（三）与站址有关的单项工程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630" w:firstLineChars="3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地基处理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□站外道路（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其中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□桥涵），□站外水源，□站外排水，□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站外蒸发池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，□施工降水，□临时施工电源，□临时施工水源，□临时施工道路，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1"/>
          <w:szCs w:val="21"/>
          <w:highlight w:val="none"/>
        </w:rPr>
        <w:t>临时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1"/>
          <w:szCs w:val="21"/>
          <w:highlight w:val="none"/>
          <w:lang w:eastAsia="zh-CN"/>
        </w:rPr>
        <w:t>施工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1"/>
          <w:szCs w:val="21"/>
          <w:highlight w:val="none"/>
        </w:rPr>
        <w:t>通信线路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临时施工防护工程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（四）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其他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费用工程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□白蚁防治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，</w:t>
      </w: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拆除工程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（五）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其他：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□站外配网工程、☑余土消纳。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变电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  <w:t>安装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工程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  <w:t>：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pacing w:line="360" w:lineRule="auto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主要生产工程：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主变压器系统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配电装置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无功补偿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，控制及直流系统，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站用电系统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，电缆及接地，远动系统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含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总调、中调、地调调度端的扩容）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，计费系统，全站调试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其中特殊调试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以合同附件十二特殊调试项目为准）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）辅助生产工程：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  <w:t>/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（三）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eastAsia="zh-CN"/>
        </w:rPr>
        <w:t>与站址有关的单项工程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  <w:t>□站外电源，□站外通信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（四）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其他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费用工程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：</w:t>
      </w: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标志牌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</w:rPr>
        <w:t>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装，</w:t>
      </w: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eastAsia="zh-CN"/>
        </w:rPr>
        <w:t>拆除工程；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  <w:lang w:eastAsia="zh-CN"/>
        </w:rPr>
        <w:t>（五）</w:t>
      </w:r>
      <w:r>
        <w:rPr>
          <w:rFonts w:hint="eastAsia" w:asciiTheme="minorEastAsia" w:hAnsiTheme="minorEastAsia" w:eastAsiaTheme="minorEastAsia" w:cstheme="minorEastAsia"/>
          <w:b/>
          <w:color w:val="auto"/>
          <w:sz w:val="21"/>
          <w:szCs w:val="21"/>
          <w:highlight w:val="none"/>
        </w:rPr>
        <w:t>其他：</w:t>
      </w:r>
      <w:r>
        <w:rPr>
          <w:rFonts w:hint="eastAsia" w:asciiTheme="minorEastAsia" w:hAnsiTheme="minorEastAsia" w:cstheme="minorEastAsia"/>
          <w:b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1"/>
          <w:szCs w:val="21"/>
          <w:highlight w:val="none"/>
          <w:u w:val="single"/>
          <w:lang w:val="en-US" w:eastAsia="zh-CN"/>
        </w:rPr>
        <w:t xml:space="preserve"> ☑相关表计校验SF₆密度继电器、气体继电器、关口电能表误差校验（如有），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u w:val="single"/>
          <w:lang w:val="en-US" w:eastAsia="zh-CN"/>
        </w:rPr>
        <w:t xml:space="preserve"> ☑租赁试验套管（GIS）（如有）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304" w:right="1417" w:bottom="130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0C59F9"/>
    <w:multiLevelType w:val="singleLevel"/>
    <w:tmpl w:val="950C59F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2">
    <w:nsid w:val="5862E749"/>
    <w:multiLevelType w:val="singleLevel"/>
    <w:tmpl w:val="5862E74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85EBC"/>
    <w:rsid w:val="02A921A7"/>
    <w:rsid w:val="02B15B34"/>
    <w:rsid w:val="02C83782"/>
    <w:rsid w:val="03287EDC"/>
    <w:rsid w:val="034D7CA2"/>
    <w:rsid w:val="034E0227"/>
    <w:rsid w:val="037E227F"/>
    <w:rsid w:val="03AA0451"/>
    <w:rsid w:val="03AF423F"/>
    <w:rsid w:val="03E3268F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0F693E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6D66D52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7B09AD"/>
    <w:rsid w:val="0A844D78"/>
    <w:rsid w:val="0A985A04"/>
    <w:rsid w:val="0AB54D77"/>
    <w:rsid w:val="0AB55BC4"/>
    <w:rsid w:val="0B007ACB"/>
    <w:rsid w:val="0B0808AF"/>
    <w:rsid w:val="0B0F2FF1"/>
    <w:rsid w:val="0B142DCD"/>
    <w:rsid w:val="0B92040A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1644228"/>
    <w:rsid w:val="118F5908"/>
    <w:rsid w:val="11A21712"/>
    <w:rsid w:val="11AD553B"/>
    <w:rsid w:val="12203995"/>
    <w:rsid w:val="122A0CEF"/>
    <w:rsid w:val="124F21F3"/>
    <w:rsid w:val="12712B03"/>
    <w:rsid w:val="128B0996"/>
    <w:rsid w:val="12DE2CA9"/>
    <w:rsid w:val="12EE046D"/>
    <w:rsid w:val="130B4D14"/>
    <w:rsid w:val="133F34EA"/>
    <w:rsid w:val="13424C34"/>
    <w:rsid w:val="13716D9B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812CEC"/>
    <w:rsid w:val="1AA02166"/>
    <w:rsid w:val="1AD738BE"/>
    <w:rsid w:val="1ADC3A8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624"/>
    <w:rsid w:val="1CBA18A9"/>
    <w:rsid w:val="1CD911A3"/>
    <w:rsid w:val="1D252978"/>
    <w:rsid w:val="1D326BC3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A75DA2"/>
    <w:rsid w:val="22F9477D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8E4055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1B0AD6"/>
    <w:rsid w:val="2E494152"/>
    <w:rsid w:val="2E7225D7"/>
    <w:rsid w:val="2E7D5F32"/>
    <w:rsid w:val="2EB73D67"/>
    <w:rsid w:val="2EBF4AC4"/>
    <w:rsid w:val="2ED82027"/>
    <w:rsid w:val="2EE839A3"/>
    <w:rsid w:val="2F5A2E3F"/>
    <w:rsid w:val="2F6F415D"/>
    <w:rsid w:val="2F9B59A0"/>
    <w:rsid w:val="2FC05317"/>
    <w:rsid w:val="2FF4434D"/>
    <w:rsid w:val="30005F4F"/>
    <w:rsid w:val="3023701C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5317F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A4009"/>
    <w:rsid w:val="3C8303D7"/>
    <w:rsid w:val="3CB90382"/>
    <w:rsid w:val="3CC66BCF"/>
    <w:rsid w:val="3CC948E2"/>
    <w:rsid w:val="3CF90008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5A653B"/>
    <w:rsid w:val="458B1AD4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F003028"/>
    <w:rsid w:val="4F0A6052"/>
    <w:rsid w:val="4F12387B"/>
    <w:rsid w:val="4F2177D6"/>
    <w:rsid w:val="4F2E66BC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4F3C75"/>
    <w:rsid w:val="555046BE"/>
    <w:rsid w:val="55567893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E236AF4"/>
    <w:rsid w:val="5E322ACA"/>
    <w:rsid w:val="5E527BEE"/>
    <w:rsid w:val="5E5532A1"/>
    <w:rsid w:val="5E98604D"/>
    <w:rsid w:val="5EA31851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80741D"/>
    <w:rsid w:val="679000E4"/>
    <w:rsid w:val="67A606AE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2C156C"/>
    <w:rsid w:val="698B41C5"/>
    <w:rsid w:val="69A24CB7"/>
    <w:rsid w:val="69C20011"/>
    <w:rsid w:val="69F97051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04369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10002D8"/>
    <w:rsid w:val="710F06D2"/>
    <w:rsid w:val="71391E79"/>
    <w:rsid w:val="71394ABB"/>
    <w:rsid w:val="717D3B92"/>
    <w:rsid w:val="71991037"/>
    <w:rsid w:val="71C33F74"/>
    <w:rsid w:val="71DB7284"/>
    <w:rsid w:val="71E93DA2"/>
    <w:rsid w:val="71F416E7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A4FA4"/>
    <w:rsid w:val="79A612EF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  <w:rsid w:val="AFFE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5">
    <w:name w:val="Body Text"/>
    <w:basedOn w:val="6"/>
    <w:next w:val="6"/>
    <w:unhideWhenUsed/>
    <w:qFormat/>
    <w:uiPriority w:val="99"/>
    <w:pPr>
      <w:spacing w:after="120"/>
    </w:p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Cs/>
      <w:color w:val="FF0000"/>
      <w:kern w:val="0"/>
      <w:sz w:val="84"/>
      <w:szCs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0">
    <w:name w:val="Body Text First Indent"/>
    <w:basedOn w:val="5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5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2022-08-15T18:27:00Z</dcterms:created>
  <dc:creator>顾开元</dc:creator>
  <cp:lastModifiedBy>孙子洋</cp:lastModifiedBy>
  <dcterms:modified xsi:type="dcterms:W3CDTF">2026-09-07T08:53:37Z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B53CF143D2EA4ABA90835D9F1CEBD847</vt:lpwstr>
  </property>
</Properties>
</file>