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FD5B9">
      <w:pPr>
        <w:spacing w:line="360" w:lineRule="auto"/>
        <w:jc w:val="center"/>
        <w:rPr>
          <w:rFonts w:hint="eastAsia" w:ascii="华文中宋" w:hAnsi="华文中宋" w:eastAsia="华文中宋"/>
          <w:b/>
          <w:bCs/>
          <w:color w:val="auto"/>
          <w:sz w:val="44"/>
        </w:rPr>
      </w:pPr>
      <w:r>
        <w:rPr>
          <w:rFonts w:ascii="宋体" w:hAnsi="宋体"/>
        </w:rPr>
        <w:drawing>
          <wp:anchor distT="0" distB="0" distL="114300" distR="114300" simplePos="0" relativeHeight="251659264" behindDoc="1" locked="0" layoutInCell="1" allowOverlap="1">
            <wp:simplePos x="0" y="0"/>
            <wp:positionH relativeFrom="column">
              <wp:posOffset>-1028065</wp:posOffset>
            </wp:positionH>
            <wp:positionV relativeFrom="paragraph">
              <wp:posOffset>-871220</wp:posOffset>
            </wp:positionV>
            <wp:extent cx="8017510" cy="2653665"/>
            <wp:effectExtent l="0" t="0" r="13970" b="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8017510" cy="2653665"/>
                    </a:xfrm>
                    <a:prstGeom prst="rect">
                      <a:avLst/>
                    </a:prstGeom>
                    <a:noFill/>
                    <a:ln>
                      <a:noFill/>
                    </a:ln>
                  </pic:spPr>
                </pic:pic>
              </a:graphicData>
            </a:graphic>
          </wp:anchor>
        </w:drawing>
      </w:r>
    </w:p>
    <w:p w14:paraId="1CCAA3D0">
      <w:pPr>
        <w:pStyle w:val="19"/>
        <w:widowControl w:val="0"/>
        <w:numPr>
          <w:ilvl w:val="0"/>
          <w:numId w:val="0"/>
        </w:numPr>
        <w:adjustRightInd w:val="0"/>
        <w:snapToGrid w:val="0"/>
        <w:spacing w:line="360" w:lineRule="auto"/>
        <w:rPr>
          <w:rFonts w:hint="eastAsia" w:ascii="宋体" w:hAnsi="宋体" w:cs="宋体"/>
          <w:b w:val="0"/>
          <w:bCs w:val="0"/>
          <w:color w:val="auto"/>
          <w:sz w:val="24"/>
          <w:szCs w:val="24"/>
          <w:highlight w:val="none"/>
          <w:lang w:val="en-US" w:eastAsia="zh-CN"/>
        </w:rPr>
      </w:pPr>
    </w:p>
    <w:p w14:paraId="6B59968C">
      <w:pPr>
        <w:pStyle w:val="19"/>
        <w:widowControl w:val="0"/>
        <w:numPr>
          <w:ilvl w:val="0"/>
          <w:numId w:val="0"/>
        </w:numPr>
        <w:adjustRightInd w:val="0"/>
        <w:snapToGrid w:val="0"/>
        <w:spacing w:line="360" w:lineRule="auto"/>
        <w:rPr>
          <w:rFonts w:hint="eastAsia" w:ascii="宋体" w:hAnsi="宋体" w:cs="宋体"/>
          <w:b w:val="0"/>
          <w:bCs w:val="0"/>
          <w:color w:val="auto"/>
          <w:sz w:val="24"/>
          <w:szCs w:val="24"/>
          <w:highlight w:val="none"/>
          <w:lang w:val="en-US" w:eastAsia="zh-CN"/>
        </w:rPr>
      </w:pPr>
    </w:p>
    <w:p w14:paraId="795C4158">
      <w:pPr>
        <w:spacing w:line="360" w:lineRule="auto"/>
        <w:jc w:val="center"/>
        <w:rPr>
          <w:rFonts w:hint="eastAsia" w:ascii="华文中宋" w:hAnsi="华文中宋" w:eastAsia="华文中宋"/>
          <w:b/>
          <w:bCs/>
          <w:color w:val="auto"/>
          <w:sz w:val="44"/>
          <w:lang w:val="en-US" w:eastAsia="zh-CN"/>
        </w:rPr>
      </w:pPr>
    </w:p>
    <w:p w14:paraId="0D0557A0">
      <w:pPr>
        <w:spacing w:after="0" w:line="240" w:lineRule="auto"/>
        <w:jc w:val="center"/>
        <w:rPr>
          <w:rFonts w:hint="eastAsia" w:ascii="宋体" w:hAnsi="宋体" w:eastAsiaTheme="minorEastAsia"/>
          <w:b/>
          <w:bCs w:val="0"/>
          <w:kern w:val="2"/>
          <w:sz w:val="44"/>
          <w:szCs w:val="44"/>
          <w:lang w:val="en-US" w:eastAsia="zh-CN"/>
        </w:rPr>
      </w:pPr>
      <w:r>
        <w:rPr>
          <w:rFonts w:hint="eastAsia" w:ascii="宋体" w:hAnsi="宋体" w:eastAsiaTheme="minorEastAsia"/>
          <w:b/>
          <w:bCs w:val="0"/>
          <w:kern w:val="2"/>
          <w:sz w:val="44"/>
          <w:szCs w:val="44"/>
          <w:lang w:val="en-US" w:eastAsia="zh-CN"/>
        </w:rPr>
        <w:t>南方电网综合能源（广州）有限公司赤水分公司</w:t>
      </w:r>
    </w:p>
    <w:p w14:paraId="7F4F90D7">
      <w:pPr>
        <w:spacing w:after="0" w:line="240" w:lineRule="auto"/>
        <w:jc w:val="center"/>
        <w:outlineLvl w:val="0"/>
        <w:rPr>
          <w:rFonts w:hint="eastAsia" w:ascii="宋体" w:hAnsi="宋体" w:eastAsiaTheme="minorEastAsia"/>
          <w:b/>
          <w:bCs w:val="0"/>
          <w:kern w:val="2"/>
          <w:sz w:val="44"/>
          <w:szCs w:val="44"/>
          <w:lang w:eastAsia="zh-CN"/>
        </w:rPr>
      </w:pPr>
      <w:bookmarkStart w:id="0" w:name="_Toc8270"/>
      <w:r>
        <w:rPr>
          <w:rFonts w:hint="eastAsia" w:ascii="宋体" w:hAnsi="宋体" w:eastAsiaTheme="minorEastAsia"/>
          <w:b/>
          <w:bCs w:val="0"/>
          <w:kern w:val="2"/>
          <w:sz w:val="44"/>
          <w:szCs w:val="44"/>
          <w:lang w:val="en-US" w:eastAsia="zh-CN"/>
        </w:rPr>
        <w:t>2026年至2028年车辆定点维保服务</w:t>
      </w:r>
      <w:bookmarkEnd w:id="0"/>
    </w:p>
    <w:p w14:paraId="0C0CAA04">
      <w:pPr>
        <w:spacing w:after="0" w:line="240" w:lineRule="auto"/>
        <w:jc w:val="center"/>
        <w:outlineLvl w:val="0"/>
        <w:rPr>
          <w:rFonts w:hint="eastAsia" w:ascii="宋体" w:hAnsi="宋体" w:eastAsiaTheme="minorEastAsia"/>
          <w:b/>
          <w:bCs w:val="0"/>
          <w:kern w:val="2"/>
          <w:sz w:val="44"/>
          <w:szCs w:val="44"/>
          <w:lang w:eastAsia="zh-CN"/>
        </w:rPr>
      </w:pPr>
      <w:bookmarkStart w:id="1" w:name="_Toc10511"/>
      <w:bookmarkStart w:id="2" w:name="_Toc29301"/>
      <w:bookmarkStart w:id="3" w:name="_Toc22369"/>
      <w:r>
        <w:rPr>
          <w:rFonts w:hint="eastAsia" w:ascii="宋体" w:hAnsi="宋体" w:eastAsiaTheme="minorEastAsia"/>
          <w:b/>
          <w:bCs w:val="0"/>
          <w:kern w:val="2"/>
          <w:sz w:val="44"/>
          <w:szCs w:val="44"/>
          <w:lang w:eastAsia="zh-CN"/>
        </w:rPr>
        <w:t>技术</w:t>
      </w:r>
      <w:r>
        <w:rPr>
          <w:rFonts w:hint="eastAsia" w:ascii="宋体" w:hAnsi="宋体" w:eastAsiaTheme="minorEastAsia"/>
          <w:b/>
          <w:bCs w:val="0"/>
          <w:kern w:val="2"/>
          <w:sz w:val="44"/>
          <w:szCs w:val="44"/>
          <w:lang w:val="en-US" w:eastAsia="zh-CN"/>
        </w:rPr>
        <w:t>规范书</w:t>
      </w:r>
      <w:bookmarkEnd w:id="1"/>
      <w:bookmarkEnd w:id="2"/>
      <w:bookmarkEnd w:id="3"/>
    </w:p>
    <w:p w14:paraId="0540AA5D">
      <w:pPr>
        <w:jc w:val="center"/>
        <w:rPr>
          <w:rFonts w:hint="eastAsia" w:ascii="宋体" w:hAnsi="宋体"/>
          <w:bCs/>
          <w:color w:val="auto"/>
          <w:sz w:val="32"/>
          <w:szCs w:val="32"/>
        </w:rPr>
      </w:pPr>
      <w:r>
        <w:rPr>
          <w:rFonts w:hint="eastAsia" w:ascii="宋体" w:hAnsi="宋体"/>
          <w:bCs/>
          <w:color w:val="auto"/>
          <w:sz w:val="32"/>
          <w:szCs w:val="32"/>
        </w:rPr>
        <w:t>【项目编号：</w:t>
      </w:r>
      <w:r>
        <w:rPr>
          <w:rFonts w:hint="eastAsia" w:ascii="宋体" w:hAnsi="宋体" w:eastAsia="宋体"/>
          <w:bCs/>
          <w:color w:val="auto"/>
          <w:sz w:val="32"/>
          <w:szCs w:val="32"/>
          <w:lang w:val="en-US" w:eastAsia="zh-CN"/>
        </w:rPr>
        <w:t>NDCS-ZH-202601-01</w:t>
      </w:r>
      <w:r>
        <w:rPr>
          <w:rFonts w:hint="eastAsia" w:ascii="宋体" w:hAnsi="宋体"/>
          <w:bCs/>
          <w:color w:val="auto"/>
          <w:sz w:val="32"/>
          <w:szCs w:val="32"/>
        </w:rPr>
        <w:t>】</w:t>
      </w:r>
    </w:p>
    <w:p w14:paraId="060FBC2E">
      <w:pPr>
        <w:jc w:val="center"/>
        <w:rPr>
          <w:rFonts w:ascii="宋体" w:hAnsi="宋体"/>
          <w:bCs/>
          <w:color w:val="auto"/>
          <w:sz w:val="32"/>
          <w:szCs w:val="32"/>
        </w:rPr>
      </w:pPr>
    </w:p>
    <w:p w14:paraId="3768A3EC">
      <w:pPr>
        <w:jc w:val="center"/>
        <w:rPr>
          <w:rFonts w:ascii="宋体" w:hAnsi="宋体"/>
          <w:bCs/>
          <w:color w:val="auto"/>
          <w:sz w:val="32"/>
          <w:szCs w:val="32"/>
        </w:rPr>
      </w:pPr>
    </w:p>
    <w:p w14:paraId="5078D67F">
      <w:pPr>
        <w:tabs>
          <w:tab w:val="left" w:pos="6090"/>
        </w:tabs>
        <w:ind w:firstLine="2596" w:firstLineChars="811"/>
        <w:rPr>
          <w:rFonts w:hint="eastAsia" w:ascii="宋体" w:hAnsi="宋体"/>
          <w:b/>
          <w:bCs/>
          <w:kern w:val="11"/>
          <w:position w:val="2"/>
          <w:sz w:val="32"/>
        </w:rPr>
      </w:pPr>
      <w:r>
        <w:rPr>
          <w:rFonts w:hint="eastAsia" w:ascii="宋体" w:hAnsi="宋体"/>
          <w:b/>
          <w:bCs/>
          <w:kern w:val="11"/>
          <w:position w:val="2"/>
          <w:sz w:val="32"/>
        </w:rPr>
        <w:t>批  准：</w:t>
      </w:r>
      <w:r>
        <w:rPr>
          <w:rFonts w:hint="eastAsia" w:ascii="宋体" w:hAnsi="宋体"/>
          <w:b/>
          <w:bCs/>
          <w:kern w:val="11"/>
          <w:position w:val="2"/>
        </w:rPr>
        <w:t xml:space="preserve"> </w:t>
      </w:r>
    </w:p>
    <w:p w14:paraId="17BAFBAD">
      <w:pPr>
        <w:tabs>
          <w:tab w:val="left" w:pos="6090"/>
        </w:tabs>
        <w:ind w:firstLine="1237" w:firstLineChars="562"/>
        <w:rPr>
          <w:rFonts w:hint="eastAsia" w:ascii="宋体" w:hAnsi="宋体"/>
          <w:b/>
          <w:bCs/>
          <w:kern w:val="11"/>
          <w:position w:val="2"/>
          <w:szCs w:val="24"/>
        </w:rPr>
      </w:pPr>
    </w:p>
    <w:p w14:paraId="7B6FFA6D">
      <w:pPr>
        <w:ind w:firstLine="1237" w:firstLineChars="562"/>
        <w:rPr>
          <w:rFonts w:hint="eastAsia" w:ascii="宋体" w:hAnsi="宋体"/>
          <w:b/>
          <w:bCs/>
          <w:kern w:val="11"/>
          <w:position w:val="2"/>
          <w:szCs w:val="24"/>
        </w:rPr>
      </w:pPr>
    </w:p>
    <w:p w14:paraId="2B54F985">
      <w:pPr>
        <w:ind w:firstLine="2596" w:firstLineChars="811"/>
        <w:rPr>
          <w:rFonts w:hint="eastAsia" w:ascii="宋体" w:hAnsi="宋体"/>
          <w:b/>
          <w:bCs/>
          <w:kern w:val="11"/>
          <w:position w:val="2"/>
        </w:rPr>
      </w:pPr>
      <w:r>
        <w:rPr>
          <w:rFonts w:hint="eastAsia" w:ascii="宋体" w:hAnsi="宋体"/>
          <w:b/>
          <w:bCs/>
          <w:kern w:val="11"/>
          <w:position w:val="2"/>
          <w:sz w:val="32"/>
        </w:rPr>
        <w:t>审  核：</w:t>
      </w:r>
      <w:r>
        <w:rPr>
          <w:rFonts w:hint="eastAsia" w:ascii="宋体" w:hAnsi="宋体"/>
          <w:b/>
          <w:bCs/>
          <w:kern w:val="11"/>
          <w:position w:val="2"/>
        </w:rPr>
        <w:t xml:space="preserve"> </w:t>
      </w:r>
    </w:p>
    <w:p w14:paraId="2E642AF0">
      <w:pPr>
        <w:ind w:firstLine="1237" w:firstLineChars="562"/>
        <w:rPr>
          <w:rFonts w:hint="eastAsia" w:ascii="宋体" w:hAnsi="宋体"/>
          <w:b/>
          <w:bCs/>
          <w:kern w:val="11"/>
          <w:position w:val="2"/>
          <w:szCs w:val="24"/>
        </w:rPr>
      </w:pPr>
    </w:p>
    <w:p w14:paraId="17638ACE">
      <w:pPr>
        <w:ind w:firstLine="1237" w:firstLineChars="562"/>
        <w:rPr>
          <w:rFonts w:hint="eastAsia" w:ascii="宋体" w:hAnsi="宋体"/>
          <w:b/>
          <w:bCs/>
          <w:kern w:val="11"/>
          <w:position w:val="2"/>
          <w:szCs w:val="24"/>
        </w:rPr>
      </w:pPr>
    </w:p>
    <w:p w14:paraId="7230EFF1">
      <w:pPr>
        <w:ind w:firstLine="2596" w:firstLineChars="811"/>
        <w:rPr>
          <w:rFonts w:hint="eastAsia" w:ascii="宋体" w:hAnsi="宋体"/>
          <w:b/>
          <w:bCs/>
          <w:kern w:val="11"/>
          <w:position w:val="2"/>
        </w:rPr>
      </w:pPr>
      <w:r>
        <w:rPr>
          <w:rFonts w:hint="eastAsia" w:ascii="宋体" w:hAnsi="宋体"/>
          <w:b/>
          <w:bCs/>
          <w:kern w:val="11"/>
          <w:position w:val="2"/>
          <w:sz w:val="32"/>
        </w:rPr>
        <w:t>编  制：</w:t>
      </w:r>
      <w:r>
        <w:rPr>
          <w:rFonts w:hint="eastAsia" w:ascii="宋体" w:hAnsi="宋体"/>
          <w:b/>
          <w:bCs/>
          <w:kern w:val="11"/>
          <w:position w:val="2"/>
        </w:rPr>
        <w:t xml:space="preserve"> </w:t>
      </w:r>
    </w:p>
    <w:p w14:paraId="228D3880">
      <w:pPr>
        <w:pStyle w:val="18"/>
        <w:rPr>
          <w:rFonts w:ascii="黑体" w:eastAsia="黑体"/>
          <w:b/>
          <w:color w:val="auto"/>
          <w:sz w:val="32"/>
          <w:szCs w:val="32"/>
        </w:rPr>
      </w:pPr>
    </w:p>
    <w:p w14:paraId="6EDA6012">
      <w:pPr>
        <w:pStyle w:val="18"/>
        <w:rPr>
          <w:rFonts w:ascii="黑体" w:eastAsia="黑体"/>
          <w:b/>
          <w:color w:val="auto"/>
          <w:sz w:val="32"/>
          <w:szCs w:val="32"/>
        </w:rPr>
      </w:pPr>
    </w:p>
    <w:p w14:paraId="6332E9D9">
      <w:pPr>
        <w:pStyle w:val="18"/>
        <w:ind w:left="0" w:leftChars="0" w:firstLine="0" w:firstLineChars="0"/>
        <w:jc w:val="center"/>
        <w:rPr>
          <w:rFonts w:hint="default" w:ascii="黑体" w:eastAsia="黑体"/>
          <w:b/>
          <w:color w:val="auto"/>
          <w:sz w:val="32"/>
          <w:szCs w:val="32"/>
          <w:lang w:val="en-US" w:eastAsia="zh-CN"/>
        </w:rPr>
      </w:pPr>
      <w:r>
        <w:rPr>
          <w:rFonts w:hint="eastAsia" w:ascii="黑体" w:eastAsia="黑体"/>
          <w:b/>
          <w:color w:val="auto"/>
          <w:sz w:val="32"/>
          <w:szCs w:val="32"/>
          <w:lang w:val="en-US" w:eastAsia="zh-CN"/>
        </w:rPr>
        <w:t>2026年1月</w:t>
      </w:r>
    </w:p>
    <w:p w14:paraId="2CB3FDA4">
      <w:pPr>
        <w:snapToGrid w:val="0"/>
        <w:spacing w:before="480" w:beforeLines="200" w:line="360" w:lineRule="auto"/>
        <w:outlineLvl w:val="9"/>
        <w:rPr>
          <w:rFonts w:ascii="宋体" w:hAnsi="宋体" w:cs="宋体"/>
          <w:color w:val="auto"/>
          <w:sz w:val="24"/>
          <w:szCs w:val="24"/>
        </w:rPr>
        <w:sectPr>
          <w:headerReference r:id="rId5" w:type="default"/>
          <w:footerReference r:id="rId6" w:type="default"/>
          <w:pgSz w:w="11907" w:h="16840"/>
          <w:pgMar w:top="1134" w:right="1134" w:bottom="1134" w:left="1134" w:header="851" w:footer="992" w:gutter="0"/>
          <w:pgBorders>
            <w:top w:val="none" w:sz="0" w:space="0"/>
            <w:left w:val="none" w:sz="0" w:space="0"/>
            <w:bottom w:val="none" w:sz="0" w:space="0"/>
            <w:right w:val="none" w:sz="0" w:space="0"/>
          </w:pgBorders>
          <w:cols w:space="720" w:num="1"/>
          <w:docGrid w:linePitch="285" w:charSpace="0"/>
        </w:sectPr>
      </w:pPr>
    </w:p>
    <w:sdt>
      <w:sdtPr>
        <w:rPr>
          <w:rFonts w:asciiTheme="minorHAnsi" w:hAnsiTheme="minorHAnsi" w:eastAsiaTheme="minorEastAsia" w:cstheme="minorBidi"/>
          <w:bCs w:val="0"/>
          <w:color w:val="auto"/>
          <w:kern w:val="2"/>
          <w:sz w:val="21"/>
          <w:szCs w:val="22"/>
          <w:lang w:val="zh-CN"/>
        </w:rPr>
        <w:id w:val="1733347227"/>
      </w:sdtPr>
      <w:sdtEndPr>
        <w:rPr>
          <w:rFonts w:hint="eastAsia" w:asciiTheme="minorHAnsi" w:hAnsiTheme="minorHAnsi" w:eastAsiaTheme="minorEastAsia" w:cstheme="minorBidi"/>
          <w:bCs w:val="0"/>
          <w:color w:val="auto"/>
          <w:kern w:val="2"/>
          <w:sz w:val="21"/>
          <w:szCs w:val="22"/>
          <w:lang w:val="zh-CN"/>
        </w:rPr>
      </w:sdtEndPr>
      <w:sdtContent>
        <w:p w14:paraId="57EB8126">
          <w:pPr>
            <w:rPr>
              <w:rFonts w:asciiTheme="minorHAnsi" w:hAnsiTheme="minorHAnsi" w:eastAsiaTheme="minorEastAsia" w:cstheme="minorBidi"/>
              <w:bCs w:val="0"/>
              <w:color w:val="auto"/>
              <w:kern w:val="2"/>
              <w:sz w:val="21"/>
              <w:szCs w:val="22"/>
              <w:lang w:val="zh-CN"/>
            </w:rPr>
          </w:pPr>
        </w:p>
        <w:sdt>
          <w:sdtPr>
            <w:rPr>
              <w:rFonts w:ascii="宋体" w:hAnsi="宋体" w:eastAsia="宋体" w:cstheme="minorBidi"/>
              <w:sz w:val="21"/>
              <w:szCs w:val="22"/>
              <w:lang w:val="en-US" w:eastAsia="en-US" w:bidi="ar-SA"/>
            </w:rPr>
            <w:id w:val="147456217"/>
            <w15:color w:val="DBDBDB"/>
            <w:docPartObj>
              <w:docPartGallery w:val="Table of Contents"/>
              <w:docPartUnique/>
            </w:docPartObj>
          </w:sdtPr>
          <w:sdtEndPr>
            <w:rPr>
              <w:rFonts w:asciiTheme="minorHAnsi" w:hAnsiTheme="minorHAnsi" w:eastAsiaTheme="minorEastAsia" w:cstheme="minorBidi"/>
              <w:bCs w:val="0"/>
              <w:color w:val="auto"/>
              <w:kern w:val="2"/>
              <w:sz w:val="22"/>
              <w:szCs w:val="22"/>
              <w:lang w:val="zh-CN" w:eastAsia="en-US" w:bidi="ar-SA"/>
            </w:rPr>
          </w:sdtEndPr>
          <w:sdtContent>
            <w:p w14:paraId="15BE745D">
              <w:pPr>
                <w:spacing w:before="0" w:beforeLines="0" w:after="0" w:afterLines="0" w:line="240" w:lineRule="auto"/>
                <w:ind w:left="0" w:leftChars="0" w:right="0" w:rightChars="0" w:firstLine="0" w:firstLineChars="0"/>
                <w:jc w:val="center"/>
              </w:pPr>
              <w:r>
                <w:rPr>
                  <w:rFonts w:ascii="宋体" w:hAnsi="宋体" w:eastAsia="宋体"/>
                  <w:sz w:val="32"/>
                  <w:szCs w:val="32"/>
                </w:rPr>
                <w:t>目录</w:t>
              </w:r>
              <w:r>
                <w:rPr>
                  <w:rFonts w:asciiTheme="minorHAnsi" w:hAnsiTheme="minorHAnsi" w:eastAsiaTheme="minorEastAsia" w:cstheme="minorBidi"/>
                  <w:bCs w:val="0"/>
                  <w:color w:val="auto"/>
                  <w:kern w:val="2"/>
                  <w:sz w:val="21"/>
                  <w:szCs w:val="22"/>
                  <w:lang w:val="zh-CN"/>
                </w:rPr>
                <w:fldChar w:fldCharType="begin"/>
              </w:r>
              <w:r>
                <w:rPr>
                  <w:rFonts w:asciiTheme="minorHAnsi" w:hAnsiTheme="minorHAnsi" w:eastAsiaTheme="minorEastAsia" w:cstheme="minorBidi"/>
                  <w:bCs w:val="0"/>
                  <w:color w:val="auto"/>
                  <w:kern w:val="2"/>
                  <w:sz w:val="21"/>
                  <w:szCs w:val="22"/>
                  <w:lang w:val="zh-CN"/>
                </w:rPr>
                <w:instrText xml:space="preserve">TOC \o "1-3" \h \u </w:instrText>
              </w:r>
              <w:r>
                <w:rPr>
                  <w:rFonts w:asciiTheme="minorHAnsi" w:hAnsiTheme="minorHAnsi" w:eastAsiaTheme="minorEastAsia" w:cstheme="minorBidi"/>
                  <w:bCs w:val="0"/>
                  <w:color w:val="auto"/>
                  <w:kern w:val="2"/>
                  <w:sz w:val="21"/>
                  <w:szCs w:val="22"/>
                  <w:lang w:val="zh-CN"/>
                </w:rPr>
                <w:fldChar w:fldCharType="separate"/>
              </w:r>
            </w:p>
            <w:p w14:paraId="10AEEBFD">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_Toc21355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1 总则</w:t>
              </w:r>
              <w:r>
                <w:tab/>
              </w:r>
              <w:r>
                <w:fldChar w:fldCharType="begin"/>
              </w:r>
              <w:r>
                <w:instrText xml:space="preserve"> PAGEREF _Toc21355 \h </w:instrText>
              </w:r>
              <w:r>
                <w:fldChar w:fldCharType="separate"/>
              </w:r>
              <w:r>
                <w:t>3</w:t>
              </w:r>
              <w:r>
                <w:fldChar w:fldCharType="end"/>
              </w:r>
              <w:r>
                <w:rPr>
                  <w:rFonts w:asciiTheme="minorHAnsi" w:hAnsiTheme="minorHAnsi" w:eastAsiaTheme="minorEastAsia" w:cstheme="minorBidi"/>
                  <w:bCs w:val="0"/>
                  <w:color w:val="auto"/>
                  <w:kern w:val="2"/>
                  <w:szCs w:val="22"/>
                  <w:lang w:val="zh-CN"/>
                </w:rPr>
                <w:fldChar w:fldCharType="end"/>
              </w:r>
              <w:bookmarkStart w:id="71" w:name="_GoBack"/>
              <w:bookmarkEnd w:id="71"/>
            </w:p>
            <w:p w14:paraId="7DE165E7">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_Toc15018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1.1 目的</w:t>
              </w:r>
              <w:r>
                <w:tab/>
              </w:r>
              <w:r>
                <w:fldChar w:fldCharType="begin"/>
              </w:r>
              <w:r>
                <w:instrText xml:space="preserve"> PAGEREF _Toc15018 \h </w:instrText>
              </w:r>
              <w:r>
                <w:fldChar w:fldCharType="separate"/>
              </w:r>
              <w:r>
                <w:t>3</w:t>
              </w:r>
              <w:r>
                <w:fldChar w:fldCharType="end"/>
              </w:r>
              <w:r>
                <w:rPr>
                  <w:rFonts w:asciiTheme="minorHAnsi" w:hAnsiTheme="minorHAnsi" w:eastAsiaTheme="minorEastAsia" w:cstheme="minorBidi"/>
                  <w:bCs w:val="0"/>
                  <w:color w:val="auto"/>
                  <w:kern w:val="2"/>
                  <w:szCs w:val="22"/>
                  <w:lang w:val="zh-CN"/>
                </w:rPr>
                <w:fldChar w:fldCharType="end"/>
              </w:r>
            </w:p>
            <w:p w14:paraId="70EC2776">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_Toc30056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1.2 适用范围</w:t>
              </w:r>
              <w:r>
                <w:tab/>
              </w:r>
              <w:r>
                <w:fldChar w:fldCharType="begin"/>
              </w:r>
              <w:r>
                <w:instrText xml:space="preserve"> PAGEREF _Toc30056 \h </w:instrText>
              </w:r>
              <w:r>
                <w:fldChar w:fldCharType="separate"/>
              </w:r>
              <w:r>
                <w:t>3</w:t>
              </w:r>
              <w:r>
                <w:fldChar w:fldCharType="end"/>
              </w:r>
              <w:r>
                <w:rPr>
                  <w:rFonts w:asciiTheme="minorHAnsi" w:hAnsiTheme="minorHAnsi" w:eastAsiaTheme="minorEastAsia" w:cstheme="minorBidi"/>
                  <w:bCs w:val="0"/>
                  <w:color w:val="auto"/>
                  <w:kern w:val="2"/>
                  <w:szCs w:val="22"/>
                  <w:lang w:val="zh-CN"/>
                </w:rPr>
                <w:fldChar w:fldCharType="end"/>
              </w:r>
            </w:p>
            <w:p w14:paraId="027449A7">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_Toc18801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1.3 核心原则</w:t>
              </w:r>
              <w:r>
                <w:tab/>
              </w:r>
              <w:r>
                <w:fldChar w:fldCharType="begin"/>
              </w:r>
              <w:r>
                <w:instrText xml:space="preserve"> PAGEREF _Toc18801 \h </w:instrText>
              </w:r>
              <w:r>
                <w:fldChar w:fldCharType="separate"/>
              </w:r>
              <w:r>
                <w:t>3</w:t>
              </w:r>
              <w:r>
                <w:fldChar w:fldCharType="end"/>
              </w:r>
              <w:r>
                <w:rPr>
                  <w:rFonts w:asciiTheme="minorHAnsi" w:hAnsiTheme="minorHAnsi" w:eastAsiaTheme="minorEastAsia" w:cstheme="minorBidi"/>
                  <w:bCs w:val="0"/>
                  <w:color w:val="auto"/>
                  <w:kern w:val="2"/>
                  <w:szCs w:val="22"/>
                  <w:lang w:val="zh-CN"/>
                </w:rPr>
                <w:fldChar w:fldCharType="end"/>
              </w:r>
            </w:p>
            <w:p w14:paraId="6CA70FEF">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_Toc32636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2 服务商资质与资源要求</w:t>
              </w:r>
              <w:r>
                <w:tab/>
              </w:r>
              <w:r>
                <w:fldChar w:fldCharType="begin"/>
              </w:r>
              <w:r>
                <w:instrText xml:space="preserve"> PAGEREF _Toc32636 \h </w:instrText>
              </w:r>
              <w:r>
                <w:fldChar w:fldCharType="separate"/>
              </w:r>
              <w:r>
                <w:t>4</w:t>
              </w:r>
              <w:r>
                <w:fldChar w:fldCharType="end"/>
              </w:r>
              <w:r>
                <w:rPr>
                  <w:rFonts w:asciiTheme="minorHAnsi" w:hAnsiTheme="minorHAnsi" w:eastAsiaTheme="minorEastAsia" w:cstheme="minorBidi"/>
                  <w:bCs w:val="0"/>
                  <w:color w:val="auto"/>
                  <w:kern w:val="2"/>
                  <w:szCs w:val="22"/>
                  <w:lang w:val="zh-CN"/>
                </w:rPr>
                <w:fldChar w:fldCharType="end"/>
              </w:r>
            </w:p>
            <w:p w14:paraId="5CB04CDE">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_Toc18966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2.1 资质条件</w:t>
              </w:r>
              <w:r>
                <w:tab/>
              </w:r>
              <w:r>
                <w:fldChar w:fldCharType="begin"/>
              </w:r>
              <w:r>
                <w:instrText xml:space="preserve"> PAGEREF _Toc18966 \h </w:instrText>
              </w:r>
              <w:r>
                <w:fldChar w:fldCharType="separate"/>
              </w:r>
              <w:r>
                <w:t>4</w:t>
              </w:r>
              <w:r>
                <w:fldChar w:fldCharType="end"/>
              </w:r>
              <w:r>
                <w:rPr>
                  <w:rFonts w:asciiTheme="minorHAnsi" w:hAnsiTheme="minorHAnsi" w:eastAsiaTheme="minorEastAsia" w:cstheme="minorBidi"/>
                  <w:bCs w:val="0"/>
                  <w:color w:val="auto"/>
                  <w:kern w:val="2"/>
                  <w:szCs w:val="22"/>
                  <w:lang w:val="zh-CN"/>
                </w:rPr>
                <w:fldChar w:fldCharType="end"/>
              </w:r>
            </w:p>
            <w:p w14:paraId="21B94B09">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_Toc23175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2.2 技术人员要求</w:t>
              </w:r>
              <w:r>
                <w:tab/>
              </w:r>
              <w:r>
                <w:fldChar w:fldCharType="begin"/>
              </w:r>
              <w:r>
                <w:instrText xml:space="preserve"> PAGEREF _Toc23175 \h </w:instrText>
              </w:r>
              <w:r>
                <w:fldChar w:fldCharType="separate"/>
              </w:r>
              <w:r>
                <w:t>4</w:t>
              </w:r>
              <w:r>
                <w:fldChar w:fldCharType="end"/>
              </w:r>
              <w:r>
                <w:rPr>
                  <w:rFonts w:asciiTheme="minorHAnsi" w:hAnsiTheme="minorHAnsi" w:eastAsiaTheme="minorEastAsia" w:cstheme="minorBidi"/>
                  <w:bCs w:val="0"/>
                  <w:color w:val="auto"/>
                  <w:kern w:val="2"/>
                  <w:szCs w:val="22"/>
                  <w:lang w:val="zh-CN"/>
                </w:rPr>
                <w:fldChar w:fldCharType="end"/>
              </w:r>
            </w:p>
            <w:p w14:paraId="7CBD37C8">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_Toc29991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2.3 设备设施要求</w:t>
              </w:r>
              <w:r>
                <w:tab/>
              </w:r>
              <w:r>
                <w:fldChar w:fldCharType="begin"/>
              </w:r>
              <w:r>
                <w:instrText xml:space="preserve"> PAGEREF _Toc29991 \h </w:instrText>
              </w:r>
              <w:r>
                <w:fldChar w:fldCharType="separate"/>
              </w:r>
              <w:r>
                <w:t>4</w:t>
              </w:r>
              <w:r>
                <w:fldChar w:fldCharType="end"/>
              </w:r>
              <w:r>
                <w:rPr>
                  <w:rFonts w:asciiTheme="minorHAnsi" w:hAnsiTheme="minorHAnsi" w:eastAsiaTheme="minorEastAsia" w:cstheme="minorBidi"/>
                  <w:bCs w:val="0"/>
                  <w:color w:val="auto"/>
                  <w:kern w:val="2"/>
                  <w:szCs w:val="22"/>
                  <w:lang w:val="zh-CN"/>
                </w:rPr>
                <w:fldChar w:fldCharType="end"/>
              </w:r>
            </w:p>
            <w:p w14:paraId="20A22E46">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_Toc11105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2.4 管理制度要求</w:t>
              </w:r>
              <w:r>
                <w:tab/>
              </w:r>
              <w:r>
                <w:fldChar w:fldCharType="begin"/>
              </w:r>
              <w:r>
                <w:instrText xml:space="preserve"> PAGEREF _Toc11105 \h </w:instrText>
              </w:r>
              <w:r>
                <w:fldChar w:fldCharType="separate"/>
              </w:r>
              <w:r>
                <w:t>5</w:t>
              </w:r>
              <w:r>
                <w:fldChar w:fldCharType="end"/>
              </w:r>
              <w:r>
                <w:rPr>
                  <w:rFonts w:asciiTheme="minorHAnsi" w:hAnsiTheme="minorHAnsi" w:eastAsiaTheme="minorEastAsia" w:cstheme="minorBidi"/>
                  <w:bCs w:val="0"/>
                  <w:color w:val="auto"/>
                  <w:kern w:val="2"/>
                  <w:szCs w:val="22"/>
                  <w:lang w:val="zh-CN"/>
                </w:rPr>
                <w:fldChar w:fldCharType="end"/>
              </w:r>
            </w:p>
            <w:p w14:paraId="4E620C4F">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_Toc30867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 维保技术标准与操作规范</w:t>
              </w:r>
              <w:r>
                <w:tab/>
              </w:r>
              <w:r>
                <w:fldChar w:fldCharType="begin"/>
              </w:r>
              <w:r>
                <w:instrText xml:space="preserve"> PAGEREF _Toc30867 \h </w:instrText>
              </w:r>
              <w:r>
                <w:fldChar w:fldCharType="separate"/>
              </w:r>
              <w:r>
                <w:t>5</w:t>
              </w:r>
              <w:r>
                <w:fldChar w:fldCharType="end"/>
              </w:r>
              <w:r>
                <w:rPr>
                  <w:rFonts w:asciiTheme="minorHAnsi" w:hAnsiTheme="minorHAnsi" w:eastAsiaTheme="minorEastAsia" w:cstheme="minorBidi"/>
                  <w:bCs w:val="0"/>
                  <w:color w:val="auto"/>
                  <w:kern w:val="2"/>
                  <w:szCs w:val="22"/>
                  <w:lang w:val="zh-CN"/>
                </w:rPr>
                <w:fldChar w:fldCharType="end"/>
              </w:r>
            </w:p>
            <w:p w14:paraId="0BD12D96">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_Toc31438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3.1 维修技术依据</w:t>
              </w:r>
              <w:r>
                <w:tab/>
              </w:r>
              <w:r>
                <w:fldChar w:fldCharType="begin"/>
              </w:r>
              <w:r>
                <w:instrText xml:space="preserve"> PAGEREF _Toc31438 \h </w:instrText>
              </w:r>
              <w:r>
                <w:fldChar w:fldCharType="separate"/>
              </w:r>
              <w:r>
                <w:t>5</w:t>
              </w:r>
              <w:r>
                <w:fldChar w:fldCharType="end"/>
              </w:r>
              <w:r>
                <w:rPr>
                  <w:rFonts w:asciiTheme="minorHAnsi" w:hAnsiTheme="minorHAnsi" w:eastAsiaTheme="minorEastAsia" w:cstheme="minorBidi"/>
                  <w:bCs w:val="0"/>
                  <w:color w:val="auto"/>
                  <w:kern w:val="2"/>
                  <w:szCs w:val="22"/>
                  <w:lang w:val="zh-CN"/>
                </w:rPr>
                <w:fldChar w:fldCharType="end"/>
              </w:r>
            </w:p>
            <w:p w14:paraId="6095756D">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_Toc19033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3.2 配件与材料管理</w:t>
              </w:r>
              <w:r>
                <w:tab/>
              </w:r>
              <w:r>
                <w:fldChar w:fldCharType="begin"/>
              </w:r>
              <w:r>
                <w:instrText xml:space="preserve"> PAGEREF _Toc19033 \h </w:instrText>
              </w:r>
              <w:r>
                <w:fldChar w:fldCharType="separate"/>
              </w:r>
              <w:r>
                <w:t>6</w:t>
              </w:r>
              <w:r>
                <w:fldChar w:fldCharType="end"/>
              </w:r>
              <w:r>
                <w:rPr>
                  <w:rFonts w:asciiTheme="minorHAnsi" w:hAnsiTheme="minorHAnsi" w:eastAsiaTheme="minorEastAsia" w:cstheme="minorBidi"/>
                  <w:bCs w:val="0"/>
                  <w:color w:val="auto"/>
                  <w:kern w:val="2"/>
                  <w:szCs w:val="22"/>
                  <w:lang w:val="zh-CN"/>
                </w:rPr>
                <w:fldChar w:fldCharType="end"/>
              </w:r>
            </w:p>
            <w:p w14:paraId="07CF29EB">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_Toc24050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3.3 核心作业操作规范</w:t>
              </w:r>
              <w:r>
                <w:tab/>
              </w:r>
              <w:r>
                <w:fldChar w:fldCharType="begin"/>
              </w:r>
              <w:r>
                <w:instrText xml:space="preserve"> PAGEREF _Toc24050 \h </w:instrText>
              </w:r>
              <w:r>
                <w:fldChar w:fldCharType="separate"/>
              </w:r>
              <w:r>
                <w:t>6</w:t>
              </w:r>
              <w:r>
                <w:fldChar w:fldCharType="end"/>
              </w:r>
              <w:r>
                <w:rPr>
                  <w:rFonts w:asciiTheme="minorHAnsi" w:hAnsiTheme="minorHAnsi" w:eastAsiaTheme="minorEastAsia" w:cstheme="minorBidi"/>
                  <w:bCs w:val="0"/>
                  <w:color w:val="auto"/>
                  <w:kern w:val="2"/>
                  <w:szCs w:val="22"/>
                  <w:lang w:val="zh-CN"/>
                </w:rPr>
                <w:fldChar w:fldCharType="end"/>
              </w:r>
            </w:p>
            <w:p w14:paraId="1AB6A170">
              <w:pPr>
                <w:pStyle w:val="23"/>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_Toc19881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3.3.1 故障诊断</w:t>
              </w:r>
              <w:r>
                <w:tab/>
              </w:r>
              <w:r>
                <w:fldChar w:fldCharType="begin"/>
              </w:r>
              <w:r>
                <w:instrText xml:space="preserve"> PAGEREF _Toc19881 \h </w:instrText>
              </w:r>
              <w:r>
                <w:fldChar w:fldCharType="separate"/>
              </w:r>
              <w:r>
                <w:t>6</w:t>
              </w:r>
              <w:r>
                <w:fldChar w:fldCharType="end"/>
              </w:r>
              <w:r>
                <w:rPr>
                  <w:rFonts w:asciiTheme="minorHAnsi" w:hAnsiTheme="minorHAnsi" w:eastAsiaTheme="minorEastAsia" w:cstheme="minorBidi"/>
                  <w:bCs w:val="0"/>
                  <w:color w:val="auto"/>
                  <w:kern w:val="2"/>
                  <w:szCs w:val="22"/>
                  <w:lang w:val="zh-CN"/>
                </w:rPr>
                <w:fldChar w:fldCharType="end"/>
              </w:r>
            </w:p>
            <w:p w14:paraId="4D3D1649">
              <w:pPr>
                <w:pStyle w:val="23"/>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_Toc11123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3.3.2 维修作业</w:t>
              </w:r>
              <w:r>
                <w:tab/>
              </w:r>
              <w:r>
                <w:fldChar w:fldCharType="begin"/>
              </w:r>
              <w:r>
                <w:instrText xml:space="preserve"> PAGEREF _Toc11123 \h </w:instrText>
              </w:r>
              <w:r>
                <w:fldChar w:fldCharType="separate"/>
              </w:r>
              <w:r>
                <w:t>6</w:t>
              </w:r>
              <w:r>
                <w:fldChar w:fldCharType="end"/>
              </w:r>
              <w:r>
                <w:rPr>
                  <w:rFonts w:asciiTheme="minorHAnsi" w:hAnsiTheme="minorHAnsi" w:eastAsiaTheme="minorEastAsia" w:cstheme="minorBidi"/>
                  <w:bCs w:val="0"/>
                  <w:color w:val="auto"/>
                  <w:kern w:val="2"/>
                  <w:szCs w:val="22"/>
                  <w:lang w:val="zh-CN"/>
                </w:rPr>
                <w:fldChar w:fldCharType="end"/>
              </w:r>
            </w:p>
            <w:p w14:paraId="33362F2C">
              <w:pPr>
                <w:pStyle w:val="23"/>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_Toc17910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3.3.3 保养作业</w:t>
              </w:r>
              <w:r>
                <w:tab/>
              </w:r>
              <w:r>
                <w:fldChar w:fldCharType="begin"/>
              </w:r>
              <w:r>
                <w:instrText xml:space="preserve"> PAGEREF _Toc17910 \h </w:instrText>
              </w:r>
              <w:r>
                <w:fldChar w:fldCharType="separate"/>
              </w:r>
              <w:r>
                <w:t>7</w:t>
              </w:r>
              <w:r>
                <w:fldChar w:fldCharType="end"/>
              </w:r>
              <w:r>
                <w:rPr>
                  <w:rFonts w:asciiTheme="minorHAnsi" w:hAnsiTheme="minorHAnsi" w:eastAsiaTheme="minorEastAsia" w:cstheme="minorBidi"/>
                  <w:bCs w:val="0"/>
                  <w:color w:val="auto"/>
                  <w:kern w:val="2"/>
                  <w:szCs w:val="22"/>
                  <w:lang w:val="zh-CN"/>
                </w:rPr>
                <w:fldChar w:fldCharType="end"/>
              </w:r>
            </w:p>
            <w:p w14:paraId="611F11F6">
              <w:pPr>
                <w:pStyle w:val="23"/>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_Toc27316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3.3.4 质量检验</w:t>
              </w:r>
              <w:r>
                <w:tab/>
              </w:r>
              <w:r>
                <w:fldChar w:fldCharType="begin"/>
              </w:r>
              <w:r>
                <w:instrText xml:space="preserve"> PAGEREF _Toc27316 \h </w:instrText>
              </w:r>
              <w:r>
                <w:fldChar w:fldCharType="separate"/>
              </w:r>
              <w:r>
                <w:t>7</w:t>
              </w:r>
              <w:r>
                <w:fldChar w:fldCharType="end"/>
              </w:r>
              <w:r>
                <w:rPr>
                  <w:rFonts w:asciiTheme="minorHAnsi" w:hAnsiTheme="minorHAnsi" w:eastAsiaTheme="minorEastAsia" w:cstheme="minorBidi"/>
                  <w:bCs w:val="0"/>
                  <w:color w:val="auto"/>
                  <w:kern w:val="2"/>
                  <w:szCs w:val="22"/>
                  <w:lang w:val="zh-CN"/>
                </w:rPr>
                <w:fldChar w:fldCharType="end"/>
              </w:r>
            </w:p>
            <w:p w14:paraId="58E37D30">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_Toc12248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4 维保服务流程规范</w:t>
              </w:r>
              <w:r>
                <w:tab/>
              </w:r>
              <w:r>
                <w:fldChar w:fldCharType="begin"/>
              </w:r>
              <w:r>
                <w:instrText xml:space="preserve"> PAGEREF _Toc12248 \h </w:instrText>
              </w:r>
              <w:r>
                <w:fldChar w:fldCharType="separate"/>
              </w:r>
              <w:r>
                <w:t>7</w:t>
              </w:r>
              <w:r>
                <w:fldChar w:fldCharType="end"/>
              </w:r>
              <w:r>
                <w:rPr>
                  <w:rFonts w:asciiTheme="minorHAnsi" w:hAnsiTheme="minorHAnsi" w:eastAsiaTheme="minorEastAsia" w:cstheme="minorBidi"/>
                  <w:bCs w:val="0"/>
                  <w:color w:val="auto"/>
                  <w:kern w:val="2"/>
                  <w:szCs w:val="22"/>
                  <w:lang w:val="zh-CN"/>
                </w:rPr>
                <w:fldChar w:fldCharType="end"/>
              </w:r>
            </w:p>
            <w:p w14:paraId="3DE134A7">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_Toc21956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4.1 接车与诊断流程</w:t>
              </w:r>
              <w:r>
                <w:tab/>
              </w:r>
              <w:r>
                <w:fldChar w:fldCharType="begin"/>
              </w:r>
              <w:r>
                <w:instrText xml:space="preserve"> PAGEREF _Toc21956 \h </w:instrText>
              </w:r>
              <w:r>
                <w:fldChar w:fldCharType="separate"/>
              </w:r>
              <w:r>
                <w:t>7</w:t>
              </w:r>
              <w:r>
                <w:fldChar w:fldCharType="end"/>
              </w:r>
              <w:r>
                <w:rPr>
                  <w:rFonts w:asciiTheme="minorHAnsi" w:hAnsiTheme="minorHAnsi" w:eastAsiaTheme="minorEastAsia" w:cstheme="minorBidi"/>
                  <w:bCs w:val="0"/>
                  <w:color w:val="auto"/>
                  <w:kern w:val="2"/>
                  <w:szCs w:val="22"/>
                  <w:lang w:val="zh-CN"/>
                </w:rPr>
                <w:fldChar w:fldCharType="end"/>
              </w:r>
            </w:p>
            <w:p w14:paraId="708B6DA4">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_Toc5542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4.2 维修实施与进度跟踪</w:t>
              </w:r>
              <w:r>
                <w:tab/>
              </w:r>
              <w:r>
                <w:fldChar w:fldCharType="begin"/>
              </w:r>
              <w:r>
                <w:instrText xml:space="preserve"> PAGEREF _Toc5542 \h </w:instrText>
              </w:r>
              <w:r>
                <w:fldChar w:fldCharType="separate"/>
              </w:r>
              <w:r>
                <w:t>8</w:t>
              </w:r>
              <w:r>
                <w:fldChar w:fldCharType="end"/>
              </w:r>
              <w:r>
                <w:rPr>
                  <w:rFonts w:asciiTheme="minorHAnsi" w:hAnsiTheme="minorHAnsi" w:eastAsiaTheme="minorEastAsia" w:cstheme="minorBidi"/>
                  <w:bCs w:val="0"/>
                  <w:color w:val="auto"/>
                  <w:kern w:val="2"/>
                  <w:szCs w:val="22"/>
                  <w:lang w:val="zh-CN"/>
                </w:rPr>
                <w:fldChar w:fldCharType="end"/>
              </w:r>
            </w:p>
            <w:p w14:paraId="1A1C1B0A">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_Toc19453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4.3 竣工交车流程</w:t>
              </w:r>
              <w:r>
                <w:tab/>
              </w:r>
              <w:r>
                <w:fldChar w:fldCharType="begin"/>
              </w:r>
              <w:r>
                <w:instrText xml:space="preserve"> PAGEREF _Toc19453 \h </w:instrText>
              </w:r>
              <w:r>
                <w:fldChar w:fldCharType="separate"/>
              </w:r>
              <w:r>
                <w:t>8</w:t>
              </w:r>
              <w:r>
                <w:fldChar w:fldCharType="end"/>
              </w:r>
              <w:r>
                <w:rPr>
                  <w:rFonts w:asciiTheme="minorHAnsi" w:hAnsiTheme="minorHAnsi" w:eastAsiaTheme="minorEastAsia" w:cstheme="minorBidi"/>
                  <w:bCs w:val="0"/>
                  <w:color w:val="auto"/>
                  <w:kern w:val="2"/>
                  <w:szCs w:val="22"/>
                  <w:lang w:val="zh-CN"/>
                </w:rPr>
                <w:fldChar w:fldCharType="end"/>
              </w:r>
            </w:p>
            <w:p w14:paraId="1269FC91">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_Toc26159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4.4 应急救援服务</w:t>
              </w:r>
              <w:r>
                <w:tab/>
              </w:r>
              <w:r>
                <w:fldChar w:fldCharType="begin"/>
              </w:r>
              <w:r>
                <w:instrText xml:space="preserve"> PAGEREF _Toc26159 \h </w:instrText>
              </w:r>
              <w:r>
                <w:fldChar w:fldCharType="separate"/>
              </w:r>
              <w:r>
                <w:t>8</w:t>
              </w:r>
              <w:r>
                <w:fldChar w:fldCharType="end"/>
              </w:r>
              <w:r>
                <w:rPr>
                  <w:rFonts w:asciiTheme="minorHAnsi" w:hAnsiTheme="minorHAnsi" w:eastAsiaTheme="minorEastAsia" w:cstheme="minorBidi"/>
                  <w:bCs w:val="0"/>
                  <w:color w:val="auto"/>
                  <w:kern w:val="2"/>
                  <w:szCs w:val="22"/>
                  <w:lang w:val="zh-CN"/>
                </w:rPr>
                <w:fldChar w:fldCharType="end"/>
              </w:r>
            </w:p>
            <w:p w14:paraId="1EAC634A">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_Toc17000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5 质量保证与售后服务</w:t>
              </w:r>
              <w:r>
                <w:tab/>
              </w:r>
              <w:r>
                <w:fldChar w:fldCharType="begin"/>
              </w:r>
              <w:r>
                <w:instrText xml:space="preserve"> PAGEREF _Toc17000 \h </w:instrText>
              </w:r>
              <w:r>
                <w:fldChar w:fldCharType="separate"/>
              </w:r>
              <w:r>
                <w:t>9</w:t>
              </w:r>
              <w:r>
                <w:fldChar w:fldCharType="end"/>
              </w:r>
              <w:r>
                <w:rPr>
                  <w:rFonts w:asciiTheme="minorHAnsi" w:hAnsiTheme="minorHAnsi" w:eastAsiaTheme="minorEastAsia" w:cstheme="minorBidi"/>
                  <w:bCs w:val="0"/>
                  <w:color w:val="auto"/>
                  <w:kern w:val="2"/>
                  <w:szCs w:val="22"/>
                  <w:lang w:val="zh-CN"/>
                </w:rPr>
                <w:fldChar w:fldCharType="end"/>
              </w:r>
            </w:p>
            <w:p w14:paraId="6CFB2AA2">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_Toc17921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5.1 质量保证期</w:t>
              </w:r>
              <w:r>
                <w:tab/>
              </w:r>
              <w:r>
                <w:fldChar w:fldCharType="begin"/>
              </w:r>
              <w:r>
                <w:instrText xml:space="preserve"> PAGEREF _Toc17921 \h </w:instrText>
              </w:r>
              <w:r>
                <w:fldChar w:fldCharType="separate"/>
              </w:r>
              <w:r>
                <w:t>9</w:t>
              </w:r>
              <w:r>
                <w:fldChar w:fldCharType="end"/>
              </w:r>
              <w:r>
                <w:rPr>
                  <w:rFonts w:asciiTheme="minorHAnsi" w:hAnsiTheme="minorHAnsi" w:eastAsiaTheme="minorEastAsia" w:cstheme="minorBidi"/>
                  <w:bCs w:val="0"/>
                  <w:color w:val="auto"/>
                  <w:kern w:val="2"/>
                  <w:szCs w:val="22"/>
                  <w:lang w:val="zh-CN"/>
                </w:rPr>
                <w:fldChar w:fldCharType="end"/>
              </w:r>
            </w:p>
            <w:p w14:paraId="0C0FDAB2">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_Toc26713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5.2 质量责任</w:t>
              </w:r>
              <w:r>
                <w:tab/>
              </w:r>
              <w:r>
                <w:fldChar w:fldCharType="begin"/>
              </w:r>
              <w:r>
                <w:instrText xml:space="preserve"> PAGEREF _Toc26713 \h </w:instrText>
              </w:r>
              <w:r>
                <w:fldChar w:fldCharType="separate"/>
              </w:r>
              <w:r>
                <w:t>9</w:t>
              </w:r>
              <w:r>
                <w:fldChar w:fldCharType="end"/>
              </w:r>
              <w:r>
                <w:rPr>
                  <w:rFonts w:asciiTheme="minorHAnsi" w:hAnsiTheme="minorHAnsi" w:eastAsiaTheme="minorEastAsia" w:cstheme="minorBidi"/>
                  <w:bCs w:val="0"/>
                  <w:color w:val="auto"/>
                  <w:kern w:val="2"/>
                  <w:szCs w:val="22"/>
                  <w:lang w:val="zh-CN"/>
                </w:rPr>
                <w:fldChar w:fldCharType="end"/>
              </w:r>
            </w:p>
            <w:p w14:paraId="4CF14556">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_Toc22554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5.3 售后服务</w:t>
              </w:r>
              <w:r>
                <w:tab/>
              </w:r>
              <w:r>
                <w:fldChar w:fldCharType="begin"/>
              </w:r>
              <w:r>
                <w:instrText xml:space="preserve"> PAGEREF _Toc22554 \h </w:instrText>
              </w:r>
              <w:r>
                <w:fldChar w:fldCharType="separate"/>
              </w:r>
              <w:r>
                <w:t>9</w:t>
              </w:r>
              <w:r>
                <w:fldChar w:fldCharType="end"/>
              </w:r>
              <w:r>
                <w:rPr>
                  <w:rFonts w:asciiTheme="minorHAnsi" w:hAnsiTheme="minorHAnsi" w:eastAsiaTheme="minorEastAsia" w:cstheme="minorBidi"/>
                  <w:bCs w:val="0"/>
                  <w:color w:val="auto"/>
                  <w:kern w:val="2"/>
                  <w:szCs w:val="22"/>
                  <w:lang w:val="zh-CN"/>
                </w:rPr>
                <w:fldChar w:fldCharType="end"/>
              </w:r>
            </w:p>
            <w:p w14:paraId="150C8035">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_Toc10728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6 安全与环境保护要求</w:t>
              </w:r>
              <w:r>
                <w:tab/>
              </w:r>
              <w:r>
                <w:fldChar w:fldCharType="begin"/>
              </w:r>
              <w:r>
                <w:instrText xml:space="preserve"> PAGEREF _Toc10728 \h </w:instrText>
              </w:r>
              <w:r>
                <w:fldChar w:fldCharType="separate"/>
              </w:r>
              <w:r>
                <w:t>10</w:t>
              </w:r>
              <w:r>
                <w:fldChar w:fldCharType="end"/>
              </w:r>
              <w:r>
                <w:rPr>
                  <w:rFonts w:asciiTheme="minorHAnsi" w:hAnsiTheme="minorHAnsi" w:eastAsiaTheme="minorEastAsia" w:cstheme="minorBidi"/>
                  <w:bCs w:val="0"/>
                  <w:color w:val="auto"/>
                  <w:kern w:val="2"/>
                  <w:szCs w:val="22"/>
                  <w:lang w:val="zh-CN"/>
                </w:rPr>
                <w:fldChar w:fldCharType="end"/>
              </w:r>
            </w:p>
            <w:p w14:paraId="6BDAE573">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_Toc8446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6.1 安全管理</w:t>
              </w:r>
              <w:r>
                <w:tab/>
              </w:r>
              <w:r>
                <w:fldChar w:fldCharType="begin"/>
              </w:r>
              <w:r>
                <w:instrText xml:space="preserve"> PAGEREF _Toc8446 \h </w:instrText>
              </w:r>
              <w:r>
                <w:fldChar w:fldCharType="separate"/>
              </w:r>
              <w:r>
                <w:t>10</w:t>
              </w:r>
              <w:r>
                <w:fldChar w:fldCharType="end"/>
              </w:r>
              <w:r>
                <w:rPr>
                  <w:rFonts w:asciiTheme="minorHAnsi" w:hAnsiTheme="minorHAnsi" w:eastAsiaTheme="minorEastAsia" w:cstheme="minorBidi"/>
                  <w:bCs w:val="0"/>
                  <w:color w:val="auto"/>
                  <w:kern w:val="2"/>
                  <w:szCs w:val="22"/>
                  <w:lang w:val="zh-CN"/>
                </w:rPr>
                <w:fldChar w:fldCharType="end"/>
              </w:r>
            </w:p>
            <w:p w14:paraId="2C794B0D">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_Toc18221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6.2 环境保护</w:t>
              </w:r>
              <w:r>
                <w:tab/>
              </w:r>
              <w:r>
                <w:fldChar w:fldCharType="begin"/>
              </w:r>
              <w:r>
                <w:instrText xml:space="preserve"> PAGEREF _Toc18221 \h </w:instrText>
              </w:r>
              <w:r>
                <w:fldChar w:fldCharType="separate"/>
              </w:r>
              <w:r>
                <w:t>10</w:t>
              </w:r>
              <w:r>
                <w:fldChar w:fldCharType="end"/>
              </w:r>
              <w:r>
                <w:rPr>
                  <w:rFonts w:asciiTheme="minorHAnsi" w:hAnsiTheme="minorHAnsi" w:eastAsiaTheme="minorEastAsia" w:cstheme="minorBidi"/>
                  <w:bCs w:val="0"/>
                  <w:color w:val="auto"/>
                  <w:kern w:val="2"/>
                  <w:szCs w:val="22"/>
                  <w:lang w:val="zh-CN"/>
                </w:rPr>
                <w:fldChar w:fldCharType="end"/>
              </w:r>
            </w:p>
            <w:p w14:paraId="42AB8CA9">
              <w:pPr>
                <w:pStyle w:val="21"/>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_Toc11886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7 服务监督与评估</w:t>
              </w:r>
              <w:r>
                <w:tab/>
              </w:r>
              <w:r>
                <w:fldChar w:fldCharType="begin"/>
              </w:r>
              <w:r>
                <w:instrText xml:space="preserve"> PAGEREF _Toc11886 \h </w:instrText>
              </w:r>
              <w:r>
                <w:fldChar w:fldCharType="separate"/>
              </w:r>
              <w:r>
                <w:t>10</w:t>
              </w:r>
              <w:r>
                <w:fldChar w:fldCharType="end"/>
              </w:r>
              <w:r>
                <w:rPr>
                  <w:rFonts w:asciiTheme="minorHAnsi" w:hAnsiTheme="minorHAnsi" w:eastAsiaTheme="minorEastAsia" w:cstheme="minorBidi"/>
                  <w:bCs w:val="0"/>
                  <w:color w:val="auto"/>
                  <w:kern w:val="2"/>
                  <w:szCs w:val="22"/>
                  <w:lang w:val="zh-CN"/>
                </w:rPr>
                <w:fldChar w:fldCharType="end"/>
              </w:r>
            </w:p>
            <w:p w14:paraId="4DE04DAA">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_Toc20654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7.1 监督机制</w:t>
              </w:r>
              <w:r>
                <w:tab/>
              </w:r>
              <w:r>
                <w:fldChar w:fldCharType="begin"/>
              </w:r>
              <w:r>
                <w:instrText xml:space="preserve"> PAGEREF _Toc20654 \h </w:instrText>
              </w:r>
              <w:r>
                <w:fldChar w:fldCharType="separate"/>
              </w:r>
              <w:r>
                <w:t>10</w:t>
              </w:r>
              <w:r>
                <w:fldChar w:fldCharType="end"/>
              </w:r>
              <w:r>
                <w:rPr>
                  <w:rFonts w:asciiTheme="minorHAnsi" w:hAnsiTheme="minorHAnsi" w:eastAsiaTheme="minorEastAsia" w:cstheme="minorBidi"/>
                  <w:bCs w:val="0"/>
                  <w:color w:val="auto"/>
                  <w:kern w:val="2"/>
                  <w:szCs w:val="22"/>
                  <w:lang w:val="zh-CN"/>
                </w:rPr>
                <w:fldChar w:fldCharType="end"/>
              </w:r>
            </w:p>
            <w:p w14:paraId="34B7FC16">
              <w:pPr>
                <w:pStyle w:val="22"/>
                <w:tabs>
                  <w:tab w:val="right" w:leader="dot" w:pos="8306"/>
                </w:tabs>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_Toc30874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7.2 评估与改进</w:t>
              </w:r>
              <w:r>
                <w:tab/>
              </w:r>
              <w:r>
                <w:fldChar w:fldCharType="begin"/>
              </w:r>
              <w:r>
                <w:instrText xml:space="preserve"> PAGEREF _Toc30874 \h </w:instrText>
              </w:r>
              <w:r>
                <w:fldChar w:fldCharType="separate"/>
              </w:r>
              <w:r>
                <w:t>11</w:t>
              </w:r>
              <w:r>
                <w:fldChar w:fldCharType="end"/>
              </w:r>
              <w:r>
                <w:rPr>
                  <w:rFonts w:asciiTheme="minorHAnsi" w:hAnsiTheme="minorHAnsi" w:eastAsiaTheme="minorEastAsia" w:cstheme="minorBidi"/>
                  <w:bCs w:val="0"/>
                  <w:color w:val="auto"/>
                  <w:kern w:val="2"/>
                  <w:szCs w:val="22"/>
                  <w:lang w:val="zh-CN"/>
                </w:rPr>
                <w:fldChar w:fldCharType="end"/>
              </w:r>
            </w:p>
            <w:p w14:paraId="302B9715">
              <w:pPr>
                <w:pStyle w:val="21"/>
                <w:tabs>
                  <w:tab w:val="right" w:leader="dot" w:pos="8306"/>
                </w:tabs>
                <w:rPr>
                  <w:rFonts w:asciiTheme="minorHAnsi" w:hAnsiTheme="minorHAnsi" w:eastAsiaTheme="minorEastAsia" w:cstheme="minorBidi"/>
                  <w:bCs w:val="0"/>
                  <w:color w:val="auto"/>
                  <w:kern w:val="2"/>
                  <w:sz w:val="22"/>
                  <w:szCs w:val="22"/>
                  <w:lang w:val="zh-CN" w:eastAsia="en-US" w:bidi="ar-SA"/>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heme="minorHAnsi" w:hAnsiTheme="minorHAnsi" w:eastAsiaTheme="minorEastAsia" w:cstheme="minorBidi"/>
                  <w:bCs w:val="0"/>
                  <w:color w:val="auto"/>
                  <w:kern w:val="2"/>
                  <w:szCs w:val="22"/>
                  <w:lang w:val="zh-CN"/>
                </w:rPr>
                <w:fldChar w:fldCharType="begin"/>
              </w:r>
              <w:r>
                <w:rPr>
                  <w:rFonts w:asciiTheme="minorHAnsi" w:hAnsiTheme="minorHAnsi" w:eastAsiaTheme="minorEastAsia" w:cstheme="minorBidi"/>
                  <w:bCs w:val="0"/>
                  <w:kern w:val="2"/>
                  <w:szCs w:val="22"/>
                  <w:lang w:val="zh-CN"/>
                </w:rPr>
                <w:instrText xml:space="preserve"> HYPERLINK \l _Toc16637 </w:instrText>
              </w:r>
              <w:r>
                <w:rPr>
                  <w:rFonts w:asciiTheme="minorHAnsi" w:hAnsiTheme="minorHAnsi" w:eastAsiaTheme="minorEastAsia" w:cstheme="minorBidi"/>
                  <w:bCs w:val="0"/>
                  <w:kern w:val="2"/>
                  <w:szCs w:val="22"/>
                  <w:lang w:val="zh-CN"/>
                </w:rPr>
                <w:fldChar w:fldCharType="separate"/>
              </w:r>
              <w:r>
                <w:rPr>
                  <w:rFonts w:hint="eastAsia" w:ascii="仿宋_GB2312" w:hAnsi="仿宋_GB2312" w:eastAsia="仿宋_GB2312" w:cs="仿宋_GB2312"/>
                </w:rPr>
                <w:t>8 附则</w:t>
              </w:r>
              <w:r>
                <w:tab/>
              </w:r>
              <w:r>
                <w:fldChar w:fldCharType="begin"/>
              </w:r>
              <w:r>
                <w:instrText xml:space="preserve"> PAGEREF _Toc16637 \h </w:instrText>
              </w:r>
              <w:r>
                <w:fldChar w:fldCharType="separate"/>
              </w:r>
              <w:r>
                <w:t>11</w:t>
              </w:r>
              <w:r>
                <w:fldChar w:fldCharType="end"/>
              </w:r>
              <w:r>
                <w:rPr>
                  <w:rFonts w:asciiTheme="minorHAnsi" w:hAnsiTheme="minorHAnsi" w:eastAsiaTheme="minorEastAsia" w:cstheme="minorBidi"/>
                  <w:bCs w:val="0"/>
                  <w:color w:val="auto"/>
                  <w:kern w:val="2"/>
                  <w:szCs w:val="22"/>
                  <w:lang w:val="zh-CN"/>
                </w:rPr>
                <w:fldChar w:fldCharType="end"/>
              </w:r>
              <w:r>
                <w:rPr>
                  <w:rFonts w:asciiTheme="minorHAnsi" w:hAnsiTheme="minorHAnsi" w:eastAsiaTheme="minorEastAsia" w:cstheme="minorBidi"/>
                  <w:bCs w:val="0"/>
                  <w:color w:val="auto"/>
                  <w:kern w:val="2"/>
                  <w:szCs w:val="22"/>
                  <w:lang w:val="zh-CN"/>
                </w:rPr>
                <w:fldChar w:fldCharType="end"/>
              </w:r>
            </w:p>
          </w:sdtContent>
        </w:sdt>
        <w:p w14:paraId="5A61FFD0">
          <w:pPr>
            <w:bidi w:val="0"/>
            <w:spacing w:after="0" w:line="240" w:lineRule="auto"/>
          </w:pPr>
          <w:bookmarkStart w:id="4" w:name="_Toc25176"/>
        </w:p>
      </w:sdtContent>
    </w:sdt>
    <w:p w14:paraId="1911737D">
      <w:pPr>
        <w:bidi w:val="0"/>
        <w:spacing w:after="0" w:line="240" w:lineRule="auto"/>
        <w:jc w:val="center"/>
        <w:rPr>
          <w:rFonts w:hint="eastAsia" w:ascii="方正小标宋_GBK" w:hAnsi="方正小标宋_GBK" w:eastAsia="方正小标宋_GBK" w:cs="方正小标宋_GBK"/>
        </w:rPr>
      </w:pPr>
      <w:r>
        <w:rPr>
          <w:rFonts w:hint="eastAsia" w:ascii="方正小标宋_GBK" w:hAnsi="方正小标宋_GBK" w:eastAsia="方正小标宋_GBK" w:cs="方正小标宋_GBK"/>
          <w:b/>
          <w:sz w:val="52"/>
          <w:lang w:val="en-US" w:eastAsia="zh-CN"/>
        </w:rPr>
        <w:t>南方电网综合能源（广州）有限公司赤水分公司</w:t>
      </w:r>
      <w:r>
        <w:rPr>
          <w:rFonts w:hint="default" w:ascii="方正小标宋_GBK" w:hAnsi="方正小标宋_GBK" w:eastAsia="方正小标宋_GBK" w:cs="方正小标宋_GBK"/>
          <w:b/>
          <w:sz w:val="52"/>
          <w:lang w:val="en-US" w:eastAsia="zh-CN"/>
        </w:rPr>
        <w:t>202</w:t>
      </w:r>
      <w:r>
        <w:rPr>
          <w:rFonts w:hint="eastAsia" w:ascii="方正小标宋_GBK" w:hAnsi="方正小标宋_GBK" w:eastAsia="方正小标宋_GBK" w:cs="方正小标宋_GBK"/>
          <w:b/>
          <w:sz w:val="52"/>
          <w:lang w:val="en-US" w:eastAsia="zh-CN"/>
        </w:rPr>
        <w:t>6</w:t>
      </w:r>
      <w:r>
        <w:rPr>
          <w:rFonts w:hint="default" w:ascii="方正小标宋_GBK" w:hAnsi="方正小标宋_GBK" w:eastAsia="方正小标宋_GBK" w:cs="方正小标宋_GBK"/>
          <w:b/>
          <w:sz w:val="52"/>
          <w:lang w:val="en-US" w:eastAsia="zh-CN"/>
        </w:rPr>
        <w:t>年至</w:t>
      </w:r>
      <w:bookmarkEnd w:id="4"/>
      <w:r>
        <w:rPr>
          <w:rFonts w:hint="eastAsia" w:ascii="方正小标宋_GBK" w:hAnsi="方正小标宋_GBK" w:eastAsia="方正小标宋_GBK" w:cs="方正小标宋_GBK"/>
          <w:b/>
          <w:sz w:val="52"/>
          <w:lang w:val="en-US" w:eastAsia="zh-CN"/>
        </w:rPr>
        <w:t>2028年</w:t>
      </w:r>
      <w:r>
        <w:rPr>
          <w:rFonts w:hint="eastAsia" w:ascii="方正小标宋_GBK" w:hAnsi="方正小标宋_GBK" w:eastAsia="方正小标宋_GBK" w:cs="方正小标宋_GBK"/>
          <w:b/>
          <w:sz w:val="52"/>
        </w:rPr>
        <w:t>车辆定点维保服务技术规范书</w:t>
      </w:r>
    </w:p>
    <w:p w14:paraId="0D0B9926">
      <w:pPr>
        <w:spacing w:before="380" w:after="140" w:line="288" w:lineRule="auto"/>
        <w:ind w:left="0"/>
        <w:jc w:val="left"/>
        <w:outlineLvl w:val="0"/>
        <w:rPr>
          <w:rFonts w:hint="eastAsia" w:ascii="仿宋_GB2312" w:hAnsi="仿宋_GB2312" w:eastAsia="仿宋_GB2312" w:cs="仿宋_GB2312"/>
        </w:rPr>
      </w:pPr>
      <w:bookmarkStart w:id="5" w:name="heading_0"/>
      <w:bookmarkStart w:id="6" w:name="_Toc21355"/>
      <w:r>
        <w:rPr>
          <w:rFonts w:hint="eastAsia" w:ascii="仿宋_GB2312" w:hAnsi="仿宋_GB2312" w:eastAsia="仿宋_GB2312" w:cs="仿宋_GB2312"/>
          <w:b/>
          <w:sz w:val="36"/>
        </w:rPr>
        <w:t>1 总则</w:t>
      </w:r>
      <w:bookmarkEnd w:id="5"/>
      <w:bookmarkEnd w:id="6"/>
    </w:p>
    <w:p w14:paraId="530F1308">
      <w:pPr>
        <w:spacing w:before="320" w:after="120" w:line="288" w:lineRule="auto"/>
        <w:ind w:left="0"/>
        <w:jc w:val="left"/>
        <w:outlineLvl w:val="1"/>
        <w:rPr>
          <w:rFonts w:hint="eastAsia" w:ascii="仿宋_GB2312" w:hAnsi="仿宋_GB2312" w:eastAsia="仿宋_GB2312" w:cs="仿宋_GB2312"/>
        </w:rPr>
      </w:pPr>
      <w:bookmarkStart w:id="7" w:name="_Toc15018"/>
      <w:bookmarkStart w:id="8" w:name="heading_1"/>
      <w:r>
        <w:rPr>
          <w:rFonts w:hint="eastAsia" w:ascii="仿宋_GB2312" w:hAnsi="仿宋_GB2312" w:eastAsia="仿宋_GB2312" w:cs="仿宋_GB2312"/>
          <w:b/>
          <w:sz w:val="32"/>
        </w:rPr>
        <w:t>1.1 目的</w:t>
      </w:r>
      <w:bookmarkEnd w:id="7"/>
      <w:bookmarkEnd w:id="8"/>
    </w:p>
    <w:p w14:paraId="233FBE44">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为规范车辆定点维保服务行为，保障车辆运行安全与性能稳定，明确维保服务的技术标准、流程要求及双方权利义务，依据《机动车维修管理规定》（交通运输部令2023年第14号）、《汽车维修业开业条件》（GB/T 16739）等国家法规及行业标准，制定本规范书。本规范书作为定点维保合作的技术依据，适用于所有纳入定点维保范围的车辆。</w:t>
      </w:r>
    </w:p>
    <w:p w14:paraId="0BB3FD84">
      <w:pPr>
        <w:spacing w:before="320" w:after="120" w:line="288" w:lineRule="auto"/>
        <w:ind w:left="0"/>
        <w:jc w:val="left"/>
        <w:outlineLvl w:val="1"/>
        <w:rPr>
          <w:rFonts w:hint="eastAsia" w:ascii="仿宋_GB2312" w:hAnsi="仿宋_GB2312" w:eastAsia="仿宋_GB2312" w:cs="仿宋_GB2312"/>
        </w:rPr>
      </w:pPr>
      <w:bookmarkStart w:id="9" w:name="_Toc30056"/>
      <w:bookmarkStart w:id="10" w:name="heading_2"/>
      <w:r>
        <w:rPr>
          <w:rFonts w:hint="eastAsia" w:ascii="仿宋_GB2312" w:hAnsi="仿宋_GB2312" w:eastAsia="仿宋_GB2312" w:cs="仿宋_GB2312"/>
          <w:b/>
          <w:sz w:val="32"/>
        </w:rPr>
        <w:t>1.2 适用范围</w:t>
      </w:r>
      <w:bookmarkEnd w:id="9"/>
      <w:bookmarkEnd w:id="10"/>
    </w:p>
    <w:p w14:paraId="3ED3FB96">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本规范书适用于定点维保服务商（以下简称“服务商”）为委托方提供的各类车辆维保服务，包括但不限于日常保养、故障维修、总成修理、车身修复、定期检测及应急救援服务。覆盖车辆类型含轿车、商务车、货车等委托方指定的所有在用车辆。</w:t>
      </w:r>
    </w:p>
    <w:p w14:paraId="7CF57F47">
      <w:pPr>
        <w:spacing w:before="320" w:after="120" w:line="288" w:lineRule="auto"/>
        <w:ind w:left="0"/>
        <w:jc w:val="left"/>
        <w:outlineLvl w:val="1"/>
        <w:rPr>
          <w:rFonts w:hint="eastAsia" w:ascii="仿宋_GB2312" w:hAnsi="仿宋_GB2312" w:eastAsia="仿宋_GB2312" w:cs="仿宋_GB2312"/>
        </w:rPr>
      </w:pPr>
      <w:bookmarkStart w:id="11" w:name="heading_3"/>
      <w:bookmarkStart w:id="12" w:name="_Toc18801"/>
      <w:r>
        <w:rPr>
          <w:rFonts w:hint="eastAsia" w:ascii="仿宋_GB2312" w:hAnsi="仿宋_GB2312" w:eastAsia="仿宋_GB2312" w:cs="仿宋_GB2312"/>
          <w:b/>
          <w:sz w:val="32"/>
        </w:rPr>
        <w:t>1.3 核心原则</w:t>
      </w:r>
      <w:bookmarkEnd w:id="11"/>
      <w:bookmarkEnd w:id="12"/>
    </w:p>
    <w:p w14:paraId="02877EB9">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应遵循“安全第一、质量优先、合规操作、高效便捷”的原则，严格按照国家法规、行业标准及车辆制造商技术要求开展维保作业，杜绝违规操作、使用伪劣配件等行为，确保维保服务质量可追溯、可监督。</w:t>
      </w:r>
    </w:p>
    <w:p w14:paraId="44EA9E12">
      <w:pPr>
        <w:spacing w:before="380" w:after="140" w:line="288" w:lineRule="auto"/>
        <w:ind w:left="0"/>
        <w:jc w:val="left"/>
        <w:outlineLvl w:val="0"/>
        <w:rPr>
          <w:rFonts w:hint="eastAsia" w:ascii="仿宋_GB2312" w:hAnsi="仿宋_GB2312" w:eastAsia="仿宋_GB2312" w:cs="仿宋_GB2312"/>
        </w:rPr>
      </w:pPr>
      <w:bookmarkStart w:id="13" w:name="_Toc32636"/>
      <w:bookmarkStart w:id="14" w:name="heading_4"/>
      <w:r>
        <w:rPr>
          <w:rFonts w:hint="eastAsia" w:ascii="仿宋_GB2312" w:hAnsi="仿宋_GB2312" w:eastAsia="仿宋_GB2312" w:cs="仿宋_GB2312"/>
          <w:b/>
          <w:sz w:val="36"/>
        </w:rPr>
        <w:t>2 服务商资质与资源要求</w:t>
      </w:r>
      <w:bookmarkEnd w:id="13"/>
      <w:bookmarkEnd w:id="14"/>
    </w:p>
    <w:p w14:paraId="37086B66">
      <w:pPr>
        <w:spacing w:before="320" w:after="120" w:line="288" w:lineRule="auto"/>
        <w:ind w:left="0"/>
        <w:jc w:val="left"/>
        <w:outlineLvl w:val="1"/>
        <w:rPr>
          <w:rFonts w:hint="eastAsia" w:ascii="仿宋_GB2312" w:hAnsi="仿宋_GB2312" w:eastAsia="仿宋_GB2312" w:cs="仿宋_GB2312"/>
        </w:rPr>
      </w:pPr>
      <w:bookmarkStart w:id="15" w:name="heading_5"/>
      <w:bookmarkStart w:id="16" w:name="_Toc18966"/>
      <w:r>
        <w:rPr>
          <w:rFonts w:hint="eastAsia" w:ascii="仿宋_GB2312" w:hAnsi="仿宋_GB2312" w:eastAsia="仿宋_GB2312" w:cs="仿宋_GB2312"/>
          <w:b/>
          <w:sz w:val="32"/>
        </w:rPr>
        <w:t>2.1 资质条件</w:t>
      </w:r>
      <w:bookmarkEnd w:id="15"/>
      <w:bookmarkEnd w:id="16"/>
    </w:p>
    <w:p w14:paraId="4179D561">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服务商须具备有效的机动车维修经营许可</w:t>
      </w:r>
      <w:r>
        <w:rPr>
          <w:rFonts w:hint="eastAsia" w:ascii="仿宋_GB2312" w:hAnsi="仿宋_GB2312" w:eastAsia="仿宋_GB2312" w:cs="仿宋_GB2312"/>
          <w:sz w:val="30"/>
          <w:szCs w:val="30"/>
          <w:lang w:val="en-US" w:eastAsia="zh-CN"/>
        </w:rPr>
        <w:t>证</w:t>
      </w:r>
      <w:r>
        <w:rPr>
          <w:rFonts w:hint="eastAsia" w:ascii="仿宋_GB2312" w:hAnsi="仿宋_GB2312" w:eastAsia="仿宋_GB2312" w:cs="仿宋_GB2312"/>
          <w:sz w:val="30"/>
          <w:szCs w:val="30"/>
        </w:rPr>
        <w:t>，符合</w:t>
      </w:r>
      <w:r>
        <w:rPr>
          <w:rFonts w:hint="eastAsia" w:ascii="仿宋_GB2312" w:hAnsi="仿宋_GB2312" w:eastAsia="仿宋_GB2312" w:cs="仿宋_GB2312"/>
          <w:sz w:val="30"/>
          <w:szCs w:val="30"/>
          <w:lang w:val="en-US" w:eastAsia="zh-CN"/>
        </w:rPr>
        <w:t>三</w:t>
      </w:r>
      <w:r>
        <w:rPr>
          <w:rFonts w:hint="eastAsia" w:ascii="仿宋_GB2312" w:hAnsi="仿宋_GB2312" w:eastAsia="仿宋_GB2312" w:cs="仿宋_GB2312"/>
          <w:sz w:val="30"/>
          <w:szCs w:val="30"/>
        </w:rPr>
        <w:t>类</w:t>
      </w:r>
      <w:r>
        <w:rPr>
          <w:rFonts w:hint="eastAsia" w:ascii="仿宋_GB2312" w:hAnsi="仿宋_GB2312" w:eastAsia="仿宋_GB2312" w:cs="仿宋_GB2312"/>
          <w:sz w:val="30"/>
          <w:szCs w:val="30"/>
          <w:lang w:val="en-US" w:eastAsia="zh-CN"/>
        </w:rPr>
        <w:t>及以上</w:t>
      </w:r>
      <w:r>
        <w:rPr>
          <w:rFonts w:hint="eastAsia" w:ascii="仿宋_GB2312" w:hAnsi="仿宋_GB2312" w:eastAsia="仿宋_GB2312" w:cs="仿宋_GB2312"/>
          <w:sz w:val="30"/>
          <w:szCs w:val="30"/>
        </w:rPr>
        <w:t>维修业务开业标准，配备与承修车型相适应的技术团队、设备设施及管理制度。</w:t>
      </w:r>
    </w:p>
    <w:p w14:paraId="4E4D803D">
      <w:pPr>
        <w:spacing w:before="320" w:after="120" w:line="288" w:lineRule="auto"/>
        <w:ind w:left="0"/>
        <w:jc w:val="left"/>
        <w:outlineLvl w:val="1"/>
        <w:rPr>
          <w:rFonts w:hint="eastAsia" w:ascii="仿宋_GB2312" w:hAnsi="仿宋_GB2312" w:eastAsia="仿宋_GB2312" w:cs="仿宋_GB2312"/>
        </w:rPr>
      </w:pPr>
      <w:bookmarkStart w:id="17" w:name="heading_6"/>
      <w:bookmarkStart w:id="18" w:name="_Toc23175"/>
      <w:r>
        <w:rPr>
          <w:rFonts w:hint="eastAsia" w:ascii="仿宋_GB2312" w:hAnsi="仿宋_GB2312" w:eastAsia="仿宋_GB2312" w:cs="仿宋_GB2312"/>
          <w:b/>
          <w:sz w:val="32"/>
        </w:rPr>
        <w:t>2.2 技术人员要求</w:t>
      </w:r>
      <w:bookmarkEnd w:id="17"/>
      <w:bookmarkEnd w:id="18"/>
    </w:p>
    <w:p w14:paraId="175723BA">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技术负责人：至少配备1名技术负责人，具备5年以上机动车维修行业工作经验，熟悉各类车辆维修技术及相关政策法规，掌握故障诊断与质量管控核心能力。</w:t>
      </w:r>
    </w:p>
    <w:p w14:paraId="60907F45">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质量检验人员：至少配备1名专职质量检验人员，持有与承修车型相适应的机动车驾驶证，熟悉维修检测规范及收费标准，具备故障诊断与质量鉴定能力。</w:t>
      </w:r>
    </w:p>
    <w:p w14:paraId="35B530FB">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维修技工：按工种配备机修、电器、钣金、涂漆等专业技工，均需持有国家认可的职业资格证书，熟悉对应工种操作规范，定期参加技术培训与考核，更新专业技能。</w:t>
      </w:r>
    </w:p>
    <w:p w14:paraId="7489DFFB">
      <w:pPr>
        <w:spacing w:before="320" w:after="120" w:line="288" w:lineRule="auto"/>
        <w:ind w:left="0"/>
        <w:jc w:val="left"/>
        <w:outlineLvl w:val="1"/>
        <w:rPr>
          <w:rFonts w:hint="eastAsia" w:ascii="仿宋_GB2312" w:hAnsi="仿宋_GB2312" w:eastAsia="仿宋_GB2312" w:cs="仿宋_GB2312"/>
        </w:rPr>
      </w:pPr>
      <w:bookmarkStart w:id="19" w:name="heading_7"/>
      <w:bookmarkStart w:id="20" w:name="_Toc29991"/>
      <w:r>
        <w:rPr>
          <w:rFonts w:hint="eastAsia" w:ascii="仿宋_GB2312" w:hAnsi="仿宋_GB2312" w:eastAsia="仿宋_GB2312" w:cs="仿宋_GB2312"/>
          <w:b/>
          <w:sz w:val="32"/>
        </w:rPr>
        <w:t>2.3 设备设施要求</w:t>
      </w:r>
      <w:bookmarkEnd w:id="19"/>
      <w:bookmarkEnd w:id="20"/>
    </w:p>
    <w:p w14:paraId="1BEDDE5E">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基础设备：配备符合国家标准的举升机、轮胎动平衡仪、四轮定位仪、发动机诊断仪、车身修复设备等，满足各类车辆维修检测需求。</w:t>
      </w:r>
    </w:p>
    <w:p w14:paraId="2E015034">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检测设备：所配诊断设备需兼容主流车型，能准确读取故障码及运行参数。</w:t>
      </w:r>
    </w:p>
    <w:p w14:paraId="40FBACBA">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场地与环保设施：具备与经营业务相适应的维修厂房及停车场，租用场地需提供不少于1年的书面租赁合同；配备废油、废旧配件等废弃物分类收集处理设施，符合环境保护要求。</w:t>
      </w:r>
    </w:p>
    <w:p w14:paraId="21B16E4F">
      <w:pPr>
        <w:spacing w:before="320" w:after="120" w:line="288" w:lineRule="auto"/>
        <w:ind w:left="0"/>
        <w:jc w:val="left"/>
        <w:outlineLvl w:val="1"/>
        <w:rPr>
          <w:rFonts w:hint="eastAsia" w:ascii="仿宋_GB2312" w:hAnsi="仿宋_GB2312" w:eastAsia="仿宋_GB2312" w:cs="仿宋_GB2312"/>
        </w:rPr>
      </w:pPr>
      <w:bookmarkStart w:id="21" w:name="_Toc11105"/>
      <w:bookmarkStart w:id="22" w:name="heading_8"/>
      <w:r>
        <w:rPr>
          <w:rFonts w:hint="eastAsia" w:ascii="仿宋_GB2312" w:hAnsi="仿宋_GB2312" w:eastAsia="仿宋_GB2312" w:cs="仿宋_GB2312"/>
          <w:b/>
          <w:sz w:val="32"/>
        </w:rPr>
        <w:t>2.4 管理制度要求</w:t>
      </w:r>
      <w:bookmarkEnd w:id="21"/>
      <w:bookmarkEnd w:id="22"/>
    </w:p>
    <w:p w14:paraId="2D7463A0">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服务商需建立健全质量管理制度、安全生产管理制度、车辆维修档案管理制度、人员培训制度、设备管理制度及配件管理制度，明确各岗位职责与操作流程，确保维保作业全流程可管控。</w:t>
      </w:r>
    </w:p>
    <w:p w14:paraId="39DE3B28">
      <w:pPr>
        <w:spacing w:before="380" w:after="140" w:line="288" w:lineRule="auto"/>
        <w:ind w:left="0"/>
        <w:jc w:val="left"/>
        <w:outlineLvl w:val="0"/>
        <w:rPr>
          <w:rFonts w:hint="eastAsia" w:ascii="仿宋_GB2312" w:hAnsi="仿宋_GB2312" w:eastAsia="仿宋_GB2312" w:cs="仿宋_GB2312"/>
        </w:rPr>
      </w:pPr>
      <w:bookmarkStart w:id="23" w:name="heading_9"/>
      <w:bookmarkStart w:id="24" w:name="_Toc30867"/>
      <w:r>
        <w:rPr>
          <w:rFonts w:hint="eastAsia" w:ascii="仿宋_GB2312" w:hAnsi="仿宋_GB2312" w:eastAsia="仿宋_GB2312" w:cs="仿宋_GB2312"/>
          <w:b/>
          <w:sz w:val="36"/>
        </w:rPr>
        <w:t>3 维保技术标准与操作规范</w:t>
      </w:r>
      <w:bookmarkEnd w:id="23"/>
      <w:bookmarkEnd w:id="24"/>
    </w:p>
    <w:p w14:paraId="4EC59903">
      <w:pPr>
        <w:spacing w:before="320" w:after="120" w:line="288" w:lineRule="auto"/>
        <w:ind w:left="0"/>
        <w:jc w:val="left"/>
        <w:outlineLvl w:val="1"/>
        <w:rPr>
          <w:rFonts w:hint="eastAsia" w:ascii="仿宋_GB2312" w:hAnsi="仿宋_GB2312" w:eastAsia="仿宋_GB2312" w:cs="仿宋_GB2312"/>
        </w:rPr>
      </w:pPr>
      <w:bookmarkStart w:id="25" w:name="heading_10"/>
      <w:bookmarkStart w:id="26" w:name="_Toc31438"/>
      <w:r>
        <w:rPr>
          <w:rFonts w:hint="eastAsia" w:ascii="仿宋_GB2312" w:hAnsi="仿宋_GB2312" w:eastAsia="仿宋_GB2312" w:cs="仿宋_GB2312"/>
          <w:b/>
          <w:sz w:val="32"/>
        </w:rPr>
        <w:t>3.1 维修技术依据</w:t>
      </w:r>
      <w:bookmarkEnd w:id="25"/>
      <w:bookmarkEnd w:id="26"/>
    </w:p>
    <w:p w14:paraId="21B36639">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维保作业需严格按照以下优先级标准执行：国家及行业维修标准→车辆制造商公开的维修技术信息、维修手册及工时定额→双方约定的补充技术要求。尚无明确标准的，需参照机动车生产企业提供的技术资料执行，严禁通过临时更换污染控制装置等方式规避排放检验。</w:t>
      </w:r>
    </w:p>
    <w:p w14:paraId="6590AF45">
      <w:pPr>
        <w:spacing w:before="320" w:after="120" w:line="288" w:lineRule="auto"/>
        <w:ind w:left="0"/>
        <w:jc w:val="left"/>
        <w:outlineLvl w:val="1"/>
        <w:rPr>
          <w:rFonts w:hint="eastAsia" w:ascii="仿宋_GB2312" w:hAnsi="仿宋_GB2312" w:eastAsia="仿宋_GB2312" w:cs="仿宋_GB2312"/>
        </w:rPr>
      </w:pPr>
      <w:bookmarkStart w:id="27" w:name="heading_11"/>
      <w:bookmarkStart w:id="28" w:name="_Toc19033"/>
      <w:r>
        <w:rPr>
          <w:rFonts w:hint="eastAsia" w:ascii="仿宋_GB2312" w:hAnsi="仿宋_GB2312" w:eastAsia="仿宋_GB2312" w:cs="仿宋_GB2312"/>
          <w:b/>
          <w:sz w:val="32"/>
        </w:rPr>
        <w:t>3.2 配件与材料管理</w:t>
      </w:r>
      <w:bookmarkEnd w:id="27"/>
      <w:bookmarkEnd w:id="28"/>
    </w:p>
    <w:p w14:paraId="32DEA52D">
      <w:pPr>
        <w:numPr>
          <w:ilvl w:val="0"/>
          <w:numId w:val="0"/>
        </w:numPr>
        <w:spacing w:before="120" w:after="120" w:line="288" w:lineRule="auto"/>
        <w:ind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配件质量：使用配件需符合国家质量标准，明确标注配件性质、规格、型号、产地及质量保证期，杜绝使用假冒伪劣、报废配件。</w:t>
      </w:r>
    </w:p>
    <w:p w14:paraId="29357668">
      <w:pPr>
        <w:numPr>
          <w:ilvl w:val="0"/>
          <w:numId w:val="0"/>
        </w:numPr>
        <w:spacing w:before="120" w:after="120" w:line="288" w:lineRule="auto"/>
        <w:ind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配件追溯：建立配件采购与使用台账，记录配件名称、供应商、采购日期、批次及使用车辆信息，确保来源可追溯，换下的旧配件按双方约定处理，危险废物按规定统一处置。</w:t>
      </w:r>
    </w:p>
    <w:p w14:paraId="17F48019">
      <w:pPr>
        <w:spacing w:before="320" w:after="120" w:line="288" w:lineRule="auto"/>
        <w:ind w:left="0"/>
        <w:jc w:val="left"/>
        <w:outlineLvl w:val="1"/>
        <w:rPr>
          <w:rFonts w:hint="eastAsia" w:ascii="仿宋_GB2312" w:hAnsi="仿宋_GB2312" w:eastAsia="仿宋_GB2312" w:cs="仿宋_GB2312"/>
        </w:rPr>
      </w:pPr>
      <w:bookmarkStart w:id="29" w:name="heading_12"/>
      <w:bookmarkStart w:id="30" w:name="_Toc24050"/>
      <w:r>
        <w:rPr>
          <w:rFonts w:hint="eastAsia" w:ascii="仿宋_GB2312" w:hAnsi="仿宋_GB2312" w:eastAsia="仿宋_GB2312" w:cs="仿宋_GB2312"/>
          <w:b/>
          <w:sz w:val="32"/>
        </w:rPr>
        <w:t>3.3 核心作业操作规范</w:t>
      </w:r>
      <w:bookmarkEnd w:id="29"/>
      <w:bookmarkEnd w:id="30"/>
    </w:p>
    <w:p w14:paraId="4F29C20F">
      <w:pPr>
        <w:spacing w:before="300" w:after="120" w:line="288" w:lineRule="auto"/>
        <w:ind w:left="0"/>
        <w:jc w:val="left"/>
        <w:outlineLvl w:val="2"/>
        <w:rPr>
          <w:rFonts w:hint="eastAsia" w:ascii="仿宋_GB2312" w:hAnsi="仿宋_GB2312" w:eastAsia="仿宋_GB2312" w:cs="仿宋_GB2312"/>
        </w:rPr>
      </w:pPr>
      <w:bookmarkStart w:id="31" w:name="_Toc19881"/>
      <w:bookmarkStart w:id="32" w:name="heading_13"/>
      <w:r>
        <w:rPr>
          <w:rFonts w:hint="eastAsia" w:ascii="仿宋_GB2312" w:hAnsi="仿宋_GB2312" w:eastAsia="仿宋_GB2312" w:cs="仿宋_GB2312"/>
          <w:b/>
          <w:sz w:val="30"/>
        </w:rPr>
        <w:t>3.3.1 故障诊断</w:t>
      </w:r>
      <w:bookmarkEnd w:id="31"/>
      <w:bookmarkEnd w:id="32"/>
    </w:p>
    <w:p w14:paraId="4F9A801E">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遵循“先简后繁、先外后内、先电后油、先查后动”原则，结合问询、目测、仪器检测等方法定位故障，诊断结果需通过模拟测试或故障再现确认，避免盲目拆卸。电子控制系统故障优先使用原厂或认可的诊断设备读取故障码及数据流，确保诊断准确。</w:t>
      </w:r>
    </w:p>
    <w:p w14:paraId="7082AD65">
      <w:pPr>
        <w:spacing w:before="300" w:after="120" w:line="288" w:lineRule="auto"/>
        <w:ind w:left="0"/>
        <w:jc w:val="left"/>
        <w:outlineLvl w:val="2"/>
        <w:rPr>
          <w:rFonts w:hint="eastAsia" w:ascii="仿宋_GB2312" w:hAnsi="仿宋_GB2312" w:eastAsia="仿宋_GB2312" w:cs="仿宋_GB2312"/>
        </w:rPr>
      </w:pPr>
      <w:bookmarkStart w:id="33" w:name="heading_14"/>
      <w:bookmarkStart w:id="34" w:name="_Toc11123"/>
      <w:r>
        <w:rPr>
          <w:rFonts w:hint="eastAsia" w:ascii="仿宋_GB2312" w:hAnsi="仿宋_GB2312" w:eastAsia="仿宋_GB2312" w:cs="仿宋_GB2312"/>
          <w:b/>
          <w:sz w:val="30"/>
        </w:rPr>
        <w:t>3.3.2 维修作业</w:t>
      </w:r>
      <w:bookmarkEnd w:id="33"/>
      <w:bookmarkEnd w:id="34"/>
    </w:p>
    <w:p w14:paraId="1866D5E6">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作业前对车辆进行安全防护，放置轮挡、拉起手刹，必要时断开蓄电池负极；拆卸零部件需使用专用工具，按规定顺序操作并做好安装标记，清洗后通过目测、量具测量等方式检查零件状态，不合格零件及时更换。装配时严格按照原厂规定的扭矩、顺序紧固，密封件原则上更换新件，配合表面按要求清洁润滑。</w:t>
      </w:r>
    </w:p>
    <w:p w14:paraId="2C74D947">
      <w:pPr>
        <w:spacing w:before="300" w:after="120" w:line="288" w:lineRule="auto"/>
        <w:ind w:left="0"/>
        <w:jc w:val="left"/>
        <w:outlineLvl w:val="2"/>
        <w:rPr>
          <w:rFonts w:hint="eastAsia" w:ascii="仿宋_GB2312" w:hAnsi="仿宋_GB2312" w:eastAsia="仿宋_GB2312" w:cs="仿宋_GB2312"/>
        </w:rPr>
      </w:pPr>
      <w:bookmarkStart w:id="35" w:name="heading_15"/>
      <w:bookmarkStart w:id="36" w:name="_Toc17910"/>
      <w:r>
        <w:rPr>
          <w:rFonts w:hint="eastAsia" w:ascii="仿宋_GB2312" w:hAnsi="仿宋_GB2312" w:eastAsia="仿宋_GB2312" w:cs="仿宋_GB2312"/>
          <w:b/>
          <w:sz w:val="30"/>
        </w:rPr>
        <w:t>3.3.3 保养作业</w:t>
      </w:r>
      <w:bookmarkEnd w:id="35"/>
      <w:bookmarkEnd w:id="36"/>
    </w:p>
    <w:p w14:paraId="2A308834">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按车辆制造商推荐周期及实际使用情况制定保养方案，日常保养重点检查轮胎气压、油液位、灯光、制动系统等；定期保养严格执行机油及滤清器更换、三滤清洁更换、制动液检测、悬挂系统检查等项目，机油规格、黏度等级需符合原厂要求，加注后检查油位及渗漏情况。</w:t>
      </w:r>
    </w:p>
    <w:p w14:paraId="09BE933B">
      <w:pPr>
        <w:spacing w:before="300" w:after="120" w:line="288" w:lineRule="auto"/>
        <w:ind w:left="0"/>
        <w:jc w:val="left"/>
        <w:outlineLvl w:val="2"/>
        <w:rPr>
          <w:rFonts w:hint="eastAsia" w:ascii="仿宋_GB2312" w:hAnsi="仿宋_GB2312" w:eastAsia="仿宋_GB2312" w:cs="仿宋_GB2312"/>
        </w:rPr>
      </w:pPr>
      <w:bookmarkStart w:id="37" w:name="_Toc27316"/>
      <w:bookmarkStart w:id="38" w:name="heading_16"/>
      <w:r>
        <w:rPr>
          <w:rFonts w:hint="eastAsia" w:ascii="仿宋_GB2312" w:hAnsi="仿宋_GB2312" w:eastAsia="仿宋_GB2312" w:cs="仿宋_GB2312"/>
          <w:b/>
          <w:sz w:val="30"/>
        </w:rPr>
        <w:t>3.3.4 质量检验</w:t>
      </w:r>
      <w:bookmarkEnd w:id="37"/>
      <w:bookmarkEnd w:id="38"/>
    </w:p>
    <w:p w14:paraId="467DCD2C">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执行“自检、互检、专职检验”三级检验制度，工序检验不合格不得进入下一道流程。竣工检验由专职检验人员负责，按国家标准及原厂要求开展整车外观、性能、路试等检验合格方可交车。</w:t>
      </w:r>
    </w:p>
    <w:p w14:paraId="6DD55346">
      <w:pPr>
        <w:spacing w:before="380" w:after="140" w:line="288" w:lineRule="auto"/>
        <w:ind w:left="0"/>
        <w:jc w:val="left"/>
        <w:outlineLvl w:val="0"/>
        <w:rPr>
          <w:rFonts w:hint="eastAsia" w:ascii="仿宋_GB2312" w:hAnsi="仿宋_GB2312" w:eastAsia="仿宋_GB2312" w:cs="仿宋_GB2312"/>
        </w:rPr>
      </w:pPr>
      <w:bookmarkStart w:id="39" w:name="_Toc12248"/>
      <w:bookmarkStart w:id="40" w:name="heading_17"/>
      <w:r>
        <w:rPr>
          <w:rFonts w:hint="eastAsia" w:ascii="仿宋_GB2312" w:hAnsi="仿宋_GB2312" w:eastAsia="仿宋_GB2312" w:cs="仿宋_GB2312"/>
          <w:b/>
          <w:sz w:val="36"/>
        </w:rPr>
        <w:t>4 维保服务流程规范</w:t>
      </w:r>
      <w:bookmarkEnd w:id="39"/>
      <w:bookmarkEnd w:id="40"/>
    </w:p>
    <w:p w14:paraId="70C61889">
      <w:pPr>
        <w:spacing w:before="320" w:after="120" w:line="288" w:lineRule="auto"/>
        <w:ind w:left="0"/>
        <w:jc w:val="left"/>
        <w:outlineLvl w:val="1"/>
        <w:rPr>
          <w:rFonts w:hint="eastAsia" w:ascii="仿宋_GB2312" w:hAnsi="仿宋_GB2312" w:eastAsia="仿宋_GB2312" w:cs="仿宋_GB2312"/>
        </w:rPr>
      </w:pPr>
      <w:bookmarkStart w:id="41" w:name="_Toc21956"/>
      <w:bookmarkStart w:id="42" w:name="heading_18"/>
      <w:r>
        <w:rPr>
          <w:rFonts w:hint="eastAsia" w:ascii="仿宋_GB2312" w:hAnsi="仿宋_GB2312" w:eastAsia="仿宋_GB2312" w:cs="仿宋_GB2312"/>
          <w:b/>
          <w:sz w:val="32"/>
        </w:rPr>
        <w:t>4.1 接车与诊断流程</w:t>
      </w:r>
      <w:bookmarkEnd w:id="41"/>
      <w:bookmarkEnd w:id="42"/>
    </w:p>
    <w:p w14:paraId="2A229B85">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专人接待：委托方送修车辆时，服务商安排专人接待，详细记录车辆基本信息（车牌、VIN码、发动机号、里程数）、故障现象及委托方需求，签署接车单据。</w:t>
      </w:r>
    </w:p>
    <w:p w14:paraId="1A8029AA">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全面检测：技术人员使用专业设备对车辆进行检测，明确故障原因及维修项目，制定维修方案、预计费用及工期，书面告知委托方并获得确认。</w:t>
      </w:r>
    </w:p>
    <w:p w14:paraId="108EFFFA">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方案变更：维修过程中发现新增故障或需调整维修项目的，及时与委托方沟通，说明原因及新增费用，获得书面同意后方可调整方案。</w:t>
      </w:r>
    </w:p>
    <w:p w14:paraId="20459D9E">
      <w:pPr>
        <w:spacing w:before="320" w:after="120" w:line="288" w:lineRule="auto"/>
        <w:ind w:left="0"/>
        <w:jc w:val="left"/>
        <w:outlineLvl w:val="1"/>
        <w:rPr>
          <w:rFonts w:hint="eastAsia" w:ascii="仿宋_GB2312" w:hAnsi="仿宋_GB2312" w:eastAsia="仿宋_GB2312" w:cs="仿宋_GB2312"/>
        </w:rPr>
      </w:pPr>
      <w:bookmarkStart w:id="43" w:name="heading_19"/>
      <w:bookmarkStart w:id="44" w:name="_Toc5542"/>
      <w:r>
        <w:rPr>
          <w:rFonts w:hint="eastAsia" w:ascii="仿宋_GB2312" w:hAnsi="仿宋_GB2312" w:eastAsia="仿宋_GB2312" w:cs="仿宋_GB2312"/>
          <w:b/>
          <w:sz w:val="32"/>
        </w:rPr>
        <w:t>4.2 维修实施与进度跟踪</w:t>
      </w:r>
      <w:bookmarkEnd w:id="43"/>
      <w:bookmarkEnd w:id="44"/>
    </w:p>
    <w:p w14:paraId="539C2CD3">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服务商按确认的方案开展维修作业，建立进度跟踪机制，定期向委托方反馈维修进展。维修过程中做好作业记录，包括工序内容、更换配件、检测数据等，形成完整的维修档案。</w:t>
      </w:r>
    </w:p>
    <w:p w14:paraId="4E1AB956">
      <w:pPr>
        <w:spacing w:before="320" w:after="120" w:line="288" w:lineRule="auto"/>
        <w:ind w:left="0"/>
        <w:jc w:val="left"/>
        <w:outlineLvl w:val="1"/>
        <w:rPr>
          <w:rFonts w:hint="eastAsia" w:ascii="仿宋_GB2312" w:hAnsi="仿宋_GB2312" w:eastAsia="仿宋_GB2312" w:cs="仿宋_GB2312"/>
        </w:rPr>
      </w:pPr>
      <w:bookmarkStart w:id="45" w:name="_Toc19453"/>
      <w:bookmarkStart w:id="46" w:name="heading_20"/>
      <w:r>
        <w:rPr>
          <w:rFonts w:hint="eastAsia" w:ascii="仿宋_GB2312" w:hAnsi="仿宋_GB2312" w:eastAsia="仿宋_GB2312" w:cs="仿宋_GB2312"/>
          <w:b/>
          <w:sz w:val="32"/>
        </w:rPr>
        <w:t>4.3 竣工交车流程</w:t>
      </w:r>
      <w:bookmarkEnd w:id="45"/>
      <w:bookmarkEnd w:id="46"/>
    </w:p>
    <w:p w14:paraId="1C237BD6">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竣工检验：维修完成后经三级检验合格，出具检验报告，二级维护及以上作业需同步建立维修档案。</w:t>
      </w:r>
    </w:p>
    <w:p w14:paraId="03628F1B">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费用结算：按双方约定的收费标准（</w:t>
      </w:r>
      <w:r>
        <w:rPr>
          <w:rFonts w:hint="eastAsia" w:ascii="仿宋_GB2312" w:hAnsi="仿宋_GB2312" w:eastAsia="仿宋_GB2312" w:cs="仿宋_GB2312"/>
          <w:sz w:val="30"/>
          <w:szCs w:val="30"/>
          <w:lang w:val="en-US" w:eastAsia="zh-CN"/>
        </w:rPr>
        <w:t>合同</w:t>
      </w:r>
      <w:r>
        <w:rPr>
          <w:rFonts w:hint="eastAsia" w:ascii="仿宋_GB2312" w:hAnsi="仿宋_GB2312" w:eastAsia="仿宋_GB2312" w:cs="仿宋_GB2312"/>
          <w:sz w:val="30"/>
          <w:szCs w:val="30"/>
        </w:rPr>
        <w:t>单价或协商价格）计算费用，出具结算清单，明确工时费、配件费、外加工费等明细。</w:t>
      </w:r>
    </w:p>
    <w:p w14:paraId="6D294C6F">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交车告知：通知委托方取车，交接时说明维修内容、保养注意事项及质量保证期，提供维修档案、结算清单及合格证，经委托方验收确认后完成交车。</w:t>
      </w:r>
    </w:p>
    <w:p w14:paraId="3E9359F0">
      <w:pPr>
        <w:spacing w:before="320" w:after="120" w:line="288" w:lineRule="auto"/>
        <w:ind w:left="0"/>
        <w:jc w:val="left"/>
        <w:outlineLvl w:val="1"/>
        <w:rPr>
          <w:rFonts w:hint="eastAsia" w:ascii="仿宋_GB2312" w:hAnsi="仿宋_GB2312" w:eastAsia="仿宋_GB2312" w:cs="仿宋_GB2312"/>
        </w:rPr>
      </w:pPr>
      <w:bookmarkStart w:id="47" w:name="heading_21"/>
      <w:bookmarkStart w:id="48" w:name="_Toc26159"/>
      <w:r>
        <w:rPr>
          <w:rFonts w:hint="eastAsia" w:ascii="仿宋_GB2312" w:hAnsi="仿宋_GB2312" w:eastAsia="仿宋_GB2312" w:cs="仿宋_GB2312"/>
          <w:b/>
          <w:sz w:val="32"/>
        </w:rPr>
        <w:t>4.4 应急救援服务</w:t>
      </w:r>
      <w:bookmarkEnd w:id="47"/>
      <w:bookmarkEnd w:id="48"/>
    </w:p>
    <w:p w14:paraId="281A30B0">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提供24小时应急救援服务，救援电话保持畅通，接到救援需求后及时响应，按约定时间抵达现场。救援人员具备快速处置能力，救援车辆配备拖车、千斤顶、应急维修工具等设备，制定应急预案，明确报告程序、指挥及处置措施，确保高效救援。</w:t>
      </w:r>
    </w:p>
    <w:p w14:paraId="05D297E3">
      <w:pPr>
        <w:spacing w:before="380" w:after="140" w:line="288" w:lineRule="auto"/>
        <w:ind w:left="0"/>
        <w:jc w:val="left"/>
        <w:outlineLvl w:val="0"/>
        <w:rPr>
          <w:rFonts w:hint="eastAsia" w:ascii="仿宋_GB2312" w:hAnsi="仿宋_GB2312" w:eastAsia="仿宋_GB2312" w:cs="仿宋_GB2312"/>
        </w:rPr>
      </w:pPr>
      <w:bookmarkStart w:id="49" w:name="heading_22"/>
      <w:bookmarkStart w:id="50" w:name="_Toc17000"/>
      <w:r>
        <w:rPr>
          <w:rFonts w:hint="eastAsia" w:ascii="仿宋_GB2312" w:hAnsi="仿宋_GB2312" w:eastAsia="仿宋_GB2312" w:cs="仿宋_GB2312"/>
          <w:b/>
          <w:sz w:val="36"/>
        </w:rPr>
        <w:t>5 质量保证与售后服务</w:t>
      </w:r>
      <w:bookmarkEnd w:id="49"/>
      <w:bookmarkEnd w:id="50"/>
    </w:p>
    <w:p w14:paraId="4AC94CC6">
      <w:pPr>
        <w:spacing w:before="320" w:after="120" w:line="288" w:lineRule="auto"/>
        <w:ind w:left="0"/>
        <w:jc w:val="left"/>
        <w:outlineLvl w:val="1"/>
        <w:rPr>
          <w:rFonts w:hint="eastAsia" w:ascii="仿宋_GB2312" w:hAnsi="仿宋_GB2312" w:eastAsia="仿宋_GB2312" w:cs="仿宋_GB2312"/>
        </w:rPr>
      </w:pPr>
      <w:bookmarkStart w:id="51" w:name="_Toc17921"/>
      <w:bookmarkStart w:id="52" w:name="heading_23"/>
      <w:r>
        <w:rPr>
          <w:rFonts w:hint="eastAsia" w:ascii="仿宋_GB2312" w:hAnsi="仿宋_GB2312" w:eastAsia="仿宋_GB2312" w:cs="仿宋_GB2312"/>
          <w:b/>
          <w:sz w:val="32"/>
        </w:rPr>
        <w:t>5.1 质量保证期</w:t>
      </w:r>
      <w:bookmarkEnd w:id="51"/>
      <w:bookmarkEnd w:id="52"/>
    </w:p>
    <w:p w14:paraId="3BB465BE">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提供的维保服务质量保证期不得低于国家规定标准：一级维护、小修及零件修理保证期为行驶2000公里或10日；二级维护保证期为行驶5000公里或30日；整车修理、总成修理保证期为行驶20000公里或100日，以先达到者为准。质量保证期自竣工交车之日起计算，返修车辆保证期从返修验收当日重新起算。</w:t>
      </w:r>
    </w:p>
    <w:p w14:paraId="10809B29">
      <w:pPr>
        <w:spacing w:before="320" w:after="120" w:line="288" w:lineRule="auto"/>
        <w:ind w:left="0"/>
        <w:jc w:val="left"/>
        <w:outlineLvl w:val="1"/>
        <w:rPr>
          <w:rFonts w:hint="eastAsia" w:ascii="仿宋_GB2312" w:hAnsi="仿宋_GB2312" w:eastAsia="仿宋_GB2312" w:cs="仿宋_GB2312"/>
        </w:rPr>
      </w:pPr>
      <w:bookmarkStart w:id="53" w:name="heading_24"/>
      <w:bookmarkStart w:id="54" w:name="_Toc26713"/>
      <w:r>
        <w:rPr>
          <w:rFonts w:hint="eastAsia" w:ascii="仿宋_GB2312" w:hAnsi="仿宋_GB2312" w:eastAsia="仿宋_GB2312" w:cs="仿宋_GB2312"/>
          <w:b/>
          <w:sz w:val="32"/>
        </w:rPr>
        <w:t>5.2 质量责任</w:t>
      </w:r>
      <w:bookmarkEnd w:id="53"/>
      <w:bookmarkEnd w:id="54"/>
    </w:p>
    <w:p w14:paraId="5A0F7CF0">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质量保证期内，因维修质量问题导致车辆故障的，服务商无偿返修，不得拖延或拒绝；同一故障或维修项目经两次修理仍无法正常使用的，服务商负责联系其他合格维修机构，并承担相应修理费用。因使用伪劣配件、违规操作导致车辆损坏或人身财产损失的，服务商承担全部赔偿责任。</w:t>
      </w:r>
    </w:p>
    <w:p w14:paraId="57EF462E">
      <w:pPr>
        <w:spacing w:before="320" w:after="120" w:line="288" w:lineRule="auto"/>
        <w:ind w:left="0"/>
        <w:jc w:val="left"/>
        <w:outlineLvl w:val="1"/>
        <w:rPr>
          <w:rFonts w:hint="eastAsia" w:ascii="仿宋_GB2312" w:hAnsi="仿宋_GB2312" w:eastAsia="仿宋_GB2312" w:cs="仿宋_GB2312"/>
        </w:rPr>
      </w:pPr>
      <w:bookmarkStart w:id="55" w:name="heading_25"/>
      <w:bookmarkStart w:id="56" w:name="_Toc22554"/>
      <w:r>
        <w:rPr>
          <w:rFonts w:hint="eastAsia" w:ascii="仿宋_GB2312" w:hAnsi="仿宋_GB2312" w:eastAsia="仿宋_GB2312" w:cs="仿宋_GB2312"/>
          <w:b/>
          <w:sz w:val="32"/>
        </w:rPr>
        <w:t>5.3 售后服务</w:t>
      </w:r>
      <w:bookmarkEnd w:id="55"/>
      <w:bookmarkEnd w:id="56"/>
    </w:p>
    <w:p w14:paraId="4A274C24">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建立客户档案，记录车辆维保信息，交车后3日内进行回访，了解车辆使用情况及服务满意度，及时处理委托方反馈的问题。提供免费技术咨询服务，定期向委托方推送车辆保养建议及提醒，必要时安排技术人员上门服务。</w:t>
      </w:r>
    </w:p>
    <w:p w14:paraId="56E3962B">
      <w:pPr>
        <w:spacing w:before="380" w:after="140" w:line="288" w:lineRule="auto"/>
        <w:ind w:left="0"/>
        <w:jc w:val="left"/>
        <w:outlineLvl w:val="0"/>
        <w:rPr>
          <w:rFonts w:hint="eastAsia" w:ascii="仿宋_GB2312" w:hAnsi="仿宋_GB2312" w:eastAsia="仿宋_GB2312" w:cs="仿宋_GB2312"/>
        </w:rPr>
      </w:pPr>
      <w:bookmarkStart w:id="57" w:name="heading_26"/>
      <w:bookmarkStart w:id="58" w:name="_Toc10728"/>
      <w:r>
        <w:rPr>
          <w:rFonts w:hint="eastAsia" w:ascii="仿宋_GB2312" w:hAnsi="仿宋_GB2312" w:eastAsia="仿宋_GB2312" w:cs="仿宋_GB2312"/>
          <w:b/>
          <w:sz w:val="36"/>
        </w:rPr>
        <w:t>6 安全与环境保护要求</w:t>
      </w:r>
      <w:bookmarkEnd w:id="57"/>
      <w:bookmarkEnd w:id="58"/>
    </w:p>
    <w:p w14:paraId="1CB0E040">
      <w:pPr>
        <w:spacing w:before="320" w:after="120" w:line="288" w:lineRule="auto"/>
        <w:ind w:left="0"/>
        <w:jc w:val="left"/>
        <w:outlineLvl w:val="1"/>
        <w:rPr>
          <w:rFonts w:hint="eastAsia" w:ascii="仿宋_GB2312" w:hAnsi="仿宋_GB2312" w:eastAsia="仿宋_GB2312" w:cs="仿宋_GB2312"/>
        </w:rPr>
      </w:pPr>
      <w:bookmarkStart w:id="59" w:name="heading_27"/>
      <w:bookmarkStart w:id="60" w:name="_Toc8446"/>
      <w:r>
        <w:rPr>
          <w:rFonts w:hint="eastAsia" w:ascii="仿宋_GB2312" w:hAnsi="仿宋_GB2312" w:eastAsia="仿宋_GB2312" w:cs="仿宋_GB2312"/>
          <w:b/>
          <w:sz w:val="32"/>
        </w:rPr>
        <w:t>6.1 安全管理</w:t>
      </w:r>
      <w:bookmarkEnd w:id="59"/>
      <w:bookmarkEnd w:id="60"/>
    </w:p>
    <w:p w14:paraId="7558EB5D">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服务商建立安全生产管理制度，对维修人员开展定期安全教育培训，维修车间设置明显安全警示标志，配备灭火器、防护手套、护目镜等安全防护设备。作业中严格遵守安全操作规程，举升车辆确保支撑稳固，动火作业符合防火要求，杜绝安全事故发生。</w:t>
      </w:r>
    </w:p>
    <w:p w14:paraId="15B44BD6">
      <w:pPr>
        <w:spacing w:before="320" w:after="120" w:line="288" w:lineRule="auto"/>
        <w:ind w:left="0"/>
        <w:jc w:val="left"/>
        <w:outlineLvl w:val="1"/>
        <w:rPr>
          <w:rFonts w:hint="eastAsia" w:ascii="仿宋_GB2312" w:hAnsi="仿宋_GB2312" w:eastAsia="仿宋_GB2312" w:cs="仿宋_GB2312"/>
        </w:rPr>
      </w:pPr>
      <w:bookmarkStart w:id="61" w:name="heading_28"/>
      <w:bookmarkStart w:id="62" w:name="_Toc18221"/>
      <w:r>
        <w:rPr>
          <w:rFonts w:hint="eastAsia" w:ascii="仿宋_GB2312" w:hAnsi="仿宋_GB2312" w:eastAsia="仿宋_GB2312" w:cs="仿宋_GB2312"/>
          <w:b/>
          <w:sz w:val="32"/>
        </w:rPr>
        <w:t>6.2 环境保护</w:t>
      </w:r>
      <w:bookmarkEnd w:id="61"/>
      <w:bookmarkEnd w:id="62"/>
    </w:p>
    <w:p w14:paraId="414AAD3D">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严格遵守环保法规，采取有效措施减少废气、粉尘、废油等污染物排放。维修过程中产生的废油、废旧配件、废弃密封件等按规定分类收集、储存，交由具备资质的单位处置，不得随意丢弃，维修车间保持通风清洁，符合环保要求。</w:t>
      </w:r>
    </w:p>
    <w:p w14:paraId="25B2A50F">
      <w:pPr>
        <w:spacing w:before="380" w:after="140" w:line="288" w:lineRule="auto"/>
        <w:ind w:left="0"/>
        <w:jc w:val="left"/>
        <w:outlineLvl w:val="0"/>
        <w:rPr>
          <w:rFonts w:hint="eastAsia" w:ascii="仿宋_GB2312" w:hAnsi="仿宋_GB2312" w:eastAsia="仿宋_GB2312" w:cs="仿宋_GB2312"/>
        </w:rPr>
      </w:pPr>
      <w:bookmarkStart w:id="63" w:name="heading_29"/>
      <w:bookmarkStart w:id="64" w:name="_Toc11886"/>
      <w:r>
        <w:rPr>
          <w:rFonts w:hint="eastAsia" w:ascii="仿宋_GB2312" w:hAnsi="仿宋_GB2312" w:eastAsia="仿宋_GB2312" w:cs="仿宋_GB2312"/>
          <w:b/>
          <w:sz w:val="36"/>
        </w:rPr>
        <w:t>7 服务监督与评估</w:t>
      </w:r>
      <w:bookmarkEnd w:id="63"/>
      <w:bookmarkEnd w:id="64"/>
    </w:p>
    <w:p w14:paraId="73590DD4">
      <w:pPr>
        <w:spacing w:before="320" w:after="120" w:line="288" w:lineRule="auto"/>
        <w:ind w:left="0"/>
        <w:jc w:val="left"/>
        <w:outlineLvl w:val="1"/>
        <w:rPr>
          <w:rFonts w:hint="eastAsia" w:ascii="仿宋_GB2312" w:hAnsi="仿宋_GB2312" w:eastAsia="仿宋_GB2312" w:cs="仿宋_GB2312"/>
        </w:rPr>
      </w:pPr>
      <w:bookmarkStart w:id="65" w:name="heading_30"/>
      <w:bookmarkStart w:id="66" w:name="_Toc20654"/>
      <w:r>
        <w:rPr>
          <w:rFonts w:hint="eastAsia" w:ascii="仿宋_GB2312" w:hAnsi="仿宋_GB2312" w:eastAsia="仿宋_GB2312" w:cs="仿宋_GB2312"/>
          <w:b/>
          <w:sz w:val="32"/>
        </w:rPr>
        <w:t>7.1 监督机制</w:t>
      </w:r>
      <w:bookmarkEnd w:id="65"/>
      <w:bookmarkEnd w:id="66"/>
    </w:p>
    <w:p w14:paraId="5E03CA4C">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委托方定期对服务商的维保质量、作业规范、应急响应、配件质量等进行检查，查阅维修档案、检验报告等资料。</w:t>
      </w:r>
    </w:p>
    <w:p w14:paraId="1E85BC94">
      <w:pPr>
        <w:spacing w:before="320" w:after="120" w:line="288" w:lineRule="auto"/>
        <w:ind w:left="0"/>
        <w:jc w:val="left"/>
        <w:outlineLvl w:val="1"/>
        <w:rPr>
          <w:rFonts w:hint="eastAsia" w:ascii="仿宋_GB2312" w:hAnsi="仿宋_GB2312" w:eastAsia="仿宋_GB2312" w:cs="仿宋_GB2312"/>
        </w:rPr>
      </w:pPr>
      <w:bookmarkStart w:id="67" w:name="heading_31"/>
      <w:bookmarkStart w:id="68" w:name="_Toc30874"/>
      <w:r>
        <w:rPr>
          <w:rFonts w:hint="eastAsia" w:ascii="仿宋_GB2312" w:hAnsi="仿宋_GB2312" w:eastAsia="仿宋_GB2312" w:cs="仿宋_GB2312"/>
          <w:b/>
          <w:sz w:val="32"/>
        </w:rPr>
        <w:t>7.2 评估与改进</w:t>
      </w:r>
      <w:bookmarkEnd w:id="67"/>
      <w:bookmarkEnd w:id="68"/>
    </w:p>
    <w:p w14:paraId="5A02CAB2">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委托方定期对服务商的服务质量进行评估，评估指标包括维保合格率、返修率、应急响应时间、客户满意度等。服务商需根据评估意见及投诉反馈，制定改进措施，优化服务流程、提升技术水平，持续改进服务质量。</w:t>
      </w:r>
    </w:p>
    <w:p w14:paraId="4655D9E7">
      <w:pPr>
        <w:spacing w:before="380" w:after="140" w:line="288" w:lineRule="auto"/>
        <w:ind w:left="0"/>
        <w:jc w:val="left"/>
        <w:outlineLvl w:val="0"/>
        <w:rPr>
          <w:rFonts w:hint="eastAsia" w:ascii="仿宋_GB2312" w:hAnsi="仿宋_GB2312" w:eastAsia="仿宋_GB2312" w:cs="仿宋_GB2312"/>
        </w:rPr>
      </w:pPr>
      <w:bookmarkStart w:id="69" w:name="heading_32"/>
      <w:bookmarkStart w:id="70" w:name="_Toc16637"/>
      <w:r>
        <w:rPr>
          <w:rFonts w:hint="eastAsia" w:ascii="仿宋_GB2312" w:hAnsi="仿宋_GB2312" w:eastAsia="仿宋_GB2312" w:cs="仿宋_GB2312"/>
          <w:b/>
          <w:sz w:val="36"/>
        </w:rPr>
        <w:t>8 附则</w:t>
      </w:r>
      <w:bookmarkEnd w:id="69"/>
      <w:bookmarkEnd w:id="70"/>
    </w:p>
    <w:p w14:paraId="427461EA">
      <w:pPr>
        <w:spacing w:before="120" w:after="120" w:line="288" w:lineRule="auto"/>
        <w:ind w:left="0" w:firstLine="600" w:firstLineChars="200"/>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本规范书未尽事宜，按《机动车维修管理规定》及相关国家、行业标准执行，双方可另行签订补充协议，补充协议与本规范书具有同等法律效力。</w:t>
      </w:r>
    </w:p>
    <w:p w14:paraId="373AEF52">
      <w:pPr>
        <w:rPr>
          <w:rFonts w:hint="default"/>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268DF">
    <w:pPr>
      <w:pStyle w:val="6"/>
      <w:framePr w:wrap="around" w:vAnchor="text" w:hAnchor="margin" w:xAlign="center" w:y="1"/>
      <w:rPr>
        <w:rStyle w:val="16"/>
      </w:rPr>
    </w:pPr>
    <w:r>
      <w:fldChar w:fldCharType="begin"/>
    </w:r>
    <w:r>
      <w:rPr>
        <w:rStyle w:val="16"/>
      </w:rPr>
      <w:instrText xml:space="preserve">PAGE  </w:instrText>
    </w:r>
    <w:r>
      <w:fldChar w:fldCharType="separate"/>
    </w:r>
    <w:r>
      <w:rPr>
        <w:rStyle w:val="16"/>
      </w:rPr>
      <w:t>18</w:t>
    </w:r>
    <w:r>
      <w:fldChar w:fldCharType="end"/>
    </w:r>
  </w:p>
  <w:p w14:paraId="6ADF1112">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ABDED">
    <w:pPr>
      <w:pStyle w:val="6"/>
      <w:framePr w:wrap="around" w:vAnchor="text" w:hAnchor="margin" w:xAlign="center" w:y="1"/>
      <w:rPr>
        <w:rStyle w:val="16"/>
      </w:rPr>
    </w:pPr>
    <w:r>
      <w:fldChar w:fldCharType="begin"/>
    </w:r>
    <w:r>
      <w:rPr>
        <w:rStyle w:val="16"/>
      </w:rPr>
      <w:instrText xml:space="preserve">PAGE  </w:instrText>
    </w:r>
    <w:r>
      <w:fldChar w:fldCharType="separate"/>
    </w:r>
    <w:r>
      <w:rPr>
        <w:rStyle w:val="16"/>
      </w:rPr>
      <w:t>18</w:t>
    </w:r>
    <w:r>
      <w:fldChar w:fldCharType="end"/>
    </w:r>
  </w:p>
  <w:p w14:paraId="34EB60AA">
    <w:pPr>
      <w:pStyle w:val="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E0EBA">
    <w:pPr>
      <w:pStyle w:val="7"/>
      <w:pBdr>
        <w:bottom w:val="none" w:color="auto" w:sz="0" w:space="1"/>
      </w:pBd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A1785">
    <w:pPr>
      <w:pStyle w:val="7"/>
      <w:pBdr>
        <w:bottom w:val="none" w:color="auto" w:sz="0" w:space="1"/>
      </w:pBdr>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NzkzYjEwZjZiNzg1Mjk5NGZjNjM1NGNmOTAyOTcifQ=="/>
  </w:docVars>
  <w:rsids>
    <w:rsidRoot w:val="00000000"/>
    <w:rsid w:val="00037B0E"/>
    <w:rsid w:val="014E5218"/>
    <w:rsid w:val="01AC264C"/>
    <w:rsid w:val="01AD5116"/>
    <w:rsid w:val="02317AF5"/>
    <w:rsid w:val="02FA438B"/>
    <w:rsid w:val="03AF786B"/>
    <w:rsid w:val="03F90AE6"/>
    <w:rsid w:val="05D45367"/>
    <w:rsid w:val="061D5EC7"/>
    <w:rsid w:val="06264144"/>
    <w:rsid w:val="063B53E6"/>
    <w:rsid w:val="064222D0"/>
    <w:rsid w:val="07A73C1C"/>
    <w:rsid w:val="09914A41"/>
    <w:rsid w:val="0B2B6D61"/>
    <w:rsid w:val="0B352404"/>
    <w:rsid w:val="0B3D575C"/>
    <w:rsid w:val="0B7A69B0"/>
    <w:rsid w:val="0CA041F5"/>
    <w:rsid w:val="0DD23C3F"/>
    <w:rsid w:val="0DFC4E02"/>
    <w:rsid w:val="0ED463D8"/>
    <w:rsid w:val="1034712E"/>
    <w:rsid w:val="10BE4C49"/>
    <w:rsid w:val="11A025A1"/>
    <w:rsid w:val="11B147AE"/>
    <w:rsid w:val="11E710E0"/>
    <w:rsid w:val="13A51269"/>
    <w:rsid w:val="15115C90"/>
    <w:rsid w:val="152139F9"/>
    <w:rsid w:val="15897F1C"/>
    <w:rsid w:val="15AB14A2"/>
    <w:rsid w:val="16A356B5"/>
    <w:rsid w:val="16C259D6"/>
    <w:rsid w:val="17283764"/>
    <w:rsid w:val="175956CC"/>
    <w:rsid w:val="18C713C7"/>
    <w:rsid w:val="1998580B"/>
    <w:rsid w:val="199D21E8"/>
    <w:rsid w:val="19C65056"/>
    <w:rsid w:val="1AEC6857"/>
    <w:rsid w:val="1B584B08"/>
    <w:rsid w:val="1B730595"/>
    <w:rsid w:val="1CE35EF8"/>
    <w:rsid w:val="1D2D73DF"/>
    <w:rsid w:val="1D6B6159"/>
    <w:rsid w:val="1D9B4C90"/>
    <w:rsid w:val="1EFD54D7"/>
    <w:rsid w:val="1F9A4AD4"/>
    <w:rsid w:val="1FC64311"/>
    <w:rsid w:val="208C266E"/>
    <w:rsid w:val="211C60E8"/>
    <w:rsid w:val="21F566EC"/>
    <w:rsid w:val="22BC190B"/>
    <w:rsid w:val="25225E03"/>
    <w:rsid w:val="263A491A"/>
    <w:rsid w:val="26EF6B01"/>
    <w:rsid w:val="28B74948"/>
    <w:rsid w:val="2944442E"/>
    <w:rsid w:val="2A6E1037"/>
    <w:rsid w:val="2B865902"/>
    <w:rsid w:val="2CE43832"/>
    <w:rsid w:val="2E0249DC"/>
    <w:rsid w:val="2E183793"/>
    <w:rsid w:val="2E57196E"/>
    <w:rsid w:val="2F226C62"/>
    <w:rsid w:val="2F911A8B"/>
    <w:rsid w:val="30360848"/>
    <w:rsid w:val="33134E71"/>
    <w:rsid w:val="340C133C"/>
    <w:rsid w:val="34367069"/>
    <w:rsid w:val="36681030"/>
    <w:rsid w:val="37A83DDA"/>
    <w:rsid w:val="39BA1BA2"/>
    <w:rsid w:val="3A410516"/>
    <w:rsid w:val="3AA52853"/>
    <w:rsid w:val="3B545DE3"/>
    <w:rsid w:val="3C596DBB"/>
    <w:rsid w:val="3C790C9D"/>
    <w:rsid w:val="3D1B504E"/>
    <w:rsid w:val="3E3839DE"/>
    <w:rsid w:val="3F8707AB"/>
    <w:rsid w:val="3F9738E4"/>
    <w:rsid w:val="43297A3D"/>
    <w:rsid w:val="449A2C10"/>
    <w:rsid w:val="456450B8"/>
    <w:rsid w:val="4642364B"/>
    <w:rsid w:val="475F677C"/>
    <w:rsid w:val="48264C33"/>
    <w:rsid w:val="487A6AF5"/>
    <w:rsid w:val="4A924F66"/>
    <w:rsid w:val="4BEF32CE"/>
    <w:rsid w:val="4CC254E6"/>
    <w:rsid w:val="4D2E0486"/>
    <w:rsid w:val="4DFA480C"/>
    <w:rsid w:val="4EF120B3"/>
    <w:rsid w:val="4EF162D7"/>
    <w:rsid w:val="4F994A65"/>
    <w:rsid w:val="505C17AE"/>
    <w:rsid w:val="52340DCC"/>
    <w:rsid w:val="52A42F98"/>
    <w:rsid w:val="547A48F8"/>
    <w:rsid w:val="54B716A8"/>
    <w:rsid w:val="5598523A"/>
    <w:rsid w:val="55E42029"/>
    <w:rsid w:val="563A05C2"/>
    <w:rsid w:val="576158FB"/>
    <w:rsid w:val="57961A49"/>
    <w:rsid w:val="5A1D0200"/>
    <w:rsid w:val="5A796C71"/>
    <w:rsid w:val="5D215911"/>
    <w:rsid w:val="5E5166CA"/>
    <w:rsid w:val="5FBF1411"/>
    <w:rsid w:val="5FDE3F8D"/>
    <w:rsid w:val="613B7D8E"/>
    <w:rsid w:val="614455FA"/>
    <w:rsid w:val="61B21CD6"/>
    <w:rsid w:val="62115FF2"/>
    <w:rsid w:val="627A5E9C"/>
    <w:rsid w:val="632E3ABC"/>
    <w:rsid w:val="63A728E8"/>
    <w:rsid w:val="6466331F"/>
    <w:rsid w:val="64F71AB3"/>
    <w:rsid w:val="65472B37"/>
    <w:rsid w:val="65BD3B7C"/>
    <w:rsid w:val="679F070D"/>
    <w:rsid w:val="682D3D04"/>
    <w:rsid w:val="6B2D12E9"/>
    <w:rsid w:val="6C9C1458"/>
    <w:rsid w:val="6CB57E24"/>
    <w:rsid w:val="6CDA1CE0"/>
    <w:rsid w:val="6CF05300"/>
    <w:rsid w:val="6D321474"/>
    <w:rsid w:val="6FBD1861"/>
    <w:rsid w:val="714A7E98"/>
    <w:rsid w:val="72CE60E3"/>
    <w:rsid w:val="731F4EFF"/>
    <w:rsid w:val="738166B8"/>
    <w:rsid w:val="73FF26D4"/>
    <w:rsid w:val="749E4DE3"/>
    <w:rsid w:val="76596676"/>
    <w:rsid w:val="779F53D0"/>
    <w:rsid w:val="797177C8"/>
    <w:rsid w:val="79C749E5"/>
    <w:rsid w:val="7F1255AA"/>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widowControl/>
      <w:spacing w:before="240" w:after="60"/>
      <w:jc w:val="center"/>
      <w:outlineLvl w:val="0"/>
    </w:pPr>
    <w:rPr>
      <w:rFonts w:ascii="Arial" w:hAnsi="Arial" w:eastAsia="宋体" w:cs="Times New Roman"/>
      <w:b/>
      <w:kern w:val="28"/>
      <w:sz w:val="36"/>
      <w:szCs w:val="24"/>
      <w:lang w:val="en-GB" w:eastAsia="en-US"/>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toa heading"/>
    <w:basedOn w:val="1"/>
    <w:next w:val="1"/>
    <w:qFormat/>
    <w:uiPriority w:val="99"/>
    <w:pPr>
      <w:adjustRightInd/>
      <w:snapToGrid/>
      <w:spacing w:before="120"/>
      <w:ind w:firstLine="480"/>
    </w:pPr>
    <w:rPr>
      <w:rFonts w:ascii="Arial" w:hAnsi="Arial" w:cs="Times New Roman"/>
      <w:szCs w:val="24"/>
    </w:rPr>
  </w:style>
  <w:style w:type="paragraph" w:styleId="5">
    <w:name w:val="Body Text"/>
    <w:basedOn w:val="1"/>
    <w:next w:val="1"/>
    <w:qFormat/>
    <w:uiPriority w:val="0"/>
    <w:rPr>
      <w:b/>
      <w:bCs/>
      <w:color w:val="0000FF"/>
    </w:rPr>
  </w:style>
  <w:style w:type="paragraph" w:styleId="6">
    <w:name w:val="footer"/>
    <w:basedOn w:val="1"/>
    <w:qFormat/>
    <w:uiPriority w:val="0"/>
    <w:pPr>
      <w:tabs>
        <w:tab w:val="center" w:pos="4153"/>
        <w:tab w:val="right" w:pos="8306"/>
      </w:tabs>
      <w:snapToGrid w:val="0"/>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kern w:val="2"/>
      <w:sz w:val="18"/>
      <w:szCs w:val="18"/>
      <w:lang w:eastAsia="zh-CN" w:bidi="ar-SA"/>
    </w:rPr>
  </w:style>
  <w:style w:type="paragraph" w:styleId="8">
    <w:name w:val="toc 1"/>
    <w:basedOn w:val="1"/>
    <w:next w:val="1"/>
    <w:unhideWhenUsed/>
    <w:qFormat/>
    <w:uiPriority w:val="39"/>
    <w:pPr>
      <w:tabs>
        <w:tab w:val="left" w:pos="840"/>
        <w:tab w:val="right" w:leader="dot" w:pos="8296"/>
      </w:tabs>
    </w:pPr>
  </w:style>
  <w:style w:type="paragraph" w:styleId="9">
    <w:name w:val="toc 2"/>
    <w:basedOn w:val="1"/>
    <w:next w:val="1"/>
    <w:qFormat/>
    <w:uiPriority w:val="0"/>
    <w:pPr>
      <w:ind w:left="420" w:leftChars="200"/>
    </w:pPr>
  </w:style>
  <w:style w:type="paragraph" w:styleId="10">
    <w:name w:val="Normal (Web)"/>
    <w:basedOn w:val="1"/>
    <w:qFormat/>
    <w:uiPriority w:val="0"/>
    <w:rPr>
      <w:sz w:val="24"/>
    </w:rPr>
  </w:style>
  <w:style w:type="paragraph" w:styleId="11">
    <w:name w:val="Title"/>
    <w:basedOn w:val="1"/>
    <w:next w:val="1"/>
    <w:qFormat/>
    <w:uiPriority w:val="0"/>
    <w:pPr>
      <w:spacing w:before="240" w:after="60"/>
      <w:jc w:val="center"/>
      <w:outlineLvl w:val="0"/>
    </w:pPr>
    <w:rPr>
      <w:rFonts w:ascii="Cambria" w:hAnsi="Cambria"/>
      <w:b/>
      <w:bCs/>
      <w:kern w:val="28"/>
      <w:sz w:val="32"/>
      <w:szCs w:val="32"/>
      <w:lang w:bidi="ar-SA"/>
    </w:rPr>
  </w:style>
  <w:style w:type="paragraph" w:styleId="12">
    <w:name w:val="Body Text First Indent"/>
    <w:basedOn w:val="5"/>
    <w:next w:val="1"/>
    <w:qFormat/>
    <w:uiPriority w:val="0"/>
    <w:pPr>
      <w:spacing w:after="120"/>
      <w:ind w:firstLine="420" w:firstLineChars="100"/>
    </w:pPr>
    <w:rPr>
      <w:b w:val="0"/>
      <w:bCs w:val="0"/>
      <w:color w:val="auto"/>
      <w:sz w:val="21"/>
    </w:rPr>
  </w:style>
  <w:style w:type="table" w:styleId="14">
    <w:name w:val="Table Grid"/>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
    <w:name w:val="page number"/>
    <w:basedOn w:val="15"/>
    <w:qFormat/>
    <w:uiPriority w:val="0"/>
  </w:style>
  <w:style w:type="character" w:styleId="17">
    <w:name w:val="Hyperlink"/>
    <w:basedOn w:val="15"/>
    <w:qFormat/>
    <w:uiPriority w:val="0"/>
    <w:rPr>
      <w:color w:val="0000FF"/>
      <w:u w:val="single"/>
    </w:rPr>
  </w:style>
  <w:style w:type="paragraph" w:customStyle="1" w:styleId="18">
    <w:name w:val="首行缩进"/>
    <w:basedOn w:val="1"/>
    <w:qFormat/>
    <w:uiPriority w:val="0"/>
    <w:pPr>
      <w:widowControl w:val="0"/>
      <w:spacing w:line="300" w:lineRule="auto"/>
      <w:ind w:firstLine="420" w:firstLineChars="200"/>
      <w:jc w:val="both"/>
    </w:pPr>
    <w:rPr>
      <w:rFonts w:eastAsia="方正书宋简体"/>
      <w:kern w:val="2"/>
      <w:sz w:val="21"/>
      <w:szCs w:val="20"/>
      <w:lang w:bidi="ar-SA"/>
    </w:rPr>
  </w:style>
  <w:style w:type="paragraph" w:customStyle="1" w:styleId="19">
    <w:name w:val="列出段落11"/>
    <w:basedOn w:val="1"/>
    <w:qFormat/>
    <w:uiPriority w:val="34"/>
    <w:pPr>
      <w:ind w:firstLine="420" w:firstLineChars="200"/>
    </w:pPr>
  </w:style>
  <w:style w:type="paragraph" w:customStyle="1" w:styleId="20">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customStyle="1" w:styleId="22">
    <w:name w:val="WPSOffice手动目录 2"/>
    <w:qFormat/>
    <w:uiPriority w:val="0"/>
    <w:pPr>
      <w:ind w:leftChars="200"/>
    </w:pPr>
    <w:rPr>
      <w:rFonts w:ascii="Times New Roman" w:hAnsi="Times New Roman" w:eastAsia="宋体" w:cs="Times New Roman"/>
      <w:sz w:val="20"/>
      <w:szCs w:val="20"/>
    </w:rPr>
  </w:style>
  <w:style w:type="paragraph" w:customStyle="1" w:styleId="2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3479</Words>
  <Characters>3661</Characters>
  <Lines>0</Lines>
  <Paragraphs>0</Paragraphs>
  <TotalTime>105</TotalTime>
  <ScaleCrop>false</ScaleCrop>
  <LinksUpToDate>false</LinksUpToDate>
  <CharactersWithSpaces>3836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2023-08-07T09:07:00Z</dcterms:created>
  <dc:creator>Admin</dc:creator>
  <cp:lastModifiedBy>kisum</cp:lastModifiedBy>
  <cp:lastPrinted>2023-08-24T07:41:00Z</cp:lastPrinted>
  <dcterms:modified xsi:type="dcterms:W3CDTF">2026-09-07T02:35:14Z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D8F7929F2D14484BB5644EC2866817E2_13</vt:lpwstr>
  </property>
</Properties>
</file>