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00" w:lineRule="atLeast"/>
        <w:jc w:val="center"/>
        <w:rPr>
          <w:rFonts w:ascii="Times New Roman" w:hAnsi="Times New Roman" w:cs="Times New Roman"/>
          <w:color w:val="auto"/>
          <w:sz w:val="52"/>
          <w:szCs w:val="24"/>
        </w:rPr>
      </w:pPr>
      <w:r>
        <w:rPr>
          <w:rFonts w:ascii="Times New Roman" w:hAnsi="Times New Roman" w:cs="Times New Roman"/>
          <w:color w:val="auto"/>
          <w:sz w:val="52"/>
          <w:szCs w:val="24"/>
        </w:rPr>
        <w:drawing>
          <wp:anchor distT="0" distB="0" distL="114300" distR="114300" simplePos="0" relativeHeight="251659264" behindDoc="0" locked="0" layoutInCell="1" allowOverlap="1">
            <wp:simplePos x="0" y="0"/>
            <wp:positionH relativeFrom="column">
              <wp:posOffset>-2030730</wp:posOffset>
            </wp:positionH>
            <wp:positionV relativeFrom="paragraph">
              <wp:posOffset>-914400</wp:posOffset>
            </wp:positionV>
            <wp:extent cx="8915400" cy="2736850"/>
            <wp:effectExtent l="19050" t="0" r="0" b="0"/>
            <wp:wrapNone/>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5" cstate="print"/>
                    <a:srcRect/>
                    <a:stretch>
                      <a:fillRect/>
                    </a:stretch>
                  </pic:blipFill>
                  <pic:spPr>
                    <a:xfrm>
                      <a:off x="0" y="0"/>
                      <a:ext cx="8915400" cy="2736850"/>
                    </a:xfrm>
                    <a:prstGeom prst="rect">
                      <a:avLst/>
                    </a:prstGeom>
                    <a:noFill/>
                  </pic:spPr>
                </pic:pic>
              </a:graphicData>
            </a:graphic>
          </wp:anchor>
        </w:drawing>
      </w:r>
    </w:p>
    <w:p>
      <w:pPr>
        <w:snapToGrid w:val="0"/>
        <w:jc w:val="center"/>
        <w:rPr>
          <w:rFonts w:ascii="Times New Roman" w:hAnsi="Times New Roman" w:eastAsia="黑体" w:cs="Times New Roman"/>
          <w:color w:val="auto"/>
          <w:sz w:val="48"/>
          <w:szCs w:val="48"/>
        </w:rPr>
      </w:pPr>
    </w:p>
    <w:p>
      <w:pPr>
        <w:snapToGrid w:val="0"/>
        <w:jc w:val="center"/>
        <w:rPr>
          <w:rFonts w:ascii="Times New Roman" w:hAnsi="Times New Roman" w:eastAsia="黑体" w:cs="Times New Roman"/>
          <w:color w:val="auto"/>
          <w:sz w:val="48"/>
          <w:szCs w:val="48"/>
        </w:rPr>
      </w:pPr>
    </w:p>
    <w:p>
      <w:pPr>
        <w:snapToGrid w:val="0"/>
        <w:jc w:val="center"/>
        <w:rPr>
          <w:rFonts w:ascii="Times New Roman" w:hAnsi="Times New Roman" w:eastAsia="黑体" w:cs="Times New Roman"/>
          <w:color w:val="auto"/>
          <w:sz w:val="48"/>
          <w:szCs w:val="48"/>
        </w:rPr>
      </w:pPr>
    </w:p>
    <w:p>
      <w:pPr>
        <w:snapToGrid w:val="0"/>
        <w:jc w:val="center"/>
        <w:rPr>
          <w:rFonts w:ascii="Times New Roman" w:hAnsi="Times New Roman" w:eastAsia="黑体" w:cs="Times New Roman"/>
          <w:color w:val="auto"/>
          <w:sz w:val="48"/>
          <w:szCs w:val="48"/>
        </w:rPr>
      </w:pPr>
    </w:p>
    <w:p/>
    <w:p>
      <w:pPr>
        <w:spacing w:line="360" w:lineRule="auto"/>
        <w:jc w:val="center"/>
        <w:outlineLvl w:val="0"/>
        <w:rPr>
          <w:b/>
          <w:sz w:val="52"/>
          <w:szCs w:val="52"/>
        </w:rPr>
      </w:pPr>
    </w:p>
    <w:p>
      <w:pPr>
        <w:spacing w:line="360" w:lineRule="auto"/>
        <w:jc w:val="center"/>
        <w:outlineLvl w:val="0"/>
        <w:rPr>
          <w:rFonts w:hint="eastAsia" w:eastAsia="楷体_GB2312"/>
          <w:sz w:val="32"/>
          <w:szCs w:val="32"/>
        </w:rPr>
      </w:pPr>
      <w:r>
        <w:rPr>
          <w:rFonts w:hint="eastAsia"/>
          <w:b/>
          <w:sz w:val="52"/>
          <w:szCs w:val="52"/>
          <w:lang w:val="en-US" w:eastAsia="zh-CN"/>
        </w:rPr>
        <w:t>GIS隔离开关状态确认多模态数据采集终端</w:t>
      </w:r>
      <w:r>
        <w:rPr>
          <w:rFonts w:hint="eastAsia"/>
          <w:b/>
          <w:sz w:val="52"/>
          <w:szCs w:val="52"/>
        </w:rPr>
        <w:t>的研究</w:t>
      </w:r>
    </w:p>
    <w:p>
      <w:pPr>
        <w:spacing w:line="360" w:lineRule="auto"/>
        <w:jc w:val="center"/>
        <w:outlineLvl w:val="0"/>
        <w:rPr>
          <w:rFonts w:eastAsia="楷体_GB2312"/>
          <w:sz w:val="32"/>
          <w:szCs w:val="32"/>
        </w:rPr>
      </w:pPr>
      <w:r>
        <w:rPr>
          <w:rFonts w:eastAsia="楷体_GB2312"/>
          <w:sz w:val="32"/>
          <w:szCs w:val="32"/>
        </w:rPr>
        <w:t>：</w:t>
      </w:r>
    </w:p>
    <w:p/>
    <w:p>
      <w:pPr>
        <w:spacing w:line="360" w:lineRule="auto"/>
        <w:jc w:val="center"/>
        <w:outlineLvl w:val="0"/>
        <w:rPr>
          <w:b/>
          <w:sz w:val="72"/>
          <w:szCs w:val="72"/>
        </w:rPr>
      </w:pPr>
      <w:r>
        <w:rPr>
          <w:b/>
          <w:sz w:val="72"/>
          <w:szCs w:val="72"/>
        </w:rPr>
        <w:t>技术规范书</w:t>
      </w:r>
    </w:p>
    <w:p>
      <w:pPr>
        <w:jc w:val="center"/>
        <w:rPr>
          <w:i/>
          <w:color w:val="0070C0"/>
          <w:sz w:val="24"/>
        </w:rPr>
      </w:pPr>
    </w:p>
    <w:p>
      <w:pPr>
        <w:spacing w:line="360" w:lineRule="auto"/>
        <w:ind w:left="-1" w:leftChars="-85" w:right="-263" w:rightChars="-125" w:hanging="177" w:hangingChars="34"/>
        <w:jc w:val="center"/>
        <w:rPr>
          <w:b/>
          <w:sz w:val="52"/>
          <w:szCs w:val="5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ascii="Times New Roman" w:hAnsi="Times New Roman" w:cs="Times New Roman"/>
          <w:b/>
          <w:color w:val="auto"/>
          <w:sz w:val="32"/>
          <w:szCs w:val="32"/>
        </w:rPr>
      </w:pPr>
      <w:r>
        <w:rPr>
          <w:b/>
          <w:sz w:val="36"/>
          <w:szCs w:val="36"/>
        </w:rPr>
        <w:t>20</w:t>
      </w:r>
      <w:r>
        <w:rPr>
          <w:rFonts w:hint="eastAsia"/>
          <w:b/>
          <w:sz w:val="36"/>
          <w:szCs w:val="36"/>
        </w:rPr>
        <w:t>2</w:t>
      </w:r>
      <w:r>
        <w:rPr>
          <w:rFonts w:hint="eastAsia"/>
          <w:b/>
          <w:sz w:val="36"/>
          <w:szCs w:val="36"/>
          <w:lang w:val="en-US" w:eastAsia="zh-CN"/>
        </w:rPr>
        <w:t>6</w:t>
      </w:r>
      <w:r>
        <w:rPr>
          <w:b/>
          <w:sz w:val="36"/>
          <w:szCs w:val="36"/>
        </w:rPr>
        <w:t>年</w:t>
      </w:r>
      <w:r>
        <w:rPr>
          <w:rFonts w:hint="eastAsia"/>
          <w:b/>
          <w:sz w:val="36"/>
          <w:szCs w:val="36"/>
        </w:rPr>
        <w:t>0</w:t>
      </w:r>
      <w:r>
        <w:rPr>
          <w:rFonts w:hint="eastAsia"/>
          <w:b/>
          <w:sz w:val="36"/>
          <w:szCs w:val="36"/>
          <w:lang w:val="en-US" w:eastAsia="zh-CN"/>
        </w:rPr>
        <w:t>8</w:t>
      </w:r>
      <w:bookmarkStart w:id="1" w:name="_GoBack"/>
      <w:bookmarkEnd w:id="1"/>
      <w:r>
        <w:rPr>
          <w:b/>
          <w:sz w:val="36"/>
          <w:szCs w:val="36"/>
        </w:rPr>
        <w:t>月</w:t>
      </w:r>
    </w:p>
    <w:p>
      <w:pPr>
        <w:spacing w:line="360" w:lineRule="auto"/>
        <w:jc w:val="left"/>
        <w:rPr>
          <w:rFonts w:ascii="Times New Roman" w:hAnsi="Times New Roman" w:cs="Times New Roman"/>
          <w:b/>
          <w:color w:val="auto"/>
          <w:sz w:val="32"/>
          <w:szCs w:val="32"/>
        </w:rPr>
      </w:pPr>
    </w:p>
    <w:p>
      <w:pPr>
        <w:widowControl/>
        <w:jc w:val="left"/>
        <w:rPr>
          <w:rFonts w:ascii="Times New Roman" w:hAnsi="Times New Roman" w:cs="Times New Roman"/>
          <w:b/>
          <w:color w:val="auto"/>
          <w:sz w:val="32"/>
          <w:szCs w:val="32"/>
        </w:rPr>
      </w:pPr>
      <w:r>
        <w:rPr>
          <w:rFonts w:ascii="Times New Roman" w:hAnsi="Times New Roman" w:cs="Times New Roman"/>
          <w:b/>
          <w:color w:val="auto"/>
          <w:sz w:val="32"/>
          <w:szCs w:val="32"/>
        </w:rPr>
        <w:br w:type="page"/>
      </w:r>
    </w:p>
    <w:p>
      <w:pPr>
        <w:jc w:val="left"/>
        <w:outlineLvl w:val="0"/>
        <w:rPr>
          <w:rFonts w:ascii="Times New Roman" w:hAnsi="Times New Roman" w:eastAsia="宋体" w:cs="Times New Roman"/>
          <w:b/>
          <w:color w:val="auto"/>
          <w:sz w:val="28"/>
          <w:szCs w:val="24"/>
        </w:rPr>
      </w:pPr>
      <w:r>
        <w:rPr>
          <w:rFonts w:ascii="Times New Roman" w:hAnsi="Times New Roman" w:eastAsia="宋体" w:cs="Times New Roman"/>
          <w:b/>
          <w:color w:val="auto"/>
          <w:sz w:val="28"/>
          <w:szCs w:val="24"/>
        </w:rPr>
        <w:t>一、引用技术标准的规定</w:t>
      </w:r>
    </w:p>
    <w:p>
      <w:pPr>
        <w:pStyle w:val="24"/>
        <w:numPr>
          <w:ilvl w:val="0"/>
          <w:numId w:val="1"/>
        </w:numPr>
        <w:spacing w:line="360" w:lineRule="auto"/>
        <w:ind w:left="0" w:firstLine="0" w:firstLineChars="0"/>
        <w:rPr>
          <w:b/>
          <w:color w:val="auto"/>
          <w:sz w:val="24"/>
        </w:rPr>
      </w:pPr>
      <w:r>
        <w:rPr>
          <w:b/>
          <w:color w:val="auto"/>
          <w:sz w:val="24"/>
        </w:rPr>
        <w:t>标准和规程</w:t>
      </w:r>
    </w:p>
    <w:p>
      <w:pPr>
        <w:pStyle w:val="24"/>
        <w:numPr>
          <w:ilvl w:val="1"/>
          <w:numId w:val="1"/>
        </w:numPr>
        <w:spacing w:line="360" w:lineRule="auto"/>
        <w:ind w:left="0" w:firstLine="0" w:firstLineChars="0"/>
        <w:rPr>
          <w:color w:val="auto"/>
          <w:szCs w:val="21"/>
        </w:rPr>
      </w:pPr>
      <w:r>
        <w:rPr>
          <w:color w:val="auto"/>
          <w:szCs w:val="21"/>
        </w:rPr>
        <w:t>招标文件中所有设备，包括卖方自其他单位获得的所有附件和设备，除本技术条款中规定的技术参数和要求外，其余均应遵照最新版本的IEC标准及国际单位制（SI）、国家标准（GB）和电力行业标准（DL），这是对设备的最低要求。卖方如果采用自己的标准或规范，必须向买方提供中文或英文复印件并经买方同意后方可采用，但不能低于IEC、GB和DL的有关规定。</w:t>
      </w:r>
    </w:p>
    <w:p>
      <w:pPr>
        <w:pStyle w:val="24"/>
        <w:numPr>
          <w:ilvl w:val="1"/>
          <w:numId w:val="1"/>
        </w:numPr>
        <w:spacing w:line="360" w:lineRule="auto"/>
        <w:ind w:left="0" w:firstLine="0" w:firstLineChars="0"/>
        <w:rPr>
          <w:color w:val="auto"/>
          <w:szCs w:val="21"/>
        </w:rPr>
      </w:pPr>
      <w:r>
        <w:rPr>
          <w:color w:val="auto"/>
          <w:szCs w:val="21"/>
        </w:rPr>
        <w:t>买方应按下列机构、协会和组织的标准和规程的相应条款进行采购文件中设备的设计、制造和试验。买方应将与本采购文件中设备直接有关的标准和规程的适用部分提供给卖方。</w:t>
      </w:r>
    </w:p>
    <w:p>
      <w:pPr>
        <w:spacing w:before="78" w:beforeLines="25"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A.</w:t>
      </w:r>
      <w:r>
        <w:rPr>
          <w:rFonts w:ascii="Times New Roman" w:hAnsi="Times New Roman" w:cs="Times New Roman"/>
          <w:color w:val="auto"/>
          <w:szCs w:val="21"/>
        </w:rPr>
        <w:tab/>
      </w:r>
      <w:r>
        <w:rPr>
          <w:rFonts w:ascii="Times New Roman" w:hAnsi="Times New Roman" w:cs="Times New Roman"/>
          <w:color w:val="auto"/>
          <w:szCs w:val="21"/>
        </w:rPr>
        <w:t>中华人民共和国国家标准</w:t>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GB</w:t>
      </w:r>
    </w:p>
    <w:p>
      <w:pPr>
        <w:spacing w:before="78" w:beforeLines="25"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B.</w:t>
      </w:r>
      <w:r>
        <w:rPr>
          <w:rFonts w:ascii="Times New Roman" w:hAnsi="Times New Roman" w:cs="Times New Roman"/>
          <w:color w:val="auto"/>
          <w:szCs w:val="21"/>
        </w:rPr>
        <w:tab/>
      </w:r>
      <w:r>
        <w:rPr>
          <w:rFonts w:ascii="Times New Roman" w:hAnsi="Times New Roman" w:cs="Times New Roman"/>
          <w:color w:val="auto"/>
          <w:szCs w:val="21"/>
        </w:rPr>
        <w:t>中华人民共和国电力行业标准</w:t>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DL</w:t>
      </w:r>
    </w:p>
    <w:p>
      <w:pPr>
        <w:spacing w:before="78" w:beforeLines="25"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C  国际电工委员会</w:t>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 xml:space="preserve">  IEC</w:t>
      </w:r>
    </w:p>
    <w:p>
      <w:pPr>
        <w:spacing w:before="78" w:beforeLines="25"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D</w:t>
      </w:r>
      <w:r>
        <w:rPr>
          <w:rFonts w:ascii="Times New Roman" w:hAnsi="Times New Roman" w:cs="Times New Roman"/>
          <w:color w:val="auto"/>
          <w:szCs w:val="21"/>
        </w:rPr>
        <w:tab/>
      </w:r>
      <w:r>
        <w:rPr>
          <w:rFonts w:ascii="Times New Roman" w:hAnsi="Times New Roman" w:cs="Times New Roman"/>
          <w:color w:val="auto"/>
          <w:szCs w:val="21"/>
        </w:rPr>
        <w:t>国际标准化组织</w:t>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 xml:space="preserve">   ISO</w:t>
      </w:r>
    </w:p>
    <w:p>
      <w:pPr>
        <w:spacing w:before="78" w:beforeLines="25"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E.</w:t>
      </w:r>
      <w:r>
        <w:rPr>
          <w:rFonts w:ascii="Times New Roman" w:hAnsi="Times New Roman" w:cs="Times New Roman"/>
          <w:color w:val="auto"/>
          <w:szCs w:val="21"/>
        </w:rPr>
        <w:tab/>
      </w:r>
      <w:r>
        <w:rPr>
          <w:rFonts w:ascii="Times New Roman" w:hAnsi="Times New Roman" w:cs="Times New Roman"/>
          <w:color w:val="auto"/>
          <w:szCs w:val="21"/>
        </w:rPr>
        <w:t>国家电气制造商协会</w:t>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ab/>
      </w:r>
      <w:r>
        <w:rPr>
          <w:rFonts w:ascii="Times New Roman" w:hAnsi="Times New Roman" w:cs="Times New Roman"/>
          <w:color w:val="auto"/>
          <w:szCs w:val="21"/>
        </w:rPr>
        <w:t xml:space="preserve"> NEMA</w:t>
      </w:r>
    </w:p>
    <w:p>
      <w:pPr>
        <w:pStyle w:val="24"/>
        <w:numPr>
          <w:ilvl w:val="1"/>
          <w:numId w:val="1"/>
        </w:numPr>
        <w:spacing w:line="360" w:lineRule="auto"/>
        <w:ind w:left="0" w:firstLine="0" w:firstLineChars="0"/>
        <w:rPr>
          <w:color w:val="auto"/>
          <w:szCs w:val="21"/>
        </w:rPr>
      </w:pPr>
      <w:r>
        <w:rPr>
          <w:color w:val="auto"/>
          <w:szCs w:val="21"/>
        </w:rPr>
        <w:t>在上述标准中，优先采用中华人民共和国国家标准，在国家标准缺项或不完善时，可参考选用相应的国际标准或其它国家的标准。上述标准或规程与本技术条款有矛盾的地方，以本技术条款为准。如果在上述标准或规程之间存在矛盾，而在本技术条款中并未明确规定，则应以买方的决定为准。本采购文件所使用的标准或规程应是最新版本。</w:t>
      </w:r>
    </w:p>
    <w:p>
      <w:pPr>
        <w:pStyle w:val="24"/>
        <w:numPr>
          <w:ilvl w:val="0"/>
          <w:numId w:val="1"/>
        </w:numPr>
        <w:spacing w:line="360" w:lineRule="auto"/>
        <w:ind w:left="0" w:firstLine="0" w:firstLineChars="0"/>
        <w:rPr>
          <w:b/>
          <w:color w:val="auto"/>
          <w:sz w:val="24"/>
        </w:rPr>
      </w:pPr>
      <w:r>
        <w:rPr>
          <w:b/>
          <w:color w:val="auto"/>
          <w:sz w:val="24"/>
        </w:rPr>
        <w:t>主要技术标准</w:t>
      </w:r>
    </w:p>
    <w:p>
      <w:pPr>
        <w:pStyle w:val="24"/>
        <w:spacing w:line="360" w:lineRule="auto"/>
        <w:rPr>
          <w:color w:val="auto"/>
          <w:szCs w:val="21"/>
        </w:rPr>
      </w:pPr>
      <w:r>
        <w:rPr>
          <w:color w:val="auto"/>
          <w:szCs w:val="21"/>
        </w:rPr>
        <w:t>主要标准包括但不限于此：</w:t>
      </w:r>
    </w:p>
    <w:p>
      <w:pPr>
        <w:pStyle w:val="23"/>
        <w:ind w:firstLine="0" w:firstLineChars="0"/>
        <w:rPr>
          <w:rFonts w:hint="eastAsia" w:ascii="Times New Roman" w:hAnsi="Times New Roman" w:eastAsiaTheme="minorEastAsia"/>
          <w:color w:val="auto"/>
          <w:sz w:val="21"/>
          <w:szCs w:val="21"/>
          <w:lang w:val="en-US" w:eastAsia="zh-CN"/>
        </w:rPr>
      </w:pPr>
      <w:r>
        <w:rPr>
          <w:rFonts w:hint="eastAsia" w:ascii="Times New Roman" w:hAnsi="Times New Roman" w:eastAsiaTheme="minorEastAsia"/>
          <w:color w:val="auto"/>
          <w:sz w:val="21"/>
          <w:szCs w:val="21"/>
          <w:lang w:val="en-US" w:eastAsia="zh-CN"/>
        </w:rPr>
        <w:t>GB/T 11022 高压开关设备和控制设备标准的共用技术要求</w:t>
      </w:r>
    </w:p>
    <w:p>
      <w:pPr>
        <w:pStyle w:val="23"/>
        <w:ind w:firstLine="0" w:firstLineChars="0"/>
        <w:rPr>
          <w:rFonts w:hint="eastAsia" w:ascii="Times New Roman" w:hAnsi="Times New Roman" w:eastAsiaTheme="minorEastAsia"/>
          <w:color w:val="auto"/>
          <w:sz w:val="21"/>
          <w:szCs w:val="21"/>
          <w:lang w:val="en-US" w:eastAsia="zh-CN"/>
        </w:rPr>
      </w:pPr>
      <w:r>
        <w:rPr>
          <w:rFonts w:hint="eastAsia" w:ascii="Times New Roman" w:hAnsi="Times New Roman" w:eastAsiaTheme="minorEastAsia"/>
          <w:color w:val="auto"/>
          <w:sz w:val="21"/>
          <w:szCs w:val="21"/>
          <w:lang w:val="en-US" w:eastAsia="zh-CN"/>
        </w:rPr>
        <w:t>GB/T 4208 外壳防护等级</w:t>
      </w:r>
    </w:p>
    <w:p>
      <w:pPr>
        <w:pStyle w:val="23"/>
        <w:ind w:firstLine="0" w:firstLineChars="0"/>
        <w:rPr>
          <w:rFonts w:hint="eastAsia" w:ascii="Times New Roman" w:hAnsi="Times New Roman" w:eastAsiaTheme="minorEastAsia"/>
          <w:color w:val="auto"/>
          <w:sz w:val="21"/>
          <w:szCs w:val="21"/>
          <w:lang w:val="en-US" w:eastAsia="zh-CN"/>
        </w:rPr>
      </w:pPr>
      <w:r>
        <w:rPr>
          <w:rFonts w:hint="eastAsia" w:ascii="Times New Roman" w:hAnsi="Times New Roman" w:eastAsiaTheme="minorEastAsia"/>
          <w:color w:val="auto"/>
          <w:sz w:val="21"/>
          <w:szCs w:val="21"/>
          <w:lang w:val="en-US" w:eastAsia="zh-CN"/>
        </w:rPr>
        <w:t>GB/T 2423 电工电子产品环境试验</w:t>
      </w:r>
    </w:p>
    <w:p>
      <w:pPr>
        <w:pStyle w:val="23"/>
        <w:ind w:firstLine="0" w:firstLineChars="0"/>
        <w:rPr>
          <w:rFonts w:hint="eastAsia" w:ascii="Times New Roman" w:hAnsi="Times New Roman" w:eastAsiaTheme="minorEastAsia"/>
          <w:color w:val="auto"/>
          <w:sz w:val="21"/>
          <w:szCs w:val="21"/>
          <w:lang w:val="en-US" w:eastAsia="zh-CN"/>
        </w:rPr>
      </w:pPr>
      <w:r>
        <w:rPr>
          <w:rFonts w:hint="eastAsia" w:ascii="Times New Roman" w:hAnsi="Times New Roman" w:eastAsiaTheme="minorEastAsia"/>
          <w:color w:val="auto"/>
          <w:sz w:val="21"/>
          <w:szCs w:val="21"/>
          <w:lang w:val="en-US" w:eastAsia="zh-CN"/>
        </w:rPr>
        <w:t>GB/T 17626 电磁兼容试验和测量技术</w:t>
      </w:r>
    </w:p>
    <w:p>
      <w:pPr>
        <w:pStyle w:val="23"/>
        <w:ind w:firstLine="0" w:firstLineChars="0"/>
        <w:rPr>
          <w:rFonts w:hint="eastAsia" w:ascii="Times New Roman" w:hAnsi="Times New Roman" w:eastAsiaTheme="minorEastAsia"/>
          <w:color w:val="auto"/>
          <w:sz w:val="21"/>
          <w:szCs w:val="21"/>
          <w:lang w:val="en-US" w:eastAsia="zh-CN"/>
        </w:rPr>
      </w:pPr>
      <w:r>
        <w:rPr>
          <w:rFonts w:hint="eastAsia" w:ascii="Times New Roman" w:hAnsi="Times New Roman" w:eastAsiaTheme="minorEastAsia"/>
          <w:color w:val="auto"/>
          <w:sz w:val="21"/>
          <w:szCs w:val="21"/>
          <w:lang w:val="en-US" w:eastAsia="zh-CN"/>
        </w:rPr>
        <w:t>IEC 61850 电力自动化通信网络和系统</w:t>
      </w:r>
    </w:p>
    <w:p>
      <w:pPr>
        <w:numPr>
          <w:ilvl w:val="0"/>
          <w:numId w:val="2"/>
        </w:numPr>
        <w:spacing w:line="360" w:lineRule="auto"/>
        <w:outlineLvl w:val="0"/>
        <w:rPr>
          <w:rFonts w:ascii="Times New Roman" w:hAnsi="Times New Roman" w:eastAsia="宋体" w:cs="Times New Roman"/>
          <w:b/>
          <w:color w:val="auto"/>
          <w:sz w:val="28"/>
          <w:szCs w:val="24"/>
        </w:rPr>
      </w:pPr>
      <w:r>
        <w:rPr>
          <w:rFonts w:hint="eastAsia" w:ascii="Times New Roman" w:hAnsi="Times New Roman" w:eastAsia="宋体" w:cs="Times New Roman"/>
          <w:b/>
          <w:color w:val="auto"/>
          <w:sz w:val="28"/>
          <w:szCs w:val="24"/>
          <w:lang w:val="en-US" w:eastAsia="zh-CN"/>
        </w:rPr>
        <w:t>视觉终端质量保证</w:t>
      </w:r>
      <w:r>
        <w:rPr>
          <w:rFonts w:ascii="Times New Roman" w:hAnsi="Times New Roman" w:eastAsia="宋体" w:cs="Times New Roman"/>
          <w:b/>
          <w:color w:val="auto"/>
          <w:sz w:val="28"/>
          <w:szCs w:val="24"/>
        </w:rPr>
        <w:t>要求</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outlineLvl w:val="9"/>
        <w:rPr>
          <w:rFonts w:hint="eastAsia" w:cs="Times New Roman"/>
          <w:color w:val="auto"/>
          <w:szCs w:val="21"/>
          <w:lang w:val="en-US" w:eastAsia="zh-CN"/>
        </w:rPr>
      </w:pPr>
      <w:r>
        <w:rPr>
          <w:rFonts w:hint="eastAsia" w:ascii="Times New Roman" w:hAnsi="Times New Roman" w:cs="Times New Roman"/>
          <w:color w:val="auto"/>
          <w:szCs w:val="21"/>
          <w:lang w:val="en-US" w:eastAsia="zh-CN"/>
        </w:rPr>
        <w:t>卖方</w:t>
      </w:r>
      <w:r>
        <w:rPr>
          <w:rFonts w:ascii="Times New Roman" w:hAnsi="Times New Roman" w:cs="Times New Roman"/>
          <w:color w:val="auto"/>
          <w:szCs w:val="21"/>
        </w:rPr>
        <w:t>提供的</w:t>
      </w:r>
      <w:r>
        <w:rPr>
          <w:rFonts w:hint="eastAsia" w:ascii="Times New Roman" w:hAnsi="Times New Roman" w:cs="Times New Roman"/>
          <w:color w:val="auto"/>
          <w:szCs w:val="21"/>
        </w:rPr>
        <w:t>产品</w:t>
      </w:r>
      <w:r>
        <w:rPr>
          <w:rFonts w:ascii="Times New Roman" w:hAnsi="Times New Roman" w:cs="Times New Roman"/>
          <w:color w:val="auto"/>
          <w:szCs w:val="21"/>
        </w:rPr>
        <w:t>应满足</w:t>
      </w:r>
      <w:r>
        <w:rPr>
          <w:rFonts w:hint="eastAsia" w:ascii="Times New Roman" w:hAnsi="Times New Roman" w:cs="Times New Roman"/>
          <w:color w:val="auto"/>
          <w:szCs w:val="21"/>
          <w:lang w:val="en-US" w:eastAsia="zh-CN"/>
        </w:rPr>
        <w:t>买方</w:t>
      </w:r>
      <w:r>
        <w:rPr>
          <w:rFonts w:hint="eastAsia" w:ascii="Times New Roman" w:hAnsi="Times New Roman" w:cs="Times New Roman"/>
          <w:color w:val="auto"/>
          <w:szCs w:val="21"/>
        </w:rPr>
        <w:t>相关图纸材料、结构、尺寸</w:t>
      </w:r>
      <w:r>
        <w:rPr>
          <w:rFonts w:hint="eastAsia" w:cs="Times New Roman"/>
          <w:color w:val="auto"/>
          <w:szCs w:val="21"/>
          <w:lang w:eastAsia="zh-CN"/>
        </w:rPr>
        <w:t>、</w:t>
      </w:r>
      <w:r>
        <w:rPr>
          <w:rFonts w:hint="eastAsia" w:ascii="Times New Roman" w:hAnsi="Times New Roman" w:cs="Times New Roman"/>
          <w:color w:val="auto"/>
          <w:szCs w:val="21"/>
        </w:rPr>
        <w:t>安装</w:t>
      </w:r>
      <w:r>
        <w:rPr>
          <w:rFonts w:ascii="Times New Roman" w:hAnsi="Times New Roman" w:cs="Times New Roman"/>
          <w:color w:val="auto"/>
          <w:szCs w:val="21"/>
        </w:rPr>
        <w:t>使用要求，</w:t>
      </w:r>
      <w:r>
        <w:rPr>
          <w:rFonts w:hint="eastAsia" w:hAnsi="宋体"/>
          <w:color w:val="auto"/>
          <w:szCs w:val="21"/>
          <w:lang w:val="en-US" w:eastAsia="zh-CN"/>
        </w:rPr>
        <w:t>保证货物是全新的、未使用过的，是经过合法渠道进货的原装合格正品，并完全符合合同规定的质量、规格和性能的要求，</w:t>
      </w:r>
      <w:r>
        <w:rPr>
          <w:rFonts w:ascii="Times New Roman" w:hAnsi="Times New Roman" w:cs="Times New Roman"/>
          <w:color w:val="auto"/>
          <w:szCs w:val="21"/>
        </w:rPr>
        <w:t>因产品</w:t>
      </w:r>
      <w:r>
        <w:rPr>
          <w:rFonts w:hint="eastAsia" w:ascii="Times New Roman" w:hAnsi="Times New Roman" w:cs="Times New Roman"/>
          <w:color w:val="auto"/>
          <w:szCs w:val="21"/>
        </w:rPr>
        <w:t>自身</w:t>
      </w:r>
      <w:r>
        <w:rPr>
          <w:rFonts w:ascii="Times New Roman" w:hAnsi="Times New Roman" w:cs="Times New Roman"/>
          <w:color w:val="auto"/>
          <w:szCs w:val="21"/>
        </w:rPr>
        <w:t>质量</w:t>
      </w:r>
      <w:r>
        <w:rPr>
          <w:rFonts w:hint="eastAsia" w:ascii="Times New Roman" w:hAnsi="Times New Roman" w:cs="Times New Roman"/>
          <w:color w:val="auto"/>
          <w:szCs w:val="21"/>
        </w:rPr>
        <w:t>、</w:t>
      </w:r>
      <w:r>
        <w:rPr>
          <w:rFonts w:ascii="Times New Roman" w:hAnsi="Times New Roman" w:cs="Times New Roman"/>
          <w:color w:val="auto"/>
          <w:szCs w:val="21"/>
        </w:rPr>
        <w:t>性能等</w:t>
      </w:r>
      <w:r>
        <w:rPr>
          <w:rFonts w:hint="eastAsia" w:ascii="Times New Roman" w:hAnsi="Times New Roman" w:cs="Times New Roman"/>
          <w:color w:val="auto"/>
          <w:szCs w:val="21"/>
        </w:rPr>
        <w:t>原因</w:t>
      </w:r>
      <w:r>
        <w:rPr>
          <w:rFonts w:ascii="Times New Roman" w:hAnsi="Times New Roman" w:cs="Times New Roman"/>
          <w:color w:val="auto"/>
          <w:szCs w:val="21"/>
        </w:rPr>
        <w:t>导致</w:t>
      </w:r>
      <w:r>
        <w:rPr>
          <w:rFonts w:hint="eastAsia" w:ascii="Times New Roman" w:hAnsi="Times New Roman" w:cs="Times New Roman"/>
          <w:color w:val="auto"/>
          <w:szCs w:val="21"/>
          <w:lang w:val="en-US" w:eastAsia="zh-CN"/>
        </w:rPr>
        <w:t>买方</w:t>
      </w:r>
      <w:r>
        <w:rPr>
          <w:rFonts w:ascii="Times New Roman" w:hAnsi="Times New Roman" w:cs="Times New Roman"/>
          <w:color w:val="auto"/>
          <w:szCs w:val="21"/>
        </w:rPr>
        <w:t>不能正常使用，</w:t>
      </w:r>
      <w:r>
        <w:rPr>
          <w:rFonts w:hint="eastAsia" w:ascii="Times New Roman" w:hAnsi="Times New Roman" w:cs="Times New Roman"/>
          <w:color w:val="auto"/>
          <w:szCs w:val="21"/>
        </w:rPr>
        <w:t>对</w:t>
      </w:r>
      <w:r>
        <w:rPr>
          <w:rFonts w:hint="eastAsia" w:ascii="Times New Roman" w:hAnsi="Times New Roman" w:cs="Times New Roman"/>
          <w:color w:val="auto"/>
          <w:szCs w:val="21"/>
          <w:lang w:val="en-US" w:eastAsia="zh-CN"/>
        </w:rPr>
        <w:t>买方</w:t>
      </w:r>
      <w:r>
        <w:rPr>
          <w:rFonts w:hint="eastAsia" w:ascii="Times New Roman" w:hAnsi="Times New Roman" w:cs="Times New Roman"/>
          <w:color w:val="auto"/>
          <w:szCs w:val="21"/>
        </w:rPr>
        <w:t>造成</w:t>
      </w:r>
      <w:r>
        <w:rPr>
          <w:rFonts w:ascii="Times New Roman" w:hAnsi="Times New Roman" w:cs="Times New Roman"/>
          <w:color w:val="auto"/>
          <w:szCs w:val="21"/>
        </w:rPr>
        <w:t>的损失由</w:t>
      </w:r>
      <w:r>
        <w:rPr>
          <w:rFonts w:hint="eastAsia" w:ascii="Times New Roman" w:hAnsi="Times New Roman" w:cs="Times New Roman"/>
          <w:color w:val="auto"/>
          <w:szCs w:val="21"/>
          <w:lang w:eastAsia="zh-CN"/>
        </w:rPr>
        <w:t>卖方</w:t>
      </w:r>
      <w:r>
        <w:rPr>
          <w:rFonts w:ascii="Times New Roman" w:hAnsi="Times New Roman" w:cs="Times New Roman"/>
          <w:color w:val="auto"/>
          <w:szCs w:val="21"/>
        </w:rPr>
        <w:t>负责。</w:t>
      </w:r>
    </w:p>
    <w:p>
      <w:pPr>
        <w:numPr>
          <w:ilvl w:val="0"/>
          <w:numId w:val="3"/>
        </w:numPr>
        <w:spacing w:line="360" w:lineRule="auto"/>
        <w:outlineLvl w:val="0"/>
        <w:rPr>
          <w:rFonts w:ascii="Times New Roman" w:hAnsi="Times New Roman" w:eastAsia="宋体" w:cs="Times New Roman"/>
          <w:b/>
          <w:color w:val="auto"/>
          <w:sz w:val="28"/>
          <w:szCs w:val="24"/>
        </w:rPr>
      </w:pPr>
      <w:r>
        <w:rPr>
          <w:rFonts w:hint="eastAsia" w:ascii="Times New Roman" w:hAnsi="Times New Roman" w:eastAsia="宋体" w:cs="Times New Roman"/>
          <w:b/>
          <w:color w:val="auto"/>
          <w:sz w:val="28"/>
          <w:szCs w:val="24"/>
          <w:lang w:val="en-US" w:eastAsia="zh-CN"/>
        </w:rPr>
        <w:t>视觉终端</w:t>
      </w:r>
      <w:r>
        <w:rPr>
          <w:rFonts w:ascii="Times New Roman" w:hAnsi="Times New Roman" w:eastAsia="宋体" w:cs="Times New Roman"/>
          <w:b/>
          <w:color w:val="auto"/>
          <w:sz w:val="28"/>
          <w:szCs w:val="24"/>
        </w:rPr>
        <w:t>技术参数要求</w:t>
      </w:r>
    </w:p>
    <w:p>
      <w:pPr>
        <w:spacing w:line="360" w:lineRule="auto"/>
        <w:textAlignment w:val="baseline"/>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3.1视觉终端技术参数</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outlineLvl w:val="9"/>
        <w:rPr>
          <w:rFonts w:hint="default" w:ascii="Times New Roman" w:hAnsi="宋体" w:eastAsia="宋体" w:cs="Times New Roman"/>
          <w:color w:val="auto"/>
          <w:szCs w:val="21"/>
          <w:lang w:val="en-US" w:eastAsia="zh-CN"/>
        </w:rPr>
      </w:pPr>
      <w:r>
        <w:rPr>
          <w:rFonts w:hint="eastAsia" w:hAnsi="宋体" w:cs="Times New Roman"/>
          <w:color w:val="auto"/>
          <w:szCs w:val="21"/>
          <w:lang w:val="en-US" w:eastAsia="zh-CN"/>
        </w:rPr>
        <w:t>视觉终端一款质量轻巧、操作简单的视觉终端装置。主要用于隔离开关触头位置状态确认，通过视觉识别判断隔离开关分合闸触头位置状态情况</w:t>
      </w:r>
      <w:r>
        <w:rPr>
          <w:rFonts w:hint="eastAsia" w:ascii="Times New Roman" w:hAnsi="宋体" w:eastAsia="宋体" w:cs="Times New Roman"/>
          <w:color w:val="auto"/>
          <w:szCs w:val="21"/>
          <w:lang w:val="en-US" w:eastAsia="zh-CN"/>
        </w:rPr>
        <w:t>。</w:t>
      </w:r>
      <w:r>
        <w:rPr>
          <w:rFonts w:hint="eastAsia" w:hAnsi="宋体" w:cs="Times New Roman"/>
          <w:color w:val="auto"/>
          <w:szCs w:val="21"/>
          <w:lang w:val="en-US" w:eastAsia="zh-CN"/>
        </w:rPr>
        <w:t>通过实时识别触头状态，识别到触头动作后，将过程信息发送至上位机。</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200"/>
        <w:textAlignment w:val="auto"/>
        <w:outlineLvl w:val="9"/>
        <w:rPr>
          <w:rFonts w:hint="eastAsia" w:hAnsi="宋体" w:cs="Times New Roman"/>
          <w:color w:val="auto"/>
          <w:szCs w:val="21"/>
          <w:lang w:val="en-US" w:eastAsia="zh-CN"/>
        </w:rPr>
      </w:pPr>
      <w:r>
        <w:rPr>
          <w:rFonts w:hint="eastAsia" w:hAnsi="宋体" w:cs="Times New Roman"/>
          <w:color w:val="auto"/>
          <w:szCs w:val="21"/>
          <w:lang w:val="en-US" w:eastAsia="zh-CN"/>
        </w:rPr>
        <w:t>1、功能要求：对设备内部弱光或无光环境下，具有清晰彩色成像功能；具有视频网络输出功能；具有补光功能；具有光强可调节功能，且补光不可造成视频反光；具有自主识别触头位置状态功能；具有自动聚焦功能；结构安装具有适配不同位置窗口。</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outlineLvl w:val="9"/>
        <w:rPr>
          <w:rFonts w:hint="eastAsia" w:hAnsi="宋体" w:cs="Times New Roman"/>
          <w:color w:val="auto"/>
          <w:szCs w:val="21"/>
          <w:lang w:val="en-US" w:eastAsia="zh-CN"/>
        </w:rPr>
      </w:pPr>
      <w:r>
        <w:rPr>
          <w:rFonts w:hint="eastAsia" w:hAnsi="宋体" w:cs="Times New Roman"/>
          <w:color w:val="auto"/>
          <w:szCs w:val="21"/>
          <w:lang w:val="en-US" w:eastAsia="zh-CN"/>
        </w:rPr>
        <w:t>2</w:t>
      </w:r>
      <w:r>
        <w:rPr>
          <w:rFonts w:hint="default" w:hAnsi="宋体" w:cs="Times New Roman"/>
          <w:color w:val="auto"/>
          <w:szCs w:val="21"/>
          <w:lang w:val="en-US" w:eastAsia="zh-CN"/>
        </w:rPr>
        <w:t xml:space="preserve">. </w:t>
      </w:r>
      <w:r>
        <w:rPr>
          <w:rFonts w:hint="eastAsia" w:hAnsi="宋体" w:cs="Times New Roman"/>
          <w:color w:val="auto"/>
          <w:szCs w:val="21"/>
          <w:lang w:val="en-US" w:eastAsia="zh-CN"/>
        </w:rPr>
        <w:t>技术指标要求：</w:t>
      </w:r>
    </w:p>
    <w:p>
      <w:pPr>
        <w:pStyle w:val="24"/>
        <w:keepNext w:val="0"/>
        <w:keepLines w:val="0"/>
        <w:pageBreakBefore w:val="0"/>
        <w:widowControl w:val="0"/>
        <w:numPr>
          <w:ilvl w:val="0"/>
          <w:numId w:val="4"/>
        </w:numPr>
        <w:kinsoku/>
        <w:wordWrap/>
        <w:overflowPunct/>
        <w:topLinePunct w:val="0"/>
        <w:autoSpaceDE/>
        <w:autoSpaceDN/>
        <w:bidi w:val="0"/>
        <w:adjustRightInd/>
        <w:snapToGrid/>
        <w:spacing w:line="360" w:lineRule="auto"/>
        <w:ind w:left="840" w:leftChars="0" w:hanging="420" w:firstLineChars="0"/>
        <w:textAlignment w:val="auto"/>
        <w:outlineLvl w:val="9"/>
        <w:rPr>
          <w:rFonts w:hint="default" w:hAnsi="宋体" w:cs="Times New Roman"/>
          <w:color w:val="auto"/>
          <w:szCs w:val="21"/>
          <w:lang w:val="en-US" w:eastAsia="zh-CN"/>
        </w:rPr>
      </w:pPr>
      <w:r>
        <w:rPr>
          <w:rFonts w:hint="eastAsia" w:hAnsi="宋体" w:cs="Times New Roman"/>
          <w:b w:val="0"/>
          <w:bCs w:val="0"/>
          <w:color w:val="auto"/>
          <w:szCs w:val="21"/>
          <w:lang w:val="en-US" w:eastAsia="zh-CN"/>
        </w:rPr>
        <w:t>镜头模块</w:t>
      </w:r>
      <w:r>
        <w:rPr>
          <w:rFonts w:hint="eastAsia" w:hAnsi="宋体" w:cs="Times New Roman"/>
          <w:b/>
          <w:bCs/>
          <w:color w:val="auto"/>
          <w:szCs w:val="21"/>
          <w:lang w:val="en-US" w:eastAsia="zh-CN"/>
        </w:rPr>
        <w:t>：</w:t>
      </w:r>
      <w:r>
        <w:rPr>
          <w:rFonts w:hint="default" w:hAnsi="宋体" w:cs="Times New Roman"/>
          <w:color w:val="auto"/>
          <w:szCs w:val="21"/>
          <w:lang w:val="en-US" w:eastAsia="zh-CN"/>
        </w:rPr>
        <w:t>作用距离5cm～无限远；分辨率≥1920×1080；视场角≥60°；刷新率50Hz/60Hz；对焦方式：自动对焦；靶面尺寸：1/2.8Inch CMOS；像元大小：1.12um×1.12um；</w:t>
      </w:r>
    </w:p>
    <w:p>
      <w:pPr>
        <w:pStyle w:val="24"/>
        <w:keepNext w:val="0"/>
        <w:keepLines w:val="0"/>
        <w:pageBreakBefore w:val="0"/>
        <w:widowControl w:val="0"/>
        <w:numPr>
          <w:ilvl w:val="0"/>
          <w:numId w:val="4"/>
        </w:numPr>
        <w:kinsoku/>
        <w:wordWrap/>
        <w:overflowPunct/>
        <w:topLinePunct w:val="0"/>
        <w:autoSpaceDE/>
        <w:autoSpaceDN/>
        <w:bidi w:val="0"/>
        <w:adjustRightInd/>
        <w:snapToGrid/>
        <w:spacing w:line="360" w:lineRule="auto"/>
        <w:ind w:left="840" w:leftChars="0" w:hanging="420" w:firstLineChars="0"/>
        <w:textAlignment w:val="auto"/>
        <w:outlineLvl w:val="9"/>
        <w:rPr>
          <w:rFonts w:hint="default" w:hAnsi="宋体" w:cs="Times New Roman"/>
          <w:color w:val="auto"/>
          <w:szCs w:val="21"/>
          <w:lang w:val="en-US" w:eastAsia="zh-CN"/>
        </w:rPr>
      </w:pPr>
      <w:r>
        <w:rPr>
          <w:rFonts w:hint="eastAsia" w:hAnsi="宋体" w:cs="Times New Roman"/>
          <w:b w:val="0"/>
          <w:bCs w:val="0"/>
          <w:color w:val="auto"/>
          <w:szCs w:val="21"/>
          <w:lang w:val="en-US" w:eastAsia="zh-CN"/>
        </w:rPr>
        <w:t>光源模块</w:t>
      </w:r>
      <w:r>
        <w:rPr>
          <w:rFonts w:hint="eastAsia" w:hAnsi="宋体" w:cs="Times New Roman"/>
          <w:b/>
          <w:bCs/>
          <w:color w:val="auto"/>
          <w:szCs w:val="21"/>
          <w:lang w:val="en-US" w:eastAsia="zh-CN"/>
        </w:rPr>
        <w:t>：</w:t>
      </w:r>
      <w:r>
        <w:rPr>
          <w:rFonts w:hint="default" w:hAnsi="宋体" w:cs="Times New Roman"/>
          <w:color w:val="auto"/>
          <w:szCs w:val="21"/>
          <w:lang w:val="en-US" w:eastAsia="zh-CN"/>
        </w:rPr>
        <w:t>类型：白色LED；光强度可调；寿命：50000h；功耗：≤3W</w:t>
      </w:r>
      <w:r>
        <w:rPr>
          <w:rFonts w:hint="eastAsia" w:hAnsi="宋体" w:cs="Times New Roman"/>
          <w:color w:val="auto"/>
          <w:szCs w:val="21"/>
          <w:lang w:val="en-US" w:eastAsia="zh-CN"/>
        </w:rPr>
        <w:t>。</w:t>
      </w:r>
    </w:p>
    <w:p>
      <w:pPr>
        <w:pStyle w:val="24"/>
        <w:keepNext w:val="0"/>
        <w:keepLines w:val="0"/>
        <w:pageBreakBefore w:val="0"/>
        <w:widowControl w:val="0"/>
        <w:numPr>
          <w:ilvl w:val="0"/>
          <w:numId w:val="4"/>
        </w:numPr>
        <w:kinsoku/>
        <w:wordWrap/>
        <w:overflowPunct/>
        <w:topLinePunct w:val="0"/>
        <w:autoSpaceDE/>
        <w:autoSpaceDN/>
        <w:bidi w:val="0"/>
        <w:adjustRightInd/>
        <w:snapToGrid/>
        <w:spacing w:line="360" w:lineRule="auto"/>
        <w:ind w:left="840" w:leftChars="0" w:hanging="420" w:firstLineChars="0"/>
        <w:textAlignment w:val="auto"/>
        <w:outlineLvl w:val="9"/>
        <w:rPr>
          <w:rFonts w:hint="default" w:hAnsi="宋体" w:cs="Times New Roman"/>
          <w:color w:val="auto"/>
          <w:szCs w:val="21"/>
          <w:lang w:val="en-US" w:eastAsia="zh-CN"/>
        </w:rPr>
      </w:pPr>
      <w:r>
        <w:rPr>
          <w:rFonts w:hint="default" w:hAnsi="宋体" w:cs="Times New Roman"/>
          <w:b w:val="0"/>
          <w:bCs w:val="0"/>
          <w:color w:val="auto"/>
          <w:szCs w:val="21"/>
          <w:lang w:val="en-US" w:eastAsia="zh-CN"/>
        </w:rPr>
        <w:t>图像处理模块:</w:t>
      </w:r>
      <w:r>
        <w:rPr>
          <w:rFonts w:hint="default" w:hAnsi="宋体" w:cs="Times New Roman"/>
          <w:color w:val="auto"/>
          <w:szCs w:val="21"/>
          <w:lang w:val="en-US" w:eastAsia="zh-CN"/>
        </w:rPr>
        <w:t>算力：3TOPS；内存：1G+8G(EMMC)；对外接口：网口、USB等；对摄像头视频流进行处理，可自主识别触头位置；视频格式：RTSP；功耗：≤3W。</w:t>
      </w:r>
    </w:p>
    <w:p>
      <w:pPr>
        <w:pStyle w:val="24"/>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20" w:firstLineChars="200"/>
        <w:textAlignment w:val="auto"/>
        <w:outlineLvl w:val="9"/>
        <w:rPr>
          <w:rFonts w:hint="eastAsia" w:ascii="Times New Roman" w:hAnsi="宋体" w:eastAsia="宋体" w:cs="Times New Roman"/>
          <w:color w:val="auto"/>
          <w:szCs w:val="21"/>
          <w:lang w:val="en-US" w:eastAsia="zh-CN"/>
        </w:rPr>
      </w:pPr>
      <w:r>
        <w:rPr>
          <w:rFonts w:hint="eastAsia" w:hAnsi="宋体" w:cs="Times New Roman"/>
          <w:color w:val="auto"/>
          <w:szCs w:val="21"/>
          <w:lang w:val="en-US" w:eastAsia="zh-CN"/>
        </w:rPr>
        <w:t>其它要求：</w:t>
      </w:r>
      <w:r>
        <w:rPr>
          <w:rFonts w:hint="default" w:hAnsi="宋体" w:cs="Times New Roman"/>
          <w:color w:val="auto"/>
          <w:szCs w:val="21"/>
          <w:lang w:val="en-US" w:eastAsia="zh-CN"/>
        </w:rPr>
        <w:t>适配不同位置窗口的安装；牢固可靠不可对</w:t>
      </w:r>
      <w:r>
        <w:rPr>
          <w:rFonts w:hint="eastAsia" w:hAnsi="宋体" w:cs="Times New Roman"/>
          <w:color w:val="auto"/>
          <w:szCs w:val="21"/>
          <w:lang w:val="en-US" w:eastAsia="zh-CN"/>
        </w:rPr>
        <w:t>开关</w:t>
      </w:r>
      <w:r>
        <w:rPr>
          <w:rFonts w:hint="default" w:hAnsi="宋体" w:cs="Times New Roman"/>
          <w:color w:val="auto"/>
          <w:szCs w:val="21"/>
          <w:lang w:val="en-US" w:eastAsia="zh-CN"/>
        </w:rPr>
        <w:t>设备造成破坏；</w:t>
      </w:r>
      <w:r>
        <w:rPr>
          <w:rFonts w:hint="eastAsia" w:hAnsi="宋体" w:cs="Times New Roman"/>
          <w:color w:val="auto"/>
          <w:szCs w:val="21"/>
          <w:lang w:val="en-US" w:eastAsia="zh-CN"/>
        </w:rPr>
        <w:t>具备</w:t>
      </w:r>
      <w:r>
        <w:rPr>
          <w:rFonts w:hint="default" w:hAnsi="宋体" w:cs="Times New Roman"/>
          <w:color w:val="auto"/>
          <w:szCs w:val="21"/>
          <w:lang w:val="en-US" w:eastAsia="zh-CN"/>
        </w:rPr>
        <w:t>绝缘设计</w:t>
      </w:r>
      <w:r>
        <w:rPr>
          <w:rFonts w:hint="eastAsia" w:hAnsi="宋体" w:cs="Times New Roman"/>
          <w:color w:val="auto"/>
          <w:szCs w:val="21"/>
          <w:lang w:val="en-US" w:eastAsia="zh-CN"/>
        </w:rPr>
        <w:t>，支持耐压试验时不拆卸</w:t>
      </w:r>
      <w:r>
        <w:rPr>
          <w:rFonts w:hint="default" w:hAnsi="宋体" w:cs="Times New Roman"/>
          <w:color w:val="auto"/>
          <w:szCs w:val="21"/>
          <w:lang w:val="en-US" w:eastAsia="zh-CN"/>
        </w:rPr>
        <w:t>。重量：≤600g</w:t>
      </w:r>
      <w:r>
        <w:rPr>
          <w:rFonts w:hint="eastAsia" w:hAnsi="宋体" w:cs="Times New Roman"/>
          <w:color w:val="auto"/>
          <w:szCs w:val="21"/>
          <w:lang w:val="en-US" w:eastAsia="zh-CN"/>
        </w:rPr>
        <w:t>。</w:t>
      </w:r>
      <w:r>
        <w:rPr>
          <w:rFonts w:hint="default" w:hAnsi="宋体" w:cs="Times New Roman"/>
          <w:color w:val="auto"/>
          <w:szCs w:val="21"/>
          <w:lang w:val="en-US" w:eastAsia="zh-CN"/>
        </w:rPr>
        <w:t>尺寸：78✕85mm</w:t>
      </w:r>
      <w:r>
        <w:rPr>
          <w:rFonts w:hint="eastAsia" w:hAnsi="宋体" w:cs="Times New Roman"/>
          <w:color w:val="auto"/>
          <w:szCs w:val="21"/>
          <w:lang w:val="en-US" w:eastAsia="zh-CN"/>
        </w:rPr>
        <w:t>。工作温度</w:t>
      </w:r>
      <w:r>
        <w:rPr>
          <w:rFonts w:hint="default" w:hAnsi="宋体" w:cs="Times New Roman"/>
          <w:color w:val="auto"/>
          <w:szCs w:val="21"/>
          <w:lang w:val="en-US" w:eastAsia="zh-CN"/>
        </w:rPr>
        <w:t>：-20°～85°。</w:t>
      </w:r>
    </w:p>
    <w:p>
      <w:pPr>
        <w:spacing w:line="360" w:lineRule="auto"/>
        <w:textAlignment w:val="baseline"/>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3.2分布式采集模块技术参数</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outlineLvl w:val="9"/>
        <w:rPr>
          <w:rFonts w:hint="default" w:hAnsi="宋体" w:cs="Times New Roman"/>
          <w:color w:val="auto"/>
          <w:szCs w:val="21"/>
          <w:lang w:val="en-US" w:eastAsia="zh-CN"/>
        </w:rPr>
      </w:pPr>
      <w:r>
        <w:rPr>
          <w:rFonts w:hint="eastAsia" w:hAnsi="宋体" w:cs="Times New Roman"/>
          <w:color w:val="auto"/>
          <w:szCs w:val="21"/>
          <w:lang w:val="en-US" w:eastAsia="zh-CN"/>
        </w:rPr>
        <w:t xml:space="preserve">分布式采集模块，主要用于隔离开关电机电流和辅助接点的信号采集，具备同步采集功能，即电机动作后，需要同步采集辅助接点状态。通过自定义采样率和录波时长，捕获完全动作过程，并将过程信息发送至上位机。 </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outlineLvl w:val="9"/>
        <w:rPr>
          <w:rFonts w:hint="default" w:hAnsi="宋体" w:cs="Times New Roman"/>
          <w:color w:val="auto"/>
          <w:szCs w:val="21"/>
          <w:lang w:val="en-US" w:eastAsia="zh-CN"/>
        </w:rPr>
      </w:pPr>
      <w:r>
        <w:rPr>
          <w:rFonts w:hint="eastAsia" w:hAnsi="宋体" w:eastAsia="宋体" w:cs="Times New Roman"/>
          <w:color w:val="auto"/>
          <w:szCs w:val="21"/>
          <w:lang w:val="en-US" w:eastAsia="zh-CN"/>
        </w:rPr>
        <w:t>1.功能要求：</w:t>
      </w:r>
      <w:r>
        <w:rPr>
          <w:rFonts w:hint="eastAsia" w:hAnsi="宋体" w:cs="Times New Roman"/>
          <w:color w:val="auto"/>
          <w:szCs w:val="21"/>
          <w:lang w:val="en-US" w:eastAsia="zh-CN"/>
        </w:rPr>
        <w:t>具备测量直流电压、电流、IO量功能，并且通过以太网输出数据。支持同步采集电机电流、辅助接点数据；支采样率与持录波时长按需修改；模块能够存储10条以上数据。</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outlineLvl w:val="9"/>
        <w:rPr>
          <w:rFonts w:hint="default" w:hAnsi="宋体" w:eastAsia="宋体" w:cs="Times New Roman"/>
          <w:color w:val="auto"/>
          <w:szCs w:val="21"/>
          <w:lang w:val="en-US" w:eastAsia="zh-CN"/>
        </w:rPr>
      </w:pPr>
      <w:r>
        <w:rPr>
          <w:rFonts w:hint="eastAsia" w:hAnsi="宋体" w:cs="Times New Roman"/>
          <w:color w:val="auto"/>
          <w:szCs w:val="21"/>
          <w:lang w:val="en-US" w:eastAsia="zh-CN"/>
        </w:rPr>
        <w:t>2. 技术指标要求：</w:t>
      </w:r>
      <w:r>
        <w:rPr>
          <w:rFonts w:hint="eastAsia" w:hAnsi="宋体" w:eastAsia="宋体" w:cs="Times New Roman"/>
          <w:color w:val="auto"/>
          <w:szCs w:val="21"/>
          <w:lang w:val="en-US" w:eastAsia="zh-CN"/>
        </w:rPr>
        <w:t>供电电压：DC 5V；精度：0.2mA；工作温度：-10℃～+60℃；采样频率：0～10000Hz，分辨率：16位；不少于8路模拟通道，3路开关量通道。耐压等级：3kVAC/1min；防护等级：IP65。</w:t>
      </w:r>
    </w:p>
    <w:p>
      <w:pPr>
        <w:numPr>
          <w:ilvl w:val="0"/>
          <w:numId w:val="3"/>
        </w:numPr>
        <w:spacing w:line="360" w:lineRule="auto"/>
        <w:outlineLvl w:val="0"/>
        <w:rPr>
          <w:rFonts w:hint="eastAsia" w:ascii="宋体" w:hAnsi="宋体" w:eastAsia="宋体" w:cs="Times New Roman"/>
          <w:b/>
          <w:bCs/>
          <w:sz w:val="24"/>
          <w:szCs w:val="24"/>
          <w:lang w:val="en-US" w:eastAsia="zh-CN"/>
        </w:rPr>
      </w:pPr>
      <w:r>
        <w:rPr>
          <w:rFonts w:hint="eastAsia" w:ascii="Times New Roman" w:hAnsi="Times New Roman" w:eastAsia="宋体" w:cs="Times New Roman"/>
          <w:b/>
          <w:color w:val="auto"/>
          <w:sz w:val="28"/>
          <w:szCs w:val="24"/>
          <w:lang w:val="en-US" w:eastAsia="zh-CN"/>
        </w:rPr>
        <w:t>实施部署要求</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outlineLvl w:val="9"/>
        <w:rPr>
          <w:rFonts w:hint="eastAsia" w:hAnsi="宋体" w:cs="Times New Roman"/>
          <w:color w:val="auto"/>
          <w:szCs w:val="21"/>
          <w:lang w:val="en-US" w:eastAsia="zh-CN"/>
        </w:rPr>
      </w:pPr>
      <w:r>
        <w:rPr>
          <w:rFonts w:hint="eastAsia" w:hAnsi="宋体" w:cs="Times New Roman"/>
          <w:color w:val="auto"/>
          <w:szCs w:val="21"/>
          <w:lang w:val="en-US" w:eastAsia="zh-CN"/>
        </w:rPr>
        <w:t>卖房需按买房提供的电站，实现一个完整GIS隔离开关多模态信号采集的安装部署调试。在梅州抽蓄电站地下厂房GIS侧，部署就地信号采集箱，尺寸根据部署内容及现场测量为准。就地信号采集箱采用光缆将数据传输至出口母线成套开关监测后台柜。卖方需根据现场情况，完成光缆敷设。</w:t>
      </w:r>
    </w:p>
    <w:p>
      <w:pPr>
        <w:pStyle w:val="24"/>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outlineLvl w:val="9"/>
        <w:rPr>
          <w:rFonts w:hint="default"/>
          <w:lang w:val="en-US" w:eastAsia="zh-CN"/>
        </w:rPr>
      </w:pPr>
      <w:r>
        <w:rPr>
          <w:rFonts w:hint="eastAsia" w:hAnsi="宋体" w:cs="Times New Roman"/>
          <w:color w:val="auto"/>
          <w:szCs w:val="21"/>
          <w:lang w:val="en-US" w:eastAsia="zh-CN"/>
        </w:rPr>
        <w:t>卖房需提供完整详细的现场实施方案。</w:t>
      </w:r>
    </w:p>
    <w:p>
      <w:pPr>
        <w:numPr>
          <w:ilvl w:val="0"/>
          <w:numId w:val="3"/>
        </w:numPr>
        <w:spacing w:line="360" w:lineRule="auto"/>
        <w:outlineLvl w:val="0"/>
        <w:rPr>
          <w:rFonts w:hint="eastAsia" w:ascii="Times New Roman" w:hAnsi="Times New Roman" w:eastAsia="宋体" w:cs="Times New Roman"/>
          <w:b/>
          <w:color w:val="auto"/>
          <w:sz w:val="28"/>
          <w:szCs w:val="24"/>
          <w:lang w:val="en-US" w:eastAsia="zh-CN"/>
        </w:rPr>
      </w:pPr>
      <w:r>
        <w:rPr>
          <w:rFonts w:hint="eastAsia" w:ascii="Times New Roman" w:hAnsi="Times New Roman" w:eastAsia="宋体" w:cs="Times New Roman"/>
          <w:b/>
          <w:color w:val="auto"/>
          <w:sz w:val="28"/>
          <w:szCs w:val="24"/>
          <w:lang w:val="en-US" w:eastAsia="zh-CN"/>
        </w:rPr>
        <w:t>供货及包装、运输技术要求</w:t>
      </w:r>
    </w:p>
    <w:p>
      <w:pPr>
        <w:spacing w:line="360" w:lineRule="auto"/>
        <w:textAlignment w:val="baseline"/>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4.1一般要求</w:t>
      </w:r>
    </w:p>
    <w:p>
      <w:pPr>
        <w:widowControl/>
        <w:autoSpaceDE w:val="0"/>
        <w:autoSpaceDN w:val="0"/>
        <w:spacing w:line="360" w:lineRule="auto"/>
        <w:ind w:firstLine="420" w:firstLineChars="200"/>
        <w:textAlignment w:val="bottom"/>
        <w:rPr>
          <w:rFonts w:hint="eastAsia" w:ascii="宋体" w:hAnsi="宋体"/>
          <w:color w:val="000000"/>
          <w:kern w:val="16"/>
          <w:sz w:val="21"/>
          <w:szCs w:val="21"/>
        </w:rPr>
      </w:pPr>
      <w:r>
        <w:rPr>
          <w:rFonts w:ascii="宋体" w:hAnsi="宋体"/>
          <w:color w:val="000000"/>
          <w:kern w:val="16"/>
          <w:sz w:val="21"/>
          <w:szCs w:val="21"/>
        </w:rPr>
        <w:t>1.1</w:t>
      </w:r>
      <w:r>
        <w:rPr>
          <w:rFonts w:hint="eastAsia" w:ascii="宋体" w:hAnsi="宋体"/>
          <w:color w:val="000000"/>
          <w:kern w:val="16"/>
          <w:sz w:val="21"/>
          <w:szCs w:val="21"/>
        </w:rPr>
        <w:t xml:space="preserve"> 本节规定了合同设备的供货范围。卖方应保证所供设备为全新的、先进的、成熟的、完整的和安全可靠的，且设备的技术经济性能符合技术规范的要求。</w:t>
      </w:r>
    </w:p>
    <w:p>
      <w:pPr>
        <w:widowControl/>
        <w:autoSpaceDE w:val="0"/>
        <w:autoSpaceDN w:val="0"/>
        <w:spacing w:line="360" w:lineRule="auto"/>
        <w:ind w:firstLine="420" w:firstLineChars="200"/>
        <w:textAlignment w:val="bottom"/>
        <w:rPr>
          <w:rFonts w:hint="eastAsia" w:ascii="宋体" w:hAnsi="宋体"/>
          <w:color w:val="000000"/>
          <w:kern w:val="16"/>
          <w:sz w:val="21"/>
          <w:szCs w:val="21"/>
        </w:rPr>
      </w:pPr>
      <w:r>
        <w:rPr>
          <w:rFonts w:ascii="宋体" w:hAnsi="宋体"/>
          <w:color w:val="000000"/>
          <w:kern w:val="16"/>
          <w:sz w:val="21"/>
          <w:szCs w:val="21"/>
        </w:rPr>
        <w:t>1.2</w:t>
      </w:r>
      <w:r>
        <w:rPr>
          <w:rFonts w:hint="eastAsia" w:ascii="宋体" w:hAnsi="宋体"/>
          <w:color w:val="000000"/>
          <w:kern w:val="16"/>
          <w:sz w:val="21"/>
          <w:szCs w:val="21"/>
        </w:rPr>
        <w:t xml:space="preserve"> 卖方应以表格的方式提供详细供货清单，清单中依次说明序号、标号、设备名称、型号、单位、数量、产地、生产厂家、价格（商务报价中填写）、备注等内容。对于属于整套设备运行和施工所必需的部件，即使本合同供货清单未列出和／或数目不足，卖方仍须在执行合同时补足，且不涉及价格问题。</w:t>
      </w:r>
    </w:p>
    <w:p>
      <w:pPr>
        <w:widowControl/>
        <w:autoSpaceDE w:val="0"/>
        <w:autoSpaceDN w:val="0"/>
        <w:spacing w:line="360" w:lineRule="auto"/>
        <w:ind w:firstLine="420" w:firstLineChars="200"/>
        <w:textAlignment w:val="bottom"/>
        <w:rPr>
          <w:rFonts w:hint="eastAsia" w:ascii="宋体" w:hAnsi="宋体"/>
          <w:color w:val="000000"/>
          <w:kern w:val="16"/>
          <w:sz w:val="21"/>
          <w:szCs w:val="21"/>
        </w:rPr>
      </w:pPr>
      <w:r>
        <w:rPr>
          <w:rFonts w:ascii="宋体" w:hAnsi="宋体"/>
          <w:color w:val="000000"/>
          <w:kern w:val="16"/>
          <w:sz w:val="21"/>
          <w:szCs w:val="21"/>
        </w:rPr>
        <w:t>1.</w:t>
      </w:r>
      <w:r>
        <w:rPr>
          <w:rFonts w:hint="eastAsia" w:ascii="宋体" w:hAnsi="宋体"/>
          <w:color w:val="000000"/>
          <w:kern w:val="16"/>
          <w:sz w:val="21"/>
          <w:szCs w:val="21"/>
        </w:rPr>
        <w:t>3 在调试和试运行期间，由于卖方原因造成的设备和备件的损坏应由卖方及时、免费的维修或调换，直至恢复原有功能和质量。</w:t>
      </w:r>
    </w:p>
    <w:p>
      <w:pPr>
        <w:widowControl/>
        <w:autoSpaceDE w:val="0"/>
        <w:autoSpaceDN w:val="0"/>
        <w:spacing w:line="360" w:lineRule="auto"/>
        <w:ind w:firstLine="420" w:firstLineChars="200"/>
        <w:textAlignment w:val="bottom"/>
        <w:rPr>
          <w:sz w:val="21"/>
          <w:szCs w:val="21"/>
        </w:rPr>
      </w:pPr>
      <w:r>
        <w:rPr>
          <w:rFonts w:ascii="宋体" w:hAnsi="宋体"/>
          <w:color w:val="000000"/>
          <w:kern w:val="16"/>
          <w:sz w:val="21"/>
          <w:szCs w:val="21"/>
        </w:rPr>
        <w:t>1.</w:t>
      </w:r>
      <w:r>
        <w:rPr>
          <w:rFonts w:hint="eastAsia" w:ascii="宋体" w:hAnsi="宋体"/>
          <w:color w:val="000000"/>
          <w:kern w:val="16"/>
          <w:sz w:val="21"/>
          <w:szCs w:val="21"/>
        </w:rPr>
        <w:t>4 卖方应提供随机备品配件，并保证长期优惠提供所有备品备件，并有义务协助买方解决设备出现的各种技术问题。</w:t>
      </w:r>
    </w:p>
    <w:p>
      <w:pPr>
        <w:spacing w:line="360" w:lineRule="auto"/>
        <w:textAlignment w:val="baseline"/>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4.2供货要求及范围</w:t>
      </w:r>
    </w:p>
    <w:p>
      <w:pPr>
        <w:widowControl/>
        <w:spacing w:line="360" w:lineRule="auto"/>
        <w:ind w:firstLine="420" w:firstLineChars="200"/>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卖方须按照需求计划明细（供货一览表）中“主要技术参数”约定的要货期内向买方提供质量合格、数量准确的备品备件，同时提供备品备件的装配、包装、运输及现场开箱验收、技术资料（包括质量及品牌等证明文件）等。</w:t>
      </w:r>
    </w:p>
    <w:tbl>
      <w:tblPr>
        <w:tblStyle w:val="9"/>
        <w:tblW w:w="8472" w:type="dxa"/>
        <w:tblInd w:w="0" w:type="dxa"/>
        <w:tblLayout w:type="autofit"/>
        <w:tblCellMar>
          <w:top w:w="0" w:type="dxa"/>
          <w:left w:w="108" w:type="dxa"/>
          <w:bottom w:w="0" w:type="dxa"/>
          <w:right w:w="108" w:type="dxa"/>
        </w:tblCellMar>
      </w:tblPr>
      <w:tblGrid>
        <w:gridCol w:w="736"/>
        <w:gridCol w:w="1056"/>
        <w:gridCol w:w="2580"/>
        <w:gridCol w:w="680"/>
        <w:gridCol w:w="674"/>
        <w:gridCol w:w="773"/>
        <w:gridCol w:w="696"/>
        <w:gridCol w:w="1277"/>
      </w:tblGrid>
      <w:tr>
        <w:tblPrEx>
          <w:tblCellMar>
            <w:top w:w="0" w:type="dxa"/>
            <w:left w:w="108" w:type="dxa"/>
            <w:bottom w:w="0" w:type="dxa"/>
            <w:right w:w="108" w:type="dxa"/>
          </w:tblCellMar>
        </w:tblPrEx>
        <w:trPr>
          <w:trHeight w:val="54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序号</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名称</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规格型号</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单位</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数量</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生产</w:t>
            </w:r>
          </w:p>
          <w:p>
            <w:pPr>
              <w:widowControl/>
              <w:jc w:val="center"/>
              <w:rPr>
                <w:rFonts w:hint="eastAsia" w:ascii="宋体" w:hAnsi="宋体" w:cs="宋体"/>
                <w:bCs/>
                <w:kern w:val="0"/>
                <w:szCs w:val="21"/>
              </w:rPr>
            </w:pPr>
            <w:r>
              <w:rPr>
                <w:rFonts w:ascii="宋体" w:hAnsi="宋体" w:cs="宋体"/>
                <w:bCs/>
                <w:kern w:val="0"/>
                <w:szCs w:val="21"/>
              </w:rPr>
              <w:t>厂家</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产地</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备注</w:t>
            </w:r>
          </w:p>
        </w:tc>
      </w:tr>
      <w:tr>
        <w:tblPrEx>
          <w:tblCellMar>
            <w:top w:w="0" w:type="dxa"/>
            <w:left w:w="108" w:type="dxa"/>
            <w:bottom w:w="0" w:type="dxa"/>
            <w:right w:w="108" w:type="dxa"/>
          </w:tblCellMar>
        </w:tblPrEx>
        <w:trPr>
          <w:trHeight w:val="54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1</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视觉终端</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 w:val="21"/>
                <w:szCs w:val="21"/>
                <w:lang w:val="en-US" w:eastAsia="zh-CN" w:bidi="ar-SA"/>
              </w:rPr>
            </w:pPr>
            <w:r>
              <w:rPr>
                <w:rFonts w:hint="eastAsia" w:ascii="宋体" w:hAnsi="宋体" w:cs="宋体"/>
                <w:bCs/>
                <w:kern w:val="0"/>
                <w:sz w:val="21"/>
                <w:szCs w:val="21"/>
                <w:lang w:val="en-US" w:eastAsia="zh-CN" w:bidi="ar-SA"/>
              </w:rPr>
              <w:t>XS-DSV100</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 w:val="21"/>
                <w:szCs w:val="21"/>
                <w:lang w:val="en-US" w:eastAsia="zh-CN" w:bidi="ar-SA"/>
              </w:rPr>
            </w:pPr>
            <w:r>
              <w:rPr>
                <w:rFonts w:hint="eastAsia" w:ascii="宋体" w:hAnsi="宋体" w:cs="宋体"/>
                <w:bCs/>
                <w:kern w:val="0"/>
                <w:szCs w:val="21"/>
                <w:lang w:val="en-US" w:eastAsia="zh-CN"/>
              </w:rPr>
              <w:t>件</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6</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 w:val="21"/>
                <w:szCs w:val="21"/>
                <w:lang w:val="en-US" w:eastAsia="zh-CN" w:bidi="ar-SA"/>
              </w:rPr>
            </w:pPr>
            <w:r>
              <w:rPr>
                <w:rFonts w:hint="eastAsia" w:ascii="宋体" w:hAnsi="宋体" w:cs="宋体"/>
                <w:bCs/>
                <w:kern w:val="0"/>
                <w:szCs w:val="21"/>
              </w:rPr>
              <w:t>/</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 w:val="21"/>
                <w:szCs w:val="21"/>
                <w:lang w:val="en-US" w:eastAsia="zh-CN" w:bidi="ar-SA"/>
              </w:rPr>
            </w:pPr>
            <w:r>
              <w:rPr>
                <w:rFonts w:hint="eastAsia" w:ascii="宋体" w:hAnsi="宋体" w:cs="宋体"/>
                <w:bCs/>
                <w:kern w:val="0"/>
                <w:szCs w:val="21"/>
              </w:rPr>
              <w:t>/</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p>
        </w:tc>
      </w:tr>
      <w:tr>
        <w:tblPrEx>
          <w:tblCellMar>
            <w:top w:w="0" w:type="dxa"/>
            <w:left w:w="108" w:type="dxa"/>
            <w:bottom w:w="0" w:type="dxa"/>
            <w:right w:w="108" w:type="dxa"/>
          </w:tblCellMar>
        </w:tblPrEx>
        <w:trPr>
          <w:trHeight w:val="54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2.</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分布式模块</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套</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p>
        </w:tc>
      </w:tr>
      <w:tr>
        <w:tblPrEx>
          <w:tblCellMar>
            <w:top w:w="0" w:type="dxa"/>
            <w:left w:w="108" w:type="dxa"/>
            <w:bottom w:w="0" w:type="dxa"/>
            <w:right w:w="108" w:type="dxa"/>
          </w:tblCellMar>
        </w:tblPrEx>
        <w:trPr>
          <w:trHeight w:val="54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宋体"/>
                <w:bCs/>
                <w:kern w:val="0"/>
                <w:szCs w:val="21"/>
                <w:lang w:val="en-US"/>
              </w:rPr>
            </w:pPr>
            <w:r>
              <w:rPr>
                <w:rFonts w:hint="eastAsia" w:ascii="宋体" w:hAnsi="宋体" w:cs="宋体"/>
                <w:bCs/>
                <w:kern w:val="0"/>
                <w:szCs w:val="21"/>
                <w:lang w:val="en-US" w:eastAsia="zh-CN"/>
              </w:rPr>
              <w:t>2.1</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模拟模块</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XS-AI100</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个</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1</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p>
        </w:tc>
      </w:tr>
      <w:tr>
        <w:tblPrEx>
          <w:tblCellMar>
            <w:top w:w="0" w:type="dxa"/>
            <w:left w:w="108" w:type="dxa"/>
            <w:bottom w:w="0" w:type="dxa"/>
            <w:right w:w="108" w:type="dxa"/>
          </w:tblCellMar>
        </w:tblPrEx>
        <w:trPr>
          <w:trHeight w:val="70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ascii="宋体" w:hAnsi="宋体" w:cs="宋体"/>
                <w:bCs/>
                <w:kern w:val="0"/>
                <w:szCs w:val="21"/>
              </w:rPr>
              <w:t>2</w:t>
            </w:r>
            <w:r>
              <w:rPr>
                <w:rFonts w:hint="eastAsia" w:ascii="宋体" w:hAnsi="宋体" w:cs="宋体"/>
                <w:bCs/>
                <w:kern w:val="0"/>
                <w:szCs w:val="21"/>
                <w:lang w:eastAsia="zh-CN"/>
              </w:rPr>
              <w:t>.</w:t>
            </w:r>
            <w:r>
              <w:rPr>
                <w:rFonts w:hint="eastAsia" w:ascii="宋体" w:hAnsi="宋体" w:cs="宋体"/>
                <w:bCs/>
                <w:kern w:val="0"/>
                <w:szCs w:val="21"/>
                <w:lang w:val="en-US" w:eastAsia="zh-CN"/>
              </w:rPr>
              <w:t>2</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数字模块</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XS-DI100</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eastAsiaTheme="minorEastAsia"/>
                <w:bCs/>
                <w:kern w:val="0"/>
                <w:szCs w:val="21"/>
                <w:lang w:val="en-US" w:eastAsia="zh-CN"/>
              </w:rPr>
            </w:pPr>
            <w:r>
              <w:rPr>
                <w:rFonts w:hint="eastAsia" w:ascii="宋体" w:hAnsi="宋体" w:cs="宋体"/>
                <w:bCs/>
                <w:kern w:val="0"/>
                <w:szCs w:val="21"/>
                <w:lang w:val="en-US" w:eastAsia="zh-CN"/>
              </w:rPr>
              <w:t>个</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2</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p>
        </w:tc>
      </w:tr>
      <w:tr>
        <w:tblPrEx>
          <w:tblCellMar>
            <w:top w:w="0" w:type="dxa"/>
            <w:left w:w="108" w:type="dxa"/>
            <w:bottom w:w="0" w:type="dxa"/>
            <w:right w:w="108" w:type="dxa"/>
          </w:tblCellMar>
        </w:tblPrEx>
        <w:trPr>
          <w:trHeight w:val="540" w:hRule="atLeast"/>
        </w:trPr>
        <w:tc>
          <w:tcPr>
            <w:tcW w:w="7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2.1</w:t>
            </w:r>
          </w:p>
        </w:tc>
        <w:tc>
          <w:tcPr>
            <w:tcW w:w="105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现场技术服务</w:t>
            </w:r>
          </w:p>
        </w:tc>
        <w:tc>
          <w:tcPr>
            <w:tcW w:w="25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现场配比、使用等培训以及后续试验相关配合现场工作</w:t>
            </w:r>
          </w:p>
        </w:tc>
        <w:tc>
          <w:tcPr>
            <w:tcW w:w="6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ascii="宋体" w:hAnsi="宋体" w:cs="宋体"/>
                <w:bCs/>
                <w:kern w:val="0"/>
                <w:szCs w:val="21"/>
              </w:rPr>
              <w:t>次</w:t>
            </w:r>
          </w:p>
        </w:tc>
        <w:tc>
          <w:tcPr>
            <w:tcW w:w="67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不限次数</w:t>
            </w:r>
          </w:p>
        </w:tc>
        <w:tc>
          <w:tcPr>
            <w:tcW w:w="77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69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cs="宋体"/>
                <w:bCs/>
                <w:kern w:val="0"/>
                <w:szCs w:val="21"/>
              </w:rPr>
            </w:pPr>
            <w:r>
              <w:rPr>
                <w:rFonts w:hint="eastAsia" w:ascii="宋体" w:hAnsi="宋体" w:cs="宋体"/>
                <w:bCs/>
                <w:kern w:val="0"/>
                <w:szCs w:val="21"/>
              </w:rPr>
              <w:t>/</w:t>
            </w:r>
          </w:p>
        </w:tc>
        <w:tc>
          <w:tcPr>
            <w:tcW w:w="127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cs="宋体" w:eastAsiaTheme="minorEastAsia"/>
                <w:bCs/>
                <w:kern w:val="0"/>
                <w:szCs w:val="21"/>
                <w:lang w:val="en-US" w:eastAsia="zh-CN"/>
              </w:rPr>
            </w:pPr>
            <w:r>
              <w:rPr>
                <w:rFonts w:hint="eastAsia" w:ascii="宋体" w:hAnsi="宋体" w:cs="宋体"/>
                <w:bCs/>
                <w:kern w:val="0"/>
                <w:szCs w:val="21"/>
                <w:lang w:val="en-US" w:eastAsia="zh-CN"/>
              </w:rPr>
              <w:t>终身质保</w:t>
            </w:r>
          </w:p>
        </w:tc>
      </w:tr>
    </w:tbl>
    <w:p>
      <w:pPr>
        <w:widowControl/>
        <w:spacing w:line="360" w:lineRule="auto"/>
        <w:outlineLvl w:val="0"/>
        <w:rPr>
          <w:rFonts w:ascii="Times New Roman" w:hAnsi="Times New Roman" w:eastAsia="宋体" w:cs="Times New Roman"/>
          <w:b/>
          <w:color w:val="auto"/>
          <w:sz w:val="28"/>
          <w:szCs w:val="24"/>
        </w:rPr>
      </w:pPr>
      <w:r>
        <w:rPr>
          <w:rFonts w:hint="eastAsia" w:ascii="Times New Roman" w:hAnsi="Times New Roman" w:eastAsia="宋体" w:cs="Times New Roman"/>
          <w:b/>
          <w:color w:val="auto"/>
          <w:sz w:val="28"/>
          <w:szCs w:val="24"/>
          <w:lang w:val="en-US" w:eastAsia="zh-CN"/>
        </w:rPr>
        <w:t>五、</w:t>
      </w:r>
      <w:r>
        <w:rPr>
          <w:rFonts w:ascii="Times New Roman" w:hAnsi="Times New Roman" w:eastAsia="宋体" w:cs="Times New Roman"/>
          <w:b/>
          <w:color w:val="auto"/>
          <w:sz w:val="28"/>
          <w:szCs w:val="24"/>
        </w:rPr>
        <w:t>包装、运输技术要求</w:t>
      </w:r>
    </w:p>
    <w:p>
      <w:pPr>
        <w:spacing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运输与包装应符合以下条款：</w:t>
      </w:r>
    </w:p>
    <w:p>
      <w:pPr>
        <w:pStyle w:val="23"/>
        <w:numPr>
          <w:ilvl w:val="0"/>
          <w:numId w:val="0"/>
        </w:numPr>
        <w:ind w:leftChars="0"/>
        <w:rPr>
          <w:rFonts w:ascii="Times New Roman" w:hAnsi="Times New Roman"/>
          <w:b/>
          <w:bCs/>
          <w:color w:val="auto"/>
          <w:sz w:val="28"/>
          <w:szCs w:val="28"/>
        </w:rPr>
      </w:pPr>
      <w:r>
        <w:rPr>
          <w:rFonts w:hint="eastAsia" w:ascii="Times New Roman" w:hAnsi="Times New Roman"/>
          <w:color w:val="auto"/>
          <w:sz w:val="21"/>
          <w:szCs w:val="21"/>
          <w:lang w:val="en-US" w:eastAsia="zh-CN"/>
        </w:rPr>
        <w:t>5.1</w:t>
      </w:r>
      <w:r>
        <w:rPr>
          <w:rFonts w:ascii="Times New Roman" w:hAnsi="Times New Roman"/>
          <w:color w:val="auto"/>
          <w:sz w:val="21"/>
          <w:szCs w:val="21"/>
        </w:rPr>
        <w:t>本</w:t>
      </w:r>
      <w:r>
        <w:rPr>
          <w:rFonts w:ascii="Times New Roman" w:hAnsi="Times New Roman"/>
          <w:bCs/>
          <w:color w:val="auto"/>
          <w:sz w:val="21"/>
          <w:szCs w:val="21"/>
        </w:rPr>
        <w:t>次采购设备的运输应满足《JB/T 5000.13-2007 重型机械通用技术条件第13</w:t>
      </w:r>
      <w:bookmarkStart w:id="0" w:name="OLE_LINK5"/>
      <w:r>
        <w:rPr>
          <w:rFonts w:ascii="Times New Roman" w:hAnsi="Times New Roman"/>
          <w:bCs/>
          <w:color w:val="auto"/>
          <w:sz w:val="21"/>
          <w:szCs w:val="21"/>
        </w:rPr>
        <w:t>部分：包装》、《GB 13384-2008机电产品包装通用技术条件》</w:t>
      </w:r>
      <w:bookmarkEnd w:id="0"/>
      <w:r>
        <w:rPr>
          <w:rFonts w:ascii="Times New Roman" w:hAnsi="Times New Roman"/>
          <w:bCs/>
          <w:color w:val="auto"/>
          <w:sz w:val="21"/>
          <w:szCs w:val="21"/>
        </w:rPr>
        <w:t>、《</w:t>
      </w:r>
      <w:r>
        <w:rPr>
          <w:rFonts w:ascii="Times New Roman" w:hAnsi="Times New Roman"/>
          <w:color w:val="auto"/>
          <w:sz w:val="21"/>
          <w:szCs w:val="21"/>
        </w:rPr>
        <w:t>GB/T 191-2008包装储运图示标志</w:t>
      </w:r>
      <w:r>
        <w:rPr>
          <w:rFonts w:ascii="Times New Roman" w:hAnsi="Times New Roman"/>
          <w:bCs/>
          <w:color w:val="auto"/>
          <w:sz w:val="21"/>
          <w:szCs w:val="21"/>
        </w:rPr>
        <w:t>》</w:t>
      </w:r>
      <w:r>
        <w:rPr>
          <w:rFonts w:ascii="Times New Roman" w:hAnsi="Times New Roman" w:eastAsiaTheme="minorEastAsia"/>
          <w:bCs/>
          <w:color w:val="auto"/>
          <w:sz w:val="21"/>
          <w:szCs w:val="21"/>
        </w:rPr>
        <w:t>等相关规定。</w:t>
      </w:r>
    </w:p>
    <w:p>
      <w:pPr>
        <w:widowControl/>
        <w:spacing w:line="360" w:lineRule="auto"/>
        <w:outlineLvl w:val="0"/>
        <w:rPr>
          <w:rFonts w:ascii="Times New Roman" w:hAnsi="Times New Roman" w:eastAsia="宋体" w:cs="Times New Roman"/>
          <w:b/>
          <w:color w:val="auto"/>
          <w:sz w:val="28"/>
          <w:szCs w:val="24"/>
        </w:rPr>
      </w:pPr>
      <w:r>
        <w:rPr>
          <w:rFonts w:hint="eastAsia" w:ascii="Times New Roman" w:hAnsi="Times New Roman" w:eastAsia="宋体" w:cs="Times New Roman"/>
          <w:b/>
          <w:color w:val="auto"/>
          <w:sz w:val="28"/>
          <w:szCs w:val="24"/>
          <w:lang w:val="en-US" w:eastAsia="zh-CN"/>
        </w:rPr>
        <w:t>六</w:t>
      </w:r>
      <w:r>
        <w:rPr>
          <w:rFonts w:ascii="Times New Roman" w:hAnsi="Times New Roman" w:eastAsia="宋体" w:cs="Times New Roman"/>
          <w:b/>
          <w:color w:val="auto"/>
          <w:sz w:val="28"/>
          <w:szCs w:val="24"/>
        </w:rPr>
        <w:t>、售后及增值服务要求</w:t>
      </w:r>
    </w:p>
    <w:p>
      <w:pPr>
        <w:pStyle w:val="22"/>
        <w:numPr>
          <w:ilvl w:val="0"/>
          <w:numId w:val="0"/>
        </w:numPr>
        <w:spacing w:line="360" w:lineRule="auto"/>
        <w:ind w:leftChars="0"/>
        <w:rPr>
          <w:rFonts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6.1</w:t>
      </w:r>
      <w:r>
        <w:rPr>
          <w:rFonts w:ascii="Times New Roman" w:hAnsi="Times New Roman" w:cs="Times New Roman" w:eastAsiaTheme="minorEastAsia"/>
          <w:color w:val="auto"/>
          <w:sz w:val="21"/>
          <w:szCs w:val="21"/>
          <w:lang w:eastAsia="zh-CN"/>
        </w:rPr>
        <w:t>卖方应提供相应的技术指导和必要的现场技术服务。买方在备品备件安装使用期间如遇问题，卖方应提供相应的技术指导；买方根据问题情况进行评估，如有需要，卖方须派有丰富经验的技术人员到现场进行技术服务，卖方应在接到买方通知的24小时内给予答复，并派技术人员在3天内到达现场。</w:t>
      </w:r>
    </w:p>
    <w:p>
      <w:pPr>
        <w:pStyle w:val="22"/>
        <w:numPr>
          <w:ilvl w:val="0"/>
          <w:numId w:val="0"/>
        </w:numPr>
        <w:spacing w:line="360" w:lineRule="auto"/>
        <w:ind w:leftChars="0"/>
        <w:rPr>
          <w:rFonts w:ascii="Times New Roman" w:hAnsi="Times New Roman" w:eastAsia="新宋体" w:cs="Times New Roman"/>
          <w:color w:val="auto"/>
          <w:sz w:val="21"/>
          <w:szCs w:val="21"/>
          <w:lang w:eastAsia="zh-CN"/>
        </w:rPr>
      </w:pPr>
      <w:r>
        <w:rPr>
          <w:rFonts w:hint="eastAsia" w:ascii="Times New Roman" w:hAnsi="Times New Roman" w:cs="Times New Roman" w:eastAsiaTheme="minorEastAsia"/>
          <w:color w:val="auto"/>
          <w:sz w:val="21"/>
          <w:szCs w:val="21"/>
          <w:lang w:val="en-US" w:eastAsia="zh-CN"/>
        </w:rPr>
        <w:t>6.2</w:t>
      </w:r>
      <w:r>
        <w:rPr>
          <w:rFonts w:ascii="Times New Roman" w:hAnsi="Times New Roman" w:cs="Times New Roman" w:eastAsiaTheme="minorEastAsia"/>
          <w:color w:val="auto"/>
          <w:sz w:val="21"/>
          <w:szCs w:val="21"/>
          <w:lang w:eastAsia="zh-CN"/>
        </w:rPr>
        <w:t>如遇有重大问题需要双方立即研究协商时，任何一方均可建议召开会议，除特殊情况外，另一方应配合参加。</w:t>
      </w:r>
    </w:p>
    <w:p>
      <w:pPr>
        <w:spacing w:line="360" w:lineRule="auto"/>
        <w:rPr>
          <w:rFonts w:hint="default" w:ascii="Times New Roman" w:hAnsi="Times New Roman" w:cs="Times New Roman" w:eastAsiaTheme="minorEastAsia"/>
          <w:b/>
          <w:bCs/>
          <w:color w:val="auto"/>
          <w:kern w:val="0"/>
          <w:sz w:val="21"/>
          <w:szCs w:val="21"/>
          <w:lang w:val="en-US" w:eastAsia="zh-CN" w:bidi="ar-SA"/>
        </w:rPr>
      </w:pPr>
    </w:p>
    <w:sectPr>
      <w:footerReference r:id="rId3"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7728210"/>
    </w:sdtPr>
    <w:sdtContent>
      <w:p>
        <w:pPr>
          <w:pStyle w:val="7"/>
          <w:jc w:val="center"/>
        </w:pPr>
        <w:r>
          <w:fldChar w:fldCharType="begin"/>
        </w:r>
        <w:r>
          <w:instrText xml:space="preserve">PAGE   \* MERGEFORMAT</w:instrText>
        </w:r>
        <w:r>
          <w:fldChar w:fldCharType="separate"/>
        </w:r>
        <w:r>
          <w:rPr>
            <w:lang w:val="zh-CN"/>
          </w:rPr>
          <w:t>7</w:t>
        </w:r>
        <w:r>
          <w:fldChar w:fldCharType="end"/>
        </w:r>
      </w:p>
    </w:sdtContent>
  </w:sdt>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F46A5"/>
    <w:multiLevelType w:val="singleLevel"/>
    <w:tmpl w:val="B2FF46A5"/>
    <w:lvl w:ilvl="0" w:tentative="0">
      <w:start w:val="3"/>
      <w:numFmt w:val="decimal"/>
      <w:suff w:val="space"/>
      <w:lvlText w:val="%1."/>
      <w:lvlJc w:val="left"/>
    </w:lvl>
  </w:abstractNum>
  <w:abstractNum w:abstractNumId="1">
    <w:nsid w:val="DBAD207C"/>
    <w:multiLevelType w:val="singleLevel"/>
    <w:tmpl w:val="DBAD207C"/>
    <w:lvl w:ilvl="0" w:tentative="0">
      <w:start w:val="1"/>
      <w:numFmt w:val="bullet"/>
      <w:lvlText w:val=""/>
      <w:lvlJc w:val="left"/>
      <w:pPr>
        <w:tabs>
          <w:tab w:val="left" w:pos="840"/>
        </w:tabs>
        <w:ind w:left="840" w:leftChars="0" w:hanging="420" w:firstLineChars="0"/>
      </w:pPr>
      <w:rPr>
        <w:rFonts w:hint="default" w:ascii="Wingdings" w:hAnsi="Wingdings"/>
      </w:rPr>
    </w:lvl>
  </w:abstractNum>
  <w:abstractNum w:abstractNumId="2">
    <w:nsid w:val="549F2712"/>
    <w:multiLevelType w:val="multilevel"/>
    <w:tmpl w:val="549F2712"/>
    <w:lvl w:ilvl="0" w:tentative="0">
      <w:start w:val="1"/>
      <w:numFmt w:val="decimal"/>
      <w:lvlText w:val="1.%1"/>
      <w:lvlJc w:val="left"/>
      <w:pPr>
        <w:ind w:left="846" w:hanging="420"/>
      </w:pPr>
      <w:rPr>
        <w:rFonts w:hint="eastAsia"/>
        <w:b/>
      </w:rPr>
    </w:lvl>
    <w:lvl w:ilvl="1" w:tentative="0">
      <w:start w:val="1"/>
      <w:numFmt w:val="decimal"/>
      <w:suff w:val="space"/>
      <w:lvlText w:val="1.1.%2"/>
      <w:lvlJc w:val="left"/>
      <w:pPr>
        <w:ind w:left="840" w:hanging="420"/>
      </w:pPr>
      <w:rPr>
        <w:rFonts w:hint="eastAsia"/>
        <w:b/>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E216B64"/>
    <w:multiLevelType w:val="singleLevel"/>
    <w:tmpl w:val="5E216B64"/>
    <w:lvl w:ilvl="0" w:tentative="0">
      <w:start w:val="3"/>
      <w:numFmt w:val="chineseCounting"/>
      <w:suff w:val="nothing"/>
      <w:lvlText w:val="%1、"/>
      <w:lvlJc w:val="left"/>
      <w:rPr>
        <w:rFonts w:hint="eastAsia"/>
        <w:b/>
        <w:bCs/>
      </w:rPr>
    </w:lvl>
  </w:abstractNum>
  <w:abstractNum w:abstractNumId="4">
    <w:nsid w:val="5E843F61"/>
    <w:multiLevelType w:val="singleLevel"/>
    <w:tmpl w:val="5E843F61"/>
    <w:lvl w:ilvl="0" w:tentative="0">
      <w:start w:val="2"/>
      <w:numFmt w:val="chineseCounting"/>
      <w:suff w:val="nothing"/>
      <w:lvlText w:val="%1、"/>
      <w:lvlJc w:val="left"/>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80D"/>
    <w:rsid w:val="00010D8E"/>
    <w:rsid w:val="000435AB"/>
    <w:rsid w:val="00045C7E"/>
    <w:rsid w:val="000531CE"/>
    <w:rsid w:val="00055F5F"/>
    <w:rsid w:val="00056CF2"/>
    <w:rsid w:val="0006287A"/>
    <w:rsid w:val="00071155"/>
    <w:rsid w:val="00083FF6"/>
    <w:rsid w:val="0009080D"/>
    <w:rsid w:val="00091CBC"/>
    <w:rsid w:val="00094C04"/>
    <w:rsid w:val="000D0588"/>
    <w:rsid w:val="000E09BB"/>
    <w:rsid w:val="000E0BB0"/>
    <w:rsid w:val="000E36FD"/>
    <w:rsid w:val="000F0E54"/>
    <w:rsid w:val="000F6312"/>
    <w:rsid w:val="0011120D"/>
    <w:rsid w:val="001172DF"/>
    <w:rsid w:val="0012463C"/>
    <w:rsid w:val="00135163"/>
    <w:rsid w:val="0014199F"/>
    <w:rsid w:val="00156AD4"/>
    <w:rsid w:val="001673F7"/>
    <w:rsid w:val="00181102"/>
    <w:rsid w:val="00192F65"/>
    <w:rsid w:val="001A2AFE"/>
    <w:rsid w:val="001B02E6"/>
    <w:rsid w:val="001C7213"/>
    <w:rsid w:val="001D0CEA"/>
    <w:rsid w:val="001D1CC3"/>
    <w:rsid w:val="001E0C15"/>
    <w:rsid w:val="001F12C9"/>
    <w:rsid w:val="00210D2A"/>
    <w:rsid w:val="0021144F"/>
    <w:rsid w:val="0021334F"/>
    <w:rsid w:val="00213895"/>
    <w:rsid w:val="00225F92"/>
    <w:rsid w:val="00227005"/>
    <w:rsid w:val="00250393"/>
    <w:rsid w:val="00271CCF"/>
    <w:rsid w:val="002972EF"/>
    <w:rsid w:val="002A5FAB"/>
    <w:rsid w:val="002B0D12"/>
    <w:rsid w:val="002B7208"/>
    <w:rsid w:val="002B736F"/>
    <w:rsid w:val="002C0BF1"/>
    <w:rsid w:val="002D02DB"/>
    <w:rsid w:val="002D41B5"/>
    <w:rsid w:val="002D52C6"/>
    <w:rsid w:val="002E29FB"/>
    <w:rsid w:val="002E2CE7"/>
    <w:rsid w:val="002F3C81"/>
    <w:rsid w:val="00331381"/>
    <w:rsid w:val="0033147D"/>
    <w:rsid w:val="003328AE"/>
    <w:rsid w:val="003334CE"/>
    <w:rsid w:val="00347D81"/>
    <w:rsid w:val="00350C19"/>
    <w:rsid w:val="00352FFB"/>
    <w:rsid w:val="00353A12"/>
    <w:rsid w:val="00384FA9"/>
    <w:rsid w:val="00385D0E"/>
    <w:rsid w:val="00390490"/>
    <w:rsid w:val="003C01D8"/>
    <w:rsid w:val="003C4037"/>
    <w:rsid w:val="003C6093"/>
    <w:rsid w:val="003C68F9"/>
    <w:rsid w:val="003E2BFC"/>
    <w:rsid w:val="00421A43"/>
    <w:rsid w:val="00423255"/>
    <w:rsid w:val="00430637"/>
    <w:rsid w:val="0043738E"/>
    <w:rsid w:val="00437649"/>
    <w:rsid w:val="00440CB6"/>
    <w:rsid w:val="00450026"/>
    <w:rsid w:val="0045668E"/>
    <w:rsid w:val="004872A4"/>
    <w:rsid w:val="004C24C6"/>
    <w:rsid w:val="004D686F"/>
    <w:rsid w:val="004F157A"/>
    <w:rsid w:val="004F1803"/>
    <w:rsid w:val="004F37DD"/>
    <w:rsid w:val="00506BD8"/>
    <w:rsid w:val="00513701"/>
    <w:rsid w:val="00517B1A"/>
    <w:rsid w:val="00523AFE"/>
    <w:rsid w:val="00561721"/>
    <w:rsid w:val="0057490A"/>
    <w:rsid w:val="005856DD"/>
    <w:rsid w:val="005B14E1"/>
    <w:rsid w:val="005B1763"/>
    <w:rsid w:val="005D155E"/>
    <w:rsid w:val="005D211C"/>
    <w:rsid w:val="005D62D0"/>
    <w:rsid w:val="005E056B"/>
    <w:rsid w:val="006077E3"/>
    <w:rsid w:val="00624733"/>
    <w:rsid w:val="00636037"/>
    <w:rsid w:val="006400DC"/>
    <w:rsid w:val="00645FD3"/>
    <w:rsid w:val="00652D24"/>
    <w:rsid w:val="0066162E"/>
    <w:rsid w:val="006C08AB"/>
    <w:rsid w:val="006C26D4"/>
    <w:rsid w:val="006C76B8"/>
    <w:rsid w:val="006D34CA"/>
    <w:rsid w:val="006D478B"/>
    <w:rsid w:val="006D5ACA"/>
    <w:rsid w:val="006E7E66"/>
    <w:rsid w:val="0071773B"/>
    <w:rsid w:val="00720911"/>
    <w:rsid w:val="00730A19"/>
    <w:rsid w:val="00733A48"/>
    <w:rsid w:val="00734B8D"/>
    <w:rsid w:val="00735061"/>
    <w:rsid w:val="00745A73"/>
    <w:rsid w:val="00762BBB"/>
    <w:rsid w:val="007750EC"/>
    <w:rsid w:val="00781DFE"/>
    <w:rsid w:val="0079420D"/>
    <w:rsid w:val="007B3CAC"/>
    <w:rsid w:val="007B5E30"/>
    <w:rsid w:val="007D4731"/>
    <w:rsid w:val="007E08F2"/>
    <w:rsid w:val="007E3DB7"/>
    <w:rsid w:val="007E4643"/>
    <w:rsid w:val="007F3BC6"/>
    <w:rsid w:val="007F72B8"/>
    <w:rsid w:val="0080147C"/>
    <w:rsid w:val="00803600"/>
    <w:rsid w:val="00806FEF"/>
    <w:rsid w:val="008131C8"/>
    <w:rsid w:val="00820E2A"/>
    <w:rsid w:val="00824001"/>
    <w:rsid w:val="00837F2E"/>
    <w:rsid w:val="008701E1"/>
    <w:rsid w:val="008864C6"/>
    <w:rsid w:val="008B061D"/>
    <w:rsid w:val="008B754F"/>
    <w:rsid w:val="008D00EB"/>
    <w:rsid w:val="00904561"/>
    <w:rsid w:val="00917494"/>
    <w:rsid w:val="00921AD3"/>
    <w:rsid w:val="00921CB1"/>
    <w:rsid w:val="00931DFB"/>
    <w:rsid w:val="00934FE7"/>
    <w:rsid w:val="009523BD"/>
    <w:rsid w:val="00953DA4"/>
    <w:rsid w:val="00954A20"/>
    <w:rsid w:val="00955925"/>
    <w:rsid w:val="00957C0B"/>
    <w:rsid w:val="00976A4E"/>
    <w:rsid w:val="009A68EE"/>
    <w:rsid w:val="009B3DDE"/>
    <w:rsid w:val="009D4089"/>
    <w:rsid w:val="009E05FC"/>
    <w:rsid w:val="009E30F7"/>
    <w:rsid w:val="009E43A0"/>
    <w:rsid w:val="009F745A"/>
    <w:rsid w:val="00A013D4"/>
    <w:rsid w:val="00A135D2"/>
    <w:rsid w:val="00A22E9B"/>
    <w:rsid w:val="00A36B4C"/>
    <w:rsid w:val="00A55211"/>
    <w:rsid w:val="00A57A66"/>
    <w:rsid w:val="00A9307F"/>
    <w:rsid w:val="00A939D0"/>
    <w:rsid w:val="00AB6E81"/>
    <w:rsid w:val="00AC7DA2"/>
    <w:rsid w:val="00AE093F"/>
    <w:rsid w:val="00AE76B2"/>
    <w:rsid w:val="00AF0B31"/>
    <w:rsid w:val="00B075D1"/>
    <w:rsid w:val="00B07BDE"/>
    <w:rsid w:val="00B12ECA"/>
    <w:rsid w:val="00B15255"/>
    <w:rsid w:val="00B1530A"/>
    <w:rsid w:val="00B238C8"/>
    <w:rsid w:val="00B27F23"/>
    <w:rsid w:val="00B512B4"/>
    <w:rsid w:val="00B530F9"/>
    <w:rsid w:val="00B53EEF"/>
    <w:rsid w:val="00B56D21"/>
    <w:rsid w:val="00B5701E"/>
    <w:rsid w:val="00B7188E"/>
    <w:rsid w:val="00B94B9A"/>
    <w:rsid w:val="00BA1A7B"/>
    <w:rsid w:val="00BC4973"/>
    <w:rsid w:val="00BC7976"/>
    <w:rsid w:val="00BD1692"/>
    <w:rsid w:val="00BD52CF"/>
    <w:rsid w:val="00C10464"/>
    <w:rsid w:val="00C10909"/>
    <w:rsid w:val="00C20C5B"/>
    <w:rsid w:val="00C433A7"/>
    <w:rsid w:val="00C43A61"/>
    <w:rsid w:val="00C45A8E"/>
    <w:rsid w:val="00C65315"/>
    <w:rsid w:val="00C668CA"/>
    <w:rsid w:val="00C70C12"/>
    <w:rsid w:val="00C8478F"/>
    <w:rsid w:val="00C973AE"/>
    <w:rsid w:val="00C97D24"/>
    <w:rsid w:val="00CA07A3"/>
    <w:rsid w:val="00CA79CB"/>
    <w:rsid w:val="00CE2512"/>
    <w:rsid w:val="00CF3224"/>
    <w:rsid w:val="00D02DBB"/>
    <w:rsid w:val="00D0313A"/>
    <w:rsid w:val="00D17BB4"/>
    <w:rsid w:val="00D266A9"/>
    <w:rsid w:val="00D32540"/>
    <w:rsid w:val="00D61E46"/>
    <w:rsid w:val="00D94324"/>
    <w:rsid w:val="00DA0A0C"/>
    <w:rsid w:val="00DB308E"/>
    <w:rsid w:val="00DC09A6"/>
    <w:rsid w:val="00DD59E4"/>
    <w:rsid w:val="00DE363F"/>
    <w:rsid w:val="00DE6BFB"/>
    <w:rsid w:val="00E10CE4"/>
    <w:rsid w:val="00E3027B"/>
    <w:rsid w:val="00E5282D"/>
    <w:rsid w:val="00E5384A"/>
    <w:rsid w:val="00E74971"/>
    <w:rsid w:val="00E912F7"/>
    <w:rsid w:val="00EB0334"/>
    <w:rsid w:val="00EC2F67"/>
    <w:rsid w:val="00EC32BC"/>
    <w:rsid w:val="00ED7A16"/>
    <w:rsid w:val="00EE3D09"/>
    <w:rsid w:val="00F06705"/>
    <w:rsid w:val="00F06AFA"/>
    <w:rsid w:val="00F15D5F"/>
    <w:rsid w:val="00F221CA"/>
    <w:rsid w:val="00F37C58"/>
    <w:rsid w:val="00F413C1"/>
    <w:rsid w:val="00F41BBB"/>
    <w:rsid w:val="00F5327D"/>
    <w:rsid w:val="00F6591F"/>
    <w:rsid w:val="00F85114"/>
    <w:rsid w:val="00FA4406"/>
    <w:rsid w:val="00FE2666"/>
    <w:rsid w:val="00FE6AA1"/>
    <w:rsid w:val="00FF4302"/>
    <w:rsid w:val="022E40B2"/>
    <w:rsid w:val="02EE3AF9"/>
    <w:rsid w:val="033D30D4"/>
    <w:rsid w:val="04B70954"/>
    <w:rsid w:val="04E55F72"/>
    <w:rsid w:val="0545559B"/>
    <w:rsid w:val="061B16CE"/>
    <w:rsid w:val="06501A18"/>
    <w:rsid w:val="069013E2"/>
    <w:rsid w:val="06A006AB"/>
    <w:rsid w:val="073054A1"/>
    <w:rsid w:val="07AD7F38"/>
    <w:rsid w:val="08FB0661"/>
    <w:rsid w:val="0A27130C"/>
    <w:rsid w:val="0A9A60B4"/>
    <w:rsid w:val="0B1E6540"/>
    <w:rsid w:val="0B641137"/>
    <w:rsid w:val="0CCC0948"/>
    <w:rsid w:val="0EE43E37"/>
    <w:rsid w:val="0F2E7E2A"/>
    <w:rsid w:val="10AF2F21"/>
    <w:rsid w:val="10D1694F"/>
    <w:rsid w:val="10F12D1E"/>
    <w:rsid w:val="112400C1"/>
    <w:rsid w:val="116F771D"/>
    <w:rsid w:val="11EC0165"/>
    <w:rsid w:val="12BB3C4D"/>
    <w:rsid w:val="12E51F0E"/>
    <w:rsid w:val="1307756A"/>
    <w:rsid w:val="13A24624"/>
    <w:rsid w:val="140664C6"/>
    <w:rsid w:val="14F467F6"/>
    <w:rsid w:val="16A00CB3"/>
    <w:rsid w:val="16AF6AD6"/>
    <w:rsid w:val="172E18B4"/>
    <w:rsid w:val="1780206B"/>
    <w:rsid w:val="1B005248"/>
    <w:rsid w:val="1B377BAA"/>
    <w:rsid w:val="1B4C56E3"/>
    <w:rsid w:val="1B7D7B84"/>
    <w:rsid w:val="1BB26D05"/>
    <w:rsid w:val="1CBE43F2"/>
    <w:rsid w:val="1DAA46DD"/>
    <w:rsid w:val="1DE929EA"/>
    <w:rsid w:val="1EC92DB5"/>
    <w:rsid w:val="1FA54140"/>
    <w:rsid w:val="220260B4"/>
    <w:rsid w:val="222164A3"/>
    <w:rsid w:val="22DC542C"/>
    <w:rsid w:val="2392149F"/>
    <w:rsid w:val="247A7569"/>
    <w:rsid w:val="24CC0B89"/>
    <w:rsid w:val="25614105"/>
    <w:rsid w:val="266657FF"/>
    <w:rsid w:val="276668D9"/>
    <w:rsid w:val="28135222"/>
    <w:rsid w:val="29087800"/>
    <w:rsid w:val="294718F6"/>
    <w:rsid w:val="299A35B8"/>
    <w:rsid w:val="2BBF1BE9"/>
    <w:rsid w:val="2BEC2AB6"/>
    <w:rsid w:val="2D220190"/>
    <w:rsid w:val="2DCF6E4E"/>
    <w:rsid w:val="2EB769E6"/>
    <w:rsid w:val="2EF96280"/>
    <w:rsid w:val="2F261D0E"/>
    <w:rsid w:val="2F6D3242"/>
    <w:rsid w:val="32C32A60"/>
    <w:rsid w:val="32D04F88"/>
    <w:rsid w:val="335D638A"/>
    <w:rsid w:val="33666F43"/>
    <w:rsid w:val="33791083"/>
    <w:rsid w:val="33B07EAE"/>
    <w:rsid w:val="33DA4592"/>
    <w:rsid w:val="34886472"/>
    <w:rsid w:val="34A13EA6"/>
    <w:rsid w:val="35434E7B"/>
    <w:rsid w:val="355D0B55"/>
    <w:rsid w:val="358E62B8"/>
    <w:rsid w:val="36013C3D"/>
    <w:rsid w:val="36A05144"/>
    <w:rsid w:val="373E3767"/>
    <w:rsid w:val="384772AC"/>
    <w:rsid w:val="387F4680"/>
    <w:rsid w:val="399D7E25"/>
    <w:rsid w:val="39BF2B1A"/>
    <w:rsid w:val="3A467FB2"/>
    <w:rsid w:val="3ACD2BA2"/>
    <w:rsid w:val="3B0729C5"/>
    <w:rsid w:val="3B6707FB"/>
    <w:rsid w:val="3C393BFB"/>
    <w:rsid w:val="3C401B74"/>
    <w:rsid w:val="3C5C1D9E"/>
    <w:rsid w:val="3D156390"/>
    <w:rsid w:val="3E9B667A"/>
    <w:rsid w:val="3F997571"/>
    <w:rsid w:val="3FBC60C2"/>
    <w:rsid w:val="3FEA747A"/>
    <w:rsid w:val="400021FF"/>
    <w:rsid w:val="407001EA"/>
    <w:rsid w:val="42643A1A"/>
    <w:rsid w:val="426F5A65"/>
    <w:rsid w:val="431D7B3E"/>
    <w:rsid w:val="4326325D"/>
    <w:rsid w:val="4368440B"/>
    <w:rsid w:val="43784228"/>
    <w:rsid w:val="44235135"/>
    <w:rsid w:val="455C21CC"/>
    <w:rsid w:val="458A006F"/>
    <w:rsid w:val="45EC3657"/>
    <w:rsid w:val="46C47AB7"/>
    <w:rsid w:val="48317308"/>
    <w:rsid w:val="48C7756C"/>
    <w:rsid w:val="4B273104"/>
    <w:rsid w:val="4B31750B"/>
    <w:rsid w:val="4BBF79D6"/>
    <w:rsid w:val="4CFD3A62"/>
    <w:rsid w:val="4D1E7A48"/>
    <w:rsid w:val="4E181D0A"/>
    <w:rsid w:val="4EDC1931"/>
    <w:rsid w:val="4F530ACA"/>
    <w:rsid w:val="4FB828AE"/>
    <w:rsid w:val="50AB584D"/>
    <w:rsid w:val="50ED5F60"/>
    <w:rsid w:val="537A0344"/>
    <w:rsid w:val="539B078E"/>
    <w:rsid w:val="54BC0C9E"/>
    <w:rsid w:val="562263E3"/>
    <w:rsid w:val="570F42D6"/>
    <w:rsid w:val="58B22949"/>
    <w:rsid w:val="598C450A"/>
    <w:rsid w:val="5A2F6F7B"/>
    <w:rsid w:val="5B0E37EC"/>
    <w:rsid w:val="5B1B4AC4"/>
    <w:rsid w:val="5C3D19D4"/>
    <w:rsid w:val="5C633930"/>
    <w:rsid w:val="5D8379FE"/>
    <w:rsid w:val="5DB765FA"/>
    <w:rsid w:val="5DBE7625"/>
    <w:rsid w:val="5E9C6547"/>
    <w:rsid w:val="5F07689D"/>
    <w:rsid w:val="60A31224"/>
    <w:rsid w:val="60AB00D2"/>
    <w:rsid w:val="61140A90"/>
    <w:rsid w:val="61BC4DA2"/>
    <w:rsid w:val="62535159"/>
    <w:rsid w:val="630C1565"/>
    <w:rsid w:val="63265324"/>
    <w:rsid w:val="635E0BFA"/>
    <w:rsid w:val="667D496C"/>
    <w:rsid w:val="66B873D5"/>
    <w:rsid w:val="66C3726B"/>
    <w:rsid w:val="67062EFC"/>
    <w:rsid w:val="67150D13"/>
    <w:rsid w:val="676C6A4A"/>
    <w:rsid w:val="679003FC"/>
    <w:rsid w:val="688358FD"/>
    <w:rsid w:val="68A377B8"/>
    <w:rsid w:val="6A4845D3"/>
    <w:rsid w:val="6AE32E8B"/>
    <w:rsid w:val="6B381ABA"/>
    <w:rsid w:val="6CA10BE4"/>
    <w:rsid w:val="6E0253C4"/>
    <w:rsid w:val="6F831542"/>
    <w:rsid w:val="6FD79875"/>
    <w:rsid w:val="705305E9"/>
    <w:rsid w:val="70AE66DA"/>
    <w:rsid w:val="71D37019"/>
    <w:rsid w:val="76DC0C77"/>
    <w:rsid w:val="76EF26E8"/>
    <w:rsid w:val="778938FE"/>
    <w:rsid w:val="77A6D4ED"/>
    <w:rsid w:val="7822174A"/>
    <w:rsid w:val="78AB7052"/>
    <w:rsid w:val="78FFF5F8"/>
    <w:rsid w:val="791D415F"/>
    <w:rsid w:val="7B71655E"/>
    <w:rsid w:val="7CED050D"/>
    <w:rsid w:val="7D0B6210"/>
    <w:rsid w:val="7DFCD64F"/>
    <w:rsid w:val="7EBB396C"/>
    <w:rsid w:val="7FBEB635"/>
    <w:rsid w:val="7FEE5BC2"/>
    <w:rsid w:val="9EDB6D96"/>
    <w:rsid w:val="9F6F3183"/>
    <w:rsid w:val="BB6FF41D"/>
    <w:rsid w:val="BFEF2FB3"/>
    <w:rsid w:val="BFF7CC6F"/>
    <w:rsid w:val="EEFBFA15"/>
    <w:rsid w:val="EFB36301"/>
    <w:rsid w:val="F1471853"/>
    <w:rsid w:val="F7FD073F"/>
    <w:rsid w:val="FFDDE0B5"/>
    <w:rsid w:val="FFEA15DE"/>
    <w:rsid w:val="FFEF0498"/>
    <w:rsid w:val="FFF82BB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adjustRightInd w:val="0"/>
      <w:spacing w:before="260" w:after="260" w:line="416" w:lineRule="atLeast"/>
      <w:textAlignment w:val="baseline"/>
      <w:outlineLvl w:val="1"/>
    </w:pPr>
    <w:rPr>
      <w:rFonts w:ascii="宋体"/>
      <w:b/>
      <w:kern w:val="44"/>
      <w:sz w:val="32"/>
      <w:szCs w:val="20"/>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Cs w:val="32"/>
    </w:rPr>
  </w:style>
  <w:style w:type="paragraph" w:styleId="5">
    <w:name w:val="Document Map"/>
    <w:basedOn w:val="1"/>
    <w:link w:val="27"/>
    <w:unhideWhenUsed/>
    <w:qFormat/>
    <w:uiPriority w:val="99"/>
    <w:rPr>
      <w:rFonts w:ascii="宋体" w:eastAsia="宋体"/>
      <w:sz w:val="18"/>
      <w:szCs w:val="18"/>
    </w:rPr>
  </w:style>
  <w:style w:type="paragraph" w:styleId="6">
    <w:name w:val="annotation text"/>
    <w:basedOn w:val="1"/>
    <w:unhideWhenUsed/>
    <w:qFormat/>
    <w:uiPriority w:val="99"/>
    <w:pPr>
      <w:jc w:val="left"/>
    </w:pPr>
  </w:style>
  <w:style w:type="paragraph" w:styleId="7">
    <w:name w:val="footer"/>
    <w:basedOn w:val="1"/>
    <w:link w:val="21"/>
    <w:unhideWhenUsed/>
    <w:qFormat/>
    <w:uiPriority w:val="99"/>
    <w:pPr>
      <w:tabs>
        <w:tab w:val="center" w:pos="4153"/>
        <w:tab w:val="right" w:pos="8306"/>
      </w:tabs>
      <w:snapToGrid w:val="0"/>
      <w:jc w:val="left"/>
    </w:pPr>
    <w:rPr>
      <w:sz w:val="18"/>
      <w:szCs w:val="18"/>
    </w:rPr>
  </w:style>
  <w:style w:type="paragraph" w:styleId="8">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FollowedHyperlink"/>
    <w:basedOn w:val="11"/>
    <w:unhideWhenUsed/>
    <w:qFormat/>
    <w:uiPriority w:val="99"/>
    <w:rPr>
      <w:color w:val="515151"/>
      <w:u w:val="none"/>
    </w:rPr>
  </w:style>
  <w:style w:type="character" w:styleId="13">
    <w:name w:val="Emphasis"/>
    <w:basedOn w:val="11"/>
    <w:qFormat/>
    <w:uiPriority w:val="20"/>
    <w:rPr>
      <w:i/>
    </w:rPr>
  </w:style>
  <w:style w:type="character" w:styleId="14">
    <w:name w:val="HTML Definition"/>
    <w:basedOn w:val="11"/>
    <w:unhideWhenUsed/>
    <w:qFormat/>
    <w:uiPriority w:val="99"/>
  </w:style>
  <w:style w:type="character" w:styleId="15">
    <w:name w:val="HTML Acronym"/>
    <w:basedOn w:val="11"/>
    <w:unhideWhenUsed/>
    <w:qFormat/>
    <w:uiPriority w:val="99"/>
  </w:style>
  <w:style w:type="character" w:styleId="16">
    <w:name w:val="HTML Variable"/>
    <w:basedOn w:val="11"/>
    <w:unhideWhenUsed/>
    <w:qFormat/>
    <w:uiPriority w:val="99"/>
  </w:style>
  <w:style w:type="character" w:styleId="17">
    <w:name w:val="Hyperlink"/>
    <w:basedOn w:val="11"/>
    <w:unhideWhenUsed/>
    <w:qFormat/>
    <w:uiPriority w:val="99"/>
    <w:rPr>
      <w:color w:val="515151"/>
      <w:u w:val="none"/>
    </w:rPr>
  </w:style>
  <w:style w:type="character" w:styleId="18">
    <w:name w:val="HTML Code"/>
    <w:basedOn w:val="11"/>
    <w:unhideWhenUsed/>
    <w:qFormat/>
    <w:uiPriority w:val="99"/>
    <w:rPr>
      <w:rFonts w:ascii="Courier New" w:hAnsi="Courier New"/>
      <w:sz w:val="20"/>
    </w:rPr>
  </w:style>
  <w:style w:type="character" w:styleId="19">
    <w:name w:val="HTML Cite"/>
    <w:basedOn w:val="11"/>
    <w:unhideWhenUsed/>
    <w:qFormat/>
    <w:uiPriority w:val="99"/>
  </w:style>
  <w:style w:type="character" w:customStyle="1" w:styleId="20">
    <w:name w:val="页眉 Char"/>
    <w:basedOn w:val="11"/>
    <w:link w:val="8"/>
    <w:qFormat/>
    <w:uiPriority w:val="99"/>
    <w:rPr>
      <w:sz w:val="18"/>
      <w:szCs w:val="18"/>
    </w:rPr>
  </w:style>
  <w:style w:type="character" w:customStyle="1" w:styleId="21">
    <w:name w:val="页脚 Char"/>
    <w:basedOn w:val="11"/>
    <w:link w:val="7"/>
    <w:qFormat/>
    <w:uiPriority w:val="99"/>
    <w:rPr>
      <w:sz w:val="18"/>
      <w:szCs w:val="18"/>
    </w:rPr>
  </w:style>
  <w:style w:type="paragraph" w:customStyle="1" w:styleId="22">
    <w:name w:val="List Paragraph"/>
    <w:basedOn w:val="1"/>
    <w:qFormat/>
    <w:uiPriority w:val="34"/>
    <w:pPr>
      <w:jc w:val="left"/>
    </w:pPr>
    <w:rPr>
      <w:rFonts w:eastAsiaTheme="minorHAnsi"/>
      <w:kern w:val="0"/>
      <w:sz w:val="22"/>
      <w:lang w:eastAsia="en-US"/>
    </w:rPr>
  </w:style>
  <w:style w:type="paragraph" w:customStyle="1" w:styleId="23">
    <w:name w:val="方案正文"/>
    <w:basedOn w:val="1"/>
    <w:qFormat/>
    <w:uiPriority w:val="0"/>
    <w:pPr>
      <w:spacing w:line="360" w:lineRule="auto"/>
      <w:ind w:firstLine="480" w:firstLineChars="200"/>
    </w:pPr>
    <w:rPr>
      <w:rFonts w:ascii="仿宋_GB2312" w:hAnsi="Calibri" w:eastAsia="宋体" w:cs="Times New Roman"/>
      <w:sz w:val="24"/>
      <w:szCs w:val="24"/>
    </w:rPr>
  </w:style>
  <w:style w:type="paragraph" w:customStyle="1" w:styleId="24">
    <w:name w:val="_Style 4"/>
    <w:basedOn w:val="1"/>
    <w:qFormat/>
    <w:uiPriority w:val="34"/>
    <w:pPr>
      <w:ind w:firstLine="420" w:firstLineChars="200"/>
    </w:pPr>
    <w:rPr>
      <w:rFonts w:ascii="Times New Roman" w:hAnsi="Times New Roman" w:eastAsia="宋体" w:cs="Times New Roman"/>
      <w:szCs w:val="24"/>
    </w:rPr>
  </w:style>
  <w:style w:type="character" w:customStyle="1" w:styleId="25">
    <w:name w:val="font11"/>
    <w:basedOn w:val="11"/>
    <w:qFormat/>
    <w:uiPriority w:val="0"/>
    <w:rPr>
      <w:rFonts w:hint="eastAsia" w:ascii="宋体" w:hAnsi="宋体" w:eastAsia="宋体"/>
      <w:color w:val="000000"/>
      <w:sz w:val="21"/>
      <w:szCs w:val="21"/>
      <w:u w:val="none"/>
    </w:rPr>
  </w:style>
  <w:style w:type="character" w:customStyle="1" w:styleId="26">
    <w:name w:val="font31"/>
    <w:basedOn w:val="11"/>
    <w:qFormat/>
    <w:uiPriority w:val="0"/>
    <w:rPr>
      <w:rFonts w:hint="eastAsia" w:ascii="宋体" w:hAnsi="宋体" w:eastAsia="宋体"/>
      <w:color w:val="000000"/>
      <w:sz w:val="20"/>
      <w:szCs w:val="20"/>
      <w:u w:val="none"/>
    </w:rPr>
  </w:style>
  <w:style w:type="character" w:customStyle="1" w:styleId="27">
    <w:name w:val="文档结构图 Char"/>
    <w:basedOn w:val="11"/>
    <w:link w:val="5"/>
    <w:semiHidden/>
    <w:qFormat/>
    <w:uiPriority w:val="99"/>
    <w:rPr>
      <w:rFonts w:ascii="宋体" w:eastAsia="宋体"/>
      <w:kern w:val="2"/>
      <w:sz w:val="18"/>
      <w:szCs w:val="18"/>
    </w:rPr>
  </w:style>
  <w:style w:type="character" w:customStyle="1" w:styleId="28">
    <w:name w:val="l-selected"/>
    <w:basedOn w:val="11"/>
    <w:qFormat/>
    <w:uiPriority w:val="0"/>
    <w:rPr>
      <w:color w:val="355686"/>
      <w:bdr w:val="single" w:color="DAB364" w:sz="4" w:space="0"/>
      <w:shd w:val="clear" w:fill="FFFFFF"/>
    </w:rPr>
  </w:style>
  <w:style w:type="character" w:customStyle="1" w:styleId="29">
    <w:name w:val="icon"/>
    <w:basedOn w:val="11"/>
    <w:qFormat/>
    <w:uiPriority w:val="0"/>
  </w:style>
  <w:style w:type="character" w:customStyle="1" w:styleId="30">
    <w:name w:val="icon1"/>
    <w:basedOn w:val="11"/>
    <w:qFormat/>
    <w:uiPriority w:val="0"/>
  </w:style>
  <w:style w:type="character" w:customStyle="1" w:styleId="31">
    <w:name w:val="l-over"/>
    <w:basedOn w:val="11"/>
    <w:qFormat/>
    <w:uiPriority w:val="0"/>
    <w:rPr>
      <w:bdr w:val="single" w:color="DAB364" w:sz="4" w:space="0"/>
    </w:rPr>
  </w:style>
  <w:style w:type="character" w:customStyle="1" w:styleId="32">
    <w:name w:val="l-open"/>
    <w:basedOn w:val="11"/>
    <w:qFormat/>
    <w:uiPriority w:val="0"/>
  </w:style>
  <w:style w:type="paragraph" w:customStyle="1" w:styleId="33">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3EED75F6-2A60-49F4-A97C-8962D3CF883F}">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784</Words>
  <Characters>4475</Characters>
  <Lines>37</Lines>
  <Paragraphs>10</Paragraphs>
  <TotalTime>253</TotalTime>
  <ScaleCrop>false</ScaleCrop>
  <LinksUpToDate>false</LinksUpToDate>
  <CharactersWithSpaces>5249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2019-07-06T21:01:00Z</dcterms:created>
  <dc:creator>dameng</dc:creator>
  <cp:lastModifiedBy>孙鹏</cp:lastModifiedBy>
  <cp:lastPrinted>2020-01-17T11:21:00Z</cp:lastPrinted>
  <dcterms:modified xsi:type="dcterms:W3CDTF">2026-08-05T08:37:57Z</dcterms:modified>
  <cp:revision>136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2B369496B2804EAAA8ADC8517AE1996A</vt:lpwstr>
  </property>
</Properties>
</file>