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45D0B">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南网科研院2026年安全生产季线下趣味活动</w:t>
      </w:r>
    </w:p>
    <w:p w14:paraId="3B9BADA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组织策划服务</w:t>
      </w:r>
    </w:p>
    <w:p w14:paraId="1654B468">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零星采购技术附件</w:t>
      </w:r>
    </w:p>
    <w:p w14:paraId="36AB78B9">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bookmarkStart w:id="0" w:name="_TOC_250000"/>
      <w:bookmarkEnd w:id="0"/>
      <w:r>
        <w:rPr>
          <w:rFonts w:hint="eastAsia" w:ascii="黑体" w:hAnsi="黑体" w:eastAsia="黑体" w:cs="黑体"/>
          <w:sz w:val="28"/>
          <w:szCs w:val="28"/>
          <w:highlight w:val="none"/>
          <w:lang w:val="en-US" w:eastAsia="zh-CN"/>
        </w:rPr>
        <w:t>一、采购范围及要求</w:t>
      </w:r>
    </w:p>
    <w:p w14:paraId="5D22C689">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（一）</w:t>
      </w:r>
      <w:r>
        <w:rPr>
          <w:rFonts w:hint="eastAsia" w:ascii="黑体" w:hAnsi="黑体" w:eastAsia="黑体" w:cs="黑体"/>
          <w:sz w:val="28"/>
          <w:szCs w:val="28"/>
          <w:highlight w:val="none"/>
        </w:rPr>
        <w:t>项目</w:t>
      </w:r>
      <w:r>
        <w:rPr>
          <w:rFonts w:hint="eastAsia" w:ascii="黑体" w:hAnsi="黑体" w:eastAsia="黑体" w:cs="黑体"/>
          <w:sz w:val="28"/>
          <w:szCs w:val="28"/>
          <w:highlight w:val="none"/>
          <w:lang w:val="en-US" w:eastAsia="zh-CN"/>
        </w:rPr>
        <w:t>概况</w:t>
      </w:r>
    </w:p>
    <w:p w14:paraId="29EC69B1">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项目概述：为进一步强化员工安全意识和风险防控能力，组织开展“排查整治风险隐患”线下趣味安全活动，通过沉浸式、互动式、趣味化的线下安全闯关体验、知识问答、隐患找茬等多元化活动形式，普及安全生产知识，推动安全知识技能入脑入心、见行见效。</w:t>
      </w:r>
    </w:p>
    <w:p w14:paraId="41416EDD">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2.服务周期：2026年1</w:t>
      </w:r>
      <w:r>
        <w:rPr>
          <w:rFonts w:hint="default" w:ascii="仿宋_GB2312" w:hAnsi="仿宋_GB2312" w:eastAsia="仿宋_GB2312" w:cs="仿宋_GB2312"/>
          <w:b w:val="0"/>
          <w:bCs w:val="0"/>
          <w:sz w:val="28"/>
          <w:szCs w:val="28"/>
          <w:highlight w:val="none"/>
          <w:lang w:val="en-US" w:eastAsia="zh-CN"/>
        </w:rPr>
        <w:t>0</w:t>
      </w:r>
      <w:r>
        <w:rPr>
          <w:rFonts w:hint="eastAsia" w:ascii="仿宋_GB2312" w:hAnsi="仿宋_GB2312" w:eastAsia="仿宋_GB2312" w:cs="仿宋_GB2312"/>
          <w:b w:val="0"/>
          <w:bCs w:val="0"/>
          <w:sz w:val="28"/>
          <w:szCs w:val="28"/>
          <w:highlight w:val="none"/>
          <w:lang w:val="en-US" w:eastAsia="zh-CN"/>
        </w:rPr>
        <w:t>月</w:t>
      </w:r>
      <w:r>
        <w:rPr>
          <w:rFonts w:hint="default" w:ascii="仿宋_GB2312" w:hAnsi="仿宋_GB2312" w:eastAsia="仿宋_GB2312" w:cs="仿宋_GB2312"/>
          <w:b w:val="0"/>
          <w:bCs w:val="0"/>
          <w:sz w:val="28"/>
          <w:szCs w:val="28"/>
          <w:highlight w:val="none"/>
          <w:lang w:val="en-US" w:eastAsia="zh-CN"/>
        </w:rPr>
        <w:t>15</w:t>
      </w:r>
      <w:r>
        <w:rPr>
          <w:rFonts w:hint="eastAsia" w:ascii="仿宋_GB2312" w:hAnsi="仿宋_GB2312" w:eastAsia="仿宋_GB2312" w:cs="仿宋_GB2312"/>
          <w:b w:val="0"/>
          <w:bCs w:val="0"/>
          <w:sz w:val="28"/>
          <w:szCs w:val="28"/>
          <w:highlight w:val="none"/>
          <w:lang w:val="en-US" w:eastAsia="zh-CN"/>
        </w:rPr>
        <w:t>日前完成全部工作，活动时长2天。</w:t>
      </w:r>
    </w:p>
    <w:p w14:paraId="404B534E">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3.活动地点：广州（具体场地由采购人指定）。</w:t>
      </w:r>
    </w:p>
    <w:p w14:paraId="03E417CD">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（二）采购服务及内容要求</w:t>
      </w:r>
    </w:p>
    <w:p w14:paraId="162AE1BB">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1.活动策划与现场执行</w:t>
      </w:r>
    </w:p>
    <w:p w14:paraId="1DAA76CC">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1.1活动策划方案1份，包含整体思路、活动流程、场地规划、人员分工、安全保障方案、物料清单、宣传推广等内容。</w:t>
      </w:r>
    </w:p>
    <w:p w14:paraId="0B13FB53">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1.2安全生产题库1套，不少于300道。题型至少包含单选题、多选题、判断题三大类，内容涵盖基础安全常识、实验室作业规范、设备操作风险、消防应急、职业病防护等多场景。</w:t>
      </w:r>
    </w:p>
    <w:p w14:paraId="56948F39">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1.3活动现场工作人员不少于10人，含项目负责人、互动引导、秩序维护、物料发放、摄影纪实、后勤保障等岗位，全程负责现场搭建、流程把控、员工引导、活动答疑、秩序管理、收尾撤场等工作。</w:t>
      </w:r>
    </w:p>
    <w:p w14:paraId="03CB9439">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1.4活动涉及互动项目不少于5个。包含但不限于安全知识闯关、隐患图片找茬、安全拼图挑战等，项目难易适度、参与门槛低、互动性强。</w:t>
      </w:r>
    </w:p>
    <w:p w14:paraId="26F5B9CB">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2.活动宣传物料。包括但不限于以下内容：</w:t>
      </w:r>
    </w:p>
    <w:tbl>
      <w:tblPr>
        <w:tblStyle w:val="7"/>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7"/>
        <w:gridCol w:w="2842"/>
        <w:gridCol w:w="2842"/>
      </w:tblGrid>
      <w:tr w14:paraId="0EBD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6B5B5BAE">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内容</w:t>
            </w:r>
          </w:p>
        </w:tc>
        <w:tc>
          <w:tcPr>
            <w:tcW w:w="2842" w:type="dxa"/>
          </w:tcPr>
          <w:p w14:paraId="5C8995BB">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数量</w:t>
            </w:r>
          </w:p>
        </w:tc>
        <w:tc>
          <w:tcPr>
            <w:tcW w:w="2842" w:type="dxa"/>
          </w:tcPr>
          <w:p w14:paraId="2307B6F2">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交付形式</w:t>
            </w:r>
          </w:p>
        </w:tc>
      </w:tr>
      <w:tr w14:paraId="42C8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5CAE0A67">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主题宣传展板</w:t>
            </w:r>
          </w:p>
        </w:tc>
        <w:tc>
          <w:tcPr>
            <w:tcW w:w="2842" w:type="dxa"/>
          </w:tcPr>
          <w:p w14:paraId="3A8A2C10">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2个</w:t>
            </w:r>
          </w:p>
        </w:tc>
        <w:tc>
          <w:tcPr>
            <w:tcW w:w="2842" w:type="dxa"/>
          </w:tcPr>
          <w:p w14:paraId="55B4F0D9">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Style w:val="9"/>
                <w:rFonts w:ascii="宋体" w:hAnsi="宋体" w:eastAsia="宋体" w:cs="宋体"/>
                <w:b w:val="0"/>
                <w:bCs w:val="0"/>
                <w:sz w:val="24"/>
                <w:szCs w:val="24"/>
              </w:rPr>
            </w:pPr>
            <w:r>
              <w:rPr>
                <w:rFonts w:hint="eastAsia" w:ascii="仿宋" w:hAnsi="仿宋" w:eastAsia="仿宋" w:cs="仿宋"/>
                <w:b w:val="0"/>
                <w:bCs w:val="0"/>
                <w:color w:val="auto"/>
                <w:sz w:val="28"/>
                <w:szCs w:val="28"/>
                <w:highlight w:val="none"/>
                <w:lang w:val="en-US" w:eastAsia="zh-CN"/>
              </w:rPr>
              <w:t>1个主题背景展板，展板尺寸不小于</w:t>
            </w:r>
            <w:r>
              <w:rPr>
                <w:rStyle w:val="9"/>
                <w:rFonts w:ascii="宋体" w:hAnsi="宋体" w:eastAsia="宋体" w:cs="宋体"/>
                <w:b w:val="0"/>
                <w:bCs w:val="0"/>
                <w:sz w:val="24"/>
                <w:szCs w:val="24"/>
              </w:rPr>
              <w:t>4m × 2.5m</w:t>
            </w:r>
          </w:p>
          <w:p w14:paraId="68673389">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Style w:val="9"/>
                <w:rFonts w:hint="default" w:ascii="宋体" w:hAnsi="宋体" w:eastAsia="宋体" w:cs="宋体"/>
                <w:b w:val="0"/>
                <w:bCs w:val="0"/>
                <w:sz w:val="24"/>
                <w:szCs w:val="24"/>
                <w:lang w:val="en-US" w:eastAsia="zh-CN"/>
              </w:rPr>
            </w:pPr>
            <w:r>
              <w:rPr>
                <w:rStyle w:val="9"/>
                <w:rFonts w:hint="eastAsia" w:ascii="宋体" w:hAnsi="宋体" w:eastAsia="宋体" w:cs="宋体"/>
                <w:b w:val="0"/>
                <w:bCs w:val="0"/>
                <w:sz w:val="24"/>
                <w:szCs w:val="24"/>
                <w:lang w:val="en-US" w:eastAsia="zh-CN"/>
              </w:rPr>
              <w:t>1个活动指引展板，展板尺寸不小于</w:t>
            </w:r>
            <w:r>
              <w:rPr>
                <w:rFonts w:ascii="宋体" w:hAnsi="宋体" w:eastAsia="宋体" w:cs="宋体"/>
                <w:b w:val="0"/>
                <w:bCs w:val="0"/>
                <w:sz w:val="24"/>
                <w:szCs w:val="24"/>
              </w:rPr>
              <w:t>1.2m × 2.4m</w:t>
            </w:r>
          </w:p>
        </w:tc>
      </w:tr>
      <w:tr w14:paraId="3D8ED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7C13FD41">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主题宣传海报</w:t>
            </w:r>
          </w:p>
        </w:tc>
        <w:tc>
          <w:tcPr>
            <w:tcW w:w="2842" w:type="dxa"/>
          </w:tcPr>
          <w:p w14:paraId="2188689F">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8</w:t>
            </w:r>
            <w:bookmarkStart w:id="1" w:name="_GoBack"/>
            <w:bookmarkEnd w:id="1"/>
            <w:r>
              <w:rPr>
                <w:rFonts w:hint="eastAsia" w:ascii="仿宋" w:hAnsi="仿宋" w:eastAsia="仿宋" w:cs="仿宋"/>
                <w:color w:val="auto"/>
                <w:sz w:val="28"/>
                <w:szCs w:val="28"/>
                <w:highlight w:val="none"/>
                <w:lang w:val="en-US" w:eastAsia="zh-CN"/>
              </w:rPr>
              <w:t>张</w:t>
            </w:r>
          </w:p>
        </w:tc>
        <w:tc>
          <w:tcPr>
            <w:tcW w:w="2842" w:type="dxa"/>
          </w:tcPr>
          <w:p w14:paraId="638919F2">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高清设计图、易拉宝0.8m×2.0m</w:t>
            </w:r>
          </w:p>
        </w:tc>
      </w:tr>
      <w:tr w14:paraId="2303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39CE31BD">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电脑屏保宣传图</w:t>
            </w:r>
          </w:p>
        </w:tc>
        <w:tc>
          <w:tcPr>
            <w:tcW w:w="2842" w:type="dxa"/>
          </w:tcPr>
          <w:p w14:paraId="346AF118">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5张</w:t>
            </w:r>
          </w:p>
        </w:tc>
        <w:tc>
          <w:tcPr>
            <w:tcW w:w="2842" w:type="dxa"/>
          </w:tcPr>
          <w:p w14:paraId="276DE866">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高清设计图，像素不小于1920×1080</w:t>
            </w:r>
          </w:p>
        </w:tc>
      </w:tr>
      <w:tr w14:paraId="3179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123378D0">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楼宇电视宣传图</w:t>
            </w:r>
          </w:p>
        </w:tc>
        <w:tc>
          <w:tcPr>
            <w:tcW w:w="2842" w:type="dxa"/>
          </w:tcPr>
          <w:p w14:paraId="19E1533E">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5张</w:t>
            </w:r>
          </w:p>
        </w:tc>
        <w:tc>
          <w:tcPr>
            <w:tcW w:w="2842" w:type="dxa"/>
          </w:tcPr>
          <w:p w14:paraId="06DB8A2B">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高清设计图,像素不小于1920×1080</w:t>
            </w:r>
          </w:p>
        </w:tc>
      </w:tr>
      <w:tr w14:paraId="4A7A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605432AA">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宣传横幅</w:t>
            </w:r>
          </w:p>
        </w:tc>
        <w:tc>
          <w:tcPr>
            <w:tcW w:w="2842" w:type="dxa"/>
          </w:tcPr>
          <w:p w14:paraId="5FACFC21">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2条</w:t>
            </w:r>
          </w:p>
        </w:tc>
        <w:tc>
          <w:tcPr>
            <w:tcW w:w="2842" w:type="dxa"/>
          </w:tcPr>
          <w:p w14:paraId="719CC965">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横幅</w:t>
            </w:r>
          </w:p>
        </w:tc>
      </w:tr>
      <w:tr w14:paraId="0C113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6CD0FF17">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活动宣传视频</w:t>
            </w:r>
          </w:p>
        </w:tc>
        <w:tc>
          <w:tcPr>
            <w:tcW w:w="2842" w:type="dxa"/>
          </w:tcPr>
          <w:p w14:paraId="0FD2C6DA">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2部</w:t>
            </w:r>
          </w:p>
        </w:tc>
        <w:tc>
          <w:tcPr>
            <w:tcW w:w="2842" w:type="dxa"/>
          </w:tcPr>
          <w:p w14:paraId="623F08EF">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1部安全生产科普类影片，时长不少于5分钟，分辨率不小于1080p。包含故事脚本、影片拍摄进度表、高清影片成品。</w:t>
            </w:r>
          </w:p>
          <w:p w14:paraId="16BCFEB5">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1部安全生产季活动介绍类视频，时长不少于5分钟，分辨率不小于1080p</w:t>
            </w:r>
          </w:p>
        </w:tc>
      </w:tr>
      <w:tr w14:paraId="14FA6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7" w:type="dxa"/>
          </w:tcPr>
          <w:p w14:paraId="378A66F6">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活动宣传推文</w:t>
            </w:r>
          </w:p>
        </w:tc>
        <w:tc>
          <w:tcPr>
            <w:tcW w:w="2842" w:type="dxa"/>
          </w:tcPr>
          <w:p w14:paraId="0006DE60">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2篇</w:t>
            </w:r>
          </w:p>
        </w:tc>
        <w:tc>
          <w:tcPr>
            <w:tcW w:w="2842" w:type="dxa"/>
          </w:tcPr>
          <w:p w14:paraId="39CAFE67">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360" w:lineRule="auto"/>
              <w:ind w:right="0" w:right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Word文件，每篇不少于800字</w:t>
            </w:r>
          </w:p>
        </w:tc>
      </w:tr>
    </w:tbl>
    <w:p w14:paraId="77FF7624">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（三）项目联络</w:t>
      </w:r>
    </w:p>
    <w:p w14:paraId="02287214">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1.为审查确认本项目的工作方案，在项目实施中需召开不少于3次联络会。根据需要在采购人所在地或其他在线沟通方式进行次。</w:t>
      </w:r>
    </w:p>
    <w:p w14:paraId="7535B6AE">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2.联络会的内容如下：</w:t>
      </w:r>
    </w:p>
    <w:p w14:paraId="31234CFC">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2.1确认活动策划方案。</w:t>
      </w:r>
    </w:p>
    <w:p w14:paraId="55CBCDF0">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2.2确认项目进度计划和关键里程碑。</w:t>
      </w:r>
    </w:p>
    <w:p w14:paraId="3996772F">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2.3确认项目策划思路和质量要求。</w:t>
      </w:r>
    </w:p>
    <w:p w14:paraId="4D361F54">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2.4讨论、确定项目实施时间及计划。</w:t>
      </w:r>
    </w:p>
    <w:p w14:paraId="63B96909">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（四）项目进度管理</w:t>
      </w:r>
    </w:p>
    <w:p w14:paraId="52872E89">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default"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1.确定供应商后5个工作日内，在初步活动策划方案基础上，结合联络会沟通情况，进一步完善提交详细活动</w:t>
      </w:r>
      <w:r>
        <w:rPr>
          <w:rFonts w:hint="eastAsia" w:ascii="仿宋_GB2312" w:hAnsi="仿宋_GB2312" w:eastAsia="仿宋_GB2312" w:cs="仿宋_GB2312"/>
          <w:b w:val="0"/>
          <w:bCs w:val="0"/>
          <w:sz w:val="28"/>
          <w:szCs w:val="28"/>
          <w:highlight w:val="none"/>
          <w:lang w:val="en-US" w:eastAsia="zh-CN"/>
        </w:rPr>
        <w:t>策划</w:t>
      </w:r>
      <w:r>
        <w:rPr>
          <w:rFonts w:hint="eastAsia" w:ascii="仿宋_GB2312" w:hAnsi="仿宋_GB2312" w:eastAsia="仿宋_GB2312" w:cs="仿宋_GB2312"/>
          <w:spacing w:val="-1"/>
          <w:sz w:val="28"/>
          <w:szCs w:val="28"/>
          <w:highlight w:val="none"/>
          <w:lang w:val="en-US" w:eastAsia="zh-CN"/>
        </w:rPr>
        <w:t>方案。</w:t>
      </w:r>
    </w:p>
    <w:p w14:paraId="76136165">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default"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2.供应商在活动举办前2个工作日完成全部物料制作及场地布置准备工作，并通知采购人进行现场查验。</w:t>
      </w:r>
    </w:p>
    <w:p w14:paraId="18F03403">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（五）评审与验收</w:t>
      </w:r>
    </w:p>
    <w:p w14:paraId="2155A2E4">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1.策划内容、知识点、宣传素材严谨合规，不出现错误。</w:t>
      </w:r>
    </w:p>
    <w:p w14:paraId="3211E783">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2.视觉设计、视频、图文素材无版权侵权风险，成果交付可长期存档、可用于对外对内宣传。</w:t>
      </w:r>
    </w:p>
    <w:p w14:paraId="74C80434">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3.供应商承担全部活动物料供给与现场布置工作，保证活动现场布置整洁规范、氛围浓厚、主题突出，物料做工精良、无破损、无错别字。</w:t>
      </w:r>
    </w:p>
    <w:p w14:paraId="68F1F807">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4.供应商全程配合采购人彩排、流程调整、内容校对、物料审核，根据采购人意见免费多轮修改优化，直至验收合格。</w:t>
      </w:r>
    </w:p>
    <w:p w14:paraId="1355CBCC">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5.活动全过程严格遵守现场安全管理规定，做好现场用电、人员秩序、设备安全等保障工作，杜绝安全事故发生。</w:t>
      </w:r>
    </w:p>
    <w:p w14:paraId="12A4BA08">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（六）技术资料和文件</w:t>
      </w:r>
    </w:p>
    <w:p w14:paraId="0880D2D4">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1.供应商提供的文件和资料应能满足采购人进行维护和进一步完善的需要。</w:t>
      </w:r>
    </w:p>
    <w:p w14:paraId="562F05B4">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2.供应商应向采购人提供项目的所有交付物。</w:t>
      </w:r>
    </w:p>
    <w:p w14:paraId="64FA251B">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（七）售后服务</w:t>
      </w:r>
    </w:p>
    <w:p w14:paraId="18EE7C7D">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1.供应商应指定项目负责人，负责协调项目实施全过程的各项工作。</w:t>
      </w:r>
    </w:p>
    <w:p w14:paraId="7F7DBA31">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2.活动结束后，因供应商物料制作质量问题或活动执行失误导致的投诉或不良影响，供应商应无条件配合采购人进行整改或补救，并承担相应责任。</w:t>
      </w:r>
    </w:p>
    <w:p w14:paraId="728BCA51">
      <w:pPr>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br w:type="page"/>
      </w:r>
    </w:p>
    <w:p w14:paraId="284B8B7F">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二、资格条件</w:t>
      </w:r>
    </w:p>
    <w:tbl>
      <w:tblPr>
        <w:tblStyle w:val="6"/>
        <w:tblW w:w="9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8060"/>
      </w:tblGrid>
      <w:tr w14:paraId="56537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165C9239">
            <w:pPr>
              <w:spacing w:beforeLines="0" w:afterLines="0"/>
              <w:jc w:val="center"/>
              <w:rPr>
                <w:rFonts w:hint="eastAsia" w:ascii="仿宋_GB2312" w:hAnsi="仿宋_GB2312" w:eastAsia="仿宋_GB2312" w:cs="仿宋_GB2312"/>
                <w:sz w:val="24"/>
              </w:rPr>
            </w:pPr>
            <w:r>
              <w:rPr>
                <w:rFonts w:hint="eastAsia" w:ascii="仿宋_GB2312" w:hAnsi="仿宋_GB2312" w:eastAsia="仿宋_GB2312" w:cs="仿宋_GB2312"/>
                <w:b/>
                <w:sz w:val="24"/>
              </w:rPr>
              <w:t>序号</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225B213">
            <w:pPr>
              <w:spacing w:beforeLines="0" w:afterLines="0"/>
              <w:jc w:val="center"/>
              <w:rPr>
                <w:rFonts w:hint="eastAsia" w:ascii="仿宋_GB2312" w:hAnsi="仿宋_GB2312" w:eastAsia="仿宋_GB2312" w:cs="仿宋_GB2312"/>
                <w:sz w:val="24"/>
              </w:rPr>
            </w:pPr>
            <w:r>
              <w:rPr>
                <w:rFonts w:hint="eastAsia" w:ascii="仿宋_GB2312" w:hAnsi="仿宋_GB2312" w:eastAsia="仿宋_GB2312" w:cs="仿宋_GB2312"/>
                <w:b/>
                <w:sz w:val="24"/>
              </w:rPr>
              <w:t>内容</w:t>
            </w:r>
          </w:p>
        </w:tc>
      </w:tr>
      <w:tr w14:paraId="5897C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3C8BC9EC">
            <w:pPr>
              <w:spacing w:beforeLines="0" w:afterLines="0"/>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E398E76">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提供有关监管机构颁发的执业许可证明文件；报价单位为自然人的，应提供有效的身份证明。</w:t>
            </w:r>
          </w:p>
        </w:tc>
      </w:tr>
      <w:tr w14:paraId="60D74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5D4813B">
            <w:pPr>
              <w:spacing w:beforeLines="0" w:afterLines="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C8B0AD9">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单位负责人为</w:t>
            </w:r>
            <w:r>
              <w:rPr>
                <w:rFonts w:hint="eastAsia" w:ascii="仿宋_GB2312" w:hAnsi="仿宋_GB2312" w:eastAsia="仿宋_GB2312" w:cs="仿宋_GB2312"/>
                <w:sz w:val="28"/>
                <w:szCs w:val="28"/>
              </w:rPr>
              <w:t>同一人</w:t>
            </w:r>
            <w:r>
              <w:rPr>
                <w:rFonts w:hint="eastAsia" w:ascii="仿宋_GB2312" w:hAnsi="仿宋_GB2312" w:eastAsia="仿宋_GB2312" w:cs="仿宋_GB2312"/>
                <w:sz w:val="28"/>
                <w:szCs w:val="28"/>
                <w:lang w:val="en-US" w:eastAsia="zh-CN"/>
              </w:rPr>
              <w:t>或者存在控股、管理关系的不同单位，不得同时参加报价</w:t>
            </w:r>
            <w:r>
              <w:rPr>
                <w:rFonts w:hint="eastAsia" w:ascii="仿宋_GB2312" w:hAnsi="仿宋_GB2312" w:eastAsia="仿宋_GB2312" w:cs="仿宋_GB2312"/>
                <w:sz w:val="28"/>
                <w:szCs w:val="28"/>
              </w:rPr>
              <w:t>。</w:t>
            </w:r>
          </w:p>
        </w:tc>
      </w:tr>
      <w:tr w14:paraId="2D85D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31D861FC">
            <w:pPr>
              <w:spacing w:beforeLines="0" w:afterLines="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3A290DE4">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报价单位没有被中国南方电网有限责任公司暂停或取消其投标资格的</w:t>
            </w:r>
            <w:r>
              <w:rPr>
                <w:rFonts w:hint="eastAsia" w:ascii="仿宋_GB2312" w:hAnsi="仿宋_GB2312" w:eastAsia="仿宋_GB2312" w:cs="仿宋_GB2312"/>
                <w:sz w:val="28"/>
                <w:szCs w:val="28"/>
              </w:rPr>
              <w:t>。</w:t>
            </w:r>
          </w:p>
        </w:tc>
      </w:tr>
    </w:tbl>
    <w:p w14:paraId="118FFBB0">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三、成交办法</w:t>
      </w:r>
    </w:p>
    <w:p w14:paraId="6C4C2F7C">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仿宋_GB2312" w:hAnsi="仿宋_GB2312" w:eastAsia="仿宋_GB2312" w:cs="仿宋_GB2312"/>
          <w:b w:val="0"/>
          <w:bCs w:val="0"/>
          <w:spacing w:val="-1"/>
          <w:kern w:val="2"/>
          <w:sz w:val="28"/>
          <w:szCs w:val="28"/>
          <w:highlight w:val="none"/>
          <w:lang w:val="en-US" w:eastAsia="zh-CN" w:bidi="zh-CN"/>
        </w:rPr>
      </w:pPr>
      <w:r>
        <w:rPr>
          <w:rFonts w:hint="eastAsia" w:ascii="仿宋_GB2312" w:hAnsi="仿宋_GB2312" w:eastAsia="仿宋_GB2312" w:cs="仿宋_GB2312"/>
          <w:b w:val="0"/>
          <w:bCs w:val="0"/>
          <w:spacing w:val="-1"/>
          <w:kern w:val="2"/>
          <w:sz w:val="28"/>
          <w:szCs w:val="28"/>
          <w:highlight w:val="none"/>
          <w:lang w:val="en-US" w:eastAsia="zh-CN" w:bidi="zh-CN"/>
        </w:rPr>
        <w:t>根据满足资格条件的各家单位有效报价，选择最低者为成交对象。</w:t>
      </w:r>
    </w:p>
    <w:p w14:paraId="25DE9B32">
      <w:pPr>
        <w:pStyle w:val="3"/>
        <w:keepNext w:val="0"/>
        <w:keepLines w:val="0"/>
        <w:pageBreakBefore w:val="0"/>
        <w:numPr>
          <w:ilvl w:val="255"/>
          <w:numId w:val="0"/>
        </w:numPr>
        <w:kinsoku/>
        <w:wordWrap/>
        <w:overflowPunct/>
        <w:topLinePunct w:val="0"/>
        <w:autoSpaceDE/>
        <w:autoSpaceDN/>
        <w:bidi w:val="0"/>
        <w:adjustRightInd/>
        <w:snapToGrid/>
        <w:spacing w:line="560" w:lineRule="exact"/>
        <w:rPr>
          <w:rFonts w:hint="eastAsia" w:ascii="仿宋_GB2312" w:hAnsi="宋体" w:eastAsia="仿宋_GB2312"/>
          <w:b/>
          <w:sz w:val="28"/>
          <w:szCs w:val="28"/>
          <w:highlight w:val="none"/>
        </w:rPr>
        <w:sectPr>
          <w:pgSz w:w="11906" w:h="16838"/>
          <w:pgMar w:top="1418" w:right="1418" w:bottom="1134" w:left="1418" w:header="851" w:footer="992" w:gutter="0"/>
          <w:cols w:space="720" w:num="1"/>
          <w:docGrid w:type="lines" w:linePitch="312" w:charSpace="0"/>
        </w:sectPr>
      </w:pPr>
    </w:p>
    <w:p w14:paraId="67D53564">
      <w:pPr>
        <w:pStyle w:val="3"/>
        <w:keepNext w:val="0"/>
        <w:keepLines w:val="0"/>
        <w:pageBreakBefore w:val="0"/>
        <w:numPr>
          <w:ilvl w:val="255"/>
          <w:numId w:val="0"/>
        </w:numPr>
        <w:kinsoku/>
        <w:wordWrap/>
        <w:overflowPunct/>
        <w:topLinePunct w:val="0"/>
        <w:autoSpaceDE/>
        <w:autoSpaceDN/>
        <w:bidi w:val="0"/>
        <w:adjustRightInd/>
        <w:snapToGrid/>
        <w:spacing w:line="560" w:lineRule="exact"/>
        <w:rPr>
          <w:rFonts w:ascii="仿宋_GB2312" w:hAnsi="宋体" w:eastAsia="仿宋_GB2312"/>
          <w:b/>
          <w:sz w:val="28"/>
          <w:szCs w:val="28"/>
          <w:highlight w:val="none"/>
        </w:rPr>
      </w:pPr>
      <w:r>
        <w:rPr>
          <w:rFonts w:hint="eastAsia" w:ascii="仿宋_GB2312" w:hAnsi="宋体" w:eastAsia="仿宋_GB2312"/>
          <w:b/>
          <w:sz w:val="28"/>
          <w:szCs w:val="28"/>
          <w:highlight w:val="none"/>
        </w:rPr>
        <w:t>附件1：相关</w:t>
      </w:r>
      <w:r>
        <w:rPr>
          <w:rFonts w:hint="eastAsia" w:ascii="仿宋_GB2312" w:hAnsi="仿宋_GB2312" w:eastAsia="仿宋_GB2312" w:cs="仿宋_GB2312"/>
          <w:b/>
          <w:bCs/>
          <w:kern w:val="2"/>
          <w:sz w:val="28"/>
          <w:szCs w:val="28"/>
          <w:highlight w:val="none"/>
          <w:lang w:bidi="zh-CN"/>
        </w:rPr>
        <w:t>项目</w:t>
      </w:r>
      <w:r>
        <w:rPr>
          <w:rFonts w:hint="eastAsia" w:ascii="仿宋_GB2312" w:hAnsi="宋体" w:eastAsia="仿宋_GB2312"/>
          <w:b/>
          <w:sz w:val="28"/>
          <w:szCs w:val="28"/>
          <w:highlight w:val="none"/>
        </w:rPr>
        <w:t>业绩清单（格式）</w:t>
      </w:r>
    </w:p>
    <w:tbl>
      <w:tblPr>
        <w:tblStyle w:val="6"/>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14:paraId="37ADD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14:paraId="47412330">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序号</w:t>
            </w:r>
          </w:p>
        </w:tc>
        <w:tc>
          <w:tcPr>
            <w:tcW w:w="659" w:type="pct"/>
            <w:vAlign w:val="center"/>
          </w:tcPr>
          <w:p w14:paraId="1F343F70">
            <w:pPr>
              <w:keepNext w:val="0"/>
              <w:keepLines w:val="0"/>
              <w:pageBreakBefore w:val="0"/>
              <w:widowControl/>
              <w:kinsoku/>
              <w:wordWrap/>
              <w:overflowPunct/>
              <w:topLinePunct w:val="0"/>
              <w:autoSpaceDE/>
              <w:autoSpaceDN/>
              <w:bidi w:val="0"/>
              <w:adjustRightInd/>
              <w:snapToGrid/>
              <w:spacing w:line="560" w:lineRule="exact"/>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项目名称</w:t>
            </w:r>
          </w:p>
        </w:tc>
        <w:tc>
          <w:tcPr>
            <w:tcW w:w="846" w:type="pct"/>
            <w:vAlign w:val="center"/>
          </w:tcPr>
          <w:p w14:paraId="2F22849E">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主要内容</w:t>
            </w:r>
          </w:p>
        </w:tc>
        <w:tc>
          <w:tcPr>
            <w:tcW w:w="1055" w:type="pct"/>
            <w:vAlign w:val="center"/>
          </w:tcPr>
          <w:p w14:paraId="4D07CAAA">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委托方及证明人</w:t>
            </w:r>
          </w:p>
        </w:tc>
        <w:tc>
          <w:tcPr>
            <w:tcW w:w="988" w:type="pct"/>
            <w:vAlign w:val="center"/>
          </w:tcPr>
          <w:p w14:paraId="65FC910E">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项目签订时间</w:t>
            </w:r>
          </w:p>
        </w:tc>
        <w:tc>
          <w:tcPr>
            <w:tcW w:w="988" w:type="pct"/>
            <w:vAlign w:val="center"/>
          </w:tcPr>
          <w:p w14:paraId="7EA9FC1B">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项目完成时间</w:t>
            </w:r>
          </w:p>
        </w:tc>
      </w:tr>
      <w:tr w14:paraId="4BF06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14:paraId="3D595ADF">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1</w:t>
            </w:r>
          </w:p>
        </w:tc>
        <w:tc>
          <w:tcPr>
            <w:tcW w:w="659" w:type="pct"/>
            <w:vAlign w:val="center"/>
          </w:tcPr>
          <w:p w14:paraId="4BE24B1D">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sz w:val="24"/>
                <w:highlight w:val="none"/>
                <w:lang w:bidi="zh-CN"/>
              </w:rPr>
            </w:pPr>
          </w:p>
        </w:tc>
        <w:tc>
          <w:tcPr>
            <w:tcW w:w="846" w:type="pct"/>
            <w:vAlign w:val="center"/>
          </w:tcPr>
          <w:p w14:paraId="2D1F28CF">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p>
        </w:tc>
        <w:tc>
          <w:tcPr>
            <w:tcW w:w="1055" w:type="pct"/>
            <w:vAlign w:val="center"/>
          </w:tcPr>
          <w:p w14:paraId="5C0A268B">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sz w:val="24"/>
                <w:highlight w:val="none"/>
                <w:lang w:bidi="zh-CN"/>
              </w:rPr>
            </w:pPr>
          </w:p>
        </w:tc>
        <w:tc>
          <w:tcPr>
            <w:tcW w:w="988" w:type="pct"/>
            <w:vAlign w:val="center"/>
          </w:tcPr>
          <w:p w14:paraId="3786EB96">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sz w:val="24"/>
                <w:highlight w:val="none"/>
                <w:lang w:bidi="zh-CN"/>
              </w:rPr>
            </w:pPr>
          </w:p>
        </w:tc>
        <w:tc>
          <w:tcPr>
            <w:tcW w:w="988" w:type="pct"/>
            <w:vAlign w:val="center"/>
          </w:tcPr>
          <w:p w14:paraId="628FDD93">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sz w:val="24"/>
                <w:highlight w:val="none"/>
                <w:lang w:bidi="zh-CN"/>
              </w:rPr>
            </w:pPr>
          </w:p>
        </w:tc>
      </w:tr>
      <w:tr w14:paraId="5B2EF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2F7B5925">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2</w:t>
            </w:r>
          </w:p>
        </w:tc>
        <w:tc>
          <w:tcPr>
            <w:tcW w:w="659" w:type="pct"/>
            <w:vAlign w:val="center"/>
          </w:tcPr>
          <w:p w14:paraId="2B3DABBD">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sz w:val="24"/>
                <w:highlight w:val="none"/>
                <w:lang w:bidi="zh-CN"/>
              </w:rPr>
            </w:pPr>
          </w:p>
        </w:tc>
        <w:tc>
          <w:tcPr>
            <w:tcW w:w="846" w:type="pct"/>
            <w:vAlign w:val="center"/>
          </w:tcPr>
          <w:p w14:paraId="313F045B">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p>
        </w:tc>
        <w:tc>
          <w:tcPr>
            <w:tcW w:w="1055" w:type="pct"/>
            <w:vAlign w:val="center"/>
          </w:tcPr>
          <w:p w14:paraId="0DA4CDE4">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i w:val="0"/>
                <w:iCs w:val="0"/>
                <w:sz w:val="24"/>
                <w:highlight w:val="none"/>
                <w:lang w:bidi="zh-CN"/>
              </w:rPr>
            </w:pPr>
          </w:p>
        </w:tc>
        <w:tc>
          <w:tcPr>
            <w:tcW w:w="988" w:type="pct"/>
            <w:vAlign w:val="center"/>
          </w:tcPr>
          <w:p w14:paraId="1F47E596">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i w:val="0"/>
                <w:iCs w:val="0"/>
                <w:sz w:val="24"/>
                <w:highlight w:val="none"/>
                <w:lang w:bidi="zh-CN"/>
              </w:rPr>
            </w:pPr>
          </w:p>
        </w:tc>
        <w:tc>
          <w:tcPr>
            <w:tcW w:w="988" w:type="pct"/>
            <w:vAlign w:val="center"/>
          </w:tcPr>
          <w:p w14:paraId="288DBC4C">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i w:val="0"/>
                <w:iCs w:val="0"/>
                <w:sz w:val="24"/>
                <w:highlight w:val="none"/>
                <w:lang w:bidi="zh-CN"/>
              </w:rPr>
            </w:pPr>
          </w:p>
        </w:tc>
      </w:tr>
      <w:tr w14:paraId="162A0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3436F68A">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3</w:t>
            </w:r>
          </w:p>
        </w:tc>
        <w:tc>
          <w:tcPr>
            <w:tcW w:w="659" w:type="pct"/>
            <w:vAlign w:val="center"/>
          </w:tcPr>
          <w:p w14:paraId="5BFD4F76">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sz w:val="24"/>
                <w:highlight w:val="none"/>
                <w:lang w:bidi="zh-CN"/>
              </w:rPr>
            </w:pPr>
          </w:p>
        </w:tc>
        <w:tc>
          <w:tcPr>
            <w:tcW w:w="846" w:type="pct"/>
            <w:vAlign w:val="center"/>
          </w:tcPr>
          <w:p w14:paraId="2017D211">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p>
        </w:tc>
        <w:tc>
          <w:tcPr>
            <w:tcW w:w="1055" w:type="pct"/>
            <w:vAlign w:val="center"/>
          </w:tcPr>
          <w:p w14:paraId="396DFE5A">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c>
          <w:tcPr>
            <w:tcW w:w="988" w:type="pct"/>
            <w:vAlign w:val="center"/>
          </w:tcPr>
          <w:p w14:paraId="4055613B">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c>
          <w:tcPr>
            <w:tcW w:w="988" w:type="pct"/>
            <w:vAlign w:val="center"/>
          </w:tcPr>
          <w:p w14:paraId="3EC62565">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r>
      <w:tr w14:paraId="7848B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32D96BD0">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r>
              <w:rPr>
                <w:rFonts w:hint="eastAsia" w:ascii="仿宋_GB2312" w:hAnsi="仿宋_GB2312" w:eastAsia="仿宋_GB2312" w:cs="仿宋_GB2312"/>
                <w:sz w:val="24"/>
                <w:highlight w:val="none"/>
                <w:lang w:bidi="zh-CN"/>
              </w:rPr>
              <w:t>...</w:t>
            </w:r>
          </w:p>
        </w:tc>
        <w:tc>
          <w:tcPr>
            <w:tcW w:w="659" w:type="pct"/>
            <w:vAlign w:val="center"/>
          </w:tcPr>
          <w:p w14:paraId="15824F58">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b w:val="0"/>
                <w:bCs w:val="0"/>
                <w:sz w:val="24"/>
                <w:highlight w:val="none"/>
                <w:lang w:bidi="zh-CN"/>
              </w:rPr>
            </w:pPr>
          </w:p>
        </w:tc>
        <w:tc>
          <w:tcPr>
            <w:tcW w:w="846" w:type="pct"/>
            <w:vAlign w:val="center"/>
          </w:tcPr>
          <w:p w14:paraId="2C45CF38">
            <w:pPr>
              <w:keepNext w:val="0"/>
              <w:keepLines w:val="0"/>
              <w:pageBreakBefore w:val="0"/>
              <w:kinsoku/>
              <w:wordWrap/>
              <w:overflowPunct/>
              <w:topLinePunct w:val="0"/>
              <w:autoSpaceDE/>
              <w:autoSpaceDN/>
              <w:bidi w:val="0"/>
              <w:adjustRightInd/>
              <w:snapToGrid/>
              <w:spacing w:line="560" w:lineRule="exact"/>
              <w:jc w:val="center"/>
              <w:rPr>
                <w:rFonts w:hint="eastAsia" w:ascii="仿宋_GB2312" w:hAnsi="仿宋_GB2312" w:eastAsia="仿宋_GB2312" w:cs="仿宋_GB2312"/>
                <w:sz w:val="24"/>
                <w:highlight w:val="none"/>
                <w:lang w:bidi="zh-CN"/>
              </w:rPr>
            </w:pPr>
          </w:p>
        </w:tc>
        <w:tc>
          <w:tcPr>
            <w:tcW w:w="1055" w:type="pct"/>
            <w:vAlign w:val="center"/>
          </w:tcPr>
          <w:p w14:paraId="7696665D">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c>
          <w:tcPr>
            <w:tcW w:w="988" w:type="pct"/>
            <w:vAlign w:val="center"/>
          </w:tcPr>
          <w:p w14:paraId="78346E0D">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c>
          <w:tcPr>
            <w:tcW w:w="988" w:type="pct"/>
            <w:vAlign w:val="center"/>
          </w:tcPr>
          <w:p w14:paraId="3F9361B1">
            <w:pPr>
              <w:keepNext w:val="0"/>
              <w:keepLines w:val="0"/>
              <w:pageBreakBefore w:val="0"/>
              <w:kinsoku/>
              <w:wordWrap/>
              <w:overflowPunct/>
              <w:topLinePunct w:val="0"/>
              <w:autoSpaceDE/>
              <w:autoSpaceDN/>
              <w:bidi w:val="0"/>
              <w:adjustRightInd/>
              <w:snapToGrid/>
              <w:spacing w:line="560" w:lineRule="exact"/>
              <w:rPr>
                <w:rFonts w:hint="eastAsia" w:ascii="仿宋_GB2312" w:hAnsi="仿宋_GB2312" w:eastAsia="仿宋_GB2312" w:cs="仿宋_GB2312"/>
                <w:b w:val="0"/>
                <w:bCs w:val="0"/>
                <w:i w:val="0"/>
                <w:iCs w:val="0"/>
                <w:sz w:val="24"/>
                <w:highlight w:val="none"/>
                <w:lang w:bidi="zh-CN"/>
              </w:rPr>
            </w:pPr>
          </w:p>
        </w:tc>
      </w:tr>
    </w:tbl>
    <w:p w14:paraId="5DADD01B">
      <w:pPr>
        <w:keepNext w:val="0"/>
        <w:keepLines w:val="0"/>
        <w:pageBreakBefore w:val="0"/>
        <w:kinsoku/>
        <w:wordWrap/>
        <w:overflowPunct/>
        <w:topLinePunct w:val="0"/>
        <w:autoSpaceDE/>
        <w:autoSpaceDN/>
        <w:bidi w:val="0"/>
        <w:adjustRightInd/>
        <w:snapToGrid/>
        <w:spacing w:line="560" w:lineRule="exact"/>
        <w:rPr>
          <w:sz w:val="28"/>
          <w:szCs w:val="28"/>
          <w:highlight w:val="none"/>
        </w:rPr>
        <w:sectPr>
          <w:pgSz w:w="11906" w:h="16838"/>
          <w:pgMar w:top="1418" w:right="1418" w:bottom="1134" w:left="1418" w:header="851" w:footer="992" w:gutter="0"/>
          <w:cols w:space="720" w:num="1"/>
          <w:docGrid w:type="lines" w:linePitch="312" w:charSpace="0"/>
        </w:sectPr>
      </w:pPr>
      <w:r>
        <w:rPr>
          <w:rFonts w:hint="eastAsia" w:ascii="仿宋_GB2312" w:hAnsi="仿宋_GB2312" w:eastAsia="仿宋_GB2312" w:cs="仿宋_GB2312"/>
          <w:w w:val="100"/>
          <w:sz w:val="28"/>
          <w:szCs w:val="28"/>
          <w:highlight w:val="none"/>
          <w:lang w:bidi="zh-CN"/>
        </w:rPr>
        <w:t>附证明材料</w:t>
      </w:r>
      <w:r>
        <w:rPr>
          <w:rFonts w:hint="eastAsia" w:ascii="仿宋_GB2312" w:eastAsia="仿宋_GB2312"/>
          <w:w w:val="90"/>
          <w:sz w:val="28"/>
          <w:szCs w:val="28"/>
          <w:highlight w:val="none"/>
        </w:rPr>
        <w:t>。</w:t>
      </w:r>
    </w:p>
    <w:p w14:paraId="54367122">
      <w:pPr>
        <w:pStyle w:val="3"/>
        <w:keepNext w:val="0"/>
        <w:keepLines w:val="0"/>
        <w:pageBreakBefore w:val="0"/>
        <w:numPr>
          <w:ilvl w:val="255"/>
          <w:numId w:val="0"/>
        </w:numPr>
        <w:kinsoku/>
        <w:wordWrap/>
        <w:overflowPunct/>
        <w:topLinePunct w:val="0"/>
        <w:autoSpaceDE/>
        <w:autoSpaceDN/>
        <w:bidi w:val="0"/>
        <w:adjustRightInd/>
        <w:snapToGrid/>
        <w:spacing w:line="560" w:lineRule="exact"/>
        <w:rPr>
          <w:rFonts w:ascii="仿宋_GB2312" w:hAnsi="宋体" w:eastAsia="仿宋_GB2312"/>
          <w:b/>
          <w:sz w:val="28"/>
          <w:szCs w:val="28"/>
          <w:highlight w:val="none"/>
        </w:rPr>
      </w:pPr>
      <w:r>
        <w:rPr>
          <w:rFonts w:hint="eastAsia" w:ascii="仿宋_GB2312" w:hAnsi="宋体" w:eastAsia="仿宋_GB2312"/>
          <w:b/>
          <w:sz w:val="28"/>
          <w:szCs w:val="28"/>
          <w:highlight w:val="none"/>
        </w:rPr>
        <w:t>附件2：</w:t>
      </w:r>
      <w:r>
        <w:rPr>
          <w:rFonts w:hint="eastAsia" w:ascii="仿宋_GB2312" w:hAnsi="宋体" w:eastAsia="仿宋_GB2312"/>
          <w:b/>
          <w:sz w:val="28"/>
          <w:szCs w:val="28"/>
          <w:highlight w:val="none"/>
          <w:lang w:val="en-US" w:eastAsia="zh-CN"/>
        </w:rPr>
        <w:t>初步活动策划方案</w:t>
      </w:r>
      <w:r>
        <w:rPr>
          <w:rFonts w:hint="eastAsia" w:ascii="仿宋_GB2312" w:hAnsi="宋体" w:eastAsia="仿宋_GB2312"/>
          <w:b/>
          <w:sz w:val="28"/>
          <w:szCs w:val="28"/>
          <w:highlight w:val="none"/>
        </w:rPr>
        <w:t>（格式</w:t>
      </w:r>
      <w:r>
        <w:rPr>
          <w:rFonts w:hint="eastAsia" w:ascii="仿宋_GB2312" w:hAnsi="宋体" w:eastAsia="仿宋_GB2312"/>
          <w:b/>
          <w:sz w:val="28"/>
          <w:szCs w:val="28"/>
          <w:highlight w:val="none"/>
          <w:lang w:val="en-US" w:eastAsia="zh-CN"/>
        </w:rPr>
        <w:t>自拟</w:t>
      </w:r>
      <w:r>
        <w:rPr>
          <w:rFonts w:hint="eastAsia" w:ascii="仿宋_GB2312" w:hAnsi="宋体" w:eastAsia="仿宋_GB2312"/>
          <w:b/>
          <w:sz w:val="28"/>
          <w:szCs w:val="28"/>
          <w:highlight w:val="none"/>
        </w:rPr>
        <w:t>）</w:t>
      </w:r>
    </w:p>
    <w:p w14:paraId="5B9B0DC4">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初步</w:t>
      </w:r>
      <w:r>
        <w:rPr>
          <w:rFonts w:hint="eastAsia" w:ascii="仿宋_GB2312" w:hAnsi="仿宋_GB2312" w:eastAsia="仿宋_GB2312" w:cs="仿宋_GB2312"/>
          <w:w w:val="100"/>
          <w:sz w:val="28"/>
          <w:szCs w:val="28"/>
          <w:highlight w:val="none"/>
          <w:lang w:val="en-US" w:eastAsia="zh-CN" w:bidi="zh-CN"/>
        </w:rPr>
        <w:t>活动策划方案</w:t>
      </w:r>
      <w:r>
        <w:rPr>
          <w:rFonts w:hint="eastAsia" w:ascii="仿宋_GB2312" w:hAnsi="仿宋_GB2312" w:eastAsia="仿宋_GB2312" w:cs="仿宋_GB2312"/>
          <w:w w:val="100"/>
          <w:sz w:val="28"/>
          <w:szCs w:val="28"/>
          <w:highlight w:val="none"/>
          <w:lang w:val="en-US" w:eastAsia="zh-CN" w:bidi="zh-CN"/>
        </w:rPr>
        <w:t>响应度高</w:t>
      </w:r>
      <w:r>
        <w:rPr>
          <w:rFonts w:hint="eastAsia" w:ascii="仿宋_GB2312" w:hAnsi="仿宋_GB2312" w:eastAsia="仿宋_GB2312" w:cs="仿宋_GB2312"/>
          <w:w w:val="100"/>
          <w:sz w:val="28"/>
          <w:szCs w:val="28"/>
          <w:highlight w:val="none"/>
          <w:lang w:bidi="zh-CN"/>
        </w:rPr>
        <w:t>，回应采购范围及要求的内容详实，具备较强的可操作性。</w:t>
      </w:r>
      <w:r>
        <w:rPr>
          <w:rFonts w:hint="eastAsia" w:ascii="仿宋_GB2312" w:hAnsi="仿宋_GB2312" w:eastAsia="仿宋_GB2312" w:cs="仿宋_GB2312"/>
          <w:w w:val="100"/>
          <w:sz w:val="28"/>
          <w:szCs w:val="28"/>
          <w:highlight w:val="none"/>
          <w:lang w:val="en-US" w:eastAsia="zh-CN" w:bidi="zh-CN"/>
        </w:rPr>
        <w:t>内容包括但不限于：</w:t>
      </w:r>
    </w:p>
    <w:p w14:paraId="50F59879">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1、活动主题与总体思路（紧扣“安全生产季”主线，体现南网科研院安全文化特色）；</w:t>
      </w:r>
    </w:p>
    <w:p w14:paraId="1E4D9FF3">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2、活动目标与预期成效效（如提升员工安全意识、强化团队协作等效果）；</w:t>
      </w:r>
    </w:p>
    <w:p w14:paraId="6CBB0546">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3、活动形式与流程设计（含安全知识闯关、隐患图片找茬、安全拼图挑战等具体环节及其先后顺序）；</w:t>
      </w:r>
    </w:p>
    <w:p w14:paraId="16AA0F83">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4、</w:t>
      </w:r>
      <w:r>
        <w:rPr>
          <w:rFonts w:hint="default" w:ascii="仿宋_GB2312" w:hAnsi="仿宋_GB2312" w:eastAsia="仿宋_GB2312" w:cs="仿宋_GB2312"/>
          <w:w w:val="100"/>
          <w:sz w:val="28"/>
          <w:szCs w:val="28"/>
          <w:highlight w:val="none"/>
          <w:lang w:val="en-US" w:eastAsia="zh-CN" w:bidi="zh-CN"/>
        </w:rPr>
        <w:t>安全保障措施</w:t>
      </w:r>
      <w:r>
        <w:rPr>
          <w:rFonts w:hint="eastAsia" w:ascii="仿宋_GB2312" w:hAnsi="仿宋_GB2312" w:eastAsia="仿宋_GB2312" w:cs="仿宋_GB2312"/>
          <w:w w:val="100"/>
          <w:sz w:val="28"/>
          <w:szCs w:val="28"/>
          <w:highlight w:val="none"/>
          <w:lang w:val="en-US" w:eastAsia="zh-CN" w:bidi="zh-CN"/>
        </w:rPr>
        <w:t>（活动全程安全隐患辨识与风险防控预案、现场医疗急救安排）；</w:t>
      </w:r>
    </w:p>
    <w:p w14:paraId="5EFA93B0">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仿宋_GB2312" w:hAnsi="仿宋_GB2312" w:eastAsia="仿宋_GB2312" w:cs="仿宋_GB2312"/>
          <w:w w:val="100"/>
          <w:sz w:val="28"/>
          <w:szCs w:val="28"/>
          <w:highlight w:val="none"/>
          <w:lang w:val="en-US" w:eastAsia="zh-CN" w:bidi="zh-CN"/>
        </w:rPr>
      </w:pPr>
      <w:r>
        <w:rPr>
          <w:rFonts w:hint="eastAsia" w:ascii="仿宋_GB2312" w:hAnsi="仿宋_GB2312" w:eastAsia="仿宋_GB2312" w:cs="仿宋_GB2312"/>
          <w:w w:val="100"/>
          <w:sz w:val="28"/>
          <w:szCs w:val="28"/>
          <w:highlight w:val="none"/>
          <w:lang w:val="en-US" w:eastAsia="zh-CN" w:bidi="zh-CN"/>
        </w:rPr>
        <w:t>5、</w:t>
      </w:r>
      <w:r>
        <w:rPr>
          <w:rFonts w:hint="default" w:ascii="仿宋_GB2312" w:hAnsi="仿宋_GB2312" w:eastAsia="仿宋_GB2312" w:cs="仿宋_GB2312"/>
          <w:w w:val="100"/>
          <w:sz w:val="28"/>
          <w:szCs w:val="28"/>
          <w:highlight w:val="none"/>
          <w:lang w:val="en-US" w:eastAsia="zh-CN" w:bidi="zh-CN"/>
        </w:rPr>
        <w:t>进度计划</w:t>
      </w:r>
      <w:r>
        <w:rPr>
          <w:rFonts w:hint="eastAsia" w:ascii="仿宋_GB2312" w:hAnsi="仿宋_GB2312" w:eastAsia="仿宋_GB2312" w:cs="仿宋_GB2312"/>
          <w:w w:val="100"/>
          <w:sz w:val="28"/>
          <w:szCs w:val="28"/>
          <w:highlight w:val="none"/>
          <w:lang w:val="en-US" w:eastAsia="zh-CN" w:bidi="zh-CN"/>
        </w:rPr>
        <w:t>（前期准备、活动执行、总结各阶段时间节点等）；</w:t>
      </w:r>
    </w:p>
    <w:p w14:paraId="4AC48631">
      <w:pPr>
        <w:spacing w:line="560" w:lineRule="exact"/>
        <w:ind w:firstLine="560" w:firstLineChars="200"/>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w w:val="100"/>
          <w:sz w:val="28"/>
          <w:szCs w:val="28"/>
          <w:highlight w:val="none"/>
          <w:lang w:val="en-US" w:eastAsia="zh-CN" w:bidi="zh-CN"/>
        </w:rPr>
        <w:t>6、人员配置（列表注明项目团队分工，附身份证、毕业证、职称证(如有)，以及最近六个月的社保证明或或脱敏的工资发放记录证明）。</w:t>
      </w:r>
    </w:p>
    <w:p w14:paraId="3A60613B">
      <w:pPr>
        <w:pStyle w:val="10"/>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D23B20"/>
    <w:rsid w:val="037E0E8F"/>
    <w:rsid w:val="04025715"/>
    <w:rsid w:val="04290ADD"/>
    <w:rsid w:val="04F50E2F"/>
    <w:rsid w:val="092077BE"/>
    <w:rsid w:val="0A2C4098"/>
    <w:rsid w:val="0AC202A3"/>
    <w:rsid w:val="0B746E0C"/>
    <w:rsid w:val="0F7F5563"/>
    <w:rsid w:val="10745D87"/>
    <w:rsid w:val="13D23B20"/>
    <w:rsid w:val="146D7590"/>
    <w:rsid w:val="14CA57D9"/>
    <w:rsid w:val="14F7570F"/>
    <w:rsid w:val="15177245"/>
    <w:rsid w:val="15497022"/>
    <w:rsid w:val="17904501"/>
    <w:rsid w:val="1BC72DF8"/>
    <w:rsid w:val="1CB66184"/>
    <w:rsid w:val="1D5B26AE"/>
    <w:rsid w:val="1FDE7F6A"/>
    <w:rsid w:val="21012DD7"/>
    <w:rsid w:val="258D2BFC"/>
    <w:rsid w:val="27F1729E"/>
    <w:rsid w:val="29F21D66"/>
    <w:rsid w:val="2A1C0F07"/>
    <w:rsid w:val="2CF508BE"/>
    <w:rsid w:val="2E0D711A"/>
    <w:rsid w:val="30E46D53"/>
    <w:rsid w:val="32D66530"/>
    <w:rsid w:val="33EE719E"/>
    <w:rsid w:val="35956247"/>
    <w:rsid w:val="385007AA"/>
    <w:rsid w:val="39F77BE5"/>
    <w:rsid w:val="3A5E5819"/>
    <w:rsid w:val="3C953C1F"/>
    <w:rsid w:val="3C9630B4"/>
    <w:rsid w:val="3F2E1D36"/>
    <w:rsid w:val="42FE0F04"/>
    <w:rsid w:val="46277964"/>
    <w:rsid w:val="49312B71"/>
    <w:rsid w:val="49313F8D"/>
    <w:rsid w:val="494E267E"/>
    <w:rsid w:val="4BB075EA"/>
    <w:rsid w:val="4E6C144B"/>
    <w:rsid w:val="4FA94147"/>
    <w:rsid w:val="51483AFD"/>
    <w:rsid w:val="51B75F3F"/>
    <w:rsid w:val="57205146"/>
    <w:rsid w:val="57746AA7"/>
    <w:rsid w:val="5CB4707C"/>
    <w:rsid w:val="5D861862"/>
    <w:rsid w:val="68E25424"/>
    <w:rsid w:val="69DA2E3F"/>
    <w:rsid w:val="6D5D59E2"/>
    <w:rsid w:val="6E454BEE"/>
    <w:rsid w:val="6F9B6CD3"/>
    <w:rsid w:val="703C349E"/>
    <w:rsid w:val="759C4277"/>
    <w:rsid w:val="778A7C4D"/>
    <w:rsid w:val="786E0030"/>
    <w:rsid w:val="789B656C"/>
    <w:rsid w:val="7A6937F5"/>
    <w:rsid w:val="7B676220"/>
    <w:rsid w:val="7B8363E1"/>
    <w:rsid w:val="7CCC5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1"/>
    <w:pPr>
      <w:spacing w:before="1"/>
      <w:ind w:left="882" w:hanging="482"/>
      <w:outlineLvl w:val="3"/>
    </w:pPr>
    <w:rPr>
      <w:rFonts w:ascii="宋体" w:hAnsi="宋体" w:eastAsia="宋体" w:cs="宋体"/>
      <w:b/>
      <w:bCs/>
      <w:sz w:val="24"/>
      <w:szCs w:val="24"/>
      <w:lang w:val="zh-CN" w:eastAsia="zh-CN" w:bidi="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rPr>
      <w:rFonts w:ascii="Calibri" w:hAnsi="Calibri"/>
      <w:kern w:val="0"/>
      <w:szCs w:val="20"/>
    </w:rPr>
  </w:style>
  <w:style w:type="paragraph" w:styleId="4">
    <w:name w:val="annotation text"/>
    <w:basedOn w:val="1"/>
    <w:qFormat/>
    <w:uiPriority w:val="0"/>
    <w:pPr>
      <w:jc w:val="left"/>
    </w:pPr>
  </w:style>
  <w:style w:type="paragraph" w:styleId="5">
    <w:name w:val="Body Text"/>
    <w:basedOn w:val="1"/>
    <w:qFormat/>
    <w:uiPriority w:val="1"/>
    <w:pPr>
      <w:ind w:left="400"/>
    </w:pPr>
    <w:rPr>
      <w:rFonts w:ascii="宋体" w:hAnsi="宋体" w:eastAsia="宋体" w:cs="宋体"/>
      <w:sz w:val="24"/>
      <w:szCs w:val="24"/>
      <w:lang w:val="zh-CN" w:eastAsia="zh-CN" w:bidi="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paragraph" w:styleId="10">
    <w:name w:val="List Paragraph"/>
    <w:basedOn w:val="1"/>
    <w:qFormat/>
    <w:uiPriority w:val="1"/>
    <w:pPr>
      <w:spacing w:before="161"/>
      <w:ind w:left="400"/>
    </w:pPr>
    <w:rPr>
      <w:rFonts w:ascii="宋体" w:hAnsi="宋体" w:eastAsia="宋体" w:cs="宋体"/>
      <w:lang w:val="zh-CN" w:eastAsia="zh-CN" w:bidi="zh-CN"/>
    </w:rPr>
  </w:style>
  <w:style w:type="paragraph" w:customStyle="1" w:styleId="11">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2161</Words>
  <Characters>2252</Characters>
  <Lines>0</Lines>
  <Paragraphs>0</Paragraphs>
  <TotalTime>3</TotalTime>
  <ScaleCrop>false</ScaleCrop>
  <LinksUpToDate>false</LinksUpToDate>
  <CharactersWithSpaces>2256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2026-06-29T00:58:00Z</dcterms:created>
  <dc:creator>杨士超</dc:creator>
  <cp:lastModifiedBy>keqp</cp:lastModifiedBy>
  <dcterms:modified xsi:type="dcterms:W3CDTF">2026-09-09T02:22:09Z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933C4D33D9AD4ADC899410A341488E07_13</vt:lpwstr>
  </property>
  <property fmtid="{D5CDD505-2E9C-101B-9397-08002B2CF9AE}" pid="4" name="KSOTemplateDocerSaveRecord">
    <vt:lpwstr>eyJoZGlkIjoiOGM1MGEwNTkwMTY2ZjkyOGFhNjg4ZDUwOTVkMWJiZjQiLCJ1c2VySWQiOiIyMTE0MDI1NDEifQ==</vt:lpwstr>
  </property>
</Properties>
</file>