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color w:val="auto"/>
          <w:highlight w:val="none"/>
        </w:rPr>
      </w:pPr>
      <w:bookmarkStart w:id="0" w:name="_Toc309593186"/>
      <w:bookmarkStart w:id="1" w:name="_Toc309805581"/>
      <w:bookmarkStart w:id="2" w:name="_Toc307577976"/>
      <w:bookmarkStart w:id="3" w:name="_Toc309593257"/>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-1193165</wp:posOffset>
            </wp:positionH>
            <wp:positionV relativeFrom="paragraph">
              <wp:posOffset>-948055</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3"/>
                    <a:srcRect/>
                    <a:stretch>
                      <a:fillRect/>
                    </a:stretch>
                  </pic:blipFill>
                  <pic:spPr>
                    <a:xfrm>
                      <a:off x="0" y="0"/>
                      <a:ext cx="7765415" cy="10979150"/>
                    </a:xfrm>
                    <a:prstGeom prst="rect">
                      <a:avLst/>
                    </a:prstGeom>
                    <a:noFill/>
                    <a:ln w="9525">
                      <a:noFill/>
                      <a:miter lim="800000"/>
                      <a:headEnd/>
                      <a:tailEnd/>
                    </a:ln>
                  </pic:spPr>
                </pic:pic>
              </a:graphicData>
            </a:graphic>
          </wp:anchor>
        </w:drawing>
      </w:r>
    </w:p>
    <w:p>
      <w:pPr>
        <w:tabs>
          <w:tab w:val="left" w:pos="0"/>
        </w:tabs>
        <w:ind w:firstLine="480"/>
        <w:jc w:val="center"/>
        <w:rPr>
          <w:rFonts w:ascii="仿宋_GB2312"/>
          <w:color w:val="auto"/>
          <w:sz w:val="44"/>
          <w:highlight w:val="none"/>
        </w:rPr>
      </w:pPr>
    </w:p>
    <w:p>
      <w:pPr>
        <w:tabs>
          <w:tab w:val="left" w:pos="0"/>
        </w:tabs>
        <w:ind w:firstLine="964"/>
        <w:jc w:val="center"/>
        <w:rPr>
          <w:rFonts w:hint="eastAsia" w:ascii="宋体" w:hAnsi="宋体"/>
          <w:b/>
          <w:color w:val="auto"/>
          <w:sz w:val="48"/>
          <w:szCs w:val="48"/>
          <w:highlight w:val="none"/>
        </w:rPr>
      </w:pPr>
    </w:p>
    <w:p>
      <w:pPr>
        <w:tabs>
          <w:tab w:val="left" w:pos="0"/>
        </w:tabs>
        <w:ind w:firstLine="964"/>
        <w:jc w:val="center"/>
        <w:rPr>
          <w:rFonts w:hint="eastAsia" w:ascii="宋体" w:hAnsi="宋体"/>
          <w:b/>
          <w:color w:val="auto"/>
          <w:sz w:val="48"/>
          <w:szCs w:val="48"/>
          <w:highlight w:val="none"/>
        </w:rPr>
      </w:pPr>
    </w:p>
    <w:p>
      <w:pPr>
        <w:tabs>
          <w:tab w:val="left" w:pos="0"/>
        </w:tabs>
        <w:spacing w:line="240" w:lineRule="auto"/>
        <w:ind w:firstLine="964"/>
        <w:jc w:val="center"/>
        <w:rPr>
          <w:rFonts w:hint="eastAsia" w:ascii="宋体" w:hAnsi="宋体"/>
          <w:b/>
          <w:color w:val="auto"/>
          <w:sz w:val="48"/>
          <w:szCs w:val="48"/>
          <w:highlight w:val="none"/>
        </w:rPr>
      </w:pPr>
    </w:p>
    <w:p>
      <w:pPr>
        <w:tabs>
          <w:tab w:val="left" w:pos="0"/>
        </w:tabs>
        <w:spacing w:line="720" w:lineRule="auto"/>
        <w:ind w:left="0" w:leftChars="0" w:firstLine="0" w:firstLineChars="0"/>
        <w:jc w:val="center"/>
        <w:rPr>
          <w:rFonts w:hint="eastAsia" w:ascii="方正小标宋_GBK" w:hAnsi="方正小标宋_GBK" w:eastAsia="方正小标宋_GBK" w:cs="方正小标宋_GBK"/>
          <w:b w:val="0"/>
          <w:color w:val="auto"/>
          <w:sz w:val="52"/>
          <w:szCs w:val="52"/>
          <w:highlight w:val="none"/>
        </w:rPr>
      </w:pPr>
      <w:r>
        <w:rPr>
          <w:rFonts w:hint="eastAsia" w:ascii="方正小标宋_GBK" w:hAnsi="方正小标宋_GBK" w:eastAsia="方正小标宋_GBK" w:cs="方正小标宋_GBK"/>
          <w:b w:val="0"/>
          <w:bCs w:val="0"/>
          <w:color w:val="auto"/>
          <w:sz w:val="52"/>
          <w:szCs w:val="52"/>
          <w:highlight w:val="none"/>
          <w:u w:color="000000"/>
        </w:rPr>
        <w:t>基于协同创新体系与产业生态构建的</w:t>
      </w:r>
      <w:r>
        <w:rPr>
          <w:rFonts w:hint="eastAsia" w:ascii="方正小标宋_GBK" w:hAnsi="方正小标宋_GBK" w:eastAsia="方正小标宋_GBK" w:cs="方正小标宋_GBK"/>
          <w:b w:val="0"/>
          <w:bCs w:val="0"/>
          <w:color w:val="auto"/>
          <w:sz w:val="52"/>
          <w:szCs w:val="52"/>
          <w:highlight w:val="none"/>
          <w:u w:color="000000"/>
          <w:lang w:eastAsia="zh-CN"/>
        </w:rPr>
        <w:t>工程研究中心</w:t>
      </w:r>
      <w:r>
        <w:rPr>
          <w:rFonts w:hint="eastAsia" w:ascii="方正小标宋_GBK" w:hAnsi="方正小标宋_GBK" w:eastAsia="方正小标宋_GBK" w:cs="方正小标宋_GBK"/>
          <w:b w:val="0"/>
          <w:bCs w:val="0"/>
          <w:color w:val="auto"/>
          <w:sz w:val="52"/>
          <w:szCs w:val="52"/>
          <w:highlight w:val="none"/>
          <w:u w:color="000000"/>
        </w:rPr>
        <w:t>实体化运作机制研究技术服务规范书</w:t>
      </w:r>
    </w:p>
    <w:p>
      <w:pPr>
        <w:ind w:firstLine="600"/>
        <w:rPr>
          <w:color w:val="auto"/>
          <w:sz w:val="30"/>
          <w:szCs w:val="30"/>
          <w:highlight w:val="none"/>
        </w:rPr>
      </w:pPr>
    </w:p>
    <w:p>
      <w:pPr>
        <w:ind w:firstLine="1800" w:firstLineChars="600"/>
        <w:rPr>
          <w:color w:val="auto"/>
          <w:sz w:val="30"/>
          <w:szCs w:val="30"/>
          <w:highlight w:val="none"/>
        </w:rPr>
      </w:pPr>
    </w:p>
    <w:p>
      <w:pPr>
        <w:ind w:firstLine="1800" w:firstLineChars="600"/>
        <w:rPr>
          <w:color w:val="auto"/>
          <w:sz w:val="30"/>
          <w:szCs w:val="30"/>
          <w:highlight w:val="none"/>
        </w:rPr>
      </w:pPr>
    </w:p>
    <w:p>
      <w:pPr>
        <w:ind w:firstLine="1800" w:firstLineChars="600"/>
        <w:rPr>
          <w:color w:val="auto"/>
          <w:sz w:val="30"/>
          <w:szCs w:val="30"/>
          <w:highlight w:val="none"/>
        </w:rPr>
      </w:pPr>
    </w:p>
    <w:p>
      <w:pPr>
        <w:ind w:firstLine="1800" w:firstLineChars="600"/>
        <w:rPr>
          <w:color w:val="auto"/>
          <w:sz w:val="30"/>
          <w:szCs w:val="30"/>
          <w:highlight w:val="none"/>
        </w:rPr>
      </w:pPr>
      <w:r>
        <w:rPr>
          <w:color w:val="auto"/>
          <w:sz w:val="30"/>
          <w:szCs w:val="30"/>
          <w:highlight w:val="none"/>
        </w:rPr>
        <w:t xml:space="preserve"> </w:t>
      </w:r>
    </w:p>
    <w:p>
      <w:pPr>
        <w:ind w:firstLine="1800" w:firstLineChars="600"/>
        <w:rPr>
          <w:color w:val="auto"/>
          <w:sz w:val="30"/>
          <w:szCs w:val="30"/>
          <w:highlight w:val="none"/>
        </w:rPr>
      </w:pPr>
    </w:p>
    <w:p>
      <w:pPr>
        <w:ind w:firstLine="1800" w:firstLineChars="600"/>
        <w:rPr>
          <w:color w:val="auto"/>
          <w:sz w:val="30"/>
          <w:szCs w:val="30"/>
          <w:highlight w:val="none"/>
        </w:rPr>
      </w:pPr>
      <w:r>
        <w:rPr>
          <w:color w:val="auto"/>
          <w:sz w:val="30"/>
          <w:szCs w:val="30"/>
          <w:highlight w:val="none"/>
        </w:rPr>
        <w:t xml:space="preserve"> </w:t>
      </w:r>
      <w:r>
        <w:rPr>
          <w:rFonts w:hint="eastAsia"/>
          <w:color w:val="auto"/>
          <w:sz w:val="30"/>
          <w:szCs w:val="30"/>
          <w:highlight w:val="none"/>
        </w:rPr>
        <w:t xml:space="preserve"> </w:t>
      </w:r>
    </w:p>
    <w:p>
      <w:pPr>
        <w:tabs>
          <w:tab w:val="left" w:pos="0"/>
        </w:tabs>
        <w:ind w:firstLine="720"/>
        <w:jc w:val="center"/>
        <w:rPr>
          <w:rFonts w:ascii="仿宋_GB2312"/>
          <w:color w:val="auto"/>
          <w:sz w:val="36"/>
          <w:highlight w:val="none"/>
        </w:rPr>
      </w:pPr>
    </w:p>
    <w:p>
      <w:pPr>
        <w:ind w:left="0" w:leftChars="0" w:firstLine="0" w:firstLineChars="0"/>
        <w:jc w:val="center"/>
        <w:rPr>
          <w:rFonts w:hint="eastAsia" w:ascii="黑体" w:hAnsi="黑体" w:eastAsia="黑体" w:cs="黑体"/>
          <w:b/>
          <w:color w:val="auto"/>
          <w:sz w:val="36"/>
          <w:szCs w:val="36"/>
          <w:highlight w:val="none"/>
        </w:rPr>
      </w:pPr>
      <w:r>
        <w:rPr>
          <w:rFonts w:hint="eastAsia" w:ascii="黑体" w:hAnsi="黑体" w:eastAsia="黑体" w:cs="黑体"/>
          <w:color w:val="auto"/>
          <w:sz w:val="36"/>
          <w:szCs w:val="36"/>
          <w:highlight w:val="none"/>
          <w:lang w:val="en-US" w:eastAsia="zh-CN"/>
        </w:rPr>
        <w:t>南网超高压公司昆明局</w:t>
      </w:r>
    </w:p>
    <w:p>
      <w:pPr>
        <w:ind w:firstLine="0" w:firstLineChars="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202</w:t>
      </w:r>
      <w:r>
        <w:rPr>
          <w:rFonts w:hint="eastAsia" w:ascii="黑体" w:hAnsi="黑体" w:eastAsia="黑体" w:cs="黑体"/>
          <w:b/>
          <w:color w:val="auto"/>
          <w:sz w:val="36"/>
          <w:szCs w:val="36"/>
          <w:highlight w:val="none"/>
          <w:lang w:val="en-US" w:eastAsia="zh-CN"/>
        </w:rPr>
        <w:t>6</w:t>
      </w:r>
      <w:r>
        <w:rPr>
          <w:rFonts w:hint="eastAsia" w:ascii="黑体" w:hAnsi="黑体" w:eastAsia="黑体" w:cs="黑体"/>
          <w:b/>
          <w:color w:val="auto"/>
          <w:sz w:val="36"/>
          <w:szCs w:val="36"/>
          <w:highlight w:val="none"/>
        </w:rPr>
        <w:t>年</w:t>
      </w:r>
      <w:r>
        <w:rPr>
          <w:rFonts w:hint="eastAsia" w:ascii="黑体" w:hAnsi="黑体" w:eastAsia="黑体" w:cs="黑体"/>
          <w:b/>
          <w:color w:val="auto"/>
          <w:sz w:val="36"/>
          <w:szCs w:val="36"/>
          <w:highlight w:val="none"/>
          <w:lang w:val="en-US" w:eastAsia="zh-CN"/>
        </w:rPr>
        <w:t>4</w:t>
      </w:r>
      <w:r>
        <w:rPr>
          <w:rFonts w:hint="eastAsia" w:ascii="黑体" w:hAnsi="黑体" w:eastAsia="黑体" w:cs="黑体"/>
          <w:b/>
          <w:color w:val="auto"/>
          <w:sz w:val="36"/>
          <w:szCs w:val="36"/>
          <w:highlight w:val="none"/>
        </w:rPr>
        <w:t>月</w:t>
      </w:r>
    </w:p>
    <w:p>
      <w:pPr>
        <w:ind w:firstLine="0" w:firstLineChars="0"/>
        <w:jc w:val="center"/>
        <w:rPr>
          <w:rFonts w:hint="eastAsia" w:hAnsi="宋体"/>
          <w:b/>
          <w:color w:val="auto"/>
          <w:spacing w:val="100"/>
          <w:sz w:val="32"/>
          <w:szCs w:val="30"/>
          <w:highlight w:val="none"/>
        </w:rPr>
      </w:pPr>
      <w:r>
        <w:rPr>
          <w:rFonts w:eastAsia="黑体"/>
          <w:color w:val="auto"/>
          <w:sz w:val="48"/>
          <w:highlight w:val="none"/>
          <w:u w:color="000000"/>
        </w:rPr>
        <w:br w:type="page"/>
      </w:r>
      <w:r>
        <w:rPr>
          <w:rFonts w:hAnsi="宋体"/>
          <w:b/>
          <w:color w:val="auto"/>
          <w:spacing w:val="100"/>
          <w:sz w:val="32"/>
          <w:szCs w:val="30"/>
          <w:highlight w:val="none"/>
        </w:rPr>
        <w:t>目录</w:t>
      </w:r>
    </w:p>
    <w:p>
      <w:pPr>
        <w:pStyle w:val="12"/>
        <w:tabs>
          <w:tab w:val="right" w:leader="dot" w:pos="8306"/>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color w:val="auto"/>
          <w:spacing w:val="100"/>
          <w:sz w:val="21"/>
          <w:szCs w:val="21"/>
          <w:highlight w:val="none"/>
        </w:rPr>
        <w:fldChar w:fldCharType="begin"/>
      </w:r>
      <w:r>
        <w:rPr>
          <w:rFonts w:hint="eastAsia" w:ascii="宋体" w:hAnsi="宋体" w:eastAsia="宋体" w:cs="宋体"/>
          <w:b/>
          <w:bCs/>
          <w:color w:val="auto"/>
          <w:spacing w:val="100"/>
          <w:sz w:val="21"/>
          <w:szCs w:val="21"/>
          <w:highlight w:val="none"/>
        </w:rPr>
        <w:instrText xml:space="preserve"> TOC \o "1-1" \h \z \u </w:instrText>
      </w:r>
      <w:r>
        <w:rPr>
          <w:rFonts w:hint="eastAsia" w:ascii="宋体" w:hAnsi="宋体" w:eastAsia="宋体" w:cs="宋体"/>
          <w:b/>
          <w:bCs/>
          <w:color w:val="auto"/>
          <w:spacing w:val="100"/>
          <w:sz w:val="21"/>
          <w:szCs w:val="21"/>
          <w:highlight w:val="none"/>
        </w:rPr>
        <w:fldChar w:fldCharType="separate"/>
      </w: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_Toc22552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rPr>
        <w:t xml:space="preserve">1. </w:t>
      </w:r>
      <w:r>
        <w:rPr>
          <w:rFonts w:hint="eastAsia" w:ascii="宋体" w:hAnsi="宋体" w:eastAsia="宋体" w:cs="宋体"/>
          <w:b/>
          <w:bCs/>
          <w:szCs w:val="21"/>
          <w:highlight w:val="none"/>
        </w:rPr>
        <w:t>总则</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_Toc22552 \h </w:instrText>
      </w:r>
      <w:r>
        <w:rPr>
          <w:rFonts w:hint="eastAsia" w:ascii="宋体" w:hAnsi="宋体" w:eastAsia="宋体" w:cs="宋体"/>
          <w:b/>
          <w:bCs/>
          <w:szCs w:val="21"/>
        </w:rPr>
        <w:fldChar w:fldCharType="separate"/>
      </w:r>
      <w:r>
        <w:rPr>
          <w:rFonts w:hint="eastAsia" w:ascii="宋体" w:hAnsi="宋体" w:eastAsia="宋体" w:cs="宋体"/>
          <w:b/>
          <w:bCs/>
          <w:szCs w:val="21"/>
        </w:rPr>
        <w:t>1</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pStyle w:val="12"/>
        <w:tabs>
          <w:tab w:val="right" w:leader="dot" w:pos="8306"/>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_Toc19089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rPr>
        <w:t xml:space="preserve">2. </w:t>
      </w:r>
      <w:r>
        <w:rPr>
          <w:rFonts w:hint="eastAsia" w:ascii="宋体" w:hAnsi="宋体" w:eastAsia="宋体" w:cs="宋体"/>
          <w:b/>
          <w:bCs/>
          <w:szCs w:val="21"/>
          <w:highlight w:val="none"/>
        </w:rPr>
        <w:t>项目有关内容</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_Toc19089 \h </w:instrText>
      </w:r>
      <w:r>
        <w:rPr>
          <w:rFonts w:hint="eastAsia" w:ascii="宋体" w:hAnsi="宋体" w:eastAsia="宋体" w:cs="宋体"/>
          <w:b/>
          <w:bCs/>
          <w:szCs w:val="21"/>
        </w:rPr>
        <w:fldChar w:fldCharType="separate"/>
      </w:r>
      <w:r>
        <w:rPr>
          <w:rFonts w:hint="eastAsia" w:ascii="宋体" w:hAnsi="宋体" w:eastAsia="宋体" w:cs="宋体"/>
          <w:b/>
          <w:bCs/>
          <w:szCs w:val="21"/>
        </w:rPr>
        <w:t>1</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pStyle w:val="12"/>
        <w:tabs>
          <w:tab w:val="right" w:leader="dot" w:pos="8306"/>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_Toc32600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rPr>
        <w:t xml:space="preserve">3. </w:t>
      </w:r>
      <w:r>
        <w:rPr>
          <w:rFonts w:hint="eastAsia" w:ascii="宋体" w:hAnsi="宋体" w:eastAsia="宋体" w:cs="宋体"/>
          <w:b/>
          <w:bCs/>
          <w:szCs w:val="21"/>
          <w:highlight w:val="none"/>
        </w:rPr>
        <w:t>总体要求</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_Toc32600 \h </w:instrText>
      </w:r>
      <w:r>
        <w:rPr>
          <w:rFonts w:hint="eastAsia" w:ascii="宋体" w:hAnsi="宋体" w:eastAsia="宋体" w:cs="宋体"/>
          <w:b/>
          <w:bCs/>
          <w:szCs w:val="21"/>
        </w:rPr>
        <w:fldChar w:fldCharType="separate"/>
      </w:r>
      <w:r>
        <w:rPr>
          <w:rFonts w:hint="eastAsia" w:ascii="宋体" w:hAnsi="宋体" w:eastAsia="宋体" w:cs="宋体"/>
          <w:b/>
          <w:bCs/>
          <w:szCs w:val="21"/>
        </w:rPr>
        <w:t>3</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pStyle w:val="12"/>
        <w:tabs>
          <w:tab w:val="right" w:leader="dot" w:pos="8306"/>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_Toc1118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highlight w:val="none"/>
          <w:lang w:val="en-US" w:eastAsia="zh-CN"/>
        </w:rPr>
        <w:t>4. 应遵循的主要标准</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_Toc1118 \h </w:instrText>
      </w:r>
      <w:r>
        <w:rPr>
          <w:rFonts w:hint="eastAsia" w:ascii="宋体" w:hAnsi="宋体" w:eastAsia="宋体" w:cs="宋体"/>
          <w:b/>
          <w:bCs/>
          <w:szCs w:val="21"/>
        </w:rPr>
        <w:fldChar w:fldCharType="separate"/>
      </w:r>
      <w:r>
        <w:rPr>
          <w:rFonts w:hint="eastAsia" w:ascii="宋体" w:hAnsi="宋体" w:eastAsia="宋体" w:cs="宋体"/>
          <w:b/>
          <w:bCs/>
          <w:szCs w:val="21"/>
        </w:rPr>
        <w:t>4</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pStyle w:val="12"/>
        <w:tabs>
          <w:tab w:val="right" w:leader="dot" w:pos="8306"/>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_Toc29545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highlight w:val="none"/>
          <w:lang w:val="en-US" w:eastAsia="zh-CN"/>
        </w:rPr>
        <w:t>5. 技术要求</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_Toc29545 \h </w:instrText>
      </w:r>
      <w:r>
        <w:rPr>
          <w:rFonts w:hint="eastAsia" w:ascii="宋体" w:hAnsi="宋体" w:eastAsia="宋体" w:cs="宋体"/>
          <w:b/>
          <w:bCs/>
          <w:szCs w:val="21"/>
        </w:rPr>
        <w:fldChar w:fldCharType="separate"/>
      </w:r>
      <w:r>
        <w:rPr>
          <w:rFonts w:hint="eastAsia" w:ascii="宋体" w:hAnsi="宋体" w:eastAsia="宋体" w:cs="宋体"/>
          <w:b/>
          <w:bCs/>
          <w:szCs w:val="21"/>
        </w:rPr>
        <w:t>5</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pStyle w:val="12"/>
        <w:tabs>
          <w:tab w:val="right" w:leader="dot" w:pos="8306"/>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_Toc13157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highlight w:val="none"/>
          <w:lang w:val="en-US" w:eastAsia="zh-CN"/>
        </w:rPr>
        <w:t>6. 工期进度要求</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_Toc13157 \h </w:instrText>
      </w:r>
      <w:r>
        <w:rPr>
          <w:rFonts w:hint="eastAsia" w:ascii="宋体" w:hAnsi="宋体" w:eastAsia="宋体" w:cs="宋体"/>
          <w:b/>
          <w:bCs/>
          <w:szCs w:val="21"/>
        </w:rPr>
        <w:fldChar w:fldCharType="separate"/>
      </w:r>
      <w:r>
        <w:rPr>
          <w:rFonts w:hint="eastAsia" w:ascii="宋体" w:hAnsi="宋体" w:eastAsia="宋体" w:cs="宋体"/>
          <w:b/>
          <w:bCs/>
          <w:szCs w:val="21"/>
        </w:rPr>
        <w:t>8</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pStyle w:val="12"/>
        <w:tabs>
          <w:tab w:val="right" w:leader="dot" w:pos="8306"/>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_Toc30149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highlight w:val="none"/>
          <w:lang w:val="en-US" w:eastAsia="zh-CN"/>
        </w:rPr>
        <w:t>7. 项目验收</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_Toc30149 \h </w:instrText>
      </w:r>
      <w:r>
        <w:rPr>
          <w:rFonts w:hint="eastAsia" w:ascii="宋体" w:hAnsi="宋体" w:eastAsia="宋体" w:cs="宋体"/>
          <w:b/>
          <w:bCs/>
          <w:szCs w:val="21"/>
        </w:rPr>
        <w:fldChar w:fldCharType="separate"/>
      </w:r>
      <w:r>
        <w:rPr>
          <w:rFonts w:hint="eastAsia" w:ascii="宋体" w:hAnsi="宋体" w:eastAsia="宋体" w:cs="宋体"/>
          <w:b/>
          <w:bCs/>
          <w:szCs w:val="21"/>
        </w:rPr>
        <w:t>9</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pStyle w:val="12"/>
        <w:tabs>
          <w:tab w:val="right" w:leader="dot" w:pos="8306"/>
        </w:tabs>
        <w:adjustRightInd w:val="0"/>
        <w:snapToGrid w:val="0"/>
        <w:spacing w:line="360" w:lineRule="auto"/>
        <w:rPr>
          <w:rFonts w:hint="eastAsia" w:ascii="宋体" w:hAnsi="宋体" w:eastAsia="宋体" w:cs="宋体"/>
          <w:szCs w:val="21"/>
        </w:rPr>
      </w:pPr>
      <w:r>
        <w:rPr>
          <w:rFonts w:hint="eastAsia" w:ascii="宋体" w:hAnsi="宋体" w:eastAsia="宋体" w:cs="宋体"/>
          <w:b/>
          <w:bCs/>
          <w:color w:val="auto"/>
          <w:spacing w:val="100"/>
          <w:szCs w:val="21"/>
          <w:highlight w:val="none"/>
        </w:rPr>
        <w:fldChar w:fldCharType="begin"/>
      </w:r>
      <w:r>
        <w:rPr>
          <w:rFonts w:hint="eastAsia" w:ascii="宋体" w:hAnsi="宋体" w:eastAsia="宋体" w:cs="宋体"/>
          <w:b/>
          <w:bCs/>
          <w:spacing w:val="100"/>
          <w:szCs w:val="21"/>
          <w:highlight w:val="none"/>
        </w:rPr>
        <w:instrText xml:space="preserve"> HYPERLINK \l _Toc27290 </w:instrText>
      </w:r>
      <w:r>
        <w:rPr>
          <w:rFonts w:hint="eastAsia" w:ascii="宋体" w:hAnsi="宋体" w:eastAsia="宋体" w:cs="宋体"/>
          <w:b/>
          <w:bCs/>
          <w:spacing w:val="100"/>
          <w:szCs w:val="21"/>
          <w:highlight w:val="none"/>
        </w:rPr>
        <w:fldChar w:fldCharType="separate"/>
      </w:r>
      <w:r>
        <w:rPr>
          <w:rFonts w:hint="eastAsia" w:ascii="宋体" w:hAnsi="宋体" w:eastAsia="宋体" w:cs="宋体"/>
          <w:b/>
          <w:bCs/>
          <w:szCs w:val="21"/>
          <w:highlight w:val="none"/>
          <w:lang w:val="en-US" w:eastAsia="zh-CN"/>
        </w:rPr>
        <w:t>8. 其他</w:t>
      </w:r>
      <w:r>
        <w:rPr>
          <w:rFonts w:hint="eastAsia" w:ascii="宋体" w:hAnsi="宋体" w:eastAsia="宋体" w:cs="宋体"/>
          <w:b/>
          <w:bCs/>
          <w:szCs w:val="21"/>
        </w:rPr>
        <w:tab/>
      </w:r>
      <w:r>
        <w:rPr>
          <w:rFonts w:hint="eastAsia" w:ascii="宋体" w:hAnsi="宋体" w:eastAsia="宋体" w:cs="宋体"/>
          <w:b/>
          <w:bCs/>
          <w:szCs w:val="21"/>
        </w:rPr>
        <w:fldChar w:fldCharType="begin"/>
      </w:r>
      <w:r>
        <w:rPr>
          <w:rFonts w:hint="eastAsia" w:ascii="宋体" w:hAnsi="宋体" w:eastAsia="宋体" w:cs="宋体"/>
          <w:b/>
          <w:bCs/>
          <w:szCs w:val="21"/>
        </w:rPr>
        <w:instrText xml:space="preserve"> PAGEREF _Toc27290 \h </w:instrText>
      </w:r>
      <w:r>
        <w:rPr>
          <w:rFonts w:hint="eastAsia" w:ascii="宋体" w:hAnsi="宋体" w:eastAsia="宋体" w:cs="宋体"/>
          <w:b/>
          <w:bCs/>
          <w:szCs w:val="21"/>
        </w:rPr>
        <w:fldChar w:fldCharType="separate"/>
      </w:r>
      <w:r>
        <w:rPr>
          <w:rFonts w:hint="eastAsia" w:ascii="宋体" w:hAnsi="宋体" w:eastAsia="宋体" w:cs="宋体"/>
          <w:b/>
          <w:bCs/>
          <w:szCs w:val="21"/>
        </w:rPr>
        <w:t>9</w:t>
      </w:r>
      <w:r>
        <w:rPr>
          <w:rFonts w:hint="eastAsia" w:ascii="宋体" w:hAnsi="宋体" w:eastAsia="宋体" w:cs="宋体"/>
          <w:b/>
          <w:bCs/>
          <w:szCs w:val="21"/>
        </w:rPr>
        <w:fldChar w:fldCharType="end"/>
      </w:r>
      <w:r>
        <w:rPr>
          <w:rFonts w:hint="eastAsia" w:ascii="宋体" w:hAnsi="宋体" w:eastAsia="宋体" w:cs="宋体"/>
          <w:b/>
          <w:bCs/>
          <w:color w:val="auto"/>
          <w:spacing w:val="100"/>
          <w:szCs w:val="21"/>
          <w:highlight w:val="none"/>
        </w:rPr>
        <w:fldChar w:fldCharType="end"/>
      </w:r>
    </w:p>
    <w:p>
      <w:pPr>
        <w:adjustRightInd w:val="0"/>
        <w:snapToGrid w:val="0"/>
        <w:spacing w:line="360" w:lineRule="auto"/>
        <w:ind w:firstLine="0" w:firstLineChars="0"/>
        <w:jc w:val="center"/>
        <w:rPr>
          <w:rFonts w:hint="eastAsia" w:hAnsi="宋体"/>
          <w:b/>
          <w:color w:val="auto"/>
          <w:spacing w:val="100"/>
          <w:sz w:val="32"/>
          <w:szCs w:val="30"/>
          <w:highlight w:val="none"/>
        </w:rPr>
      </w:pPr>
      <w:r>
        <w:rPr>
          <w:rFonts w:hint="eastAsia" w:ascii="宋体" w:hAnsi="宋体" w:eastAsia="宋体" w:cs="宋体"/>
          <w:b/>
          <w:bCs/>
          <w:color w:val="auto"/>
          <w:spacing w:val="100"/>
          <w:sz w:val="21"/>
          <w:szCs w:val="21"/>
          <w:highlight w:val="none"/>
        </w:rPr>
        <w:fldChar w:fldCharType="end"/>
      </w:r>
    </w:p>
    <w:p>
      <w:pPr>
        <w:ind w:firstLine="600"/>
        <w:jc w:val="center"/>
        <w:rPr>
          <w:rFonts w:eastAsia="黑体"/>
          <w:color w:val="auto"/>
          <w:sz w:val="30"/>
          <w:highlight w:val="none"/>
          <w:u w:color="000000"/>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eastAsia="黑体"/>
          <w:color w:val="auto"/>
          <w:sz w:val="30"/>
          <w:highlight w:val="none"/>
          <w:u w:color="000000"/>
        </w:rPr>
        <w:br w:type="page"/>
      </w:r>
    </w:p>
    <w:p>
      <w:pPr>
        <w:pStyle w:val="4"/>
        <w:spacing w:before="312" w:after="156"/>
        <w:rPr>
          <w:rFonts w:hint="eastAsia"/>
          <w:color w:val="auto"/>
          <w:highlight w:val="none"/>
        </w:rPr>
      </w:pPr>
      <w:bookmarkStart w:id="4" w:name="_Toc312827017"/>
      <w:bookmarkStart w:id="5" w:name="_Toc25248"/>
      <w:bookmarkStart w:id="6" w:name="_Toc18609"/>
      <w:bookmarkStart w:id="7" w:name="_Toc531004209"/>
      <w:bookmarkStart w:id="8" w:name="_Toc531004263"/>
      <w:bookmarkStart w:id="9" w:name="_Toc22552"/>
      <w:bookmarkStart w:id="10" w:name="_Toc441483963"/>
      <w:r>
        <w:rPr>
          <w:color w:val="auto"/>
          <w:highlight w:val="none"/>
        </w:rPr>
        <w:t>总则</w:t>
      </w:r>
      <w:bookmarkEnd w:id="0"/>
      <w:bookmarkEnd w:id="1"/>
      <w:bookmarkEnd w:id="2"/>
      <w:bookmarkEnd w:id="3"/>
      <w:bookmarkEnd w:id="4"/>
      <w:bookmarkEnd w:id="5"/>
      <w:bookmarkEnd w:id="6"/>
      <w:bookmarkEnd w:id="7"/>
      <w:bookmarkEnd w:id="8"/>
      <w:bookmarkEnd w:id="9"/>
      <w:bookmarkEnd w:id="10"/>
    </w:p>
    <w:p>
      <w:pPr>
        <w:ind w:firstLine="0" w:firstLineChars="0"/>
        <w:jc w:val="both"/>
        <w:rPr>
          <w:color w:val="auto"/>
          <w:highlight w:val="none"/>
        </w:rPr>
      </w:pPr>
      <w:bookmarkStart w:id="11" w:name="_Toc307577979"/>
      <w:bookmarkStart w:id="12" w:name="_Toc309805582"/>
      <w:bookmarkStart w:id="13" w:name="_Toc309593187"/>
      <w:bookmarkStart w:id="14" w:name="_Toc309593258"/>
      <w:bookmarkStart w:id="15" w:name="_Toc312827018"/>
      <w:r>
        <w:rPr>
          <w:rFonts w:hint="eastAsia"/>
          <w:color w:val="auto"/>
          <w:highlight w:val="none"/>
        </w:rPr>
        <w:t>1.1 本技术规范书适用于中国南方电网</w:t>
      </w:r>
      <w:r>
        <w:rPr>
          <w:rFonts w:hint="eastAsia" w:ascii="仿宋_GB2312"/>
          <w:color w:val="auto"/>
          <w:highlight w:val="none"/>
        </w:rPr>
        <w:t>超高压输电公司</w:t>
      </w:r>
      <w:r>
        <w:rPr>
          <w:rFonts w:hint="eastAsia" w:ascii="宋体" w:hAnsi="宋体"/>
          <w:b w:val="0"/>
          <w:bCs w:val="0"/>
          <w:color w:val="auto"/>
          <w:highlight w:val="none"/>
          <w:u w:color="000000"/>
        </w:rPr>
        <w:t>项目：“基于协同创新体系与产业生态构建的</w:t>
      </w:r>
      <w:r>
        <w:rPr>
          <w:rFonts w:hint="eastAsia" w:ascii="宋体" w:hAnsi="宋体"/>
          <w:b w:val="0"/>
          <w:bCs w:val="0"/>
          <w:color w:val="auto"/>
          <w:highlight w:val="none"/>
          <w:u w:color="000000"/>
          <w:lang w:eastAsia="zh-CN"/>
        </w:rPr>
        <w:t>工程研究中心</w:t>
      </w:r>
      <w:r>
        <w:rPr>
          <w:rFonts w:hint="eastAsia" w:ascii="宋体" w:hAnsi="宋体"/>
          <w:b w:val="0"/>
          <w:bCs w:val="0"/>
          <w:color w:val="auto"/>
          <w:highlight w:val="none"/>
          <w:u w:color="000000"/>
        </w:rPr>
        <w:t>实体化运作机制研究</w:t>
      </w:r>
      <w:r>
        <w:rPr>
          <w:rFonts w:hint="eastAsia"/>
          <w:b w:val="0"/>
          <w:bCs w:val="0"/>
          <w:color w:val="auto"/>
          <w:highlight w:val="none"/>
        </w:rPr>
        <w:t>”</w:t>
      </w:r>
      <w:r>
        <w:rPr>
          <w:rFonts w:hint="eastAsia"/>
          <w:color w:val="auto"/>
          <w:highlight w:val="none"/>
        </w:rPr>
        <w:t>项目(以下简称“项目”)。本技术规范书提出了项目的技术内容、工期进度等要求，规范书的所有解释权归中国南方电网</w:t>
      </w:r>
      <w:r>
        <w:rPr>
          <w:rFonts w:hint="eastAsia" w:ascii="仿宋_GB2312"/>
          <w:color w:val="auto"/>
          <w:highlight w:val="none"/>
        </w:rPr>
        <w:t>超高压输电公司</w:t>
      </w:r>
      <w:r>
        <w:rPr>
          <w:rFonts w:hint="eastAsia"/>
          <w:color w:val="auto"/>
          <w:highlight w:val="none"/>
        </w:rPr>
        <w:t>所有。</w:t>
      </w:r>
    </w:p>
    <w:p>
      <w:pPr>
        <w:ind w:firstLine="0" w:firstLineChars="0"/>
        <w:jc w:val="both"/>
        <w:rPr>
          <w:color w:val="auto"/>
          <w:highlight w:val="none"/>
        </w:rPr>
      </w:pPr>
      <w:r>
        <w:rPr>
          <w:rFonts w:hint="eastAsia"/>
          <w:color w:val="auto"/>
          <w:highlight w:val="none"/>
        </w:rPr>
        <w:t>1.2 本技术规范书提出的是最低限度的技术要求，并未对一切技术细节做出规定，投标方应提供符合本规范书的项目成果。</w:t>
      </w:r>
    </w:p>
    <w:p>
      <w:pPr>
        <w:ind w:firstLine="0" w:firstLineChars="0"/>
        <w:jc w:val="both"/>
        <w:rPr>
          <w:color w:val="auto"/>
          <w:highlight w:val="none"/>
        </w:rPr>
      </w:pPr>
      <w:r>
        <w:rPr>
          <w:rFonts w:hint="eastAsia"/>
          <w:color w:val="auto"/>
          <w:highlight w:val="none"/>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ind w:firstLine="0" w:firstLineChars="0"/>
        <w:jc w:val="both"/>
        <w:rPr>
          <w:color w:val="auto"/>
          <w:highlight w:val="none"/>
        </w:rPr>
      </w:pPr>
      <w:r>
        <w:rPr>
          <w:rFonts w:hint="eastAsia"/>
          <w:color w:val="auto"/>
          <w:highlight w:val="none"/>
        </w:rPr>
        <w:t>1.4 在根据本技术规范书签订协议之后，招标方有权提出因标准或规程规范发生变化而产生的一些补充，具体项目由招、投标双方共同商定。</w:t>
      </w:r>
    </w:p>
    <w:p>
      <w:pPr>
        <w:ind w:firstLine="0" w:firstLineChars="0"/>
        <w:jc w:val="both"/>
        <w:rPr>
          <w:color w:val="auto"/>
          <w:highlight w:val="none"/>
        </w:rPr>
      </w:pPr>
      <w:r>
        <w:rPr>
          <w:rFonts w:hint="eastAsia"/>
          <w:color w:val="auto"/>
          <w:highlight w:val="none"/>
        </w:rPr>
        <w:t>1.5 本技术规范书所使用的标准如遇与投标方所执行的标准发生矛盾时，按较高标准执行，本技术规范书未全部引用应用标准，凡是本技术规范书牵涉的各项内容均按最新标准实施。</w:t>
      </w:r>
    </w:p>
    <w:p>
      <w:pPr>
        <w:ind w:firstLine="0" w:firstLineChars="0"/>
        <w:jc w:val="both"/>
        <w:rPr>
          <w:color w:val="auto"/>
          <w:highlight w:val="none"/>
        </w:rPr>
      </w:pPr>
      <w:r>
        <w:rPr>
          <w:rFonts w:hint="eastAsia"/>
          <w:color w:val="auto"/>
          <w:highlight w:val="none"/>
        </w:rPr>
        <w:t>1.6 本技术规范书经招、投标双方确认后作为签订合同的技术附件，与合同正文具有同等法律效力。同时，技术规范书未尽事宜，由招、投标双方协商确定。</w:t>
      </w:r>
    </w:p>
    <w:p>
      <w:pPr>
        <w:pStyle w:val="4"/>
        <w:spacing w:before="312" w:after="156"/>
        <w:rPr>
          <w:rFonts w:hint="eastAsia"/>
          <w:color w:val="auto"/>
          <w:highlight w:val="none"/>
        </w:rPr>
      </w:pPr>
      <w:bookmarkStart w:id="16" w:name="_Toc23195"/>
      <w:bookmarkStart w:id="17" w:name="_Toc441483964"/>
      <w:bookmarkStart w:id="18" w:name="_Toc531004264"/>
      <w:bookmarkStart w:id="19" w:name="_Toc531004210"/>
      <w:bookmarkStart w:id="20" w:name="_Toc19089"/>
      <w:bookmarkStart w:id="21" w:name="_Toc28824"/>
      <w:r>
        <w:rPr>
          <w:color w:val="auto"/>
          <w:highlight w:val="none"/>
        </w:rPr>
        <w:t>项目</w:t>
      </w:r>
      <w:bookmarkEnd w:id="11"/>
      <w:r>
        <w:rPr>
          <w:color w:val="auto"/>
          <w:highlight w:val="none"/>
        </w:rPr>
        <w:t>有关内容</w:t>
      </w:r>
      <w:bookmarkEnd w:id="12"/>
      <w:bookmarkEnd w:id="13"/>
      <w:bookmarkEnd w:id="14"/>
      <w:bookmarkEnd w:id="15"/>
      <w:bookmarkEnd w:id="16"/>
      <w:bookmarkEnd w:id="17"/>
      <w:bookmarkEnd w:id="18"/>
      <w:bookmarkEnd w:id="19"/>
      <w:bookmarkEnd w:id="20"/>
      <w:bookmarkEnd w:id="21"/>
    </w:p>
    <w:p>
      <w:pPr>
        <w:tabs>
          <w:tab w:val="left" w:pos="851"/>
        </w:tabs>
        <w:ind w:firstLine="0" w:firstLineChars="0"/>
        <w:rPr>
          <w:rFonts w:hint="eastAsia"/>
          <w:color w:val="auto"/>
          <w:highlight w:val="none"/>
        </w:rPr>
      </w:pPr>
      <w:bookmarkStart w:id="22" w:name="_Toc296355589"/>
      <w:bookmarkStart w:id="23" w:name="_Toc312827028"/>
      <w:bookmarkStart w:id="24" w:name="_Toc309593197"/>
      <w:bookmarkStart w:id="25" w:name="_Toc309805592"/>
      <w:bookmarkStart w:id="26" w:name="_Toc309593268"/>
      <w:r>
        <w:rPr>
          <w:rFonts w:hint="eastAsia"/>
          <w:color w:val="auto"/>
          <w:highlight w:val="none"/>
        </w:rPr>
        <w:t xml:space="preserve">2.1 </w:t>
      </w:r>
      <w:r>
        <w:rPr>
          <w:rFonts w:hint="eastAsia"/>
          <w:b/>
          <w:color w:val="auto"/>
          <w:highlight w:val="none"/>
        </w:rPr>
        <w:t>项目名称</w:t>
      </w:r>
    </w:p>
    <w:p>
      <w:pPr>
        <w:ind w:firstLine="480"/>
        <w:jc w:val="both"/>
        <w:rPr>
          <w:color w:val="auto"/>
          <w:highlight w:val="none"/>
        </w:rPr>
      </w:pPr>
      <w:r>
        <w:rPr>
          <w:rFonts w:hint="eastAsia"/>
          <w:color w:val="auto"/>
          <w:highlight w:val="none"/>
        </w:rPr>
        <w:t>基于协同创新体系与产业生态构建的</w:t>
      </w:r>
      <w:r>
        <w:rPr>
          <w:rFonts w:hint="eastAsia"/>
          <w:color w:val="auto"/>
          <w:highlight w:val="none"/>
          <w:lang w:eastAsia="zh-CN"/>
        </w:rPr>
        <w:t>工程研究中心</w:t>
      </w:r>
      <w:r>
        <w:rPr>
          <w:rFonts w:hint="eastAsia"/>
          <w:color w:val="auto"/>
          <w:highlight w:val="none"/>
        </w:rPr>
        <w:t>实体化运作机制研究</w:t>
      </w:r>
    </w:p>
    <w:p>
      <w:pPr>
        <w:tabs>
          <w:tab w:val="left" w:pos="851"/>
        </w:tabs>
        <w:ind w:firstLine="0" w:firstLineChars="0"/>
        <w:rPr>
          <w:b/>
          <w:bCs/>
          <w:color w:val="auto"/>
          <w:highlight w:val="none"/>
        </w:rPr>
      </w:pPr>
      <w:r>
        <w:rPr>
          <w:rFonts w:hint="eastAsia"/>
          <w:color w:val="auto"/>
          <w:highlight w:val="none"/>
        </w:rPr>
        <w:t xml:space="preserve">2.2 </w:t>
      </w:r>
      <w:r>
        <w:rPr>
          <w:rFonts w:hint="eastAsia"/>
          <w:b/>
          <w:bCs/>
          <w:color w:val="auto"/>
          <w:highlight w:val="none"/>
        </w:rPr>
        <w:t>项目背景</w:t>
      </w:r>
    </w:p>
    <w:p>
      <w:pPr>
        <w:tabs>
          <w:tab w:val="left" w:pos="851"/>
        </w:tabs>
        <w:ind w:firstLine="480"/>
        <w:jc w:val="both"/>
        <w:rPr>
          <w:rFonts w:hint="eastAsia"/>
          <w:color w:val="auto"/>
          <w:highlight w:val="none"/>
        </w:rPr>
      </w:pPr>
      <w:r>
        <w:rPr>
          <w:rFonts w:hint="eastAsia"/>
          <w:color w:val="auto"/>
          <w:highlight w:val="none"/>
        </w:rPr>
        <w:t>当前新一轮科技革命和产业变革纵深推进，党的二十大及二十届四中全会明确将“加快高水平科技自立自强，引领发展新质生产力”作为核心战略任务，强调“推动科技创新和产业创新深度融合”，为创新平台转型发展指明方向。国家发展改革委在《国家工程研究中心管理办法》中明确“工程中心原则上应采取法人形式组建和运行”，云南省发改委亦在配套文件中提出“鼓励省工程中心采用法人形式组建和运行”，从国家到地方形成政策合力，推动创新平台由“虚”向“实”转型，强化市场主体地位，提升资源整合与成果转化效能，这已成为破解“科技产业两张皮”、支撑现代化产业体系建设的关键路径。</w:t>
      </w:r>
    </w:p>
    <w:p>
      <w:pPr>
        <w:tabs>
          <w:tab w:val="left" w:pos="851"/>
        </w:tabs>
        <w:ind w:firstLine="480"/>
        <w:jc w:val="both"/>
        <w:rPr>
          <w:rFonts w:hint="eastAsia"/>
          <w:color w:val="auto"/>
          <w:highlight w:val="none"/>
        </w:rPr>
      </w:pPr>
      <w:r>
        <w:rPr>
          <w:rFonts w:hint="eastAsia"/>
          <w:color w:val="auto"/>
          <w:highlight w:val="none"/>
        </w:rPr>
        <w:t>云南作为“西电东送”桥头堡与面向南亚东南亚的辐射中心，在绿色能源领域具有独特优势——“十四五”期间全省绿色能源装机容量突破1.5亿千瓦、居全国首位，能源产业已成为全省第一支柱产业。但与此同时，云南在特高压智能运检、高海拔适应性技术研发、能源装备产业链整合等领域仍存在技术短板，且面临创新资源分散、协同效率不足等问题，亟须通过机制创新打造集技术研发、成果转化、产业孵化于一体的实体化平台，既满足自身产业升级需求，又助力破解区域“科技与产业脱节”难题。</w:t>
      </w:r>
    </w:p>
    <w:p>
      <w:pPr>
        <w:tabs>
          <w:tab w:val="left" w:pos="851"/>
        </w:tabs>
        <w:ind w:firstLine="480"/>
        <w:jc w:val="both"/>
        <w:rPr>
          <w:rFonts w:hint="eastAsia"/>
          <w:color w:val="auto"/>
          <w:highlight w:val="none"/>
        </w:rPr>
      </w:pPr>
      <w:r>
        <w:rPr>
          <w:rFonts w:hint="eastAsia"/>
          <w:color w:val="auto"/>
          <w:highlight w:val="none"/>
        </w:rPr>
        <w:t>南方电网公司实验室作为开展基础研究、关键技术攻关、科技成果产业化及人才培育的核心载体，面对新形势下科技创新平台高质量发展要求，现有实验室存在功能定位模糊、运转效能偏低等问题。为贯彻落实南方电网公司党组“积极融入国家创新体系、打造高能级科技创新平台”的部署，响应云南省“推动创新平台实体化运行”的政策导向，2025年9月“云南省特高压直流智能运检与安全运行工程研究中心”正式获批成立。在此背景下，亟需加大实验室建设与体制机制创新力度，以“功能使命实、人员队伍实、科研能力实、场所设施实、管理机制实”为核心推进实体化建设。</w:t>
      </w:r>
    </w:p>
    <w:p>
      <w:pPr>
        <w:tabs>
          <w:tab w:val="left" w:pos="851"/>
        </w:tabs>
        <w:ind w:firstLine="480"/>
        <w:jc w:val="both"/>
        <w:rPr>
          <w:rFonts w:hint="eastAsia"/>
          <w:color w:val="auto"/>
          <w:highlight w:val="none"/>
        </w:rPr>
      </w:pPr>
      <w:r>
        <w:rPr>
          <w:rFonts w:hint="eastAsia"/>
          <w:color w:val="auto"/>
          <w:highlight w:val="none"/>
        </w:rPr>
        <w:t>本项目聚焦</w:t>
      </w:r>
      <w:r>
        <w:rPr>
          <w:rFonts w:hint="eastAsia"/>
          <w:color w:val="auto"/>
          <w:highlight w:val="none"/>
          <w:lang w:eastAsia="zh-CN"/>
        </w:rPr>
        <w:t>工程研究中心</w:t>
      </w:r>
      <w:r>
        <w:rPr>
          <w:rFonts w:hint="eastAsia"/>
          <w:color w:val="auto"/>
          <w:highlight w:val="none"/>
        </w:rPr>
        <w:t>（云南省工程研究中心）实体化运作机制研究，旨在突破传统科研管理范式，通过构建高效协同治理模式、专业化成果转化机制及动态前瞻的技术路线梳理能力，系统解决“产学研用”深度融合中的制度壁垒、转化断点与资源分散问题。这不仅是激发创新活力、加速技术成果向现实生产力转化的关键，更是推动</w:t>
      </w:r>
      <w:r>
        <w:rPr>
          <w:rFonts w:hint="eastAsia"/>
          <w:color w:val="auto"/>
          <w:highlight w:val="none"/>
          <w:lang w:eastAsia="zh-CN"/>
        </w:rPr>
        <w:t>工程研究中心</w:t>
      </w:r>
      <w:r>
        <w:rPr>
          <w:rFonts w:hint="eastAsia"/>
          <w:color w:val="auto"/>
          <w:highlight w:val="none"/>
        </w:rPr>
        <w:t>从物理组建升华为化学融合，助力云南绿色能源强省建设、支撑“海外南网”建设与中国电力技术“走出去”，最终打造引领行业发展、辐射南亚东南亚的国家级创新高地的必然选择。</w:t>
      </w:r>
    </w:p>
    <w:p>
      <w:pPr>
        <w:tabs>
          <w:tab w:val="left" w:pos="851"/>
        </w:tabs>
        <w:ind w:firstLine="0" w:firstLineChars="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b/>
          <w:bCs/>
          <w:color w:val="auto"/>
          <w:highlight w:val="none"/>
        </w:rPr>
        <w:t>2.</w:t>
      </w:r>
      <w:r>
        <w:rPr>
          <w:rFonts w:hint="eastAsia"/>
          <w:b/>
          <w:bCs/>
          <w:color w:val="auto"/>
          <w:highlight w:val="none"/>
          <w:lang w:val="en-US" w:eastAsia="zh-CN"/>
        </w:rPr>
        <w:t>3</w:t>
      </w:r>
      <w:r>
        <w:rPr>
          <w:rFonts w:hint="eastAsia"/>
          <w:b/>
          <w:bCs/>
          <w:color w:val="auto"/>
          <w:highlight w:val="none"/>
        </w:rPr>
        <w:t xml:space="preserve"> </w:t>
      </w:r>
      <w:r>
        <w:rPr>
          <w:rFonts w:hint="eastAsia" w:asciiTheme="minorEastAsia" w:hAnsiTheme="minorEastAsia" w:eastAsiaTheme="minorEastAsia" w:cstheme="minorEastAsia"/>
          <w:b/>
          <w:bCs/>
          <w:color w:val="auto"/>
          <w:kern w:val="2"/>
          <w:sz w:val="24"/>
          <w:szCs w:val="24"/>
          <w:highlight w:val="none"/>
          <w:lang w:val="en-US" w:eastAsia="zh-CN" w:bidi="ar-SA"/>
        </w:rPr>
        <w:t>项目主要研究内容概述</w:t>
      </w:r>
    </w:p>
    <w:p>
      <w:pPr>
        <w:pStyle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本发展研究的总体目标，是为以“云南省特高压直流智能运检与安全运行工程研究中心”为代表的</w:t>
      </w:r>
      <w:r>
        <w:rPr>
          <w:rFonts w:hint="eastAsia" w:ascii="宋体" w:hAnsi="宋体" w:eastAsia="宋体" w:cs="宋体"/>
          <w:b w:val="0"/>
          <w:bCs w:val="0"/>
          <w:color w:val="auto"/>
          <w:sz w:val="24"/>
          <w:szCs w:val="24"/>
          <w:highlight w:val="none"/>
          <w:lang w:eastAsia="zh-CN"/>
        </w:rPr>
        <w:t>工程研究中心</w:t>
      </w:r>
      <w:r>
        <w:rPr>
          <w:rFonts w:hint="eastAsia" w:ascii="宋体" w:hAnsi="宋体" w:eastAsia="宋体" w:cs="宋体"/>
          <w:b w:val="0"/>
          <w:bCs w:val="0"/>
          <w:color w:val="auto"/>
          <w:sz w:val="24"/>
          <w:szCs w:val="24"/>
          <w:highlight w:val="none"/>
        </w:rPr>
        <w:t>实体化建设与运营提供一套系统性的顶层设计与战略指引，确保其具备卓越的治理效能、持续的创新动能和显著的战略价值。具体目标分解如下：</w:t>
      </w:r>
    </w:p>
    <w:p>
      <w:pPr>
        <w:pStyle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第一，构建引领性的协同治理与高效管理模式。研究旨在为以“云南省特高压直流智能运检与安全运行工程研究中心”为代表的</w:t>
      </w:r>
      <w:r>
        <w:rPr>
          <w:rFonts w:hint="eastAsia" w:ascii="宋体" w:hAnsi="宋体" w:eastAsia="宋体" w:cs="宋体"/>
          <w:b w:val="0"/>
          <w:bCs w:val="0"/>
          <w:color w:val="auto"/>
          <w:sz w:val="24"/>
          <w:szCs w:val="24"/>
          <w:highlight w:val="none"/>
          <w:lang w:eastAsia="zh-CN"/>
        </w:rPr>
        <w:t>工程研究中心</w:t>
      </w:r>
      <w:r>
        <w:rPr>
          <w:rFonts w:hint="eastAsia" w:ascii="宋体" w:hAnsi="宋体" w:eastAsia="宋体" w:cs="宋体"/>
          <w:b w:val="0"/>
          <w:bCs w:val="0"/>
          <w:color w:val="auto"/>
          <w:sz w:val="24"/>
          <w:szCs w:val="24"/>
          <w:highlight w:val="none"/>
        </w:rPr>
        <w:t>设计并建立一套权责清晰、运行流畅、激励有效的现代化科研管理机构运行范式。通过探索实体化运行机制，优化“主任负责制”下的决策流程，促进技术研究平台间的深度协同与资源共享，打造能够最大限度激发“产学研用”各方创新潜力的制度环境，为</w:t>
      </w:r>
      <w:r>
        <w:rPr>
          <w:rFonts w:hint="eastAsia" w:ascii="宋体" w:hAnsi="宋体" w:eastAsia="宋体" w:cs="宋体"/>
          <w:b w:val="0"/>
          <w:bCs w:val="0"/>
          <w:color w:val="auto"/>
          <w:sz w:val="24"/>
          <w:szCs w:val="24"/>
          <w:highlight w:val="none"/>
          <w:lang w:eastAsia="zh-CN"/>
        </w:rPr>
        <w:t>工程研究中心</w:t>
      </w:r>
      <w:r>
        <w:rPr>
          <w:rFonts w:hint="eastAsia" w:ascii="宋体" w:hAnsi="宋体" w:eastAsia="宋体" w:cs="宋体"/>
          <w:b w:val="0"/>
          <w:bCs w:val="0"/>
          <w:color w:val="auto"/>
          <w:sz w:val="24"/>
          <w:szCs w:val="24"/>
          <w:highlight w:val="none"/>
        </w:rPr>
        <w:t>的可持续发展奠定坚实的组织基础。</w:t>
      </w:r>
    </w:p>
    <w:p>
      <w:pPr>
        <w:pStyle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第二，打造专业化的成果转化与产业驱动机制。研究致力于构建一个内嵌于</w:t>
      </w:r>
      <w:r>
        <w:rPr>
          <w:rFonts w:hint="eastAsia" w:ascii="宋体" w:hAnsi="宋体" w:eastAsia="宋体" w:cs="宋体"/>
          <w:b w:val="0"/>
          <w:bCs w:val="0"/>
          <w:color w:val="auto"/>
          <w:sz w:val="24"/>
          <w:szCs w:val="24"/>
          <w:highlight w:val="none"/>
          <w:lang w:eastAsia="zh-CN"/>
        </w:rPr>
        <w:t>工程研究中心</w:t>
      </w:r>
      <w:r>
        <w:rPr>
          <w:rFonts w:hint="eastAsia" w:ascii="宋体" w:hAnsi="宋体" w:eastAsia="宋体" w:cs="宋体"/>
          <w:b w:val="0"/>
          <w:bCs w:val="0"/>
          <w:color w:val="auto"/>
          <w:sz w:val="24"/>
          <w:szCs w:val="24"/>
          <w:highlight w:val="none"/>
        </w:rPr>
        <w:t>（云南省工程研究中心）创新全过程的科技成果转移转化体系。该体系将以市场需求为导向，建立从知识产权布局、利益分配、到中试验证与市场推广的专业化通道，旨在彻底打通创新链与产业链的“最后一公里”。确保</w:t>
      </w:r>
      <w:r>
        <w:rPr>
          <w:rFonts w:hint="eastAsia" w:ascii="宋体" w:hAnsi="宋体" w:eastAsia="宋体" w:cs="宋体"/>
          <w:b w:val="0"/>
          <w:bCs w:val="0"/>
          <w:color w:val="auto"/>
          <w:sz w:val="24"/>
          <w:szCs w:val="24"/>
          <w:highlight w:val="none"/>
          <w:lang w:eastAsia="zh-CN"/>
        </w:rPr>
        <w:t>工程研究中心</w:t>
      </w:r>
      <w:r>
        <w:rPr>
          <w:rFonts w:hint="eastAsia" w:ascii="宋体" w:hAnsi="宋体" w:eastAsia="宋体" w:cs="宋体"/>
          <w:b w:val="0"/>
          <w:bCs w:val="0"/>
          <w:color w:val="auto"/>
          <w:sz w:val="24"/>
          <w:szCs w:val="24"/>
          <w:highlight w:val="none"/>
        </w:rPr>
        <w:t>产生的专利、标准与技术成果能够高效地转化为现实生产力与商业价值，从而直接激发产业创新活力，带动产业集群发展，并为参建单位的高质量发展提供核心支撑。</w:t>
      </w:r>
    </w:p>
    <w:p>
      <w:pPr>
        <w:pStyle w:val="2"/>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第三，确立前瞻性的技术发展路径与动态评估体系。研究将帮助</w:t>
      </w:r>
      <w:r>
        <w:rPr>
          <w:rFonts w:hint="eastAsia" w:ascii="宋体" w:hAnsi="宋体" w:eastAsia="宋体" w:cs="宋体"/>
          <w:b w:val="0"/>
          <w:bCs w:val="0"/>
          <w:color w:val="auto"/>
          <w:sz w:val="24"/>
          <w:szCs w:val="24"/>
          <w:highlight w:val="none"/>
          <w:lang w:eastAsia="zh-CN"/>
        </w:rPr>
        <w:t>工程研究中心</w:t>
      </w:r>
      <w:r>
        <w:rPr>
          <w:rFonts w:hint="eastAsia" w:ascii="宋体" w:hAnsi="宋体" w:eastAsia="宋体" w:cs="宋体"/>
          <w:b w:val="0"/>
          <w:bCs w:val="0"/>
          <w:color w:val="auto"/>
          <w:sz w:val="24"/>
          <w:szCs w:val="24"/>
          <w:highlight w:val="none"/>
        </w:rPr>
        <w:t>（云南省工程研究中心）建立一套系统性的技术路线图梳理与动态管理方法论。通过对宏观战略、产业瓶颈与技术趋势的持续研判，明确各研发阶段的优先方向与资源配置，确保技术攻关始终精准服务于核心使命。同时，建立跨平台研发项目的全过程评估机制，保障研发活动的聚焦与高效，持续提升</w:t>
      </w:r>
      <w:r>
        <w:rPr>
          <w:rFonts w:hint="eastAsia" w:ascii="宋体" w:hAnsi="宋体" w:eastAsia="宋体" w:cs="宋体"/>
          <w:b w:val="0"/>
          <w:bCs w:val="0"/>
          <w:color w:val="auto"/>
          <w:sz w:val="24"/>
          <w:szCs w:val="24"/>
          <w:highlight w:val="none"/>
          <w:lang w:eastAsia="zh-CN"/>
        </w:rPr>
        <w:t>工程研究中心</w:t>
      </w:r>
      <w:r>
        <w:rPr>
          <w:rFonts w:hint="eastAsia" w:ascii="宋体" w:hAnsi="宋体" w:eastAsia="宋体" w:cs="宋体"/>
          <w:b w:val="0"/>
          <w:bCs w:val="0"/>
          <w:color w:val="auto"/>
          <w:sz w:val="24"/>
          <w:szCs w:val="24"/>
          <w:highlight w:val="none"/>
        </w:rPr>
        <w:t>在专业领域的技术引领能力与行业影响力。</w:t>
      </w:r>
    </w:p>
    <w:p>
      <w:pPr>
        <w:pStyle w:val="4"/>
        <w:spacing w:before="312" w:after="156"/>
        <w:rPr>
          <w:rFonts w:hint="eastAsia"/>
          <w:color w:val="auto"/>
          <w:highlight w:val="none"/>
        </w:rPr>
      </w:pPr>
      <w:bookmarkStart w:id="27" w:name="_Toc8085"/>
      <w:bookmarkStart w:id="28" w:name="_Toc441483965"/>
      <w:bookmarkStart w:id="29" w:name="_Toc18460"/>
      <w:bookmarkStart w:id="30" w:name="_Toc32600"/>
      <w:bookmarkStart w:id="31" w:name="_Toc531004265"/>
      <w:bookmarkStart w:id="32" w:name="_Toc531004211"/>
      <w:r>
        <w:rPr>
          <w:color w:val="auto"/>
          <w:highlight w:val="none"/>
        </w:rPr>
        <w:t>总体要求</w:t>
      </w:r>
      <w:bookmarkEnd w:id="27"/>
      <w:bookmarkEnd w:id="28"/>
      <w:bookmarkEnd w:id="29"/>
      <w:bookmarkEnd w:id="30"/>
      <w:bookmarkEnd w:id="31"/>
      <w:bookmarkEnd w:id="32"/>
    </w:p>
    <w:p>
      <w:pPr>
        <w:ind w:firstLine="480"/>
        <w:jc w:val="both"/>
        <w:rPr>
          <w:color w:val="auto"/>
          <w:highlight w:val="none"/>
        </w:rPr>
      </w:pPr>
      <w:r>
        <w:rPr>
          <w:color w:val="auto"/>
          <w:highlight w:val="none"/>
        </w:rPr>
        <w:t>投标方应详细描述项目的整体方案，包括项目技术方案、进度计划、项目</w:t>
      </w:r>
      <w:r>
        <w:rPr>
          <w:rFonts w:hint="eastAsia"/>
          <w:color w:val="auto"/>
          <w:highlight w:val="none"/>
        </w:rPr>
        <w:t>工作量及</w:t>
      </w:r>
      <w:r>
        <w:rPr>
          <w:color w:val="auto"/>
          <w:highlight w:val="none"/>
        </w:rPr>
        <w:t>费用安排、人员组织安排、培训计划</w:t>
      </w:r>
      <w:r>
        <w:rPr>
          <w:rFonts w:hint="eastAsia"/>
          <w:color w:val="auto"/>
          <w:highlight w:val="none"/>
        </w:rPr>
        <w:t>、</w:t>
      </w:r>
      <w:r>
        <w:rPr>
          <w:color w:val="auto"/>
          <w:highlight w:val="none"/>
        </w:rPr>
        <w:t>预期目标</w:t>
      </w:r>
      <w:r>
        <w:rPr>
          <w:rFonts w:hint="eastAsia"/>
          <w:color w:val="auto"/>
          <w:highlight w:val="none"/>
        </w:rPr>
        <w:t>和</w:t>
      </w:r>
      <w:r>
        <w:rPr>
          <w:color w:val="auto"/>
          <w:highlight w:val="none"/>
        </w:rPr>
        <w:t>主要技术经济指标、成果形式等</w:t>
      </w:r>
      <w:r>
        <w:rPr>
          <w:rFonts w:hint="eastAsia"/>
          <w:color w:val="auto"/>
          <w:highlight w:val="none"/>
        </w:rPr>
        <w:t>，同时应在方案中明确</w:t>
      </w:r>
      <w:r>
        <w:rPr>
          <w:color w:val="auto"/>
          <w:highlight w:val="none"/>
        </w:rPr>
        <w:t>需招标方</w:t>
      </w:r>
      <w:r>
        <w:rPr>
          <w:rFonts w:hint="eastAsia"/>
          <w:color w:val="auto"/>
          <w:highlight w:val="none"/>
        </w:rPr>
        <w:t>协调</w:t>
      </w:r>
      <w:r>
        <w:rPr>
          <w:color w:val="auto"/>
          <w:highlight w:val="none"/>
        </w:rPr>
        <w:t>配合的</w:t>
      </w:r>
      <w:r>
        <w:rPr>
          <w:rFonts w:hint="eastAsia"/>
          <w:color w:val="auto"/>
          <w:highlight w:val="none"/>
        </w:rPr>
        <w:t>工作。</w:t>
      </w:r>
    </w:p>
    <w:p>
      <w:pPr>
        <w:numPr>
          <w:ilvl w:val="255"/>
          <w:numId w:val="0"/>
        </w:numPr>
        <w:ind w:firstLine="480" w:firstLineChars="200"/>
        <w:jc w:val="both"/>
        <w:rPr>
          <w:color w:val="auto"/>
          <w:highlight w:val="none"/>
        </w:rPr>
      </w:pPr>
      <w:r>
        <w:rPr>
          <w:color w:val="auto"/>
          <w:highlight w:val="none"/>
        </w:rPr>
        <w:t>（1）</w:t>
      </w:r>
      <w:r>
        <w:rPr>
          <w:rFonts w:hint="eastAsia"/>
          <w:color w:val="auto"/>
          <w:highlight w:val="none"/>
        </w:rPr>
        <w:t>投标</w:t>
      </w:r>
      <w:r>
        <w:rPr>
          <w:color w:val="auto"/>
          <w:highlight w:val="none"/>
        </w:rPr>
        <w:t>方应</w:t>
      </w:r>
      <w:r>
        <w:rPr>
          <w:rFonts w:hint="eastAsia"/>
          <w:color w:val="auto"/>
          <w:highlight w:val="none"/>
        </w:rPr>
        <w:t>按照本规范书要求完成项目，项目研究的工具、方法、进度和全过程应在招标方可控的范围之内，并</w:t>
      </w:r>
      <w:r>
        <w:rPr>
          <w:color w:val="auto"/>
          <w:highlight w:val="none"/>
        </w:rPr>
        <w:t>向</w:t>
      </w:r>
      <w:r>
        <w:rPr>
          <w:rFonts w:hint="eastAsia"/>
          <w:color w:val="auto"/>
          <w:highlight w:val="none"/>
        </w:rPr>
        <w:t>招标</w:t>
      </w:r>
      <w:r>
        <w:rPr>
          <w:color w:val="auto"/>
          <w:highlight w:val="none"/>
        </w:rPr>
        <w:t>方交付</w:t>
      </w:r>
      <w:r>
        <w:rPr>
          <w:rFonts w:hint="eastAsia"/>
          <w:color w:val="auto"/>
          <w:highlight w:val="none"/>
        </w:rPr>
        <w:t>项目相关技术</w:t>
      </w:r>
      <w:r>
        <w:rPr>
          <w:color w:val="auto"/>
          <w:highlight w:val="none"/>
        </w:rPr>
        <w:t>资料，</w:t>
      </w:r>
      <w:r>
        <w:rPr>
          <w:rFonts w:hint="eastAsia"/>
          <w:color w:val="auto"/>
          <w:highlight w:val="none"/>
        </w:rPr>
        <w:t>不限于项目实施过程中产生的</w:t>
      </w:r>
      <w:r>
        <w:rPr>
          <w:rFonts w:hint="eastAsia"/>
          <w:color w:val="auto"/>
          <w:highlight w:val="none"/>
          <w:lang w:val="en-US" w:eastAsia="zh-CN"/>
        </w:rPr>
        <w:t>调研信息、研究数据</w:t>
      </w:r>
      <w:r>
        <w:rPr>
          <w:rFonts w:hint="eastAsia"/>
          <w:color w:val="auto"/>
          <w:highlight w:val="none"/>
        </w:rPr>
        <w:t>等</w:t>
      </w:r>
      <w:r>
        <w:rPr>
          <w:color w:val="auto"/>
          <w:highlight w:val="none"/>
        </w:rPr>
        <w:t>。未经</w:t>
      </w:r>
      <w:r>
        <w:rPr>
          <w:rFonts w:hint="eastAsia"/>
          <w:color w:val="auto"/>
          <w:highlight w:val="none"/>
        </w:rPr>
        <w:t>招标</w:t>
      </w:r>
      <w:r>
        <w:rPr>
          <w:color w:val="auto"/>
          <w:highlight w:val="none"/>
        </w:rPr>
        <w:t>方书面同意，</w:t>
      </w:r>
      <w:r>
        <w:rPr>
          <w:rFonts w:hint="eastAsia"/>
          <w:color w:val="auto"/>
          <w:highlight w:val="none"/>
        </w:rPr>
        <w:t>投标</w:t>
      </w:r>
      <w:r>
        <w:rPr>
          <w:color w:val="auto"/>
          <w:highlight w:val="none"/>
        </w:rPr>
        <w:t>方不得在其他项目中使用上述技术资料，或向任何第三方披露、使用上述技术资料。</w:t>
      </w:r>
    </w:p>
    <w:p>
      <w:pPr>
        <w:numPr>
          <w:ilvl w:val="255"/>
          <w:numId w:val="0"/>
        </w:numPr>
        <w:ind w:firstLine="480" w:firstLineChars="200"/>
        <w:jc w:val="both"/>
        <w:rPr>
          <w:color w:val="auto"/>
          <w:highlight w:val="none"/>
        </w:rPr>
      </w:pPr>
      <w:r>
        <w:rPr>
          <w:rFonts w:hint="eastAsia"/>
          <w:color w:val="auto"/>
          <w:highlight w:val="none"/>
        </w:rPr>
        <w:t>（</w:t>
      </w:r>
      <w:r>
        <w:rPr>
          <w:color w:val="auto"/>
          <w:highlight w:val="none"/>
        </w:rPr>
        <w:t>2</w:t>
      </w:r>
      <w:r>
        <w:rPr>
          <w:rFonts w:hint="eastAsia"/>
          <w:color w:val="auto"/>
          <w:highlight w:val="none"/>
        </w:rPr>
        <w:t>）除另有约定外，项目实施过程中形成的研究报告、研究成果归招标方独有，投标方经招标方书面同意后方可使用研究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方采取上述措施提供合理的帮助。项目合同规定的专利的申请费、授权费及维护年费由招标方承担。</w:t>
      </w:r>
    </w:p>
    <w:p>
      <w:pPr>
        <w:numPr>
          <w:ilvl w:val="255"/>
          <w:numId w:val="0"/>
        </w:numPr>
        <w:ind w:firstLine="480" w:firstLineChars="200"/>
        <w:jc w:val="both"/>
        <w:rPr>
          <w:color w:val="auto"/>
          <w:highlight w:val="none"/>
        </w:rPr>
      </w:pPr>
      <w:r>
        <w:rPr>
          <w:rFonts w:hint="eastAsia"/>
          <w:color w:val="auto"/>
          <w:highlight w:val="none"/>
        </w:rPr>
        <w:t>（</w:t>
      </w:r>
      <w:r>
        <w:rPr>
          <w:color w:val="auto"/>
          <w:highlight w:val="none"/>
        </w:rPr>
        <w:t>3</w:t>
      </w:r>
      <w:r>
        <w:rPr>
          <w:rFonts w:hint="eastAsia"/>
          <w:color w:val="auto"/>
          <w:highlight w:val="none"/>
        </w:rPr>
        <w:t>）投标方应向招标方交付与项目技术成果相关的所有资料，确保交付的技术资料未遗漏技术点，且载有完整的技术内容（技术内容不限于阶段性技术成果和最终成果）。</w:t>
      </w:r>
    </w:p>
    <w:p>
      <w:pPr>
        <w:numPr>
          <w:ilvl w:val="255"/>
          <w:numId w:val="0"/>
        </w:numPr>
        <w:ind w:firstLine="480" w:firstLineChars="200"/>
        <w:jc w:val="both"/>
        <w:rPr>
          <w:color w:val="auto"/>
          <w:highlight w:val="none"/>
        </w:rPr>
      </w:pPr>
      <w:r>
        <w:rPr>
          <w:rFonts w:hint="eastAsia"/>
          <w:color w:val="auto"/>
          <w:highlight w:val="none"/>
        </w:rPr>
        <w:t>（4）</w:t>
      </w:r>
      <w:r>
        <w:rPr>
          <w:color w:val="auto"/>
          <w:highlight w:val="none"/>
        </w:rPr>
        <w:t>论文须取得录用通知</w:t>
      </w:r>
      <w:r>
        <w:rPr>
          <w:rFonts w:hint="eastAsia"/>
          <w:color w:val="auto"/>
          <w:highlight w:val="none"/>
        </w:rPr>
        <w:t>，招标方人员为</w:t>
      </w:r>
      <w:r>
        <w:rPr>
          <w:color w:val="auto"/>
          <w:highlight w:val="none"/>
        </w:rPr>
        <w:t>第一作者</w:t>
      </w:r>
      <w:r>
        <w:rPr>
          <w:rFonts w:hint="eastAsia"/>
          <w:color w:val="auto"/>
          <w:highlight w:val="none"/>
        </w:rPr>
        <w:t>。对于招标方独有的论文，</w:t>
      </w:r>
      <w:r>
        <w:rPr>
          <w:color w:val="auto"/>
          <w:highlight w:val="none"/>
        </w:rPr>
        <w:t>版面费由</w:t>
      </w:r>
      <w:r>
        <w:rPr>
          <w:rFonts w:hint="eastAsia"/>
          <w:color w:val="auto"/>
          <w:highlight w:val="none"/>
        </w:rPr>
        <w:t>招标方承担</w:t>
      </w:r>
      <w:r>
        <w:rPr>
          <w:color w:val="auto"/>
          <w:highlight w:val="none"/>
        </w:rPr>
        <w:t>，投标方须提供</w:t>
      </w:r>
      <w:r>
        <w:rPr>
          <w:rFonts w:hint="eastAsia"/>
          <w:color w:val="auto"/>
          <w:highlight w:val="none"/>
        </w:rPr>
        <w:t>论文原稿</w:t>
      </w:r>
      <w:r>
        <w:rPr>
          <w:color w:val="auto"/>
          <w:highlight w:val="none"/>
        </w:rPr>
        <w:t>并盖公章作为证明材料</w:t>
      </w:r>
      <w:r>
        <w:rPr>
          <w:rFonts w:hint="eastAsia"/>
          <w:color w:val="auto"/>
          <w:highlight w:val="none"/>
        </w:rPr>
        <w:t>；对于招标方人员为</w:t>
      </w:r>
      <w:r>
        <w:rPr>
          <w:color w:val="auto"/>
          <w:highlight w:val="none"/>
        </w:rPr>
        <w:t>第一作者</w:t>
      </w:r>
      <w:r>
        <w:rPr>
          <w:rFonts w:hint="eastAsia"/>
          <w:color w:val="auto"/>
          <w:highlight w:val="none"/>
        </w:rPr>
        <w:t>的双方共有论文，版面费由</w:t>
      </w:r>
      <w:r>
        <w:rPr>
          <w:color w:val="auto"/>
          <w:highlight w:val="none"/>
        </w:rPr>
        <w:t>投标方承担。</w:t>
      </w:r>
    </w:p>
    <w:p>
      <w:pPr>
        <w:numPr>
          <w:ilvl w:val="255"/>
          <w:numId w:val="0"/>
        </w:numPr>
        <w:ind w:firstLine="480" w:firstLineChars="200"/>
        <w:jc w:val="both"/>
        <w:rPr>
          <w:color w:val="auto"/>
          <w:highlight w:val="none"/>
        </w:rPr>
      </w:pPr>
      <w:r>
        <w:rPr>
          <w:rFonts w:hint="eastAsia"/>
          <w:color w:val="auto"/>
          <w:highlight w:val="none"/>
        </w:rPr>
        <w:t>（5）针对知识产权后续改进，招标方同意投标方利用本项目所完成的技术成果进行后续改进，由此产生的技术成果及其相关知识产权，归双方共有。双方是该等成果的著作权、专利申请权、专利权、技术秘密及其他相关知识产权的共有人，知识产权维护费用由双方平摊。</w:t>
      </w:r>
    </w:p>
    <w:p>
      <w:pPr>
        <w:numPr>
          <w:ilvl w:val="255"/>
          <w:numId w:val="0"/>
        </w:numPr>
        <w:ind w:firstLine="480" w:firstLineChars="200"/>
        <w:jc w:val="both"/>
        <w:rPr>
          <w:color w:val="auto"/>
          <w:highlight w:val="none"/>
        </w:rPr>
      </w:pPr>
      <w:r>
        <w:rPr>
          <w:rFonts w:hint="eastAsia"/>
          <w:color w:val="auto"/>
          <w:highlight w:val="none"/>
        </w:rPr>
        <w:t>（</w:t>
      </w:r>
      <w:r>
        <w:rPr>
          <w:color w:val="auto"/>
          <w:highlight w:val="none"/>
        </w:rPr>
        <w:t>6</w:t>
      </w:r>
      <w:r>
        <w:rPr>
          <w:rFonts w:hint="eastAsia"/>
          <w:color w:val="auto"/>
          <w:highlight w:val="none"/>
        </w:rPr>
        <w:t>）本采购项目合同验收时，若投标方未能提交</w:t>
      </w:r>
      <w:r>
        <w:rPr>
          <w:rFonts w:hint="eastAsia"/>
          <w:color w:val="auto"/>
          <w:highlight w:val="none"/>
          <w:lang w:val="en-US" w:eastAsia="zh-CN"/>
        </w:rPr>
        <w:t>宣传</w:t>
      </w:r>
      <w:r>
        <w:rPr>
          <w:rFonts w:hint="eastAsia"/>
          <w:color w:val="auto"/>
          <w:highlight w:val="none"/>
        </w:rPr>
        <w:t>和论文完成情况证明材料，每缺少</w:t>
      </w:r>
      <w:r>
        <w:rPr>
          <w:color w:val="auto"/>
          <w:highlight w:val="none"/>
        </w:rPr>
        <w:t>1</w:t>
      </w:r>
      <w:r>
        <w:rPr>
          <w:rFonts w:hint="eastAsia"/>
          <w:color w:val="auto"/>
          <w:highlight w:val="none"/>
        </w:rPr>
        <w:t>项</w:t>
      </w:r>
      <w:r>
        <w:rPr>
          <w:rFonts w:hint="eastAsia"/>
          <w:color w:val="auto"/>
          <w:highlight w:val="none"/>
          <w:lang w:val="en-US" w:eastAsia="zh-CN"/>
        </w:rPr>
        <w:t>宣传</w:t>
      </w:r>
      <w:r>
        <w:rPr>
          <w:rFonts w:hint="eastAsia"/>
          <w:color w:val="auto"/>
          <w:highlight w:val="none"/>
        </w:rPr>
        <w:t>或论文指标，扣除合同款10%。</w:t>
      </w:r>
    </w:p>
    <w:p>
      <w:pPr>
        <w:numPr>
          <w:ilvl w:val="255"/>
          <w:numId w:val="0"/>
        </w:numPr>
        <w:ind w:firstLine="480" w:firstLineChars="200"/>
        <w:jc w:val="both"/>
        <w:rPr>
          <w:color w:val="auto"/>
          <w:highlight w:val="none"/>
        </w:rPr>
      </w:pPr>
      <w:r>
        <w:rPr>
          <w:color w:val="auto"/>
          <w:highlight w:val="none"/>
        </w:rPr>
        <w:t>（</w:t>
      </w:r>
      <w:r>
        <w:rPr>
          <w:rFonts w:hint="eastAsia"/>
          <w:color w:val="auto"/>
          <w:highlight w:val="none"/>
        </w:rPr>
        <w:t>7</w:t>
      </w:r>
      <w:r>
        <w:rPr>
          <w:color w:val="auto"/>
          <w:highlight w:val="none"/>
        </w:rPr>
        <w:t>）招标方</w:t>
      </w:r>
      <w:r>
        <w:rPr>
          <w:rFonts w:hint="eastAsia"/>
          <w:color w:val="auto"/>
          <w:highlight w:val="none"/>
        </w:rPr>
        <w:t>有权</w:t>
      </w:r>
      <w:r>
        <w:rPr>
          <w:color w:val="auto"/>
          <w:highlight w:val="none"/>
        </w:rPr>
        <w:t>指派技术人员组成技术团队参与</w:t>
      </w:r>
      <w:r>
        <w:rPr>
          <w:rFonts w:hint="eastAsia"/>
          <w:color w:val="auto"/>
          <w:highlight w:val="none"/>
        </w:rPr>
        <w:t>项目实施</w:t>
      </w:r>
      <w:r>
        <w:rPr>
          <w:color w:val="auto"/>
          <w:highlight w:val="none"/>
        </w:rPr>
        <w:t>。投标方应指派本单位主要技术负责人配合招标方技术团队的工作。</w:t>
      </w:r>
    </w:p>
    <w:p>
      <w:pPr>
        <w:numPr>
          <w:ilvl w:val="255"/>
          <w:numId w:val="0"/>
        </w:numPr>
        <w:ind w:firstLine="480" w:firstLineChars="200"/>
        <w:jc w:val="both"/>
        <w:rPr>
          <w:color w:val="auto"/>
          <w:highlight w:val="none"/>
        </w:rPr>
      </w:pPr>
      <w:r>
        <w:rPr>
          <w:color w:val="auto"/>
          <w:highlight w:val="none"/>
        </w:rPr>
        <w:t>（</w:t>
      </w:r>
      <w:r>
        <w:rPr>
          <w:rFonts w:hint="eastAsia"/>
          <w:color w:val="auto"/>
          <w:highlight w:val="none"/>
        </w:rPr>
        <w:t>8</w:t>
      </w:r>
      <w:r>
        <w:rPr>
          <w:color w:val="auto"/>
          <w:highlight w:val="none"/>
        </w:rPr>
        <w:t>）招标方技术团队有权对投标方</w:t>
      </w:r>
      <w:r>
        <w:rPr>
          <w:rFonts w:hint="eastAsia"/>
          <w:color w:val="auto"/>
          <w:highlight w:val="none"/>
        </w:rPr>
        <w:t>项目实施</w:t>
      </w:r>
      <w:r>
        <w:rPr>
          <w:color w:val="auto"/>
          <w:highlight w:val="none"/>
        </w:rPr>
        <w:t>过程进行检查监督，有权参与</w:t>
      </w:r>
      <w:r>
        <w:rPr>
          <w:rFonts w:hint="eastAsia"/>
          <w:color w:val="auto"/>
          <w:highlight w:val="none"/>
          <w:lang w:val="en-US" w:eastAsia="zh-CN"/>
        </w:rPr>
        <w:t>技术路线选用、设备图纸设计和审核、重大技术变更</w:t>
      </w:r>
      <w:bookmarkStart w:id="57" w:name="_GoBack"/>
      <w:bookmarkEnd w:id="57"/>
      <w:r>
        <w:rPr>
          <w:color w:val="auto"/>
          <w:highlight w:val="none"/>
        </w:rPr>
        <w:t>等技术环节工作。投标方应在主要</w:t>
      </w:r>
      <w:r>
        <w:rPr>
          <w:rFonts w:hint="eastAsia"/>
          <w:color w:val="auto"/>
          <w:highlight w:val="none"/>
        </w:rPr>
        <w:t>项目</w:t>
      </w:r>
      <w:r>
        <w:rPr>
          <w:color w:val="auto"/>
          <w:highlight w:val="none"/>
        </w:rPr>
        <w:t>技术节点通知招标方技术团队参与。</w:t>
      </w:r>
    </w:p>
    <w:p>
      <w:pPr>
        <w:numPr>
          <w:ilvl w:val="255"/>
          <w:numId w:val="0"/>
        </w:numPr>
        <w:snapToGrid/>
        <w:spacing w:before="0"/>
        <w:ind w:left="0" w:leftChars="0" w:firstLine="480" w:firstLineChars="200"/>
        <w:jc w:val="both"/>
        <w:outlineLvl w:val="9"/>
        <w:rPr>
          <w:rFonts w:hint="eastAsia" w:ascii="黑体" w:hAnsi="黑体" w:eastAsia="黑体" w:cs="黑体"/>
          <w:b/>
          <w:bCs/>
          <w:color w:val="auto"/>
          <w:sz w:val="28"/>
          <w:szCs w:val="36"/>
          <w:highlight w:val="none"/>
          <w:lang w:val="en-US" w:eastAsia="zh-CN"/>
        </w:rPr>
      </w:pPr>
      <w:r>
        <w:rPr>
          <w:rFonts w:hint="eastAsia"/>
          <w:color w:val="auto"/>
          <w:highlight w:val="none"/>
        </w:rPr>
        <w:t>（9</w:t>
      </w:r>
      <w:r>
        <w:rPr>
          <w:color w:val="auto"/>
          <w:highlight w:val="none"/>
        </w:rPr>
        <w:t>）投标方承担</w:t>
      </w:r>
      <w:r>
        <w:rPr>
          <w:rFonts w:hint="eastAsia"/>
          <w:color w:val="auto"/>
          <w:highlight w:val="none"/>
        </w:rPr>
        <w:t>所有专家讨论会</w:t>
      </w:r>
      <w:r>
        <w:rPr>
          <w:color w:val="auto"/>
          <w:highlight w:val="none"/>
        </w:rPr>
        <w:t>的会议费、专家咨询费、专家差旅费等相关费用，并根据招标方要求承担相关会务工作。</w:t>
      </w:r>
    </w:p>
    <w:p>
      <w:pPr>
        <w:snapToGrid w:val="0"/>
        <w:spacing w:before="120"/>
        <w:ind w:left="0" w:leftChars="0" w:firstLine="0" w:firstLineChars="0"/>
        <w:outlineLvl w:val="0"/>
        <w:rPr>
          <w:rFonts w:hint="eastAsia" w:ascii="宋体" w:hAnsi="宋体" w:eastAsia="宋体" w:cs="宋体"/>
          <w:b/>
          <w:bCs/>
          <w:color w:val="auto"/>
          <w:sz w:val="30"/>
          <w:szCs w:val="30"/>
          <w:highlight w:val="none"/>
          <w:lang w:val="en-US" w:eastAsia="zh-CN"/>
        </w:rPr>
      </w:pPr>
      <w:bookmarkStart w:id="33" w:name="_Toc1118"/>
      <w:bookmarkStart w:id="34" w:name="_Toc799"/>
      <w:bookmarkStart w:id="35" w:name="_Toc25672"/>
      <w:r>
        <w:rPr>
          <w:rFonts w:hint="eastAsia" w:ascii="宋体" w:hAnsi="宋体" w:eastAsia="宋体" w:cs="宋体"/>
          <w:b/>
          <w:bCs/>
          <w:color w:val="auto"/>
          <w:sz w:val="30"/>
          <w:szCs w:val="30"/>
          <w:highlight w:val="none"/>
          <w:lang w:val="en-US" w:eastAsia="zh-CN"/>
        </w:rPr>
        <w:t>4. 应遵循的主要标准</w:t>
      </w:r>
      <w:bookmarkEnd w:id="33"/>
      <w:bookmarkEnd w:id="34"/>
      <w:bookmarkEnd w:id="35"/>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4.1 </w:t>
      </w:r>
      <w:r>
        <w:rPr>
          <w:rFonts w:hint="eastAsia" w:asciiTheme="minorEastAsia" w:hAnsiTheme="minorEastAsia" w:eastAsiaTheme="minorEastAsia" w:cstheme="minorEastAsia"/>
          <w:color w:val="auto"/>
          <w:sz w:val="24"/>
          <w:highlight w:val="none"/>
        </w:rPr>
        <w:t>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4.2 </w:t>
      </w:r>
      <w:r>
        <w:rPr>
          <w:rFonts w:hint="eastAsia" w:asciiTheme="minorEastAsia" w:hAnsiTheme="minorEastAsia" w:eastAsiaTheme="minorEastAsia" w:cstheme="minorEastAsia"/>
          <w:color w:val="auto"/>
          <w:sz w:val="24"/>
          <w:highlight w:val="none"/>
        </w:rPr>
        <w:t>主要引用标准</w:t>
      </w:r>
      <w:r>
        <w:rPr>
          <w:rFonts w:hint="eastAsia" w:asciiTheme="minorEastAsia" w:hAnsiTheme="minorEastAsia" w:eastAsiaTheme="minorEastAsia" w:cstheme="minorEastAsia"/>
          <w:color w:val="auto"/>
          <w:sz w:val="24"/>
          <w:highlight w:val="none"/>
          <w:lang w:eastAsia="zh-CN"/>
        </w:rPr>
        <w:t>、制度、规范</w:t>
      </w:r>
      <w:r>
        <w:rPr>
          <w:rFonts w:hint="eastAsia" w:asciiTheme="minorEastAsia" w:hAnsiTheme="minorEastAsia" w:eastAsiaTheme="minorEastAsia" w:cstheme="minorEastAsia"/>
          <w:color w:val="auto"/>
          <w:sz w:val="24"/>
          <w:highlight w:val="none"/>
        </w:rPr>
        <w:t>如下：</w:t>
      </w:r>
    </w:p>
    <w:p>
      <w:pPr>
        <w:pStyle w:val="2"/>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Q/CSG2284002-2024 中国南方电网有限责任公司管理创新项目管理业务指导书</w:t>
      </w:r>
    </w:p>
    <w:p>
      <w:pPr>
        <w:pStyle w:val="2"/>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Q/CSG2152002-2023 中国南方电网有限责任公司管理创新工作管理办法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Q/CSG-EHV214008-2024</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超高压输电公司管理创新工作管理细则</w:t>
      </w:r>
    </w:p>
    <w:p>
      <w:pPr>
        <w:snapToGrid w:val="0"/>
        <w:spacing w:before="120"/>
        <w:ind w:left="0" w:leftChars="0" w:firstLine="0" w:firstLineChars="0"/>
        <w:outlineLvl w:val="0"/>
        <w:rPr>
          <w:rFonts w:hint="eastAsia" w:ascii="宋体" w:hAnsi="宋体" w:eastAsia="宋体" w:cs="宋体"/>
          <w:b/>
          <w:bCs/>
          <w:color w:val="auto"/>
          <w:sz w:val="30"/>
          <w:szCs w:val="30"/>
          <w:highlight w:val="none"/>
          <w:lang w:val="en-US" w:eastAsia="zh-CN"/>
        </w:rPr>
      </w:pPr>
      <w:bookmarkStart w:id="36" w:name="_Toc21871"/>
      <w:bookmarkStart w:id="37" w:name="_Toc32408"/>
      <w:bookmarkStart w:id="38" w:name="_Toc22304904"/>
      <w:bookmarkStart w:id="39" w:name="_Toc29545"/>
      <w:bookmarkStart w:id="40" w:name="_Toc384340984"/>
      <w:bookmarkStart w:id="41" w:name="_Toc39754002"/>
      <w:bookmarkStart w:id="42" w:name="_Toc282993253"/>
      <w:bookmarkStart w:id="43" w:name="_Toc13932"/>
      <w:bookmarkStart w:id="44" w:name="_Toc39753345"/>
      <w:r>
        <w:rPr>
          <w:rFonts w:hint="eastAsia" w:ascii="宋体" w:hAnsi="宋体" w:eastAsia="宋体" w:cs="宋体"/>
          <w:b/>
          <w:bCs/>
          <w:color w:val="auto"/>
          <w:sz w:val="30"/>
          <w:szCs w:val="30"/>
          <w:highlight w:val="none"/>
          <w:lang w:val="en-US" w:eastAsia="zh-CN"/>
        </w:rPr>
        <w:t>5. 技术要求</w:t>
      </w:r>
      <w:bookmarkEnd w:id="36"/>
      <w:bookmarkEnd w:id="37"/>
      <w:bookmarkEnd w:id="38"/>
      <w:bookmarkEnd w:id="39"/>
      <w:bookmarkEnd w:id="40"/>
      <w:bookmarkEnd w:id="41"/>
      <w:bookmarkEnd w:id="42"/>
      <w:bookmarkEnd w:id="43"/>
      <w:bookmarkEnd w:id="44"/>
    </w:p>
    <w:p>
      <w:pPr>
        <w:pStyle w:val="26"/>
        <w:adjustRightInd w:val="0"/>
        <w:snapToGrid w:val="0"/>
        <w:spacing w:beforeLines="0" w:afterLines="0"/>
        <w:jc w:val="both"/>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5.1 研究内容</w:t>
      </w:r>
    </w:p>
    <w:p>
      <w:pPr>
        <w:pStyle w:val="31"/>
        <w:ind w:firstLine="0" w:firstLineChars="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 xml:space="preserve">5.1.1 </w:t>
      </w:r>
      <w:r>
        <w:rPr>
          <w:rFonts w:hint="eastAsia" w:asciiTheme="minorEastAsia" w:hAnsiTheme="minorEastAsia" w:eastAsiaTheme="minorEastAsia" w:cstheme="minorEastAsia"/>
          <w:b w:val="0"/>
          <w:bCs w:val="0"/>
          <w:color w:val="auto"/>
          <w:highlight w:val="none"/>
          <w:u w:val="none"/>
          <w:lang w:val="en-US" w:eastAsia="zh-CN"/>
        </w:rPr>
        <w:t>工程研究中心</w:t>
      </w:r>
      <w:r>
        <w:rPr>
          <w:rFonts w:hint="eastAsia" w:asciiTheme="minorEastAsia" w:hAnsiTheme="minorEastAsia" w:eastAsiaTheme="minorEastAsia" w:cstheme="minorEastAsia"/>
          <w:b w:val="0"/>
          <w:bCs w:val="0"/>
          <w:color w:val="auto"/>
          <w:highlight w:val="none"/>
          <w:lang w:val="en-US" w:eastAsia="zh-CN"/>
        </w:rPr>
        <w:t>实体化运行管理创新研究</w:t>
      </w:r>
    </w:p>
    <w:p>
      <w:pPr>
        <w:pStyle w:val="31"/>
        <w:ind w:firstLine="482"/>
        <w:rPr>
          <w:color w:val="auto"/>
          <w:highlight w:val="none"/>
        </w:rPr>
      </w:pPr>
      <w:bookmarkStart w:id="45" w:name="OLE_LINK2"/>
      <w:r>
        <w:rPr>
          <w:rFonts w:hint="eastAsia" w:asciiTheme="minorEastAsia" w:hAnsiTheme="minorEastAsia" w:eastAsiaTheme="minorEastAsia" w:cstheme="minorEastAsia"/>
          <w:b w:val="0"/>
          <w:bCs w:val="0"/>
          <w:color w:val="auto"/>
          <w:sz w:val="24"/>
          <w:highlight w:val="none"/>
          <w:lang w:val="en-US" w:eastAsia="zh-CN"/>
        </w:rPr>
        <w:t>（1）</w:t>
      </w:r>
      <w:bookmarkEnd w:id="45"/>
      <w:r>
        <w:rPr>
          <w:rFonts w:hint="eastAsia" w:asciiTheme="minorEastAsia" w:hAnsiTheme="minorEastAsia" w:eastAsiaTheme="minorEastAsia" w:cstheme="minorEastAsia"/>
          <w:b w:val="0"/>
          <w:bCs w:val="0"/>
          <w:color w:val="auto"/>
          <w:sz w:val="24"/>
          <w:highlight w:val="none"/>
          <w:lang w:val="en-US" w:eastAsia="zh-CN"/>
        </w:rPr>
        <w:t>工程研究中心协同治理机制与实体化运作模式研究</w:t>
      </w:r>
      <w:r>
        <w:rPr>
          <w:rFonts w:hint="eastAsia"/>
          <w:b w:val="0"/>
          <w:bCs w:val="0"/>
          <w:color w:val="auto"/>
          <w:highlight w:val="none"/>
        </w:rPr>
        <w:t>：</w:t>
      </w:r>
      <w:r>
        <w:rPr>
          <w:rFonts w:hint="eastAsia"/>
          <w:color w:val="auto"/>
          <w:highlight w:val="none"/>
        </w:rPr>
        <w:t>1.深入研究并设计</w:t>
      </w:r>
      <w:r>
        <w:rPr>
          <w:rFonts w:hint="eastAsia"/>
          <w:color w:val="auto"/>
          <w:highlight w:val="none"/>
          <w:lang w:eastAsia="zh-CN"/>
        </w:rPr>
        <w:t>工程研究中心</w:t>
      </w:r>
      <w:r>
        <w:rPr>
          <w:rFonts w:hint="eastAsia"/>
          <w:color w:val="auto"/>
          <w:highlight w:val="none"/>
        </w:rPr>
        <w:t>的治理结构，探索实体化运行路径，研究法人实体与股权结构设计，研究并确定最优的法人实体形式（如有限责任公司、新型研发机构等）；2.研究</w:t>
      </w:r>
      <w:r>
        <w:rPr>
          <w:rFonts w:ascii="宋体" w:hAnsi="宋体" w:cs="宋体"/>
          <w:color w:val="auto"/>
          <w:highlight w:val="none"/>
        </w:rPr>
        <w:t>设计治理结构与决策机制</w:t>
      </w:r>
      <w:r>
        <w:rPr>
          <w:rFonts w:hint="eastAsia" w:ascii="宋体" w:hAnsi="宋体" w:cs="宋体"/>
          <w:color w:val="auto"/>
          <w:highlight w:val="none"/>
        </w:rPr>
        <w:t>，</w:t>
      </w:r>
      <w:r>
        <w:rPr>
          <w:rFonts w:ascii="宋体" w:hAnsi="宋体" w:cs="宋体"/>
          <w:color w:val="auto"/>
          <w:highlight w:val="none"/>
        </w:rPr>
        <w:t>构建并细化以“理事会”为核心，学术委员会、技术委员会为支撑，主任团队为执行层的治理架构，明确各机构的权责边界、议事规则与决策流程</w:t>
      </w:r>
      <w:r>
        <w:rPr>
          <w:rFonts w:hint="eastAsia" w:ascii="宋体" w:hAnsi="宋体" w:cs="宋体"/>
          <w:color w:val="auto"/>
          <w:highlight w:val="none"/>
        </w:rPr>
        <w:t>，</w:t>
      </w:r>
      <w:r>
        <w:rPr>
          <w:rFonts w:hint="eastAsia"/>
          <w:color w:val="auto"/>
          <w:highlight w:val="none"/>
        </w:rPr>
        <w:t>明确</w:t>
      </w:r>
      <w:r>
        <w:rPr>
          <w:rFonts w:hint="eastAsia"/>
          <w:color w:val="auto"/>
          <w:highlight w:val="none"/>
          <w:lang w:eastAsia="zh-CN"/>
        </w:rPr>
        <w:t>工程研究中心</w:t>
      </w:r>
      <w:r>
        <w:rPr>
          <w:rFonts w:hint="eastAsia"/>
          <w:color w:val="auto"/>
          <w:highlight w:val="none"/>
        </w:rPr>
        <w:t>主任、学术委员会、技术委员会及秘书处等的权责边界与决策流程；构建跨单位、跨层级的协同工作制度、资源</w:t>
      </w:r>
      <w:r>
        <w:rPr>
          <w:rFonts w:hint="eastAsia" w:ascii="方正楷体_GB2312" w:hAnsi="方正楷体_GB2312" w:eastAsia="方正楷体_GB2312" w:cs="方正楷体_GB2312"/>
          <w:color w:val="auto"/>
          <w:highlight w:val="none"/>
        </w:rPr>
        <w:t>（数据、设备、资金、人才）</w:t>
      </w:r>
      <w:r>
        <w:rPr>
          <w:rFonts w:hint="eastAsia"/>
          <w:color w:val="auto"/>
          <w:highlight w:val="none"/>
        </w:rPr>
        <w:t>共享与利益分配机制，探索独立化/准独立化运行的机制创新。3.研究组织架构与部门职能设计，搭建支撑</w:t>
      </w:r>
      <w:r>
        <w:rPr>
          <w:rFonts w:hint="eastAsia"/>
          <w:color w:val="auto"/>
          <w:highlight w:val="none"/>
          <w:lang w:eastAsia="zh-CN"/>
        </w:rPr>
        <w:t>工程研究中心</w:t>
      </w:r>
      <w:r>
        <w:rPr>
          <w:rFonts w:hint="eastAsia"/>
          <w:color w:val="auto"/>
          <w:highlight w:val="none"/>
        </w:rPr>
        <w:t>高效运行的“业务运营+职能管理”矩阵式组织架构，明确各部门的功能定位、职责界面与协作关系，研究构建“业务运营+职能管理”组织运作体系，明确投资策划、标准管理、生态构建、人资、财务等部门功能定位、组织设置及职责界面。</w:t>
      </w:r>
    </w:p>
    <w:p>
      <w:pPr>
        <w:pStyle w:val="31"/>
        <w:ind w:firstLine="482"/>
        <w:rPr>
          <w:color w:val="auto"/>
          <w:highlight w:val="none"/>
        </w:rPr>
      </w:pPr>
      <w:r>
        <w:rPr>
          <w:rFonts w:hint="eastAsia" w:asciiTheme="minorEastAsia" w:hAnsiTheme="minorEastAsia" w:eastAsiaTheme="minorEastAsia" w:cstheme="minorEastAsia"/>
          <w:b w:val="0"/>
          <w:bCs w:val="0"/>
          <w:color w:val="auto"/>
          <w:sz w:val="24"/>
          <w:highlight w:val="none"/>
          <w:lang w:val="en-US" w:eastAsia="zh-CN"/>
        </w:rPr>
        <w:t>（2）</w:t>
      </w:r>
      <w:r>
        <w:rPr>
          <w:rFonts w:hint="eastAsia"/>
          <w:b w:val="0"/>
          <w:bCs w:val="0"/>
          <w:color w:val="auto"/>
          <w:highlight w:val="none"/>
        </w:rPr>
        <w:t>基于全生命周期的科研项目与人才激励管理模式研究：</w:t>
      </w:r>
      <w:bookmarkStart w:id="46" w:name="OLE_LINK5"/>
      <w:r>
        <w:rPr>
          <w:rFonts w:hint="eastAsia"/>
          <w:color w:val="auto"/>
          <w:highlight w:val="none"/>
        </w:rPr>
        <w:t>1.结合资源禀赋，锚定发展目标、功能定位与</w:t>
      </w:r>
      <w:r>
        <w:rPr>
          <w:rFonts w:hint="eastAsia"/>
          <w:color w:val="auto"/>
          <w:highlight w:val="none"/>
          <w:lang w:eastAsia="zh-CN"/>
        </w:rPr>
        <w:t>工程研究中心</w:t>
      </w:r>
      <w:r>
        <w:rPr>
          <w:rFonts w:hint="eastAsia"/>
          <w:color w:val="auto"/>
          <w:highlight w:val="none"/>
        </w:rPr>
        <w:t>职能，构建业务发展蓝图，明确</w:t>
      </w:r>
      <w:r>
        <w:rPr>
          <w:rFonts w:hint="eastAsia"/>
          <w:color w:val="auto"/>
          <w:highlight w:val="none"/>
          <w:lang w:eastAsia="zh-CN"/>
        </w:rPr>
        <w:t>工程研究中心</w:t>
      </w:r>
      <w:r>
        <w:rPr>
          <w:rFonts w:hint="eastAsia"/>
          <w:color w:val="auto"/>
          <w:highlight w:val="none"/>
        </w:rPr>
        <w:t>的使命、愿景与核心战略定位；制定分阶段</w:t>
      </w:r>
      <w:r>
        <w:rPr>
          <w:rFonts w:hint="eastAsia" w:ascii="方正楷体_GB2312" w:hAnsi="方正楷体_GB2312" w:eastAsia="方正楷体_GB2312" w:cs="方正楷体_GB2312"/>
          <w:color w:val="auto"/>
          <w:highlight w:val="none"/>
        </w:rPr>
        <w:t>（如初创期、成长期、成熟期）</w:t>
      </w:r>
      <w:r>
        <w:rPr>
          <w:rFonts w:hint="eastAsia"/>
          <w:color w:val="auto"/>
          <w:highlight w:val="none"/>
        </w:rPr>
        <w:t>的发展目标、重点任务与实施路径；2.研究</w:t>
      </w:r>
      <w:r>
        <w:rPr>
          <w:rFonts w:ascii="宋体" w:hAnsi="宋体" w:cs="宋体"/>
          <w:color w:val="auto"/>
          <w:highlight w:val="none"/>
        </w:rPr>
        <w:t>核心业务体系与</w:t>
      </w:r>
      <w:r>
        <w:rPr>
          <w:rFonts w:hint="eastAsia" w:ascii="宋体" w:hAnsi="宋体" w:cs="宋体"/>
          <w:color w:val="auto"/>
          <w:highlight w:val="none"/>
        </w:rPr>
        <w:t>收入</w:t>
      </w:r>
      <w:r>
        <w:rPr>
          <w:rFonts w:ascii="宋体" w:hAnsi="宋体" w:cs="宋体"/>
          <w:color w:val="auto"/>
          <w:highlight w:val="none"/>
        </w:rPr>
        <w:t>模式设计</w:t>
      </w:r>
      <w:r>
        <w:rPr>
          <w:rFonts w:hint="eastAsia" w:ascii="宋体" w:hAnsi="宋体" w:cs="宋体"/>
          <w:color w:val="auto"/>
          <w:highlight w:val="none"/>
        </w:rPr>
        <w:t>，</w:t>
      </w:r>
      <w:r>
        <w:rPr>
          <w:rFonts w:ascii="宋体" w:hAnsi="宋体" w:cs="宋体"/>
          <w:color w:val="auto"/>
          <w:highlight w:val="none"/>
        </w:rPr>
        <w:t>系统规划“技术研发、检验检测、中试验证、技术服务与咨询”等核心业务板块；设计合同科研、技术许可、作价入股等多元化的收入模式。</w:t>
      </w:r>
      <w:r>
        <w:rPr>
          <w:rFonts w:hint="eastAsia"/>
          <w:color w:val="auto"/>
          <w:highlight w:val="none"/>
        </w:rPr>
        <w:t>研究并建立覆盖项目“立项－执行－验收－转化”全生命周期的精细化管理制度；3.研究构建市场化用工与激励体系，建立“内部竞聘+外部招聘”灵活的市场化用工机制，研究健全专职科研人员薪酬保障与人才发展机制，完善科技创新激励机制，研究设计以创新价值、能力贡献为导向的多元人才评价与激励体系，包括科技成果收益分享、职级晋升、精神荣誉、专项激励等；构建鼓励创新、宽容失败的容错纠错机制。</w:t>
      </w:r>
      <w:bookmarkEnd w:id="46"/>
    </w:p>
    <w:p>
      <w:pPr>
        <w:pStyle w:val="31"/>
        <w:ind w:firstLine="0" w:firstLineChars="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5.1.2 科技成果转化与产业生态驱动路径研究</w:t>
      </w:r>
    </w:p>
    <w:p>
      <w:pPr>
        <w:pStyle w:val="31"/>
        <w:ind w:firstLine="482"/>
        <w:rPr>
          <w:color w:val="auto"/>
          <w:highlight w:val="none"/>
        </w:rPr>
      </w:pPr>
      <w:r>
        <w:rPr>
          <w:rFonts w:hint="eastAsia" w:asciiTheme="minorEastAsia" w:hAnsiTheme="minorEastAsia" w:eastAsiaTheme="minorEastAsia" w:cstheme="minorEastAsia"/>
          <w:b w:val="0"/>
          <w:bCs w:val="0"/>
          <w:color w:val="auto"/>
          <w:sz w:val="24"/>
          <w:highlight w:val="none"/>
          <w:lang w:val="en-US" w:eastAsia="zh-CN"/>
        </w:rPr>
        <w:t>（1）</w:t>
      </w:r>
      <w:r>
        <w:rPr>
          <w:rFonts w:hint="eastAsia"/>
          <w:b w:val="0"/>
          <w:bCs w:val="0"/>
          <w:color w:val="auto"/>
          <w:highlight w:val="none"/>
        </w:rPr>
        <w:t>科技成果转化与产业生态驱动路径研究：研究建立</w:t>
      </w:r>
      <w:r>
        <w:rPr>
          <w:rFonts w:hint="eastAsia"/>
          <w:color w:val="auto"/>
          <w:highlight w:val="none"/>
        </w:rPr>
        <w:t>“前店后厂”的科技创新成果转化管理模式，研究前端市场导向的店面（需求对接平台）与后端研发的工厂（技术研发与成果孵化平台）高效协同的机制，通过与生态合作伙伴共建产业链创新链，实现科技成果从实验室到市场的快速转化与应用。研究建立以南网超高压公司实际技术需求和市场前景为导向的研发立项与评审机制；研究知识产权运营与中试孵化模式以及产业生态构建策略，设计从实验室成果到工程化产品的孵化流程，包括中试验证平台的建设与运营模式、风险投资引入机制等；制定知识产权全过程管理体系，明确各类成果的归属、使用和收益分配规则。</w:t>
      </w:r>
    </w:p>
    <w:p>
      <w:pPr>
        <w:pStyle w:val="31"/>
        <w:ind w:firstLine="482"/>
        <w:rPr>
          <w:rFonts w:hint="eastAsia"/>
          <w:b w:val="0"/>
          <w:bCs w:val="0"/>
          <w:color w:val="auto"/>
          <w:highlight w:val="none"/>
        </w:rPr>
      </w:pPr>
      <w:r>
        <w:rPr>
          <w:rFonts w:hint="eastAsia" w:asciiTheme="minorEastAsia" w:hAnsiTheme="minorEastAsia" w:eastAsiaTheme="minorEastAsia" w:cstheme="minorEastAsia"/>
          <w:b w:val="0"/>
          <w:bCs w:val="0"/>
          <w:color w:val="auto"/>
          <w:sz w:val="24"/>
          <w:highlight w:val="none"/>
          <w:lang w:val="en-US" w:eastAsia="zh-CN"/>
        </w:rPr>
        <w:t>（2）</w:t>
      </w:r>
      <w:r>
        <w:rPr>
          <w:rFonts w:hint="eastAsia"/>
          <w:b w:val="0"/>
          <w:bCs w:val="0"/>
          <w:color w:val="auto"/>
          <w:highlight w:val="none"/>
        </w:rPr>
        <w:t>市场化的成果推广与产业生态构建策略研究：</w:t>
      </w:r>
      <w:r>
        <w:rPr>
          <w:rFonts w:hint="eastAsia"/>
          <w:color w:val="auto"/>
          <w:highlight w:val="none"/>
        </w:rPr>
        <w:t>研究制定</w:t>
      </w:r>
      <w:r>
        <w:rPr>
          <w:rFonts w:hint="eastAsia"/>
          <w:color w:val="auto"/>
          <w:highlight w:val="none"/>
          <w:lang w:eastAsia="zh-CN"/>
        </w:rPr>
        <w:t>工程研究中心</w:t>
      </w:r>
      <w:r>
        <w:rPr>
          <w:rFonts w:hint="eastAsia"/>
          <w:color w:val="auto"/>
          <w:highlight w:val="none"/>
        </w:rPr>
        <w:t>技术成果的多元化推广策略，包括技术转让、许可、作价入股等模式；探索建立面向行业的标准化解决方案推广库与技术服务中心；研究如何通过成果应用带动区域内外部产业链上下游企业集聚，形成产业生态圈的策略</w:t>
      </w:r>
      <w:r>
        <w:rPr>
          <w:rFonts w:hint="eastAsia"/>
          <w:b w:val="0"/>
          <w:bCs w:val="0"/>
          <w:color w:val="auto"/>
          <w:highlight w:val="none"/>
        </w:rPr>
        <w:t>。</w:t>
      </w:r>
    </w:p>
    <w:p>
      <w:pPr>
        <w:pStyle w:val="31"/>
        <w:ind w:firstLine="0" w:firstLineChars="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5.1.3 前瞻性的技术发展路径与动态评估体系研究</w:t>
      </w:r>
    </w:p>
    <w:p>
      <w:pPr>
        <w:pStyle w:val="31"/>
        <w:ind w:firstLine="482"/>
        <w:rPr>
          <w:b w:val="0"/>
          <w:bCs w:val="0"/>
          <w:color w:val="auto"/>
          <w:highlight w:val="none"/>
        </w:rPr>
      </w:pPr>
      <w:r>
        <w:rPr>
          <w:rFonts w:hint="eastAsia" w:asciiTheme="minorEastAsia" w:hAnsiTheme="minorEastAsia" w:eastAsiaTheme="minorEastAsia" w:cstheme="minorEastAsia"/>
          <w:b w:val="0"/>
          <w:bCs w:val="0"/>
          <w:color w:val="auto"/>
          <w:sz w:val="24"/>
          <w:highlight w:val="none"/>
          <w:lang w:val="en-US" w:eastAsia="zh-CN"/>
        </w:rPr>
        <w:t>（1）</w:t>
      </w:r>
      <w:r>
        <w:rPr>
          <w:rFonts w:hint="eastAsia"/>
          <w:b w:val="0"/>
          <w:bCs w:val="0"/>
          <w:color w:val="auto"/>
          <w:highlight w:val="none"/>
        </w:rPr>
        <w:t>前瞻性的技术发展路径与动态评估体系研究：</w:t>
      </w:r>
      <w:r>
        <w:rPr>
          <w:rFonts w:hint="eastAsia"/>
          <w:color w:val="auto"/>
          <w:highlight w:val="none"/>
        </w:rPr>
        <w:t>研究并建立一套系统性的技术发展趋势监测与预见方法；基于国家战略、产业瓶颈和中心愿景，绘制覆盖近期、中期、远期的动态技术路线图；研究建立研发项目库管理与优先级决策支持机制，指导年度研发计划与资源分配</w:t>
      </w:r>
      <w:r>
        <w:rPr>
          <w:rFonts w:hint="eastAsia"/>
          <w:b w:val="0"/>
          <w:bCs w:val="0"/>
          <w:color w:val="auto"/>
          <w:highlight w:val="none"/>
        </w:rPr>
        <w:t>。</w:t>
      </w:r>
    </w:p>
    <w:p>
      <w:pPr>
        <w:pStyle w:val="31"/>
        <w:ind w:firstLine="482"/>
        <w:rPr>
          <w:b w:val="0"/>
          <w:bCs w:val="0"/>
          <w:color w:val="auto"/>
          <w:highlight w:val="none"/>
        </w:rPr>
      </w:pPr>
      <w:r>
        <w:rPr>
          <w:rFonts w:hint="eastAsia" w:asciiTheme="minorEastAsia" w:hAnsiTheme="minorEastAsia" w:eastAsiaTheme="minorEastAsia" w:cstheme="minorEastAsia"/>
          <w:b w:val="0"/>
          <w:bCs w:val="0"/>
          <w:color w:val="auto"/>
          <w:sz w:val="24"/>
          <w:highlight w:val="none"/>
          <w:lang w:val="en-US" w:eastAsia="zh-CN"/>
        </w:rPr>
        <w:t>（2）</w:t>
      </w:r>
      <w:r>
        <w:rPr>
          <w:rFonts w:hint="eastAsia"/>
          <w:b w:val="0"/>
          <w:bCs w:val="0"/>
          <w:color w:val="auto"/>
          <w:highlight w:val="none"/>
        </w:rPr>
        <w:t>创新发展综合评估体系研究：</w:t>
      </w:r>
      <w:r>
        <w:rPr>
          <w:rFonts w:hint="eastAsia"/>
          <w:color w:val="auto"/>
          <w:highlight w:val="none"/>
        </w:rPr>
        <w:t>研究设计一套超越传统论文专利指标的综合性评估体系。该体系需涵盖技术突破、成果转化经济效益、产业带动、标准话语权、人才培养及对“西电东送”与“双碳”目标的战略贡献等多个维度，开展定量+定性的以成果成效为主的综合评估体系</w:t>
      </w:r>
      <w:r>
        <w:rPr>
          <w:rFonts w:hint="eastAsia"/>
          <w:b w:val="0"/>
          <w:bCs w:val="0"/>
          <w:color w:val="auto"/>
          <w:highlight w:val="none"/>
        </w:rPr>
        <w:t>。</w:t>
      </w:r>
    </w:p>
    <w:p>
      <w:pPr>
        <w:pStyle w:val="26"/>
        <w:adjustRightInd w:val="0"/>
        <w:snapToGrid w:val="0"/>
        <w:spacing w:before="0" w:beforeLines="0" w:after="0" w:afterLines="0"/>
        <w:ind w:firstLine="0" w:firstLineChars="0"/>
        <w:jc w:val="both"/>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5.2 交付成果</w:t>
      </w:r>
    </w:p>
    <w:p>
      <w:pPr>
        <w:pStyle w:val="31"/>
        <w:adjustRightInd w:val="0"/>
        <w:spacing w:line="360" w:lineRule="auto"/>
        <w:ind w:left="0" w:leftChars="0" w:firstLine="480" w:firstLineChars="200"/>
        <w:rPr>
          <w:rFonts w:hint="eastAsia" w:ascii="宋体" w:hAnsi="宋体"/>
          <w:color w:val="auto"/>
          <w:highlight w:val="none"/>
        </w:rPr>
      </w:pPr>
      <w:r>
        <w:rPr>
          <w:rFonts w:hint="eastAsia" w:ascii="宋体" w:hAnsi="宋体"/>
          <w:color w:val="auto"/>
          <w:szCs w:val="16"/>
          <w:highlight w:val="none"/>
        </w:rPr>
        <w:t>（1）</w:t>
      </w:r>
      <w:r>
        <w:rPr>
          <w:rFonts w:ascii="宋体" w:hAnsi="宋体"/>
          <w:b/>
          <w:bCs/>
          <w:color w:val="auto"/>
          <w:highlight w:val="none"/>
        </w:rPr>
        <w:t>知识产权型成果：</w:t>
      </w:r>
      <w:r>
        <w:rPr>
          <w:rFonts w:hint="eastAsia"/>
          <w:color w:val="auto"/>
          <w:highlight w:val="none"/>
          <w:lang w:val="en-US" w:eastAsia="zh-CN"/>
        </w:rPr>
        <w:t>协助发表</w:t>
      </w:r>
      <w:r>
        <w:rPr>
          <w:rFonts w:ascii="宋体" w:hAnsi="宋体"/>
          <w:color w:val="auto"/>
          <w:highlight w:val="none"/>
        </w:rPr>
        <w:t>普通期刊</w:t>
      </w:r>
      <w:r>
        <w:rPr>
          <w:rFonts w:hint="eastAsia" w:ascii="楷体_GB2312" w:hAnsi="楷体_GB2312" w:eastAsia="楷体_GB2312" w:cs="楷体_GB2312"/>
          <w:color w:val="auto"/>
          <w:highlight w:val="none"/>
        </w:rPr>
        <w:t>（含国家级期刊、省级期刊）</w:t>
      </w:r>
      <w:r>
        <w:rPr>
          <w:rFonts w:hint="eastAsia" w:ascii="方正楷体_GB2312" w:hAnsi="方正楷体_GB2312" w:eastAsia="方正楷体_GB2312" w:cs="方正楷体_GB2312"/>
          <w:color w:val="auto"/>
          <w:highlight w:val="none"/>
          <w:lang w:val="en-US" w:eastAsia="zh-CN"/>
        </w:rPr>
        <w:t>论文</w:t>
      </w:r>
      <w:r>
        <w:rPr>
          <w:rFonts w:hint="eastAsia" w:ascii="宋体" w:hAnsi="宋体"/>
          <w:color w:val="auto"/>
          <w:highlight w:val="none"/>
        </w:rPr>
        <w:t>1</w:t>
      </w:r>
      <w:r>
        <w:rPr>
          <w:rFonts w:ascii="宋体" w:hAnsi="宋体"/>
          <w:color w:val="auto"/>
          <w:highlight w:val="none"/>
        </w:rPr>
        <w:t>篇</w:t>
      </w:r>
      <w:r>
        <w:rPr>
          <w:rFonts w:hint="eastAsia" w:ascii="宋体" w:hAnsi="宋体"/>
          <w:color w:val="auto"/>
          <w:highlight w:val="none"/>
          <w:lang w:eastAsia="zh-CN"/>
        </w:rPr>
        <w:t>，</w:t>
      </w:r>
      <w:r>
        <w:rPr>
          <w:rFonts w:hint="eastAsia" w:ascii="宋体" w:hAnsi="宋体"/>
          <w:color w:val="auto"/>
          <w:highlight w:val="none"/>
          <w:lang w:val="en-US" w:eastAsia="zh-CN"/>
        </w:rPr>
        <w:t>取得录用通知</w:t>
      </w:r>
      <w:r>
        <w:rPr>
          <w:rFonts w:hint="eastAsia" w:ascii="宋体" w:hAnsi="宋体"/>
          <w:color w:val="auto"/>
          <w:highlight w:val="none"/>
        </w:rPr>
        <w:t>。</w:t>
      </w:r>
    </w:p>
    <w:p>
      <w:pPr>
        <w:pStyle w:val="31"/>
        <w:adjustRightInd w:val="0"/>
        <w:spacing w:line="360" w:lineRule="auto"/>
        <w:ind w:left="0" w:leftChars="0" w:firstLine="480" w:firstLineChars="200"/>
        <w:rPr>
          <w:rFonts w:hint="eastAsia" w:ascii="宋体" w:hAnsi="宋体"/>
          <w:color w:val="auto"/>
          <w:highlight w:val="none"/>
        </w:rPr>
      </w:pPr>
      <w:r>
        <w:rPr>
          <w:rFonts w:hint="eastAsia" w:ascii="宋体" w:hAnsi="宋体"/>
          <w:color w:val="auto"/>
          <w:szCs w:val="16"/>
          <w:highlight w:val="none"/>
        </w:rPr>
        <w:t>（</w:t>
      </w:r>
      <w:r>
        <w:rPr>
          <w:rFonts w:hint="eastAsia" w:ascii="宋体" w:hAnsi="宋体"/>
          <w:color w:val="auto"/>
          <w:szCs w:val="16"/>
          <w:highlight w:val="none"/>
          <w:lang w:val="en-US" w:eastAsia="zh-CN"/>
        </w:rPr>
        <w:t>2</w:t>
      </w:r>
      <w:r>
        <w:rPr>
          <w:rFonts w:hint="eastAsia" w:ascii="宋体" w:hAnsi="宋体"/>
          <w:color w:val="auto"/>
          <w:szCs w:val="16"/>
          <w:highlight w:val="none"/>
        </w:rPr>
        <w:t>）</w:t>
      </w:r>
      <w:r>
        <w:rPr>
          <w:rFonts w:ascii="宋体" w:hAnsi="宋体"/>
          <w:b/>
          <w:bCs/>
          <w:color w:val="auto"/>
          <w:highlight w:val="none"/>
        </w:rPr>
        <w:t>制度标准型成果：</w:t>
      </w:r>
      <w:r>
        <w:rPr>
          <w:rFonts w:hint="eastAsia"/>
          <w:color w:val="auto"/>
          <w:highlight w:val="none"/>
          <w:lang w:val="en-US" w:eastAsia="zh-CN"/>
        </w:rPr>
        <w:t>协助编制</w:t>
      </w:r>
      <w:r>
        <w:rPr>
          <w:rFonts w:hint="eastAsia" w:ascii="宋体" w:hAnsi="宋体"/>
          <w:color w:val="auto"/>
          <w:highlight w:val="none"/>
        </w:rPr>
        <w:t>业务指导书</w:t>
      </w:r>
      <w:r>
        <w:rPr>
          <w:rFonts w:hint="eastAsia" w:ascii="宋体" w:hAnsi="宋体"/>
          <w:color w:val="auto"/>
          <w:highlight w:val="none"/>
          <w:lang w:val="en-US" w:eastAsia="zh-CN"/>
        </w:rPr>
        <w:t>2</w:t>
      </w:r>
      <w:r>
        <w:rPr>
          <w:rFonts w:hint="eastAsia" w:ascii="宋体" w:hAnsi="宋体"/>
          <w:color w:val="auto"/>
          <w:highlight w:val="none"/>
        </w:rPr>
        <w:t>份</w:t>
      </w:r>
      <w:r>
        <w:rPr>
          <w:rFonts w:hint="eastAsia" w:ascii="宋体" w:hAnsi="宋体"/>
          <w:color w:val="auto"/>
          <w:highlight w:val="none"/>
          <w:lang w:eastAsia="zh-CN"/>
        </w:rPr>
        <w:t>，</w:t>
      </w:r>
      <w:r>
        <w:rPr>
          <w:rFonts w:hint="eastAsia" w:ascii="宋体" w:hAnsi="宋体"/>
          <w:color w:val="auto"/>
          <w:highlight w:val="none"/>
          <w:lang w:val="en-US" w:eastAsia="zh-CN"/>
        </w:rPr>
        <w:t>形成</w:t>
      </w:r>
      <w:r>
        <w:rPr>
          <w:rFonts w:hint="eastAsia" w:ascii="宋体" w:hAnsi="宋体"/>
          <w:color w:val="auto"/>
          <w:highlight w:val="none"/>
        </w:rPr>
        <w:t>征求意见稿。</w:t>
      </w:r>
    </w:p>
    <w:p>
      <w:pPr>
        <w:pStyle w:val="31"/>
        <w:adjustRightInd w:val="0"/>
        <w:spacing w:line="360" w:lineRule="auto"/>
        <w:ind w:left="0" w:leftChars="0" w:firstLine="480" w:firstLineChars="200"/>
        <w:rPr>
          <w:rFonts w:hint="eastAsia" w:ascii="宋体" w:hAnsi="宋体"/>
          <w:color w:val="auto"/>
          <w:highlight w:val="none"/>
        </w:rPr>
      </w:pPr>
      <w:r>
        <w:rPr>
          <w:rFonts w:hint="eastAsia" w:ascii="宋体" w:hAnsi="宋体"/>
          <w:color w:val="auto"/>
          <w:szCs w:val="16"/>
          <w:highlight w:val="none"/>
        </w:rPr>
        <w:t>（</w:t>
      </w:r>
      <w:r>
        <w:rPr>
          <w:rFonts w:hint="eastAsia" w:ascii="宋体" w:hAnsi="宋体"/>
          <w:color w:val="auto"/>
          <w:szCs w:val="16"/>
          <w:highlight w:val="none"/>
          <w:lang w:val="en-US" w:eastAsia="zh-CN"/>
        </w:rPr>
        <w:t>3</w:t>
      </w:r>
      <w:r>
        <w:rPr>
          <w:rFonts w:hint="eastAsia" w:ascii="宋体" w:hAnsi="宋体"/>
          <w:color w:val="auto"/>
          <w:szCs w:val="16"/>
          <w:highlight w:val="none"/>
        </w:rPr>
        <w:t>）</w:t>
      </w:r>
      <w:r>
        <w:rPr>
          <w:rFonts w:hint="eastAsia" w:ascii="宋体" w:hAnsi="宋体"/>
          <w:b/>
          <w:bCs/>
          <w:color w:val="auto"/>
          <w:highlight w:val="none"/>
        </w:rPr>
        <w:t>方案意见型成果：</w:t>
      </w:r>
      <w:r>
        <w:rPr>
          <w:rFonts w:hint="eastAsia"/>
          <w:color w:val="auto"/>
          <w:highlight w:val="none"/>
          <w:lang w:val="en-US" w:eastAsia="zh-CN"/>
        </w:rPr>
        <w:t>协助编写</w:t>
      </w:r>
      <w:r>
        <w:rPr>
          <w:rFonts w:hint="eastAsia" w:ascii="宋体" w:hAnsi="宋体"/>
          <w:color w:val="auto"/>
          <w:highlight w:val="none"/>
        </w:rPr>
        <w:t>发文方案1份</w:t>
      </w:r>
      <w:r>
        <w:rPr>
          <w:rFonts w:hint="eastAsia" w:ascii="楷体_GB2312" w:hAnsi="楷体_GB2312" w:eastAsia="楷体_GB2312" w:cs="楷体_GB2312"/>
          <w:color w:val="auto"/>
          <w:highlight w:val="none"/>
        </w:rPr>
        <w:t>（特高压直流智能运检与安全运行工程研究中心实体化运作方案）</w:t>
      </w:r>
      <w:r>
        <w:rPr>
          <w:rFonts w:hint="eastAsia" w:ascii="宋体" w:hAnsi="宋体" w:cs="Times New Roman"/>
          <w:color w:val="auto"/>
          <w:highlight w:val="none"/>
          <w:lang w:eastAsia="zh-CN"/>
        </w:rPr>
        <w:t>，</w:t>
      </w:r>
      <w:r>
        <w:rPr>
          <w:rFonts w:hint="eastAsia" w:ascii="宋体" w:hAnsi="宋体" w:cs="Times New Roman"/>
          <w:color w:val="auto"/>
          <w:highlight w:val="none"/>
          <w:lang w:val="en-US" w:eastAsia="zh-CN"/>
        </w:rPr>
        <w:t>方案印发</w:t>
      </w:r>
      <w:r>
        <w:rPr>
          <w:rFonts w:hint="eastAsia" w:ascii="宋体" w:hAnsi="宋体"/>
          <w:color w:val="auto"/>
          <w:highlight w:val="none"/>
        </w:rPr>
        <w:t>。</w:t>
      </w:r>
    </w:p>
    <w:p>
      <w:pPr>
        <w:pStyle w:val="31"/>
        <w:adjustRightInd w:val="0"/>
        <w:spacing w:line="360" w:lineRule="auto"/>
        <w:ind w:left="0" w:leftChars="0" w:firstLine="480" w:firstLineChars="200"/>
        <w:rPr>
          <w:rFonts w:hint="default" w:ascii="宋体" w:hAnsi="宋体" w:eastAsia="宋体" w:cs="Times New Roman"/>
          <w:color w:val="auto"/>
          <w:sz w:val="24"/>
          <w:highlight w:val="none"/>
          <w:lang w:val="en-US" w:eastAsia="zh-CN"/>
        </w:rPr>
      </w:pPr>
      <w:r>
        <w:rPr>
          <w:rFonts w:hint="eastAsia" w:ascii="宋体" w:hAnsi="宋体"/>
          <w:color w:val="auto"/>
          <w:szCs w:val="16"/>
          <w:highlight w:val="none"/>
        </w:rPr>
        <w:t>（</w:t>
      </w:r>
      <w:r>
        <w:rPr>
          <w:rFonts w:hint="eastAsia" w:ascii="宋体" w:hAnsi="宋体"/>
          <w:color w:val="auto"/>
          <w:szCs w:val="16"/>
          <w:highlight w:val="none"/>
          <w:lang w:val="en-US" w:eastAsia="zh-CN"/>
        </w:rPr>
        <w:t>4</w:t>
      </w:r>
      <w:r>
        <w:rPr>
          <w:rFonts w:hint="eastAsia" w:ascii="宋体" w:hAnsi="宋体"/>
          <w:color w:val="auto"/>
          <w:szCs w:val="16"/>
          <w:highlight w:val="none"/>
        </w:rPr>
        <w:t>）</w:t>
      </w:r>
      <w:r>
        <w:rPr>
          <w:rFonts w:hint="eastAsia" w:ascii="宋体" w:hAnsi="宋体"/>
          <w:b/>
          <w:bCs/>
          <w:color w:val="auto"/>
          <w:szCs w:val="16"/>
          <w:highlight w:val="none"/>
        </w:rPr>
        <w:t>其他类型成果：</w:t>
      </w:r>
      <w:bookmarkStart w:id="47" w:name="OLE_LINK9"/>
      <w:r>
        <w:rPr>
          <w:rFonts w:hint="eastAsia" w:ascii="宋体" w:hAnsi="宋体"/>
          <w:color w:val="auto"/>
          <w:szCs w:val="16"/>
          <w:highlight w:val="none"/>
        </w:rPr>
        <w:t>1</w:t>
      </w:r>
      <w:r>
        <w:rPr>
          <w:rFonts w:hint="eastAsia" w:ascii="宋体" w:hAnsi="宋体"/>
          <w:color w:val="auto"/>
          <w:szCs w:val="16"/>
          <w:highlight w:val="none"/>
          <w:lang w:val="en-US" w:eastAsia="zh-CN"/>
        </w:rPr>
        <w:t>.协助完成</w:t>
      </w:r>
      <w:r>
        <w:rPr>
          <w:rFonts w:hint="eastAsia" w:ascii="宋体" w:hAnsi="宋体"/>
          <w:color w:val="auto"/>
          <w:szCs w:val="16"/>
          <w:highlight w:val="none"/>
        </w:rPr>
        <w:t>内部决策参考文件1份</w:t>
      </w:r>
      <w:r>
        <w:rPr>
          <w:rFonts w:hint="eastAsia" w:ascii="宋体" w:hAnsi="宋体"/>
          <w:color w:val="auto"/>
          <w:szCs w:val="16"/>
          <w:highlight w:val="none"/>
          <w:lang w:eastAsia="zh-CN"/>
        </w:rPr>
        <w:t>，</w:t>
      </w:r>
      <w:r>
        <w:rPr>
          <w:rFonts w:hint="eastAsia" w:ascii="宋体" w:hAnsi="宋体"/>
          <w:color w:val="auto"/>
          <w:szCs w:val="16"/>
          <w:highlight w:val="none"/>
          <w:lang w:val="en-US" w:eastAsia="zh-CN"/>
        </w:rPr>
        <w:t>形成送审稿</w:t>
      </w:r>
      <w:r>
        <w:rPr>
          <w:rFonts w:hint="eastAsia" w:ascii="宋体" w:hAnsi="宋体"/>
          <w:color w:val="auto"/>
          <w:szCs w:val="16"/>
          <w:highlight w:val="none"/>
          <w:lang w:eastAsia="zh-CN"/>
        </w:rPr>
        <w:t>；</w:t>
      </w:r>
      <w:r>
        <w:rPr>
          <w:rFonts w:hint="eastAsia" w:ascii="宋体" w:hAnsi="宋体"/>
          <w:color w:val="auto"/>
          <w:szCs w:val="16"/>
          <w:highlight w:val="none"/>
          <w:lang w:val="en-US" w:eastAsia="zh-CN"/>
        </w:rPr>
        <w:t>2.协助</w:t>
      </w:r>
      <w:r>
        <w:rPr>
          <w:rFonts w:hint="eastAsia" w:ascii="宋体" w:hAnsi="宋体"/>
          <w:color w:val="auto"/>
          <w:szCs w:val="16"/>
          <w:highlight w:val="none"/>
        </w:rPr>
        <w:t>编制</w:t>
      </w:r>
      <w:r>
        <w:rPr>
          <w:rFonts w:hint="eastAsia" w:ascii="宋体" w:hAnsi="宋体"/>
          <w:color w:val="auto"/>
          <w:szCs w:val="16"/>
          <w:highlight w:val="none"/>
          <w:lang w:val="en-US" w:eastAsia="zh-CN"/>
        </w:rPr>
        <w:t>4份研究报告，包括《特高压直流智能运检与安全运行工程研究中心管理创新研究现状报告》1份、</w:t>
      </w:r>
      <w:r>
        <w:rPr>
          <w:rFonts w:hint="eastAsia" w:ascii="宋体" w:hAnsi="宋体"/>
          <w:color w:val="auto"/>
          <w:szCs w:val="16"/>
          <w:highlight w:val="none"/>
        </w:rPr>
        <w:t>《特高压直流智能运检与安全运行工程研究中心技术创新机制</w:t>
      </w:r>
      <w:r>
        <w:rPr>
          <w:rFonts w:hint="eastAsia" w:ascii="宋体" w:hAnsi="宋体"/>
          <w:color w:val="auto"/>
          <w:szCs w:val="16"/>
          <w:highlight w:val="none"/>
          <w:lang w:val="en-US" w:eastAsia="zh-CN"/>
        </w:rPr>
        <w:t>研究报告</w:t>
      </w:r>
      <w:r>
        <w:rPr>
          <w:rFonts w:hint="eastAsia" w:ascii="宋体" w:hAnsi="宋体"/>
          <w:color w:val="auto"/>
          <w:szCs w:val="16"/>
          <w:highlight w:val="none"/>
        </w:rPr>
        <w:t>》1份</w:t>
      </w:r>
      <w:r>
        <w:rPr>
          <w:rFonts w:hint="eastAsia" w:ascii="宋体" w:hAnsi="宋体"/>
          <w:color w:val="auto"/>
          <w:szCs w:val="16"/>
          <w:highlight w:val="none"/>
          <w:lang w:eastAsia="zh-CN"/>
        </w:rPr>
        <w:t>、</w:t>
      </w:r>
      <w:r>
        <w:rPr>
          <w:rFonts w:hint="eastAsia" w:ascii="宋体" w:hAnsi="宋体"/>
          <w:color w:val="auto"/>
          <w:szCs w:val="16"/>
          <w:highlight w:val="none"/>
        </w:rPr>
        <w:t>《特高压直流智能运检与安全运行工程研究中心人才激励机制</w:t>
      </w:r>
      <w:r>
        <w:rPr>
          <w:rFonts w:hint="eastAsia" w:ascii="宋体" w:hAnsi="宋体"/>
          <w:color w:val="auto"/>
          <w:szCs w:val="16"/>
          <w:highlight w:val="none"/>
          <w:lang w:val="en-US" w:eastAsia="zh-CN"/>
        </w:rPr>
        <w:t>研究报告</w:t>
      </w:r>
      <w:r>
        <w:rPr>
          <w:rFonts w:hint="eastAsia" w:ascii="宋体" w:hAnsi="宋体"/>
          <w:color w:val="auto"/>
          <w:szCs w:val="16"/>
          <w:highlight w:val="none"/>
        </w:rPr>
        <w:t>》1份</w:t>
      </w:r>
      <w:bookmarkEnd w:id="47"/>
      <w:r>
        <w:rPr>
          <w:rFonts w:hint="eastAsia" w:ascii="宋体" w:hAnsi="宋体"/>
          <w:color w:val="auto"/>
          <w:szCs w:val="16"/>
          <w:highlight w:val="none"/>
          <w:lang w:eastAsia="zh-CN"/>
        </w:rPr>
        <w:t>、</w:t>
      </w:r>
      <w:r>
        <w:rPr>
          <w:rFonts w:hint="eastAsia" w:ascii="宋体" w:hAnsi="宋体"/>
          <w:color w:val="auto"/>
          <w:szCs w:val="16"/>
          <w:highlight w:val="none"/>
        </w:rPr>
        <w:t>《特高压直流智能运检与安全运行工程研究中心成果转化机制</w:t>
      </w:r>
      <w:r>
        <w:rPr>
          <w:rFonts w:hint="eastAsia" w:ascii="宋体" w:hAnsi="宋体"/>
          <w:color w:val="auto"/>
          <w:szCs w:val="16"/>
          <w:highlight w:val="none"/>
          <w:lang w:val="en-US" w:eastAsia="zh-CN"/>
        </w:rPr>
        <w:t>研究报告</w:t>
      </w:r>
      <w:r>
        <w:rPr>
          <w:rFonts w:hint="eastAsia" w:ascii="宋体" w:hAnsi="宋体"/>
          <w:color w:val="auto"/>
          <w:szCs w:val="16"/>
          <w:highlight w:val="none"/>
        </w:rPr>
        <w:t>》1份；</w:t>
      </w:r>
      <w:r>
        <w:rPr>
          <w:rFonts w:hint="eastAsia" w:ascii="宋体" w:hAnsi="宋体"/>
          <w:color w:val="auto"/>
          <w:szCs w:val="16"/>
          <w:highlight w:val="none"/>
          <w:lang w:val="en-US" w:eastAsia="zh-CN"/>
        </w:rPr>
        <w:t>3.协助</w:t>
      </w:r>
      <w:r>
        <w:rPr>
          <w:rFonts w:hint="eastAsia" w:ascii="宋体" w:hAnsi="宋体"/>
          <w:color w:val="auto"/>
          <w:szCs w:val="16"/>
          <w:highlight w:val="none"/>
        </w:rPr>
        <w:t>编制向工程研究中心各级政府主管部门、南网内部各级部门的汇报材料；</w:t>
      </w:r>
      <w:r>
        <w:rPr>
          <w:rFonts w:hint="eastAsia" w:ascii="宋体" w:hAnsi="宋体"/>
          <w:color w:val="auto"/>
          <w:szCs w:val="16"/>
          <w:highlight w:val="none"/>
          <w:lang w:val="en-US" w:eastAsia="zh-CN"/>
        </w:rPr>
        <w:t>4.协助</w:t>
      </w:r>
      <w:r>
        <w:rPr>
          <w:rFonts w:hint="eastAsia" w:ascii="宋体" w:hAnsi="宋体"/>
          <w:color w:val="auto"/>
          <w:szCs w:val="16"/>
          <w:highlight w:val="none"/>
        </w:rPr>
        <w:t>编制工程研究中心实体化运行过程中各节点相关会议的通知、方案、纪要等材料</w:t>
      </w:r>
      <w:r>
        <w:rPr>
          <w:rFonts w:hint="eastAsia"/>
          <w:color w:val="auto"/>
          <w:highlight w:val="none"/>
        </w:rPr>
        <w:t>。</w:t>
      </w:r>
      <w:r>
        <w:rPr>
          <w:rFonts w:hint="eastAsia"/>
          <w:color w:val="auto"/>
          <w:highlight w:val="none"/>
          <w:lang w:val="en-US" w:eastAsia="zh-CN"/>
        </w:rPr>
        <w:t>5.协助在网公司或行业主流媒体发表的署名文章1篇，取得采纳截图或链接。</w:t>
      </w:r>
    </w:p>
    <w:p>
      <w:pPr>
        <w:pStyle w:val="26"/>
        <w:adjustRightInd w:val="0"/>
        <w:snapToGrid w:val="0"/>
        <w:spacing w:before="0" w:beforeLines="0" w:after="0" w:afterLines="0"/>
        <w:ind w:firstLine="0" w:firstLineChars="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lang w:eastAsia="zh-CN"/>
        </w:rPr>
        <w:t>3</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投标方技术支持能力要求</w:t>
      </w:r>
    </w:p>
    <w:p>
      <w:pPr>
        <w:tabs>
          <w:tab w:val="left" w:pos="851"/>
        </w:tabs>
        <w:adjustRightInd w:val="0"/>
        <w:snapToGrid w:val="0"/>
        <w:spacing w:beforeLines="0" w:afterLines="0"/>
        <w:ind w:firstLine="480"/>
        <w:jc w:val="both"/>
        <w:rPr>
          <w:color w:val="auto"/>
          <w:highlight w:val="none"/>
        </w:rPr>
      </w:pPr>
      <w:r>
        <w:rPr>
          <w:rFonts w:hint="eastAsia"/>
          <w:color w:val="auto"/>
          <w:highlight w:val="none"/>
        </w:rPr>
        <w:t>（1）人员支撑能力</w:t>
      </w:r>
    </w:p>
    <w:p>
      <w:pPr>
        <w:tabs>
          <w:tab w:val="left" w:pos="851"/>
        </w:tabs>
        <w:adjustRightInd w:val="0"/>
        <w:snapToGrid w:val="0"/>
        <w:spacing w:beforeLines="0" w:afterLines="0"/>
        <w:ind w:firstLine="480" w:firstLineChars="0"/>
        <w:jc w:val="both"/>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投标方需成立</w:t>
      </w:r>
      <w:r>
        <w:rPr>
          <w:rFonts w:hint="eastAsia" w:ascii="Times New Roman" w:hAnsi="Times New Roman" w:cs="Times New Roman"/>
          <w:color w:val="auto"/>
          <w:sz w:val="24"/>
          <w:highlight w:val="none"/>
          <w:lang w:eastAsia="zh-CN"/>
        </w:rPr>
        <w:t>项目</w:t>
      </w:r>
      <w:r>
        <w:rPr>
          <w:rFonts w:hint="eastAsia" w:ascii="Times New Roman" w:hAnsi="Times New Roman" w:cs="Times New Roman"/>
          <w:color w:val="auto"/>
          <w:sz w:val="24"/>
          <w:highlight w:val="none"/>
        </w:rPr>
        <w:t>组</w:t>
      </w:r>
      <w:r>
        <w:rPr>
          <w:rFonts w:hint="eastAsia" w:ascii="Times New Roman" w:hAnsi="Times New Roman" w:cs="Times New Roman"/>
          <w:color w:val="auto"/>
          <w:sz w:val="24"/>
          <w:highlight w:val="none"/>
          <w:lang w:eastAsia="zh-CN"/>
        </w:rPr>
        <w:t>，成员</w:t>
      </w:r>
      <w:r>
        <w:rPr>
          <w:rFonts w:hint="eastAsia" w:ascii="Times New Roman" w:hAnsi="Times New Roman"/>
          <w:color w:val="auto"/>
          <w:sz w:val="24"/>
          <w:highlight w:val="none"/>
        </w:rPr>
        <w:t>均为大学本科及以上学历，具备良好的专业背景和经验</w:t>
      </w:r>
      <w:r>
        <w:rPr>
          <w:rFonts w:hint="eastAsia" w:ascii="Times New Roman" w:hAnsi="Times New Roman"/>
          <w:color w:val="auto"/>
          <w:sz w:val="24"/>
          <w:highlight w:val="none"/>
          <w:lang w:eastAsia="zh-CN"/>
        </w:rPr>
        <w:t>，其中项目负责人需具有高级职称。</w:t>
      </w:r>
      <w:r>
        <w:rPr>
          <w:rFonts w:hint="eastAsia" w:ascii="Times New Roman" w:hAnsi="Times New Roman"/>
          <w:color w:val="auto"/>
          <w:sz w:val="24"/>
          <w:highlight w:val="none"/>
        </w:rPr>
        <w:t>投标方提供名单和咨询经历，在与招标方协商的基础上确定，确保人员稳定。更换项目组成员的替代人选及更换时机需经双方协商认可，并保证工作的连续性和工作质量。</w:t>
      </w:r>
    </w:p>
    <w:p>
      <w:pPr>
        <w:tabs>
          <w:tab w:val="left" w:pos="851"/>
        </w:tabs>
        <w:adjustRightInd w:val="0"/>
        <w:snapToGrid w:val="0"/>
        <w:spacing w:beforeLines="0" w:afterLines="0"/>
        <w:ind w:firstLine="480"/>
        <w:jc w:val="both"/>
        <w:rPr>
          <w:color w:val="auto"/>
          <w:highlight w:val="none"/>
        </w:rPr>
      </w:pPr>
      <w:r>
        <w:rPr>
          <w:rFonts w:hint="eastAsia"/>
          <w:color w:val="auto"/>
          <w:highlight w:val="none"/>
        </w:rPr>
        <w:t>（2）服务支撑能力</w:t>
      </w:r>
    </w:p>
    <w:p>
      <w:pPr>
        <w:adjustRightInd w:val="0"/>
        <w:snapToGrid w:val="0"/>
        <w:spacing w:beforeLines="0" w:afterLines="0"/>
        <w:ind w:left="0" w:leftChars="0" w:firstLine="480"/>
        <w:jc w:val="both"/>
        <w:rPr>
          <w:rFonts w:hint="eastAsia" w:asciiTheme="minorEastAsia" w:hAnsiTheme="minorEastAsia" w:eastAsiaTheme="minorEastAsia" w:cstheme="minorEastAsia"/>
          <w:bCs/>
          <w:color w:val="auto"/>
          <w:highlight w:val="none"/>
        </w:rPr>
      </w:pPr>
      <w:r>
        <w:rPr>
          <w:rFonts w:hint="eastAsia"/>
          <w:color w:val="auto"/>
          <w:highlight w:val="none"/>
        </w:rPr>
        <w:t>投标方</w:t>
      </w:r>
      <w:r>
        <w:rPr>
          <w:rFonts w:hint="eastAsia" w:asciiTheme="minorEastAsia" w:hAnsiTheme="minorEastAsia" w:eastAsiaTheme="minorEastAsia" w:cstheme="minorEastAsia"/>
          <w:bCs/>
          <w:color w:val="auto"/>
          <w:highlight w:val="none"/>
        </w:rPr>
        <w:t>应能派驻技术顾问现场驻点（</w:t>
      </w:r>
      <w:r>
        <w:rPr>
          <w:rFonts w:hint="eastAsia"/>
          <w:color w:val="auto"/>
          <w:highlight w:val="none"/>
        </w:rPr>
        <w:t>不少于</w:t>
      </w:r>
      <w:r>
        <w:rPr>
          <w:rFonts w:hint="eastAsia"/>
          <w:color w:val="auto"/>
          <w:highlight w:val="none"/>
          <w:lang w:val="en-US" w:eastAsia="zh-CN"/>
        </w:rPr>
        <w:t>2个月</w:t>
      </w:r>
      <w:r>
        <w:rPr>
          <w:rFonts w:hint="eastAsia"/>
          <w:color w:val="auto"/>
          <w:highlight w:val="none"/>
        </w:rPr>
        <w:t>的现场服务</w:t>
      </w:r>
      <w:r>
        <w:rPr>
          <w:rFonts w:hint="eastAsia" w:asciiTheme="minorEastAsia" w:hAnsiTheme="minorEastAsia" w:eastAsiaTheme="minorEastAsia" w:cstheme="minorEastAsia"/>
          <w:bCs/>
          <w:color w:val="auto"/>
          <w:highlight w:val="none"/>
        </w:rPr>
        <w:t>）、线上远程支持服务；</w:t>
      </w:r>
      <w:r>
        <w:rPr>
          <w:rFonts w:hint="eastAsia"/>
          <w:color w:val="auto"/>
          <w:highlight w:val="none"/>
        </w:rPr>
        <w:t>需提供项目成果验收通过后12个月的售后服务。</w:t>
      </w:r>
    </w:p>
    <w:p>
      <w:pPr>
        <w:pStyle w:val="26"/>
        <w:adjustRightInd w:val="0"/>
        <w:snapToGrid w:val="0"/>
        <w:spacing w:before="0" w:beforeLines="0" w:after="0" w:afterLines="0"/>
        <w:ind w:firstLine="0" w:firstLineChars="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lang w:eastAsia="zh-CN"/>
        </w:rPr>
        <w:t>4</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投标方技术文件编制要求</w:t>
      </w:r>
    </w:p>
    <w:p>
      <w:pPr>
        <w:adjustRightInd w:val="0"/>
        <w:snapToGrid w:val="0"/>
        <w:spacing w:beforeLines="0" w:afterLines="0"/>
        <w:ind w:firstLine="480"/>
        <w:jc w:val="both"/>
        <w:rPr>
          <w:rFonts w:hint="eastAsia" w:ascii="宋体" w:hAnsi="宋体" w:cs="宋体"/>
          <w:color w:val="auto"/>
          <w:highlight w:val="none"/>
        </w:rPr>
      </w:pPr>
      <w:r>
        <w:rPr>
          <w:rFonts w:hint="eastAsia" w:ascii="宋体" w:hAnsi="宋体" w:cs="宋体"/>
          <w:color w:val="auto"/>
          <w:highlight w:val="none"/>
        </w:rPr>
        <w:t>投标方技术文件除按照招标文件要求编制外，还应包括以下内容：</w:t>
      </w:r>
    </w:p>
    <w:p>
      <w:pPr>
        <w:adjustRightInd w:val="0"/>
        <w:snapToGrid w:val="0"/>
        <w:spacing w:beforeLines="0" w:afterLines="0"/>
        <w:ind w:firstLine="480"/>
        <w:jc w:val="both"/>
        <w:rPr>
          <w:rFonts w:hint="eastAsia" w:ascii="宋体" w:hAnsi="宋体" w:cs="宋体"/>
          <w:color w:val="auto"/>
          <w:highlight w:val="none"/>
        </w:rPr>
      </w:pPr>
      <w:r>
        <w:rPr>
          <w:rFonts w:hint="eastAsia" w:ascii="宋体" w:hAnsi="宋体" w:cs="宋体"/>
          <w:color w:val="auto"/>
          <w:highlight w:val="none"/>
        </w:rPr>
        <w:t>（1）投标方的项目团队详细情况（人员构成、各成员的专业方向及成就）。</w:t>
      </w:r>
    </w:p>
    <w:p>
      <w:pPr>
        <w:adjustRightInd w:val="0"/>
        <w:snapToGrid w:val="0"/>
        <w:spacing w:beforeLines="0" w:afterLines="0"/>
        <w:ind w:firstLine="480"/>
        <w:jc w:val="both"/>
        <w:rPr>
          <w:rFonts w:hint="eastAsia" w:ascii="宋体" w:hAnsi="宋体" w:cs="宋体"/>
          <w:color w:val="auto"/>
          <w:highlight w:val="none"/>
        </w:rPr>
      </w:pPr>
      <w:r>
        <w:rPr>
          <w:rFonts w:hint="eastAsia" w:ascii="宋体" w:hAnsi="宋体" w:cs="宋体"/>
          <w:color w:val="auto"/>
          <w:highlight w:val="none"/>
        </w:rPr>
        <w:t>（2）投标方在本项目相关技术领域发表的论文和专著，投标方所具备的软、硬件基础。</w:t>
      </w:r>
    </w:p>
    <w:p>
      <w:pPr>
        <w:adjustRightInd w:val="0"/>
        <w:snapToGrid w:val="0"/>
        <w:spacing w:beforeLines="0" w:afterLines="0"/>
        <w:ind w:firstLine="480"/>
        <w:jc w:val="both"/>
        <w:rPr>
          <w:rFonts w:hint="eastAsia" w:ascii="宋体" w:hAnsi="宋体" w:cs="宋体"/>
          <w:color w:val="auto"/>
          <w:highlight w:val="none"/>
        </w:rPr>
      </w:pPr>
      <w:r>
        <w:rPr>
          <w:rFonts w:hint="eastAsia" w:ascii="宋体" w:hAnsi="宋体" w:cs="宋体"/>
          <w:color w:val="auto"/>
          <w:highlight w:val="none"/>
        </w:rPr>
        <w:t>（3）近3年承担的相关项目情况及证明材料，包括：项目来源、规模、项目主要研究内容、取得的成果、获得的奖项等；对于投标方已承担与本课题相似度高的项目在投标文件中进行详细阐述，内容包括：研究内容、执行情况、获得成果和奖励等。</w:t>
      </w:r>
    </w:p>
    <w:p>
      <w:pPr>
        <w:keepNext w:val="0"/>
        <w:keepLines w:val="0"/>
        <w:pageBreakBefore w:val="0"/>
        <w:widowControl/>
        <w:kinsoku/>
        <w:wordWrap/>
        <w:overflowPunct/>
        <w:topLinePunct w:val="0"/>
        <w:autoSpaceDE/>
        <w:autoSpaceDN/>
        <w:bidi w:val="0"/>
        <w:adjustRightInd w:val="0"/>
        <w:snapToGrid w:val="0"/>
        <w:spacing w:beforeLines="0" w:afterLines="0"/>
        <w:ind w:firstLine="480" w:firstLineChars="0"/>
        <w:jc w:val="both"/>
        <w:textAlignment w:val="auto"/>
        <w:outlineLvl w:val="9"/>
        <w:rPr>
          <w:rFonts w:hint="eastAsia" w:ascii="宋体" w:hAnsi="宋体" w:eastAsia="宋体" w:cs="宋体"/>
          <w:color w:val="auto"/>
          <w:highlight w:val="none"/>
        </w:rPr>
      </w:pPr>
      <w:r>
        <w:rPr>
          <w:rFonts w:hint="eastAsia" w:ascii="宋体" w:hAnsi="宋体" w:cs="宋体"/>
          <w:color w:val="auto"/>
          <w:highlight w:val="none"/>
        </w:rPr>
        <w:t>（4）总体技术方案，包括：投标方对本课题研究现状的分析；主要研究思路或方法；详细技术方案描述，其中包括对本技术规范书已有内容的落实措施，以及对本课题研究内容（这些内容尽管有可能未在本技术规范书中具体明确地列出）的补充和拓展；预期目标和成果，主要技术难点、创新点及解决措施；人员分工和进度计划。</w:t>
      </w:r>
    </w:p>
    <w:p>
      <w:pPr>
        <w:keepNext w:val="0"/>
        <w:keepLines w:val="0"/>
        <w:pageBreakBefore w:val="0"/>
        <w:widowControl/>
        <w:kinsoku/>
        <w:wordWrap/>
        <w:overflowPunct/>
        <w:topLinePunct w:val="0"/>
        <w:autoSpaceDE/>
        <w:autoSpaceDN/>
        <w:bidi w:val="0"/>
        <w:adjustRightInd w:val="0"/>
        <w:snapToGrid w:val="0"/>
        <w:spacing w:beforeLines="0" w:afterLines="0"/>
        <w:ind w:firstLine="480" w:firstLineChars="0"/>
        <w:jc w:val="both"/>
        <w:textAlignment w:val="auto"/>
        <w:outlineLvl w:val="9"/>
        <w:rPr>
          <w:rFonts w:hint="eastAsia" w:ascii="宋体" w:hAnsi="宋体" w:cs="宋体"/>
          <w:color w:val="auto"/>
          <w:sz w:val="24"/>
          <w:highlight w:val="none"/>
          <w:lang w:val="en-US" w:eastAsia="zh-CN"/>
        </w:rPr>
      </w:pPr>
      <w:r>
        <w:rPr>
          <w:rFonts w:hint="eastAsia" w:ascii="宋体" w:hAnsi="宋体" w:cs="宋体"/>
          <w:color w:val="auto"/>
          <w:highlight w:val="none"/>
        </w:rPr>
        <w:t>（5）需招标方配合的内容，包括人员、场地、提供的资料。</w:t>
      </w:r>
    </w:p>
    <w:p>
      <w:pPr>
        <w:autoSpaceDN w:val="0"/>
        <w:adjustRightInd w:val="0"/>
        <w:snapToGrid w:val="0"/>
        <w:spacing w:beforeLines="0" w:afterLines="0" w:line="360" w:lineRule="auto"/>
        <w:ind w:left="0" w:leftChars="0" w:firstLine="480" w:firstLineChars="200"/>
        <w:rPr>
          <w:rFonts w:hint="eastAsia" w:ascii="宋体" w:hAnsi="宋体" w:cs="宋体"/>
          <w:color w:val="auto"/>
          <w:sz w:val="24"/>
          <w:szCs w:val="21"/>
          <w:highlight w:val="none"/>
        </w:rPr>
      </w:pPr>
      <w:r>
        <w:rPr>
          <w:rFonts w:hint="eastAsia" w:ascii="宋体" w:hAnsi="宋体" w:eastAsia="宋体" w:cs="宋体"/>
          <w:color w:val="auto"/>
          <w:kern w:val="2"/>
          <w:sz w:val="24"/>
          <w:szCs w:val="24"/>
          <w:highlight w:val="none"/>
          <w:lang w:val="en-US" w:eastAsia="zh-CN" w:bidi="ar-SA"/>
        </w:rPr>
        <w:t>（6）</w:t>
      </w:r>
      <w:r>
        <w:rPr>
          <w:rFonts w:hint="eastAsia" w:ascii="宋体" w:hAnsi="宋体" w:cs="宋体"/>
          <w:color w:val="auto"/>
          <w:sz w:val="24"/>
          <w:szCs w:val="21"/>
          <w:highlight w:val="none"/>
        </w:rPr>
        <w:t>为保证投标方有效进行技术服务工作，招标方提供与项目有关的技术资料，并协助投标方协调项目实施过程中所需解决的事项。</w:t>
      </w:r>
    </w:p>
    <w:p>
      <w:pPr>
        <w:keepNext w:val="0"/>
        <w:keepLines w:val="0"/>
        <w:pageBreakBefore w:val="0"/>
        <w:widowControl/>
        <w:kinsoku/>
        <w:wordWrap/>
        <w:overflowPunct/>
        <w:topLinePunct w:val="0"/>
        <w:autoSpaceDE/>
        <w:autoSpaceDN w:val="0"/>
        <w:bidi w:val="0"/>
        <w:adjustRightInd w:val="0"/>
        <w:snapToGrid w:val="0"/>
        <w:spacing w:before="0" w:beforeLines="0" w:afterLines="0"/>
        <w:ind w:firstLine="480" w:firstLineChars="200"/>
        <w:textAlignment w:val="auto"/>
        <w:outlineLvl w:val="9"/>
        <w:rPr>
          <w:rFonts w:hint="default" w:ascii="黑体" w:hAnsi="黑体" w:eastAsia="黑体" w:cs="黑体"/>
          <w:b/>
          <w:bCs/>
          <w:color w:val="auto"/>
          <w:sz w:val="28"/>
          <w:szCs w:val="36"/>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未经招标方书面同意，投标方不得在其他项目中使用本项目资料和招标方提供的所有资料，或向任何第三方披露、使用本项目资料和招标方提供的所有资料。</w:t>
      </w:r>
    </w:p>
    <w:p>
      <w:pPr>
        <w:keepNext w:val="0"/>
        <w:keepLines w:val="0"/>
        <w:pageBreakBefore w:val="0"/>
        <w:widowControl/>
        <w:kinsoku/>
        <w:wordWrap/>
        <w:overflowPunct/>
        <w:topLinePunct w:val="0"/>
        <w:autoSpaceDE/>
        <w:autoSpaceDN/>
        <w:bidi w:val="0"/>
        <w:adjustRightInd/>
        <w:snapToGrid w:val="0"/>
        <w:spacing w:before="120"/>
        <w:ind w:firstLine="0" w:firstLineChars="0"/>
        <w:textAlignment w:val="auto"/>
        <w:outlineLvl w:val="0"/>
        <w:rPr>
          <w:rFonts w:hint="eastAsia" w:ascii="宋体" w:hAnsi="宋体" w:eastAsia="宋体" w:cs="宋体"/>
          <w:b/>
          <w:bCs/>
          <w:color w:val="auto"/>
          <w:sz w:val="30"/>
          <w:szCs w:val="30"/>
          <w:highlight w:val="none"/>
          <w:lang w:val="en-US" w:eastAsia="zh-CN"/>
        </w:rPr>
      </w:pPr>
      <w:bookmarkStart w:id="48" w:name="_Toc15462"/>
      <w:bookmarkStart w:id="49" w:name="_Toc13157"/>
      <w:bookmarkStart w:id="50" w:name="_Toc3575"/>
      <w:r>
        <w:rPr>
          <w:rFonts w:hint="eastAsia" w:ascii="宋体" w:hAnsi="宋体" w:eastAsia="宋体" w:cs="宋体"/>
          <w:b/>
          <w:bCs/>
          <w:color w:val="auto"/>
          <w:sz w:val="30"/>
          <w:szCs w:val="30"/>
          <w:highlight w:val="none"/>
          <w:lang w:val="en-US" w:eastAsia="zh-CN"/>
        </w:rPr>
        <w:t>6. 工期进度要求</w:t>
      </w:r>
      <w:bookmarkEnd w:id="48"/>
      <w:bookmarkEnd w:id="49"/>
      <w:bookmarkEnd w:id="50"/>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本项目应按照下表所示进度安排开展项目研究工作：</w:t>
      </w:r>
    </w:p>
    <w:tbl>
      <w:tblPr>
        <w:tblStyle w:val="1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223"/>
        <w:gridCol w:w="4000"/>
        <w:gridCol w:w="1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序号</w:t>
            </w:r>
          </w:p>
        </w:tc>
        <w:tc>
          <w:tcPr>
            <w:tcW w:w="222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b/>
                <w:bCs/>
                <w:color w:val="auto"/>
                <w:sz w:val="21"/>
                <w:szCs w:val="21"/>
                <w:highlight w:val="none"/>
                <w:vertAlign w:val="baseline"/>
                <w:lang w:val="en-US" w:eastAsia="zh-CN"/>
              </w:rPr>
            </w:pPr>
            <w:r>
              <w:rPr>
                <w:rFonts w:hint="eastAsia" w:ascii="宋体" w:hAnsi="宋体" w:cs="宋体"/>
                <w:b/>
                <w:bCs/>
                <w:color w:val="auto"/>
                <w:sz w:val="21"/>
                <w:szCs w:val="21"/>
                <w:highlight w:val="none"/>
                <w:vertAlign w:val="baseline"/>
                <w:lang w:eastAsia="zh-CN"/>
              </w:rPr>
              <w:t>研究内容</w:t>
            </w:r>
            <w:r>
              <w:rPr>
                <w:rFonts w:hint="eastAsia" w:ascii="宋体" w:hAnsi="宋体" w:cs="宋体"/>
                <w:b/>
                <w:bCs/>
                <w:color w:val="auto"/>
                <w:sz w:val="21"/>
                <w:szCs w:val="21"/>
                <w:highlight w:val="none"/>
                <w:vertAlign w:val="baseline"/>
                <w:lang w:val="en-US" w:eastAsia="zh-CN"/>
              </w:rPr>
              <w:t>/任务名称</w:t>
            </w:r>
          </w:p>
        </w:tc>
        <w:tc>
          <w:tcPr>
            <w:tcW w:w="40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b/>
                <w:bCs/>
                <w:color w:val="auto"/>
                <w:sz w:val="21"/>
                <w:szCs w:val="21"/>
                <w:highlight w:val="none"/>
                <w:vertAlign w:val="baseline"/>
                <w:lang w:val="en-US" w:eastAsia="zh-CN"/>
              </w:rPr>
            </w:pPr>
            <w:r>
              <w:rPr>
                <w:rFonts w:hint="eastAsia" w:ascii="宋体" w:hAnsi="宋体" w:cs="宋体"/>
                <w:b/>
                <w:bCs/>
                <w:color w:val="auto"/>
                <w:sz w:val="21"/>
                <w:szCs w:val="21"/>
                <w:highlight w:val="none"/>
                <w:vertAlign w:val="baseline"/>
                <w:lang w:val="en-US" w:eastAsia="zh-CN"/>
              </w:rPr>
              <w:t>交付物/主要工作</w:t>
            </w:r>
          </w:p>
        </w:tc>
        <w:tc>
          <w:tcPr>
            <w:tcW w:w="148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cs="宋体"/>
                <w:b/>
                <w:bCs/>
                <w:color w:val="auto"/>
                <w:sz w:val="21"/>
                <w:szCs w:val="21"/>
                <w:highlight w:val="none"/>
                <w:vertAlign w:val="baseline"/>
                <w:lang w:val="en-US" w:eastAsia="zh-CN"/>
              </w:rPr>
            </w:pPr>
            <w:r>
              <w:rPr>
                <w:rFonts w:hint="eastAsia" w:ascii="宋体" w:hAnsi="宋体" w:cs="宋体"/>
                <w:b/>
                <w:bCs/>
                <w:color w:val="auto"/>
                <w:sz w:val="21"/>
                <w:szCs w:val="21"/>
                <w:highlight w:val="none"/>
                <w:vertAlign w:val="baseline"/>
                <w:lang w:val="en-US" w:eastAsia="zh-CN"/>
              </w:rPr>
              <w:t>时间要求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2223"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管理现状分析</w:t>
            </w:r>
          </w:p>
        </w:tc>
        <w:tc>
          <w:tcPr>
            <w:tcW w:w="400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对工程研究中心实体化运作机制研究现状进行调研分析，编制《特高压直流智能运检与安全运行工程研究中心</w:t>
            </w:r>
            <w:r>
              <w:rPr>
                <w:rFonts w:hint="eastAsia" w:ascii="宋体" w:hAnsi="宋体" w:cs="宋体"/>
                <w:b w:val="0"/>
                <w:bCs w:val="0"/>
                <w:color w:val="auto"/>
                <w:sz w:val="21"/>
                <w:szCs w:val="21"/>
                <w:highlight w:val="none"/>
                <w:vertAlign w:val="baseline"/>
                <w:lang w:val="en-US" w:eastAsia="zh-CN"/>
              </w:rPr>
              <w:t>管理创新研究现状报告</w:t>
            </w:r>
            <w:r>
              <w:rPr>
                <w:rFonts w:hint="eastAsia" w:ascii="宋体" w:hAnsi="宋体" w:eastAsia="宋体" w:cs="宋体"/>
                <w:b w:val="0"/>
                <w:bCs w:val="0"/>
                <w:color w:val="auto"/>
                <w:sz w:val="21"/>
                <w:szCs w:val="21"/>
                <w:highlight w:val="none"/>
                <w:vertAlign w:val="baseline"/>
                <w:lang w:val="en-US" w:eastAsia="zh-CN"/>
              </w:rPr>
              <w:t>》1份</w:t>
            </w:r>
          </w:p>
        </w:tc>
        <w:tc>
          <w:tcPr>
            <w:tcW w:w="1482"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2026年</w:t>
            </w:r>
            <w:r>
              <w:rPr>
                <w:rFonts w:hint="eastAsia" w:ascii="宋体" w:hAnsi="宋体" w:cs="宋体"/>
                <w:b w:val="0"/>
                <w:bCs w:val="0"/>
                <w:color w:val="auto"/>
                <w:sz w:val="21"/>
                <w:szCs w:val="21"/>
                <w:highlight w:val="none"/>
                <w:vertAlign w:val="baseline"/>
                <w:lang w:val="en-US" w:eastAsia="zh-CN"/>
              </w:rPr>
              <w:t>10</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w:t>
            </w:r>
          </w:p>
        </w:tc>
        <w:tc>
          <w:tcPr>
            <w:tcW w:w="2223"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工程研究中心实体化运行管理创新研究</w:t>
            </w:r>
          </w:p>
        </w:tc>
        <w:tc>
          <w:tcPr>
            <w:tcW w:w="400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编制《特高压直流智能运检与安全运行工程研究中心技术创新机制</w:t>
            </w:r>
            <w:r>
              <w:rPr>
                <w:rFonts w:hint="eastAsia" w:ascii="宋体" w:hAnsi="宋体" w:cs="宋体"/>
                <w:b w:val="0"/>
                <w:bCs w:val="0"/>
                <w:color w:val="auto"/>
                <w:sz w:val="21"/>
                <w:szCs w:val="21"/>
                <w:highlight w:val="none"/>
                <w:vertAlign w:val="baseline"/>
                <w:lang w:val="en-US" w:eastAsia="zh-CN"/>
              </w:rPr>
              <w:t>研究报告</w:t>
            </w:r>
            <w:r>
              <w:rPr>
                <w:rFonts w:hint="eastAsia" w:ascii="宋体" w:hAnsi="宋体" w:eastAsia="宋体" w:cs="宋体"/>
                <w:b w:val="0"/>
                <w:bCs w:val="0"/>
                <w:color w:val="auto"/>
                <w:sz w:val="21"/>
                <w:szCs w:val="21"/>
                <w:highlight w:val="none"/>
                <w:vertAlign w:val="baseline"/>
                <w:lang w:val="en-US" w:eastAsia="zh-CN"/>
              </w:rPr>
              <w:t>》1份</w:t>
            </w:r>
          </w:p>
        </w:tc>
        <w:tc>
          <w:tcPr>
            <w:tcW w:w="1482"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2026年</w:t>
            </w:r>
            <w:r>
              <w:rPr>
                <w:rFonts w:hint="eastAsia" w:ascii="宋体" w:hAnsi="宋体" w:cs="宋体"/>
                <w:b w:val="0"/>
                <w:bCs w:val="0"/>
                <w:color w:val="auto"/>
                <w:sz w:val="21"/>
                <w:szCs w:val="21"/>
                <w:highlight w:val="none"/>
                <w:vertAlign w:val="baseline"/>
                <w:lang w:val="en-US" w:eastAsia="zh-CN"/>
              </w:rPr>
              <w:t>11</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rPr>
              <w:t>3</w:t>
            </w:r>
          </w:p>
        </w:tc>
        <w:tc>
          <w:tcPr>
            <w:tcW w:w="2223"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科技成果转化与产业生态驱动路径研究</w:t>
            </w:r>
          </w:p>
        </w:tc>
        <w:tc>
          <w:tcPr>
            <w:tcW w:w="400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编制《特高压直流智能运检与安全运行工程研究中心人才激励机制</w:t>
            </w:r>
            <w:r>
              <w:rPr>
                <w:rFonts w:hint="eastAsia" w:ascii="宋体" w:hAnsi="宋体" w:cs="宋体"/>
                <w:b w:val="0"/>
                <w:bCs w:val="0"/>
                <w:color w:val="auto"/>
                <w:sz w:val="21"/>
                <w:szCs w:val="21"/>
                <w:highlight w:val="none"/>
                <w:vertAlign w:val="baseline"/>
                <w:lang w:val="en-US" w:eastAsia="zh-CN"/>
              </w:rPr>
              <w:t>研究报告</w:t>
            </w:r>
            <w:r>
              <w:rPr>
                <w:rFonts w:hint="eastAsia" w:ascii="宋体" w:hAnsi="宋体" w:eastAsia="宋体" w:cs="宋体"/>
                <w:b w:val="0"/>
                <w:bCs w:val="0"/>
                <w:color w:val="auto"/>
                <w:sz w:val="21"/>
                <w:szCs w:val="21"/>
                <w:highlight w:val="none"/>
                <w:vertAlign w:val="baseline"/>
                <w:lang w:val="en-US" w:eastAsia="zh-CN"/>
              </w:rPr>
              <w:t>》1份</w:t>
            </w:r>
          </w:p>
        </w:tc>
        <w:tc>
          <w:tcPr>
            <w:tcW w:w="1482"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2026年</w:t>
            </w:r>
            <w:r>
              <w:rPr>
                <w:rFonts w:hint="eastAsia" w:ascii="宋体" w:hAnsi="宋体" w:cs="宋体"/>
                <w:b w:val="0"/>
                <w:bCs w:val="0"/>
                <w:color w:val="auto"/>
                <w:sz w:val="21"/>
                <w:szCs w:val="21"/>
                <w:highlight w:val="none"/>
                <w:vertAlign w:val="baseline"/>
                <w:lang w:val="en-US" w:eastAsia="zh-CN"/>
              </w:rPr>
              <w:t>12</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4</w:t>
            </w:r>
          </w:p>
        </w:tc>
        <w:tc>
          <w:tcPr>
            <w:tcW w:w="2223"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前瞻性的技术发展路径与动态评估体系研究</w:t>
            </w:r>
          </w:p>
        </w:tc>
        <w:tc>
          <w:tcPr>
            <w:tcW w:w="400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编制《特高压直流智能运检与安全运行工程研究中心成果转化机制</w:t>
            </w:r>
            <w:r>
              <w:rPr>
                <w:rFonts w:hint="eastAsia" w:ascii="宋体" w:hAnsi="宋体" w:cs="宋体"/>
                <w:b w:val="0"/>
                <w:bCs w:val="0"/>
                <w:color w:val="auto"/>
                <w:sz w:val="21"/>
                <w:szCs w:val="21"/>
                <w:highlight w:val="none"/>
                <w:vertAlign w:val="baseline"/>
                <w:lang w:val="en-US" w:eastAsia="zh-CN"/>
              </w:rPr>
              <w:t>研究报告</w:t>
            </w:r>
            <w:r>
              <w:rPr>
                <w:rFonts w:hint="eastAsia" w:ascii="宋体" w:hAnsi="宋体" w:eastAsia="宋体" w:cs="宋体"/>
                <w:b w:val="0"/>
                <w:bCs w:val="0"/>
                <w:color w:val="auto"/>
                <w:sz w:val="21"/>
                <w:szCs w:val="21"/>
                <w:highlight w:val="none"/>
                <w:vertAlign w:val="baseline"/>
                <w:lang w:val="en-US" w:eastAsia="zh-CN"/>
              </w:rPr>
              <w:t>》1份</w:t>
            </w:r>
          </w:p>
        </w:tc>
        <w:tc>
          <w:tcPr>
            <w:tcW w:w="1482"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w:t>
            </w:r>
            <w:r>
              <w:rPr>
                <w:rFonts w:hint="eastAsia" w:ascii="宋体" w:hAnsi="宋体" w:cs="宋体"/>
                <w:b w:val="0"/>
                <w:bCs w:val="0"/>
                <w:color w:val="auto"/>
                <w:sz w:val="21"/>
                <w:szCs w:val="21"/>
                <w:highlight w:val="none"/>
                <w:vertAlign w:val="baseline"/>
                <w:lang w:val="en-US" w:eastAsia="zh-CN"/>
              </w:rPr>
              <w:t>7</w:t>
            </w:r>
            <w:r>
              <w:rPr>
                <w:rFonts w:hint="eastAsia" w:ascii="宋体" w:hAnsi="宋体" w:eastAsia="宋体" w:cs="宋体"/>
                <w:b w:val="0"/>
                <w:bCs w:val="0"/>
                <w:color w:val="auto"/>
                <w:sz w:val="21"/>
                <w:szCs w:val="21"/>
                <w:highlight w:val="none"/>
                <w:vertAlign w:val="baseline"/>
                <w:lang w:val="en-US" w:eastAsia="zh-CN"/>
              </w:rPr>
              <w:t>年</w:t>
            </w:r>
            <w:r>
              <w:rPr>
                <w:rFonts w:hint="eastAsia" w:ascii="宋体" w:hAnsi="宋体" w:cs="宋体"/>
                <w:b w:val="0"/>
                <w:bCs w:val="0"/>
                <w:color w:val="auto"/>
                <w:sz w:val="21"/>
                <w:szCs w:val="21"/>
                <w:highlight w:val="none"/>
                <w:vertAlign w:val="baseline"/>
                <w:lang w:val="en-US" w:eastAsia="zh-CN"/>
              </w:rPr>
              <w:t>1</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rPr>
              <w:t>5</w:t>
            </w:r>
          </w:p>
        </w:tc>
        <w:tc>
          <w:tcPr>
            <w:tcW w:w="2223"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中期评审</w:t>
            </w:r>
          </w:p>
        </w:tc>
        <w:tc>
          <w:tcPr>
            <w:tcW w:w="4000"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中期评审报告</w:t>
            </w:r>
          </w:p>
        </w:tc>
        <w:tc>
          <w:tcPr>
            <w:tcW w:w="1482"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w:t>
            </w:r>
            <w:r>
              <w:rPr>
                <w:rFonts w:hint="eastAsia" w:ascii="宋体" w:hAnsi="宋体" w:cs="宋体"/>
                <w:b w:val="0"/>
                <w:bCs w:val="0"/>
                <w:color w:val="auto"/>
                <w:sz w:val="21"/>
                <w:szCs w:val="21"/>
                <w:highlight w:val="none"/>
                <w:vertAlign w:val="baseline"/>
                <w:lang w:val="en-US" w:eastAsia="zh-CN"/>
              </w:rPr>
              <w:t>7</w:t>
            </w:r>
            <w:r>
              <w:rPr>
                <w:rFonts w:hint="eastAsia" w:ascii="宋体" w:hAnsi="宋体" w:eastAsia="宋体" w:cs="宋体"/>
                <w:b w:val="0"/>
                <w:bCs w:val="0"/>
                <w:color w:val="auto"/>
                <w:sz w:val="21"/>
                <w:szCs w:val="21"/>
                <w:highlight w:val="none"/>
                <w:vertAlign w:val="baseline"/>
                <w:lang w:val="en-US" w:eastAsia="zh-CN"/>
              </w:rPr>
              <w:t>年</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rPr>
              <w:t>6</w:t>
            </w:r>
          </w:p>
        </w:tc>
        <w:tc>
          <w:tcPr>
            <w:tcW w:w="2223"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论文、专利等成果</w:t>
            </w:r>
          </w:p>
        </w:tc>
        <w:tc>
          <w:tcPr>
            <w:tcW w:w="4000"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1.录用被甲方认可的普通期刊（含国家级期刊、省级期刊）1篇</w:t>
            </w:r>
            <w:r>
              <w:rPr>
                <w:rFonts w:hint="eastAsia" w:ascii="宋体" w:hAnsi="宋体" w:cs="宋体"/>
                <w:b w:val="0"/>
                <w:bCs w:val="0"/>
                <w:color w:val="auto"/>
                <w:sz w:val="21"/>
                <w:szCs w:val="21"/>
                <w:highlight w:val="none"/>
                <w:vertAlign w:val="baseline"/>
                <w:lang w:val="en-US" w:eastAsia="zh-CN"/>
              </w:rPr>
              <w:t>，包括录用通知</w:t>
            </w:r>
            <w:r>
              <w:rPr>
                <w:rFonts w:hint="eastAsia" w:ascii="宋体" w:hAnsi="宋体" w:eastAsia="宋体" w:cs="宋体"/>
                <w:b w:val="0"/>
                <w:bCs w:val="0"/>
                <w:color w:val="auto"/>
                <w:sz w:val="21"/>
                <w:szCs w:val="21"/>
                <w:highlight w:val="none"/>
                <w:vertAlign w:val="baseline"/>
                <w:lang w:val="en-US" w:eastAsia="zh-CN"/>
              </w:rPr>
              <w:t>。</w:t>
            </w:r>
          </w:p>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default" w:ascii="宋体" w:hAnsi="宋体" w:eastAsia="宋体" w:cs="宋体"/>
                <w:b w:val="0"/>
                <w:bCs w:val="0"/>
                <w:color w:val="auto"/>
                <w:sz w:val="21"/>
                <w:szCs w:val="21"/>
                <w:highlight w:val="none"/>
                <w:vertAlign w:val="baseline"/>
                <w:lang w:val="en-US" w:eastAsia="zh-CN"/>
              </w:rPr>
              <w:t>2.</w:t>
            </w:r>
            <w:r>
              <w:rPr>
                <w:rFonts w:hint="eastAsia" w:ascii="宋体" w:hAnsi="宋体" w:eastAsia="宋体" w:cs="宋体"/>
                <w:b w:val="0"/>
                <w:bCs w:val="0"/>
                <w:color w:val="auto"/>
                <w:sz w:val="21"/>
                <w:szCs w:val="21"/>
                <w:highlight w:val="none"/>
                <w:vertAlign w:val="baseline"/>
                <w:lang w:val="en-US" w:eastAsia="zh-CN"/>
              </w:rPr>
              <w:t>业务指导书2份（征求意见稿）。</w:t>
            </w:r>
          </w:p>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3.</w:t>
            </w:r>
            <w:r>
              <w:rPr>
                <w:rFonts w:hint="eastAsia" w:ascii="宋体" w:hAnsi="宋体" w:cs="宋体"/>
                <w:b w:val="0"/>
                <w:bCs w:val="0"/>
                <w:color w:val="auto"/>
                <w:sz w:val="21"/>
                <w:szCs w:val="21"/>
                <w:highlight w:val="none"/>
                <w:vertAlign w:val="baseline"/>
                <w:lang w:val="en-US" w:eastAsia="zh-CN"/>
              </w:rPr>
              <w:t>超高压公司发文方案</w:t>
            </w:r>
            <w:r>
              <w:rPr>
                <w:rFonts w:hint="eastAsia" w:ascii="宋体" w:hAnsi="宋体" w:eastAsia="宋体" w:cs="宋体"/>
                <w:b w:val="0"/>
                <w:bCs w:val="0"/>
                <w:color w:val="auto"/>
                <w:sz w:val="21"/>
                <w:szCs w:val="21"/>
                <w:highlight w:val="none"/>
                <w:vertAlign w:val="baseline"/>
                <w:lang w:val="en-US" w:eastAsia="zh-CN"/>
              </w:rPr>
              <w:t>《特高压直流智能运检与安全运行工程研究中心实体化运作方案》方案1份。</w:t>
            </w:r>
          </w:p>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4.内部决策参考1份；</w:t>
            </w:r>
            <w:r>
              <w:rPr>
                <w:rFonts w:hint="eastAsia" w:ascii="宋体" w:hAnsi="宋体" w:cs="宋体"/>
                <w:b w:val="0"/>
                <w:bCs w:val="0"/>
                <w:color w:val="auto"/>
                <w:sz w:val="21"/>
                <w:szCs w:val="21"/>
                <w:highlight w:val="none"/>
                <w:vertAlign w:val="baseline"/>
                <w:lang w:val="en-US" w:eastAsia="zh-CN"/>
              </w:rPr>
              <w:t>编辑研究报告共4份，对应研究序号1-4</w:t>
            </w:r>
            <w:r>
              <w:rPr>
                <w:rFonts w:hint="eastAsia" w:ascii="宋体" w:hAnsi="宋体" w:eastAsia="宋体" w:cs="宋体"/>
                <w:b w:val="0"/>
                <w:bCs w:val="0"/>
                <w:color w:val="auto"/>
                <w:sz w:val="21"/>
                <w:szCs w:val="21"/>
                <w:highlight w:val="none"/>
                <w:vertAlign w:val="baseline"/>
                <w:lang w:val="en-US" w:eastAsia="zh-CN"/>
              </w:rPr>
              <w:t>；在网公司或行业主流媒体发表的署名文章，1篇</w:t>
            </w:r>
          </w:p>
        </w:tc>
        <w:tc>
          <w:tcPr>
            <w:tcW w:w="1482" w:type="dxa"/>
            <w:shd w:val="clear" w:color="auto" w:fill="auto"/>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w:t>
            </w:r>
            <w:r>
              <w:rPr>
                <w:rFonts w:hint="eastAsia" w:ascii="宋体" w:hAnsi="宋体" w:cs="宋体"/>
                <w:b w:val="0"/>
                <w:bCs w:val="0"/>
                <w:color w:val="auto"/>
                <w:sz w:val="21"/>
                <w:szCs w:val="21"/>
                <w:highlight w:val="none"/>
                <w:vertAlign w:val="baseline"/>
                <w:lang w:val="en-US" w:eastAsia="zh-CN"/>
              </w:rPr>
              <w:t>7</w:t>
            </w:r>
            <w:r>
              <w:rPr>
                <w:rFonts w:hint="eastAsia" w:ascii="宋体" w:hAnsi="宋体" w:eastAsia="宋体" w:cs="宋体"/>
                <w:b w:val="0"/>
                <w:bCs w:val="0"/>
                <w:color w:val="auto"/>
                <w:sz w:val="21"/>
                <w:szCs w:val="21"/>
                <w:highlight w:val="none"/>
                <w:vertAlign w:val="baseline"/>
                <w:lang w:val="en-US" w:eastAsia="zh-CN"/>
              </w:rPr>
              <w:t>年</w:t>
            </w:r>
            <w:r>
              <w:rPr>
                <w:rFonts w:hint="eastAsia" w:ascii="宋体" w:hAnsi="宋体" w:cs="宋体"/>
                <w:b w:val="0"/>
                <w:bCs w:val="0"/>
                <w:color w:val="auto"/>
                <w:sz w:val="21"/>
                <w:szCs w:val="21"/>
                <w:highlight w:val="none"/>
                <w:vertAlign w:val="baseline"/>
                <w:lang w:val="en-US" w:eastAsia="zh-CN"/>
              </w:rPr>
              <w:t>5</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7</w:t>
            </w:r>
          </w:p>
        </w:tc>
        <w:tc>
          <w:tcPr>
            <w:tcW w:w="2223"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成果应用</w:t>
            </w:r>
          </w:p>
        </w:tc>
        <w:tc>
          <w:tcPr>
            <w:tcW w:w="400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特高压直流智能运检与安全运行工程研究中心实体化运作方案</w:t>
            </w:r>
          </w:p>
        </w:tc>
        <w:tc>
          <w:tcPr>
            <w:tcW w:w="1482"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w:t>
            </w:r>
            <w:r>
              <w:rPr>
                <w:rFonts w:hint="eastAsia" w:ascii="宋体" w:hAnsi="宋体" w:cs="宋体"/>
                <w:b w:val="0"/>
                <w:bCs w:val="0"/>
                <w:color w:val="auto"/>
                <w:sz w:val="21"/>
                <w:szCs w:val="21"/>
                <w:highlight w:val="none"/>
                <w:vertAlign w:val="baseline"/>
                <w:lang w:val="en-US" w:eastAsia="zh-CN"/>
              </w:rPr>
              <w:t>7</w:t>
            </w:r>
            <w:r>
              <w:rPr>
                <w:rFonts w:hint="eastAsia" w:ascii="宋体" w:hAnsi="宋体" w:eastAsia="宋体" w:cs="宋体"/>
                <w:b w:val="0"/>
                <w:bCs w:val="0"/>
                <w:color w:val="auto"/>
                <w:sz w:val="21"/>
                <w:szCs w:val="21"/>
                <w:highlight w:val="none"/>
                <w:vertAlign w:val="baseline"/>
                <w:lang w:val="en-US" w:eastAsia="zh-CN"/>
              </w:rPr>
              <w:t>年</w:t>
            </w:r>
            <w:r>
              <w:rPr>
                <w:rFonts w:hint="eastAsia" w:ascii="宋体" w:hAnsi="宋体" w:cs="宋体"/>
                <w:b w:val="0"/>
                <w:bCs w:val="0"/>
                <w:color w:val="auto"/>
                <w:sz w:val="21"/>
                <w:szCs w:val="21"/>
                <w:highlight w:val="none"/>
                <w:vertAlign w:val="baseline"/>
                <w:lang w:val="en-US" w:eastAsia="zh-CN"/>
              </w:rPr>
              <w:t>6</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8</w:t>
            </w:r>
          </w:p>
        </w:tc>
        <w:tc>
          <w:tcPr>
            <w:tcW w:w="2223"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项目验收</w:t>
            </w:r>
          </w:p>
        </w:tc>
        <w:tc>
          <w:tcPr>
            <w:tcW w:w="400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完成项目研究报告，组织项目验收，形成验收报告。</w:t>
            </w:r>
          </w:p>
        </w:tc>
        <w:tc>
          <w:tcPr>
            <w:tcW w:w="1482"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w:t>
            </w:r>
            <w:r>
              <w:rPr>
                <w:rFonts w:hint="eastAsia" w:ascii="宋体" w:hAnsi="宋体" w:cs="宋体"/>
                <w:b w:val="0"/>
                <w:bCs w:val="0"/>
                <w:color w:val="auto"/>
                <w:sz w:val="21"/>
                <w:szCs w:val="21"/>
                <w:highlight w:val="none"/>
                <w:vertAlign w:val="baseline"/>
                <w:lang w:val="en-US" w:eastAsia="zh-CN"/>
              </w:rPr>
              <w:t>7</w:t>
            </w:r>
            <w:r>
              <w:rPr>
                <w:rFonts w:hint="eastAsia" w:ascii="宋体" w:hAnsi="宋体" w:eastAsia="宋体" w:cs="宋体"/>
                <w:b w:val="0"/>
                <w:bCs w:val="0"/>
                <w:color w:val="auto"/>
                <w:sz w:val="21"/>
                <w:szCs w:val="21"/>
                <w:highlight w:val="none"/>
                <w:vertAlign w:val="baseline"/>
                <w:lang w:val="en-US" w:eastAsia="zh-CN"/>
              </w:rPr>
              <w:t>年</w:t>
            </w:r>
            <w:r>
              <w:rPr>
                <w:rFonts w:hint="eastAsia" w:ascii="宋体" w:hAnsi="宋体" w:cs="宋体"/>
                <w:b w:val="0"/>
                <w:bCs w:val="0"/>
                <w:color w:val="auto"/>
                <w:sz w:val="21"/>
                <w:szCs w:val="21"/>
                <w:highlight w:val="none"/>
                <w:vertAlign w:val="baseline"/>
                <w:lang w:val="en-US" w:eastAsia="zh-CN"/>
              </w:rPr>
              <w:t>9</w:t>
            </w:r>
            <w:r>
              <w:rPr>
                <w:rFonts w:hint="eastAsia" w:ascii="宋体" w:hAnsi="宋体" w:eastAsia="宋体" w:cs="宋体"/>
                <w:b w:val="0"/>
                <w:bCs w:val="0"/>
                <w:color w:val="auto"/>
                <w:sz w:val="21"/>
                <w:szCs w:val="21"/>
                <w:highlight w:val="none"/>
                <w:vertAlign w:val="baseli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Calibri" w:hAnsi="Calibri" w:eastAsia="宋体" w:cs="Times New Roman"/>
                <w:color w:val="auto"/>
                <w:kern w:val="2"/>
                <w:sz w:val="21"/>
                <w:szCs w:val="24"/>
                <w:highlight w:val="none"/>
                <w:lang w:val="en-US" w:eastAsia="zh-CN" w:bidi="ar-SA"/>
              </w:rPr>
            </w:pPr>
            <w:r>
              <w:rPr>
                <w:rFonts w:hint="eastAsia" w:ascii="宋体" w:hAnsi="宋体" w:cs="宋体"/>
                <w:color w:val="auto"/>
                <w:sz w:val="21"/>
                <w:szCs w:val="21"/>
                <w:highlight w:val="none"/>
                <w:vertAlign w:val="baseline"/>
                <w:lang w:val="en-US" w:eastAsia="zh-CN"/>
              </w:rPr>
              <w:t>9</w:t>
            </w:r>
          </w:p>
        </w:tc>
        <w:tc>
          <w:tcPr>
            <w:tcW w:w="2223"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项目结算</w:t>
            </w:r>
          </w:p>
        </w:tc>
        <w:tc>
          <w:tcPr>
            <w:tcW w:w="400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完成线下调研工作并形成调研报告1份及其他相关结算材料</w:t>
            </w:r>
          </w:p>
        </w:tc>
        <w:tc>
          <w:tcPr>
            <w:tcW w:w="1482"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202</w:t>
            </w:r>
            <w:r>
              <w:rPr>
                <w:rFonts w:hint="eastAsia" w:ascii="宋体" w:hAnsi="宋体" w:cs="宋体"/>
                <w:b w:val="0"/>
                <w:bCs w:val="0"/>
                <w:color w:val="auto"/>
                <w:sz w:val="21"/>
                <w:szCs w:val="21"/>
                <w:highlight w:val="none"/>
                <w:vertAlign w:val="baseline"/>
                <w:lang w:val="en-US" w:eastAsia="zh-CN"/>
              </w:rPr>
              <w:t>7</w:t>
            </w:r>
            <w:r>
              <w:rPr>
                <w:rFonts w:hint="eastAsia" w:ascii="宋体" w:hAnsi="宋体" w:eastAsia="宋体" w:cs="宋体"/>
                <w:b w:val="0"/>
                <w:bCs w:val="0"/>
                <w:color w:val="auto"/>
                <w:sz w:val="21"/>
                <w:szCs w:val="21"/>
                <w:highlight w:val="none"/>
                <w:vertAlign w:val="baseline"/>
                <w:lang w:val="en-US" w:eastAsia="zh-CN"/>
              </w:rPr>
              <w:t>年1</w:t>
            </w:r>
            <w:r>
              <w:rPr>
                <w:rFonts w:hint="eastAsia" w:ascii="宋体" w:hAnsi="宋体" w:cs="宋体"/>
                <w:b w:val="0"/>
                <w:bCs w:val="0"/>
                <w:color w:val="auto"/>
                <w:sz w:val="21"/>
                <w:szCs w:val="21"/>
                <w:highlight w:val="none"/>
                <w:vertAlign w:val="baseline"/>
                <w:lang w:val="en-US" w:eastAsia="zh-CN"/>
              </w:rPr>
              <w:t>0</w:t>
            </w:r>
            <w:r>
              <w:rPr>
                <w:rFonts w:hint="eastAsia" w:ascii="宋体" w:hAnsi="宋体" w:eastAsia="宋体" w:cs="宋体"/>
                <w:b w:val="0"/>
                <w:bCs w:val="0"/>
                <w:color w:val="auto"/>
                <w:sz w:val="21"/>
                <w:szCs w:val="21"/>
                <w:highlight w:val="none"/>
                <w:vertAlign w:val="baseline"/>
                <w:lang w:val="en-US" w:eastAsia="zh-CN"/>
              </w:rPr>
              <w:t>月</w:t>
            </w:r>
          </w:p>
        </w:tc>
      </w:tr>
    </w:tbl>
    <w:p>
      <w:pPr>
        <w:snapToGrid w:val="0"/>
        <w:spacing w:before="120"/>
        <w:ind w:left="0" w:leftChars="0" w:firstLine="0" w:firstLineChars="0"/>
        <w:outlineLvl w:val="0"/>
        <w:rPr>
          <w:rFonts w:hint="eastAsia" w:ascii="宋体" w:hAnsi="宋体" w:eastAsia="宋体" w:cs="宋体"/>
          <w:b/>
          <w:bCs/>
          <w:color w:val="auto"/>
          <w:sz w:val="30"/>
          <w:szCs w:val="30"/>
          <w:highlight w:val="none"/>
          <w:lang w:val="en-US" w:eastAsia="zh-CN"/>
        </w:rPr>
      </w:pPr>
      <w:bookmarkStart w:id="51" w:name="_Toc6045"/>
      <w:bookmarkStart w:id="52" w:name="_Toc12220"/>
      <w:bookmarkStart w:id="53" w:name="_Toc30149"/>
      <w:r>
        <w:rPr>
          <w:rFonts w:hint="eastAsia" w:ascii="宋体" w:hAnsi="宋体" w:eastAsia="宋体" w:cs="宋体"/>
          <w:b/>
          <w:bCs/>
          <w:color w:val="auto"/>
          <w:sz w:val="30"/>
          <w:szCs w:val="30"/>
          <w:highlight w:val="none"/>
          <w:lang w:val="en-US" w:eastAsia="zh-CN"/>
        </w:rPr>
        <w:t>7.</w:t>
      </w:r>
      <w:r>
        <w:rPr>
          <w:rFonts w:hint="eastAsia" w:ascii="宋体" w:hAnsi="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lang w:val="en-US" w:eastAsia="zh-CN"/>
        </w:rPr>
        <w:t>项目验收</w:t>
      </w:r>
      <w:bookmarkEnd w:id="51"/>
      <w:bookmarkEnd w:id="52"/>
      <w:bookmarkEnd w:id="53"/>
    </w:p>
    <w:p>
      <w:pPr>
        <w:ind w:firstLine="0" w:firstLineChars="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1项目验收。投标方在自评具备验收条件后提出验收申请，招标方在收到验收申请后组织专家对所有项目材料和相关成果进行评审，开展项目验收。验收按照招标方</w:t>
      </w:r>
      <w:r>
        <w:rPr>
          <w:rFonts w:hint="eastAsia" w:ascii="宋体" w:hAnsi="宋体" w:cs="宋体"/>
          <w:color w:val="auto"/>
          <w:sz w:val="24"/>
          <w:szCs w:val="24"/>
          <w:highlight w:val="none"/>
          <w:lang w:val="en-US" w:eastAsia="zh-CN"/>
        </w:rPr>
        <w:t>管理创新项目</w:t>
      </w:r>
      <w:r>
        <w:rPr>
          <w:rFonts w:hint="eastAsia" w:ascii="宋体" w:hAnsi="宋体" w:eastAsia="宋体" w:cs="宋体"/>
          <w:color w:val="auto"/>
          <w:sz w:val="24"/>
          <w:szCs w:val="24"/>
          <w:highlight w:val="none"/>
          <w:lang w:val="en-US" w:eastAsia="zh-CN"/>
        </w:rPr>
        <w:t>具体</w:t>
      </w:r>
      <w:r>
        <w:rPr>
          <w:rFonts w:hint="eastAsia" w:ascii="宋体" w:hAnsi="宋体" w:cs="宋体"/>
          <w:color w:val="auto"/>
          <w:sz w:val="24"/>
          <w:szCs w:val="24"/>
          <w:highlight w:val="none"/>
          <w:lang w:val="en-US" w:eastAsia="zh-CN"/>
        </w:rPr>
        <w:t>管理要求</w:t>
      </w:r>
      <w:r>
        <w:rPr>
          <w:rFonts w:hint="eastAsia" w:ascii="宋体" w:hAnsi="宋体" w:eastAsia="宋体" w:cs="宋体"/>
          <w:color w:val="auto"/>
          <w:sz w:val="24"/>
          <w:szCs w:val="24"/>
          <w:highlight w:val="none"/>
          <w:lang w:val="en-US" w:eastAsia="zh-CN"/>
        </w:rPr>
        <w:t>实施。项目验收后，验收人员将根据实际情况提出验收报告，如若有需要整改的内容，投标方在验收后应主动配合招标方严格按照整改意见进行整改完善。</w:t>
      </w:r>
    </w:p>
    <w:bookmarkEnd w:id="22"/>
    <w:bookmarkEnd w:id="23"/>
    <w:bookmarkEnd w:id="24"/>
    <w:bookmarkEnd w:id="25"/>
    <w:bookmarkEnd w:id="26"/>
    <w:p>
      <w:pPr>
        <w:snapToGrid w:val="0"/>
        <w:spacing w:before="120"/>
        <w:ind w:left="0" w:leftChars="0" w:firstLine="0" w:firstLineChars="0"/>
        <w:outlineLvl w:val="0"/>
        <w:rPr>
          <w:rFonts w:hint="eastAsia" w:asciiTheme="minorEastAsia" w:hAnsiTheme="minorEastAsia" w:eastAsiaTheme="minorEastAsia" w:cstheme="minorEastAsia"/>
          <w:b/>
          <w:bCs/>
          <w:color w:val="auto"/>
          <w:sz w:val="30"/>
          <w:szCs w:val="30"/>
          <w:highlight w:val="none"/>
          <w:lang w:val="en-US" w:eastAsia="zh-CN"/>
        </w:rPr>
      </w:pPr>
      <w:bookmarkStart w:id="54" w:name="_Toc22335"/>
      <w:bookmarkStart w:id="55" w:name="_Toc27290"/>
      <w:bookmarkStart w:id="56" w:name="_Toc6988"/>
      <w:r>
        <w:rPr>
          <w:rFonts w:hint="eastAsia" w:asciiTheme="minorEastAsia" w:hAnsiTheme="minorEastAsia" w:eastAsiaTheme="minorEastAsia" w:cstheme="minorEastAsia"/>
          <w:b/>
          <w:bCs/>
          <w:color w:val="auto"/>
          <w:sz w:val="30"/>
          <w:szCs w:val="30"/>
          <w:highlight w:val="none"/>
          <w:lang w:val="en-US" w:eastAsia="zh-CN"/>
        </w:rPr>
        <w:t>8. 其他</w:t>
      </w:r>
      <w:bookmarkEnd w:id="54"/>
      <w:bookmarkEnd w:id="55"/>
      <w:bookmarkEnd w:id="56"/>
    </w:p>
    <w:p>
      <w:pPr>
        <w:ind w:left="7" w:leftChars="3" w:firstLine="480"/>
        <w:jc w:val="both"/>
        <w:rPr>
          <w:color w:val="auto"/>
          <w:highlight w:val="none"/>
        </w:rPr>
      </w:pPr>
      <w:r>
        <w:rPr>
          <w:rFonts w:hint="eastAsia"/>
          <w:color w:val="auto"/>
          <w:highlight w:val="none"/>
        </w:rPr>
        <w:t>（1）招标完成后，双方保证对在履行此项目合同过程中所获悉的属于对方的商业秘密、技术秘密和其他经营管理信息、技术信息（包含：双方签订的合同及协议、相关的技术研究报告、相关的研究数据</w:t>
      </w:r>
      <w:r>
        <w:rPr>
          <w:rFonts w:hint="eastAsia"/>
          <w:color w:val="auto"/>
          <w:highlight w:val="none"/>
          <w:lang w:val="en-US" w:eastAsia="zh-CN"/>
        </w:rPr>
        <w:t>及</w:t>
      </w:r>
      <w:r>
        <w:rPr>
          <w:rFonts w:hint="eastAsia"/>
          <w:color w:val="auto"/>
          <w:highlight w:val="none"/>
        </w:rPr>
        <w:t>研究方法等）等内容予以保密。未经一方同意，另一方不得向任何第三方泄露。无论此项目合同是否生效、被撤销、变更、解除或终止，双方仍应执行本保密条款。如有需要，双方另行签订保密协议。</w:t>
      </w:r>
    </w:p>
    <w:p>
      <w:pPr>
        <w:ind w:left="7" w:leftChars="3" w:firstLine="480"/>
        <w:jc w:val="both"/>
        <w:rPr>
          <w:color w:val="auto"/>
          <w:highlight w:val="none"/>
        </w:rPr>
      </w:pPr>
      <w:r>
        <w:rPr>
          <w:rFonts w:hint="eastAsia"/>
          <w:color w:val="auto"/>
          <w:highlight w:val="none"/>
        </w:rPr>
        <w:t>（2）在合同签订后3个月内，技术服务提供方应向所在地区的技术合同登记机构提出合同认定登记申请，并取得登记证明。</w:t>
      </w:r>
    </w:p>
    <w:p>
      <w:pPr>
        <w:ind w:left="7" w:leftChars="3" w:firstLine="480"/>
        <w:jc w:val="both"/>
        <w:rPr>
          <w:color w:val="auto"/>
          <w:highlight w:val="none"/>
        </w:rPr>
      </w:pPr>
      <w:r>
        <w:rPr>
          <w:rFonts w:hint="eastAsia"/>
          <w:color w:val="auto"/>
          <w:highlight w:val="none"/>
        </w:rPr>
        <w:t>（3）本技术规范书中的未尽事宜，请与中国南方电网</w:t>
      </w:r>
      <w:r>
        <w:rPr>
          <w:rFonts w:hint="eastAsia" w:ascii="仿宋_GB2312"/>
          <w:color w:val="auto"/>
          <w:highlight w:val="none"/>
        </w:rPr>
        <w:t>超高压输电公司</w:t>
      </w:r>
      <w:r>
        <w:rPr>
          <w:rFonts w:hint="eastAsia" w:ascii="仿宋_GB2312"/>
          <w:color w:val="auto"/>
          <w:highlight w:val="none"/>
          <w:lang w:val="en-US" w:eastAsia="zh-CN"/>
        </w:rPr>
        <w:t>昆明局</w:t>
      </w:r>
      <w:r>
        <w:rPr>
          <w:rFonts w:hint="eastAsia"/>
          <w:color w:val="auto"/>
          <w:highlight w:val="none"/>
        </w:rPr>
        <w:t>联系。</w:t>
      </w:r>
    </w:p>
    <w:sectPr>
      <w:footerReference r:id="rId11"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95FFC16-9344-4A51-9701-8FBE0EF092E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2" w:fontKey="{47D36004-3ED8-4A61-9FBB-67227D35FA35}"/>
  </w:font>
  <w:font w:name="仿宋_GB2312">
    <w:panose1 w:val="02010609030101010101"/>
    <w:charset w:val="86"/>
    <w:family w:val="modern"/>
    <w:pitch w:val="default"/>
    <w:sig w:usb0="00000001" w:usb1="080E0000" w:usb2="00000000" w:usb3="00000000" w:csb0="00040000" w:csb1="00000000"/>
    <w:embedRegular r:id="rId3" w:fontKey="{5C6577B7-7857-4E8E-BBF1-C5D99B85717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4" w:fontKey="{DFAD0ECD-E047-478A-8EB0-1DFE1AB442B9}"/>
  </w:font>
  <w:font w:name="方正楷体_GB2312">
    <w:panose1 w:val="02000000000000000000"/>
    <w:charset w:val="86"/>
    <w:family w:val="auto"/>
    <w:pitch w:val="default"/>
    <w:sig w:usb0="A00002BF" w:usb1="184F6CFA" w:usb2="00000012" w:usb3="00000000" w:csb0="00040001" w:csb1="00000000"/>
    <w:embedRegular r:id="rId5" w:fontKey="{19969001-3E7E-4BAB-B9BC-955A949D5764}"/>
  </w:font>
  <w:font w:name="楷体_GB2312">
    <w:panose1 w:val="02010609030101010101"/>
    <w:charset w:val="86"/>
    <w:family w:val="auto"/>
    <w:pitch w:val="default"/>
    <w:sig w:usb0="00000001" w:usb1="080E0000" w:usb2="00000000" w:usb3="00000000" w:csb0="00040000" w:csb1="00000000"/>
    <w:embedRegular r:id="rId6" w:fontKey="{7529B0A4-31F7-4DEA-BB2F-5EF1154CB2CA}"/>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pPr>
    <w:r>
      <w:fldChar w:fldCharType="begin"/>
    </w:r>
    <w:r>
      <w:instrText xml:space="preserve"> PAGE   \* MERGEFORMAT </w:instrText>
    </w:r>
    <w:r>
      <w:fldChar w:fldCharType="separate"/>
    </w:r>
    <w:r>
      <w:t>9</w:t>
    </w:r>
    <w:r>
      <w:fldChar w:fldCharType="end"/>
    </w:r>
  </w:p>
  <w:p>
    <w:pPr>
      <w:pStyle w:val="1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M1Y2QzYmQ2YzBmZWZiZjc3YmJmMGI0NThhMTQ5M2YifQ=="/>
  </w:docVars>
  <w:rsids>
    <w:rsidRoot w:val="00172A27"/>
    <w:rsid w:val="00004157"/>
    <w:rsid w:val="000052EC"/>
    <w:rsid w:val="00022B12"/>
    <w:rsid w:val="00023867"/>
    <w:rsid w:val="000258D4"/>
    <w:rsid w:val="00026B6B"/>
    <w:rsid w:val="00030479"/>
    <w:rsid w:val="00032717"/>
    <w:rsid w:val="00033440"/>
    <w:rsid w:val="00033F7F"/>
    <w:rsid w:val="000345F8"/>
    <w:rsid w:val="00035681"/>
    <w:rsid w:val="00035D33"/>
    <w:rsid w:val="00044CDB"/>
    <w:rsid w:val="00050BDA"/>
    <w:rsid w:val="00054AA8"/>
    <w:rsid w:val="00055E63"/>
    <w:rsid w:val="00056767"/>
    <w:rsid w:val="00060CF5"/>
    <w:rsid w:val="000661E0"/>
    <w:rsid w:val="00066DDF"/>
    <w:rsid w:val="00070856"/>
    <w:rsid w:val="00072157"/>
    <w:rsid w:val="00075A4B"/>
    <w:rsid w:val="000774D0"/>
    <w:rsid w:val="00080112"/>
    <w:rsid w:val="000802B5"/>
    <w:rsid w:val="00085586"/>
    <w:rsid w:val="000874A2"/>
    <w:rsid w:val="00093715"/>
    <w:rsid w:val="00095CB6"/>
    <w:rsid w:val="00096F1E"/>
    <w:rsid w:val="000A263D"/>
    <w:rsid w:val="000A7149"/>
    <w:rsid w:val="000A722B"/>
    <w:rsid w:val="000A7A51"/>
    <w:rsid w:val="000B3BEC"/>
    <w:rsid w:val="000B435C"/>
    <w:rsid w:val="000B4BE8"/>
    <w:rsid w:val="000B5F9E"/>
    <w:rsid w:val="000C1987"/>
    <w:rsid w:val="000D090E"/>
    <w:rsid w:val="000D1818"/>
    <w:rsid w:val="000D5CC4"/>
    <w:rsid w:val="000E0616"/>
    <w:rsid w:val="000E0E62"/>
    <w:rsid w:val="000E3D9D"/>
    <w:rsid w:val="000E5032"/>
    <w:rsid w:val="000E5C42"/>
    <w:rsid w:val="000F0767"/>
    <w:rsid w:val="000F662E"/>
    <w:rsid w:val="000F77C7"/>
    <w:rsid w:val="001045ED"/>
    <w:rsid w:val="00104CFA"/>
    <w:rsid w:val="00105720"/>
    <w:rsid w:val="00111650"/>
    <w:rsid w:val="00114757"/>
    <w:rsid w:val="001148D6"/>
    <w:rsid w:val="00122043"/>
    <w:rsid w:val="00122E5E"/>
    <w:rsid w:val="00122E78"/>
    <w:rsid w:val="00123062"/>
    <w:rsid w:val="00124416"/>
    <w:rsid w:val="00124504"/>
    <w:rsid w:val="00135D83"/>
    <w:rsid w:val="001458B0"/>
    <w:rsid w:val="00150A8E"/>
    <w:rsid w:val="00151D98"/>
    <w:rsid w:val="0016086E"/>
    <w:rsid w:val="001626EF"/>
    <w:rsid w:val="00166883"/>
    <w:rsid w:val="001668FD"/>
    <w:rsid w:val="00171826"/>
    <w:rsid w:val="00172A27"/>
    <w:rsid w:val="00173749"/>
    <w:rsid w:val="00176332"/>
    <w:rsid w:val="00181CD8"/>
    <w:rsid w:val="001825A1"/>
    <w:rsid w:val="00185412"/>
    <w:rsid w:val="0018662B"/>
    <w:rsid w:val="00192CAC"/>
    <w:rsid w:val="001945DC"/>
    <w:rsid w:val="00195444"/>
    <w:rsid w:val="00196A61"/>
    <w:rsid w:val="00197251"/>
    <w:rsid w:val="001A2D68"/>
    <w:rsid w:val="001A79DB"/>
    <w:rsid w:val="001B531B"/>
    <w:rsid w:val="001C4316"/>
    <w:rsid w:val="001C52D8"/>
    <w:rsid w:val="001C5D9F"/>
    <w:rsid w:val="001D1368"/>
    <w:rsid w:val="001D1433"/>
    <w:rsid w:val="001D5C80"/>
    <w:rsid w:val="001D73FA"/>
    <w:rsid w:val="001D7C43"/>
    <w:rsid w:val="001E16E7"/>
    <w:rsid w:val="001E240F"/>
    <w:rsid w:val="001E5350"/>
    <w:rsid w:val="001E56E3"/>
    <w:rsid w:val="001F1B3A"/>
    <w:rsid w:val="001F2E26"/>
    <w:rsid w:val="001F5E12"/>
    <w:rsid w:val="00200344"/>
    <w:rsid w:val="0020185F"/>
    <w:rsid w:val="00204DDE"/>
    <w:rsid w:val="00206CA6"/>
    <w:rsid w:val="0021088A"/>
    <w:rsid w:val="00210A93"/>
    <w:rsid w:val="00211F83"/>
    <w:rsid w:val="002129DB"/>
    <w:rsid w:val="002149DB"/>
    <w:rsid w:val="00215454"/>
    <w:rsid w:val="00215C24"/>
    <w:rsid w:val="00215E70"/>
    <w:rsid w:val="002168A6"/>
    <w:rsid w:val="002170DB"/>
    <w:rsid w:val="00221DD8"/>
    <w:rsid w:val="00223528"/>
    <w:rsid w:val="002267AA"/>
    <w:rsid w:val="00227267"/>
    <w:rsid w:val="002272F7"/>
    <w:rsid w:val="00232F10"/>
    <w:rsid w:val="002447E5"/>
    <w:rsid w:val="00244A2F"/>
    <w:rsid w:val="00244F7C"/>
    <w:rsid w:val="00254812"/>
    <w:rsid w:val="0025554B"/>
    <w:rsid w:val="00256DFA"/>
    <w:rsid w:val="002578A1"/>
    <w:rsid w:val="00263624"/>
    <w:rsid w:val="0026366A"/>
    <w:rsid w:val="00273D45"/>
    <w:rsid w:val="0027655A"/>
    <w:rsid w:val="00277AB6"/>
    <w:rsid w:val="00281CC3"/>
    <w:rsid w:val="00282E27"/>
    <w:rsid w:val="00286DFD"/>
    <w:rsid w:val="00293207"/>
    <w:rsid w:val="00296ABB"/>
    <w:rsid w:val="00297FC6"/>
    <w:rsid w:val="002A2204"/>
    <w:rsid w:val="002A3CE3"/>
    <w:rsid w:val="002A4B08"/>
    <w:rsid w:val="002A78B0"/>
    <w:rsid w:val="002B11FE"/>
    <w:rsid w:val="002B3FC8"/>
    <w:rsid w:val="002B6605"/>
    <w:rsid w:val="002C3F8E"/>
    <w:rsid w:val="002C416A"/>
    <w:rsid w:val="002C6F94"/>
    <w:rsid w:val="002E0454"/>
    <w:rsid w:val="002F5F90"/>
    <w:rsid w:val="00303976"/>
    <w:rsid w:val="00304504"/>
    <w:rsid w:val="003056CF"/>
    <w:rsid w:val="00307C06"/>
    <w:rsid w:val="00323D15"/>
    <w:rsid w:val="00326E92"/>
    <w:rsid w:val="00331942"/>
    <w:rsid w:val="0033339A"/>
    <w:rsid w:val="003374FB"/>
    <w:rsid w:val="00337E95"/>
    <w:rsid w:val="0034103C"/>
    <w:rsid w:val="00347D0A"/>
    <w:rsid w:val="00350CD7"/>
    <w:rsid w:val="0035398A"/>
    <w:rsid w:val="003623C0"/>
    <w:rsid w:val="00370CBE"/>
    <w:rsid w:val="00374D73"/>
    <w:rsid w:val="00380000"/>
    <w:rsid w:val="003812D0"/>
    <w:rsid w:val="0038159C"/>
    <w:rsid w:val="003815B1"/>
    <w:rsid w:val="00382EE1"/>
    <w:rsid w:val="00383D96"/>
    <w:rsid w:val="00384DD9"/>
    <w:rsid w:val="00385F0D"/>
    <w:rsid w:val="00387572"/>
    <w:rsid w:val="00390743"/>
    <w:rsid w:val="003B3259"/>
    <w:rsid w:val="003B3A12"/>
    <w:rsid w:val="003B71DA"/>
    <w:rsid w:val="003C474C"/>
    <w:rsid w:val="003D2D90"/>
    <w:rsid w:val="003D4BD6"/>
    <w:rsid w:val="003D518E"/>
    <w:rsid w:val="003D5A88"/>
    <w:rsid w:val="003E1652"/>
    <w:rsid w:val="003E57A3"/>
    <w:rsid w:val="003E7211"/>
    <w:rsid w:val="003E7B12"/>
    <w:rsid w:val="003F0F92"/>
    <w:rsid w:val="003F3D66"/>
    <w:rsid w:val="003F6647"/>
    <w:rsid w:val="003F7249"/>
    <w:rsid w:val="0041096A"/>
    <w:rsid w:val="00414022"/>
    <w:rsid w:val="004141AF"/>
    <w:rsid w:val="00417138"/>
    <w:rsid w:val="00417621"/>
    <w:rsid w:val="00420404"/>
    <w:rsid w:val="00424010"/>
    <w:rsid w:val="004314B5"/>
    <w:rsid w:val="004318BA"/>
    <w:rsid w:val="004319DD"/>
    <w:rsid w:val="00431A70"/>
    <w:rsid w:val="00435F97"/>
    <w:rsid w:val="0043697B"/>
    <w:rsid w:val="0044008D"/>
    <w:rsid w:val="004428FF"/>
    <w:rsid w:val="0044565F"/>
    <w:rsid w:val="0044607C"/>
    <w:rsid w:val="004460FA"/>
    <w:rsid w:val="0045082F"/>
    <w:rsid w:val="00454990"/>
    <w:rsid w:val="0046254A"/>
    <w:rsid w:val="00464CA7"/>
    <w:rsid w:val="004656FF"/>
    <w:rsid w:val="004715E2"/>
    <w:rsid w:val="00481534"/>
    <w:rsid w:val="004824FD"/>
    <w:rsid w:val="00483253"/>
    <w:rsid w:val="00486E6D"/>
    <w:rsid w:val="00487EA7"/>
    <w:rsid w:val="00490469"/>
    <w:rsid w:val="00496968"/>
    <w:rsid w:val="004977C0"/>
    <w:rsid w:val="004A3092"/>
    <w:rsid w:val="004A5258"/>
    <w:rsid w:val="004B422D"/>
    <w:rsid w:val="004B73DC"/>
    <w:rsid w:val="004B7665"/>
    <w:rsid w:val="004C0AD6"/>
    <w:rsid w:val="004C2C32"/>
    <w:rsid w:val="004C679B"/>
    <w:rsid w:val="004D1EA0"/>
    <w:rsid w:val="004D3D36"/>
    <w:rsid w:val="004D40D4"/>
    <w:rsid w:val="004D4E92"/>
    <w:rsid w:val="004D5806"/>
    <w:rsid w:val="004D5C27"/>
    <w:rsid w:val="004D632E"/>
    <w:rsid w:val="004E0AD2"/>
    <w:rsid w:val="004E1EF8"/>
    <w:rsid w:val="004E6594"/>
    <w:rsid w:val="004E7B53"/>
    <w:rsid w:val="004F5CCD"/>
    <w:rsid w:val="00503AB9"/>
    <w:rsid w:val="005047AD"/>
    <w:rsid w:val="005067D0"/>
    <w:rsid w:val="00510D9A"/>
    <w:rsid w:val="00515454"/>
    <w:rsid w:val="005200C1"/>
    <w:rsid w:val="0052107D"/>
    <w:rsid w:val="00521DD7"/>
    <w:rsid w:val="00525600"/>
    <w:rsid w:val="00532496"/>
    <w:rsid w:val="00535C2C"/>
    <w:rsid w:val="0053627F"/>
    <w:rsid w:val="00542F5A"/>
    <w:rsid w:val="00543162"/>
    <w:rsid w:val="0054505D"/>
    <w:rsid w:val="00546480"/>
    <w:rsid w:val="0055140F"/>
    <w:rsid w:val="005546AC"/>
    <w:rsid w:val="00555060"/>
    <w:rsid w:val="005550E0"/>
    <w:rsid w:val="00570902"/>
    <w:rsid w:val="00570A2E"/>
    <w:rsid w:val="00575B70"/>
    <w:rsid w:val="00576175"/>
    <w:rsid w:val="005769B4"/>
    <w:rsid w:val="005770D1"/>
    <w:rsid w:val="00577103"/>
    <w:rsid w:val="005808E9"/>
    <w:rsid w:val="00581529"/>
    <w:rsid w:val="0058651D"/>
    <w:rsid w:val="00594E70"/>
    <w:rsid w:val="005950C1"/>
    <w:rsid w:val="00596B0B"/>
    <w:rsid w:val="005A22F4"/>
    <w:rsid w:val="005B5AAA"/>
    <w:rsid w:val="005B7391"/>
    <w:rsid w:val="005C0E9A"/>
    <w:rsid w:val="005C2CD7"/>
    <w:rsid w:val="005C42F8"/>
    <w:rsid w:val="005C45D2"/>
    <w:rsid w:val="005C4928"/>
    <w:rsid w:val="005C5FA1"/>
    <w:rsid w:val="005D1816"/>
    <w:rsid w:val="005D2595"/>
    <w:rsid w:val="005D3538"/>
    <w:rsid w:val="005D3C76"/>
    <w:rsid w:val="005D5795"/>
    <w:rsid w:val="005D7E95"/>
    <w:rsid w:val="005E1C0A"/>
    <w:rsid w:val="005E4AF6"/>
    <w:rsid w:val="005E5925"/>
    <w:rsid w:val="005F0D01"/>
    <w:rsid w:val="005F534E"/>
    <w:rsid w:val="005F5385"/>
    <w:rsid w:val="005F5E62"/>
    <w:rsid w:val="005F642B"/>
    <w:rsid w:val="005F6C08"/>
    <w:rsid w:val="005F77AC"/>
    <w:rsid w:val="00602D5B"/>
    <w:rsid w:val="006038F7"/>
    <w:rsid w:val="006120BA"/>
    <w:rsid w:val="00615391"/>
    <w:rsid w:val="00616713"/>
    <w:rsid w:val="00620489"/>
    <w:rsid w:val="00621C69"/>
    <w:rsid w:val="006316A0"/>
    <w:rsid w:val="006346A1"/>
    <w:rsid w:val="00634AA5"/>
    <w:rsid w:val="0063794D"/>
    <w:rsid w:val="00640D51"/>
    <w:rsid w:val="0064275B"/>
    <w:rsid w:val="006449DC"/>
    <w:rsid w:val="00651BDE"/>
    <w:rsid w:val="00654782"/>
    <w:rsid w:val="00654A65"/>
    <w:rsid w:val="0065541E"/>
    <w:rsid w:val="00660BAE"/>
    <w:rsid w:val="006620B3"/>
    <w:rsid w:val="00663C54"/>
    <w:rsid w:val="0066639C"/>
    <w:rsid w:val="00667765"/>
    <w:rsid w:val="0067357A"/>
    <w:rsid w:val="00674005"/>
    <w:rsid w:val="006750BA"/>
    <w:rsid w:val="0068050E"/>
    <w:rsid w:val="00684EB5"/>
    <w:rsid w:val="006856EE"/>
    <w:rsid w:val="00685814"/>
    <w:rsid w:val="00687E51"/>
    <w:rsid w:val="006961CC"/>
    <w:rsid w:val="0069730B"/>
    <w:rsid w:val="006A050D"/>
    <w:rsid w:val="006A0C95"/>
    <w:rsid w:val="006A278D"/>
    <w:rsid w:val="006A32DC"/>
    <w:rsid w:val="006A3E2E"/>
    <w:rsid w:val="006A413A"/>
    <w:rsid w:val="006A5185"/>
    <w:rsid w:val="006A5809"/>
    <w:rsid w:val="006B05CC"/>
    <w:rsid w:val="006B7B48"/>
    <w:rsid w:val="006C3FD9"/>
    <w:rsid w:val="006C431A"/>
    <w:rsid w:val="006C56FA"/>
    <w:rsid w:val="006D09AA"/>
    <w:rsid w:val="006D1FF4"/>
    <w:rsid w:val="006E0A4A"/>
    <w:rsid w:val="006F0594"/>
    <w:rsid w:val="006F1E19"/>
    <w:rsid w:val="006F53B4"/>
    <w:rsid w:val="0070068F"/>
    <w:rsid w:val="0070113F"/>
    <w:rsid w:val="00701EED"/>
    <w:rsid w:val="00702201"/>
    <w:rsid w:val="00705918"/>
    <w:rsid w:val="0071238D"/>
    <w:rsid w:val="0071280C"/>
    <w:rsid w:val="007131CA"/>
    <w:rsid w:val="0071489E"/>
    <w:rsid w:val="00714D09"/>
    <w:rsid w:val="007157EB"/>
    <w:rsid w:val="0071769C"/>
    <w:rsid w:val="007216F1"/>
    <w:rsid w:val="00725DF9"/>
    <w:rsid w:val="00733A12"/>
    <w:rsid w:val="007423F8"/>
    <w:rsid w:val="007429C8"/>
    <w:rsid w:val="00743895"/>
    <w:rsid w:val="00743C88"/>
    <w:rsid w:val="00744FA5"/>
    <w:rsid w:val="007475B0"/>
    <w:rsid w:val="00751F29"/>
    <w:rsid w:val="0075277E"/>
    <w:rsid w:val="00755E29"/>
    <w:rsid w:val="00761415"/>
    <w:rsid w:val="00761484"/>
    <w:rsid w:val="00764ABD"/>
    <w:rsid w:val="00770633"/>
    <w:rsid w:val="00780E3E"/>
    <w:rsid w:val="0078561A"/>
    <w:rsid w:val="00785A56"/>
    <w:rsid w:val="00785EFB"/>
    <w:rsid w:val="007876E8"/>
    <w:rsid w:val="00795F84"/>
    <w:rsid w:val="0079699C"/>
    <w:rsid w:val="007B1B67"/>
    <w:rsid w:val="007C3F03"/>
    <w:rsid w:val="007C7BBC"/>
    <w:rsid w:val="007D2307"/>
    <w:rsid w:val="007D649B"/>
    <w:rsid w:val="007E020C"/>
    <w:rsid w:val="007E5411"/>
    <w:rsid w:val="007F2444"/>
    <w:rsid w:val="007F4718"/>
    <w:rsid w:val="007F5D7D"/>
    <w:rsid w:val="007F6999"/>
    <w:rsid w:val="00807839"/>
    <w:rsid w:val="00807EFB"/>
    <w:rsid w:val="00812F36"/>
    <w:rsid w:val="00815AC7"/>
    <w:rsid w:val="008232D4"/>
    <w:rsid w:val="00823411"/>
    <w:rsid w:val="00843392"/>
    <w:rsid w:val="00843E35"/>
    <w:rsid w:val="008457D7"/>
    <w:rsid w:val="00846536"/>
    <w:rsid w:val="008550A0"/>
    <w:rsid w:val="0085631E"/>
    <w:rsid w:val="00856A73"/>
    <w:rsid w:val="00857C8F"/>
    <w:rsid w:val="008602E4"/>
    <w:rsid w:val="0086374E"/>
    <w:rsid w:val="00865B54"/>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09F"/>
    <w:rsid w:val="008A7CE7"/>
    <w:rsid w:val="008B346E"/>
    <w:rsid w:val="008B6786"/>
    <w:rsid w:val="008B6898"/>
    <w:rsid w:val="008B7C6C"/>
    <w:rsid w:val="008C020E"/>
    <w:rsid w:val="008C26D9"/>
    <w:rsid w:val="008C342F"/>
    <w:rsid w:val="008C36DF"/>
    <w:rsid w:val="008C4C0D"/>
    <w:rsid w:val="008C6AB6"/>
    <w:rsid w:val="008D0CA5"/>
    <w:rsid w:val="008E3EC8"/>
    <w:rsid w:val="008F286D"/>
    <w:rsid w:val="00901522"/>
    <w:rsid w:val="00903BAE"/>
    <w:rsid w:val="00911DA9"/>
    <w:rsid w:val="00915C4F"/>
    <w:rsid w:val="00925041"/>
    <w:rsid w:val="00925365"/>
    <w:rsid w:val="00926F01"/>
    <w:rsid w:val="00932851"/>
    <w:rsid w:val="00932F76"/>
    <w:rsid w:val="00933388"/>
    <w:rsid w:val="00934B2D"/>
    <w:rsid w:val="0093674E"/>
    <w:rsid w:val="00937E54"/>
    <w:rsid w:val="00940243"/>
    <w:rsid w:val="00952503"/>
    <w:rsid w:val="00955B4E"/>
    <w:rsid w:val="00957002"/>
    <w:rsid w:val="00957DB5"/>
    <w:rsid w:val="009628F5"/>
    <w:rsid w:val="0096706B"/>
    <w:rsid w:val="009673C9"/>
    <w:rsid w:val="00976C40"/>
    <w:rsid w:val="00981E3E"/>
    <w:rsid w:val="0098219E"/>
    <w:rsid w:val="0098410E"/>
    <w:rsid w:val="00984CEB"/>
    <w:rsid w:val="00986BB2"/>
    <w:rsid w:val="009A5E4A"/>
    <w:rsid w:val="009B00D0"/>
    <w:rsid w:val="009B081C"/>
    <w:rsid w:val="009B4C85"/>
    <w:rsid w:val="009B5983"/>
    <w:rsid w:val="009B61D9"/>
    <w:rsid w:val="009C0827"/>
    <w:rsid w:val="009C208A"/>
    <w:rsid w:val="009C24DF"/>
    <w:rsid w:val="009D5878"/>
    <w:rsid w:val="009D5B5D"/>
    <w:rsid w:val="009E0FE9"/>
    <w:rsid w:val="009E23F4"/>
    <w:rsid w:val="009E5BFB"/>
    <w:rsid w:val="009F04C9"/>
    <w:rsid w:val="009F2843"/>
    <w:rsid w:val="009F2B89"/>
    <w:rsid w:val="009F4C8D"/>
    <w:rsid w:val="009F7F98"/>
    <w:rsid w:val="00A02D44"/>
    <w:rsid w:val="00A0383B"/>
    <w:rsid w:val="00A05B2E"/>
    <w:rsid w:val="00A12B0B"/>
    <w:rsid w:val="00A1763A"/>
    <w:rsid w:val="00A21FC7"/>
    <w:rsid w:val="00A2280B"/>
    <w:rsid w:val="00A24519"/>
    <w:rsid w:val="00A257A0"/>
    <w:rsid w:val="00A25FE7"/>
    <w:rsid w:val="00A26611"/>
    <w:rsid w:val="00A27151"/>
    <w:rsid w:val="00A33E18"/>
    <w:rsid w:val="00A34954"/>
    <w:rsid w:val="00A349BC"/>
    <w:rsid w:val="00A37090"/>
    <w:rsid w:val="00A41D34"/>
    <w:rsid w:val="00A456D4"/>
    <w:rsid w:val="00A54CE4"/>
    <w:rsid w:val="00A6014B"/>
    <w:rsid w:val="00A642C5"/>
    <w:rsid w:val="00A67513"/>
    <w:rsid w:val="00A70DED"/>
    <w:rsid w:val="00A747F2"/>
    <w:rsid w:val="00A7742F"/>
    <w:rsid w:val="00A82E92"/>
    <w:rsid w:val="00A84A0D"/>
    <w:rsid w:val="00A86CD6"/>
    <w:rsid w:val="00A9572B"/>
    <w:rsid w:val="00A961C9"/>
    <w:rsid w:val="00A970DE"/>
    <w:rsid w:val="00AA3762"/>
    <w:rsid w:val="00AA3949"/>
    <w:rsid w:val="00AB0F97"/>
    <w:rsid w:val="00AB2957"/>
    <w:rsid w:val="00AB627F"/>
    <w:rsid w:val="00AC2186"/>
    <w:rsid w:val="00AC262B"/>
    <w:rsid w:val="00AC4AA8"/>
    <w:rsid w:val="00AD5385"/>
    <w:rsid w:val="00AE174D"/>
    <w:rsid w:val="00AE467A"/>
    <w:rsid w:val="00AF12DB"/>
    <w:rsid w:val="00AF4B61"/>
    <w:rsid w:val="00AF56F2"/>
    <w:rsid w:val="00AF6D39"/>
    <w:rsid w:val="00B000D2"/>
    <w:rsid w:val="00B014D1"/>
    <w:rsid w:val="00B0578B"/>
    <w:rsid w:val="00B06D17"/>
    <w:rsid w:val="00B11D1A"/>
    <w:rsid w:val="00B14EC9"/>
    <w:rsid w:val="00B1695C"/>
    <w:rsid w:val="00B20308"/>
    <w:rsid w:val="00B22C46"/>
    <w:rsid w:val="00B301F6"/>
    <w:rsid w:val="00B30A3B"/>
    <w:rsid w:val="00B332D9"/>
    <w:rsid w:val="00B35E5D"/>
    <w:rsid w:val="00B35FCE"/>
    <w:rsid w:val="00B36D6A"/>
    <w:rsid w:val="00B44C64"/>
    <w:rsid w:val="00B4557C"/>
    <w:rsid w:val="00B47E7F"/>
    <w:rsid w:val="00B5337C"/>
    <w:rsid w:val="00B53BC3"/>
    <w:rsid w:val="00B559B7"/>
    <w:rsid w:val="00B61A55"/>
    <w:rsid w:val="00B65B69"/>
    <w:rsid w:val="00B677F9"/>
    <w:rsid w:val="00B7364F"/>
    <w:rsid w:val="00B90E49"/>
    <w:rsid w:val="00B94945"/>
    <w:rsid w:val="00B97175"/>
    <w:rsid w:val="00BA0AF7"/>
    <w:rsid w:val="00BA37BB"/>
    <w:rsid w:val="00BA4322"/>
    <w:rsid w:val="00BA6AEB"/>
    <w:rsid w:val="00BB0D8D"/>
    <w:rsid w:val="00BB1534"/>
    <w:rsid w:val="00BB204F"/>
    <w:rsid w:val="00BB3130"/>
    <w:rsid w:val="00BC1DF0"/>
    <w:rsid w:val="00BC4AD6"/>
    <w:rsid w:val="00BD3953"/>
    <w:rsid w:val="00BD5A14"/>
    <w:rsid w:val="00BE7E48"/>
    <w:rsid w:val="00BF3D2F"/>
    <w:rsid w:val="00BF520A"/>
    <w:rsid w:val="00C03E2E"/>
    <w:rsid w:val="00C0619F"/>
    <w:rsid w:val="00C074A9"/>
    <w:rsid w:val="00C12CF2"/>
    <w:rsid w:val="00C16312"/>
    <w:rsid w:val="00C172C3"/>
    <w:rsid w:val="00C23D4E"/>
    <w:rsid w:val="00C25569"/>
    <w:rsid w:val="00C302FA"/>
    <w:rsid w:val="00C30946"/>
    <w:rsid w:val="00C334C5"/>
    <w:rsid w:val="00C34AE5"/>
    <w:rsid w:val="00C40698"/>
    <w:rsid w:val="00C451EA"/>
    <w:rsid w:val="00C501FC"/>
    <w:rsid w:val="00C517D1"/>
    <w:rsid w:val="00C53028"/>
    <w:rsid w:val="00C542F7"/>
    <w:rsid w:val="00C56DEE"/>
    <w:rsid w:val="00C600C7"/>
    <w:rsid w:val="00C62584"/>
    <w:rsid w:val="00C636B7"/>
    <w:rsid w:val="00C66A18"/>
    <w:rsid w:val="00C7216E"/>
    <w:rsid w:val="00C7720C"/>
    <w:rsid w:val="00C82B65"/>
    <w:rsid w:val="00C921CD"/>
    <w:rsid w:val="00C92244"/>
    <w:rsid w:val="00C93C34"/>
    <w:rsid w:val="00CA05D7"/>
    <w:rsid w:val="00CA1BA8"/>
    <w:rsid w:val="00CA2D1C"/>
    <w:rsid w:val="00CA30C0"/>
    <w:rsid w:val="00CB1AD1"/>
    <w:rsid w:val="00CB4083"/>
    <w:rsid w:val="00CB4D20"/>
    <w:rsid w:val="00CB7961"/>
    <w:rsid w:val="00CB7F0C"/>
    <w:rsid w:val="00CC555F"/>
    <w:rsid w:val="00CC6711"/>
    <w:rsid w:val="00CD09FF"/>
    <w:rsid w:val="00CD10BC"/>
    <w:rsid w:val="00CD16D2"/>
    <w:rsid w:val="00CD1731"/>
    <w:rsid w:val="00CD4F38"/>
    <w:rsid w:val="00CD75EB"/>
    <w:rsid w:val="00CD7BD4"/>
    <w:rsid w:val="00CD7DA4"/>
    <w:rsid w:val="00CE34F1"/>
    <w:rsid w:val="00CF178A"/>
    <w:rsid w:val="00CF46C9"/>
    <w:rsid w:val="00CF5B03"/>
    <w:rsid w:val="00CF66A6"/>
    <w:rsid w:val="00CF6719"/>
    <w:rsid w:val="00CF67F9"/>
    <w:rsid w:val="00D03130"/>
    <w:rsid w:val="00D03B03"/>
    <w:rsid w:val="00D06041"/>
    <w:rsid w:val="00D10E55"/>
    <w:rsid w:val="00D128FD"/>
    <w:rsid w:val="00D1296F"/>
    <w:rsid w:val="00D1332B"/>
    <w:rsid w:val="00D24E2D"/>
    <w:rsid w:val="00D27C22"/>
    <w:rsid w:val="00D30F60"/>
    <w:rsid w:val="00D42328"/>
    <w:rsid w:val="00D45D2D"/>
    <w:rsid w:val="00D46B74"/>
    <w:rsid w:val="00D548D9"/>
    <w:rsid w:val="00D56005"/>
    <w:rsid w:val="00D6301D"/>
    <w:rsid w:val="00D74DA6"/>
    <w:rsid w:val="00D770CD"/>
    <w:rsid w:val="00D86FBA"/>
    <w:rsid w:val="00D877D8"/>
    <w:rsid w:val="00D91EE0"/>
    <w:rsid w:val="00D92539"/>
    <w:rsid w:val="00D9290E"/>
    <w:rsid w:val="00D936B8"/>
    <w:rsid w:val="00DA06B5"/>
    <w:rsid w:val="00DA1B38"/>
    <w:rsid w:val="00DA4723"/>
    <w:rsid w:val="00DA4A72"/>
    <w:rsid w:val="00DB06E8"/>
    <w:rsid w:val="00DB5767"/>
    <w:rsid w:val="00DB6A2A"/>
    <w:rsid w:val="00DB781A"/>
    <w:rsid w:val="00DC3AA5"/>
    <w:rsid w:val="00DC4367"/>
    <w:rsid w:val="00DC4368"/>
    <w:rsid w:val="00DC53BB"/>
    <w:rsid w:val="00DD1B02"/>
    <w:rsid w:val="00DD2F52"/>
    <w:rsid w:val="00DD4126"/>
    <w:rsid w:val="00DD6EC5"/>
    <w:rsid w:val="00DE41CF"/>
    <w:rsid w:val="00DE5F12"/>
    <w:rsid w:val="00DF2187"/>
    <w:rsid w:val="00DF3C0C"/>
    <w:rsid w:val="00DF57F5"/>
    <w:rsid w:val="00DF58D7"/>
    <w:rsid w:val="00DF69C5"/>
    <w:rsid w:val="00DF74AD"/>
    <w:rsid w:val="00E033D5"/>
    <w:rsid w:val="00E046DA"/>
    <w:rsid w:val="00E06D93"/>
    <w:rsid w:val="00E13534"/>
    <w:rsid w:val="00E137EF"/>
    <w:rsid w:val="00E24F8F"/>
    <w:rsid w:val="00E24F93"/>
    <w:rsid w:val="00E327BA"/>
    <w:rsid w:val="00E32CC1"/>
    <w:rsid w:val="00E33FFB"/>
    <w:rsid w:val="00E37016"/>
    <w:rsid w:val="00E40756"/>
    <w:rsid w:val="00E4290E"/>
    <w:rsid w:val="00E47476"/>
    <w:rsid w:val="00E5152A"/>
    <w:rsid w:val="00E524C1"/>
    <w:rsid w:val="00E65502"/>
    <w:rsid w:val="00E67E90"/>
    <w:rsid w:val="00E74B8E"/>
    <w:rsid w:val="00E7510A"/>
    <w:rsid w:val="00E80769"/>
    <w:rsid w:val="00E8103A"/>
    <w:rsid w:val="00E850F8"/>
    <w:rsid w:val="00E8536E"/>
    <w:rsid w:val="00E86315"/>
    <w:rsid w:val="00E87412"/>
    <w:rsid w:val="00E914F5"/>
    <w:rsid w:val="00E92D2F"/>
    <w:rsid w:val="00E97DF2"/>
    <w:rsid w:val="00EA076D"/>
    <w:rsid w:val="00EA1090"/>
    <w:rsid w:val="00EA1201"/>
    <w:rsid w:val="00EA35A1"/>
    <w:rsid w:val="00EB702A"/>
    <w:rsid w:val="00EB7D0B"/>
    <w:rsid w:val="00EC1C6D"/>
    <w:rsid w:val="00EC6781"/>
    <w:rsid w:val="00EC6991"/>
    <w:rsid w:val="00EC6A5C"/>
    <w:rsid w:val="00EC6C7B"/>
    <w:rsid w:val="00ED58A5"/>
    <w:rsid w:val="00ED76F8"/>
    <w:rsid w:val="00EE7B24"/>
    <w:rsid w:val="00EF07D2"/>
    <w:rsid w:val="00EF0C95"/>
    <w:rsid w:val="00EF1649"/>
    <w:rsid w:val="00F10131"/>
    <w:rsid w:val="00F11B25"/>
    <w:rsid w:val="00F14C8F"/>
    <w:rsid w:val="00F21728"/>
    <w:rsid w:val="00F306AF"/>
    <w:rsid w:val="00F34F40"/>
    <w:rsid w:val="00F354F3"/>
    <w:rsid w:val="00F35CA2"/>
    <w:rsid w:val="00F36D3A"/>
    <w:rsid w:val="00F411C1"/>
    <w:rsid w:val="00F41E93"/>
    <w:rsid w:val="00F52E3A"/>
    <w:rsid w:val="00F76968"/>
    <w:rsid w:val="00F77037"/>
    <w:rsid w:val="00F83D9D"/>
    <w:rsid w:val="00F86F93"/>
    <w:rsid w:val="00F871A0"/>
    <w:rsid w:val="00F87440"/>
    <w:rsid w:val="00F9269A"/>
    <w:rsid w:val="00F94332"/>
    <w:rsid w:val="00F943CC"/>
    <w:rsid w:val="00FB0EC3"/>
    <w:rsid w:val="00FB1093"/>
    <w:rsid w:val="00FC26D0"/>
    <w:rsid w:val="00FC2BA1"/>
    <w:rsid w:val="00FC4606"/>
    <w:rsid w:val="00FC6C08"/>
    <w:rsid w:val="00FD3DC9"/>
    <w:rsid w:val="00FD532A"/>
    <w:rsid w:val="00FD75F1"/>
    <w:rsid w:val="00FE0A52"/>
    <w:rsid w:val="00FE3E95"/>
    <w:rsid w:val="00FE55AE"/>
    <w:rsid w:val="00FE6867"/>
    <w:rsid w:val="00FE6D0D"/>
    <w:rsid w:val="00FF15D5"/>
    <w:rsid w:val="00FF70D6"/>
    <w:rsid w:val="00FF7B7F"/>
    <w:rsid w:val="0175001E"/>
    <w:rsid w:val="01890D0B"/>
    <w:rsid w:val="01963062"/>
    <w:rsid w:val="01AC1887"/>
    <w:rsid w:val="01F55FA8"/>
    <w:rsid w:val="020578DD"/>
    <w:rsid w:val="027A2971"/>
    <w:rsid w:val="028606DA"/>
    <w:rsid w:val="02C9546D"/>
    <w:rsid w:val="03BE3331"/>
    <w:rsid w:val="04305357"/>
    <w:rsid w:val="04DD0CB1"/>
    <w:rsid w:val="04ED66A4"/>
    <w:rsid w:val="059156E9"/>
    <w:rsid w:val="059D2DF8"/>
    <w:rsid w:val="05F91166"/>
    <w:rsid w:val="06FA1429"/>
    <w:rsid w:val="07713C35"/>
    <w:rsid w:val="0773028E"/>
    <w:rsid w:val="07B63B11"/>
    <w:rsid w:val="081F390C"/>
    <w:rsid w:val="082A6B46"/>
    <w:rsid w:val="08797E1E"/>
    <w:rsid w:val="08E001B0"/>
    <w:rsid w:val="09BB55BA"/>
    <w:rsid w:val="09C021A4"/>
    <w:rsid w:val="0A18464F"/>
    <w:rsid w:val="0A366207"/>
    <w:rsid w:val="0AA049F3"/>
    <w:rsid w:val="0ADC03EB"/>
    <w:rsid w:val="0B441098"/>
    <w:rsid w:val="0B6C7A28"/>
    <w:rsid w:val="0B95124F"/>
    <w:rsid w:val="0BBD1D37"/>
    <w:rsid w:val="0C073E59"/>
    <w:rsid w:val="0C477F68"/>
    <w:rsid w:val="0C8930B7"/>
    <w:rsid w:val="0F237059"/>
    <w:rsid w:val="0F3048C7"/>
    <w:rsid w:val="0FD51371"/>
    <w:rsid w:val="0FDB4A43"/>
    <w:rsid w:val="0FDE3679"/>
    <w:rsid w:val="0FDE6F26"/>
    <w:rsid w:val="10AD2295"/>
    <w:rsid w:val="11332C1D"/>
    <w:rsid w:val="115434A7"/>
    <w:rsid w:val="11893269"/>
    <w:rsid w:val="11DA6313"/>
    <w:rsid w:val="11F67716"/>
    <w:rsid w:val="120E6D62"/>
    <w:rsid w:val="122B7DFA"/>
    <w:rsid w:val="12316D61"/>
    <w:rsid w:val="12A66E32"/>
    <w:rsid w:val="12BC3060"/>
    <w:rsid w:val="12EB7263"/>
    <w:rsid w:val="13352C8C"/>
    <w:rsid w:val="134B775D"/>
    <w:rsid w:val="134E01D7"/>
    <w:rsid w:val="13624C7F"/>
    <w:rsid w:val="13B25860"/>
    <w:rsid w:val="13DB2AF9"/>
    <w:rsid w:val="141B1331"/>
    <w:rsid w:val="14324EA6"/>
    <w:rsid w:val="14DD31E2"/>
    <w:rsid w:val="15A05198"/>
    <w:rsid w:val="15BA2D4A"/>
    <w:rsid w:val="15D87E1B"/>
    <w:rsid w:val="168F1DFA"/>
    <w:rsid w:val="16A9400E"/>
    <w:rsid w:val="16D30CDD"/>
    <w:rsid w:val="16DC6478"/>
    <w:rsid w:val="170D2F48"/>
    <w:rsid w:val="17154193"/>
    <w:rsid w:val="17156845"/>
    <w:rsid w:val="1757657C"/>
    <w:rsid w:val="175E4071"/>
    <w:rsid w:val="17932850"/>
    <w:rsid w:val="17D849D6"/>
    <w:rsid w:val="180E527E"/>
    <w:rsid w:val="182C673E"/>
    <w:rsid w:val="18F33943"/>
    <w:rsid w:val="192405E7"/>
    <w:rsid w:val="19600305"/>
    <w:rsid w:val="19753246"/>
    <w:rsid w:val="19CC2CC4"/>
    <w:rsid w:val="1A2C3DD7"/>
    <w:rsid w:val="1A6B245E"/>
    <w:rsid w:val="1AAE5A45"/>
    <w:rsid w:val="1AAF59FC"/>
    <w:rsid w:val="1AEB1A05"/>
    <w:rsid w:val="1B205A92"/>
    <w:rsid w:val="1B286FC4"/>
    <w:rsid w:val="1B6C5B53"/>
    <w:rsid w:val="1B6F13B3"/>
    <w:rsid w:val="1B9E5AFC"/>
    <w:rsid w:val="1C3310A9"/>
    <w:rsid w:val="1D40117C"/>
    <w:rsid w:val="1D785B20"/>
    <w:rsid w:val="1DA805C1"/>
    <w:rsid w:val="1DBB3E80"/>
    <w:rsid w:val="1DDF5840"/>
    <w:rsid w:val="1E033CFE"/>
    <w:rsid w:val="1E7D7046"/>
    <w:rsid w:val="1EE73B09"/>
    <w:rsid w:val="1F316326"/>
    <w:rsid w:val="1F5D4A06"/>
    <w:rsid w:val="1F964F4E"/>
    <w:rsid w:val="1FB92045"/>
    <w:rsid w:val="20BC5041"/>
    <w:rsid w:val="20C34F92"/>
    <w:rsid w:val="20EC19DA"/>
    <w:rsid w:val="2184139D"/>
    <w:rsid w:val="218F1C0A"/>
    <w:rsid w:val="2191233E"/>
    <w:rsid w:val="21B34858"/>
    <w:rsid w:val="22156BDB"/>
    <w:rsid w:val="221F6235"/>
    <w:rsid w:val="226B066F"/>
    <w:rsid w:val="22E10344"/>
    <w:rsid w:val="22E942A6"/>
    <w:rsid w:val="22F45DE8"/>
    <w:rsid w:val="22F63598"/>
    <w:rsid w:val="22FF76A7"/>
    <w:rsid w:val="236E082B"/>
    <w:rsid w:val="2685203A"/>
    <w:rsid w:val="26C239CA"/>
    <w:rsid w:val="26C90E2D"/>
    <w:rsid w:val="26D747CC"/>
    <w:rsid w:val="270B25DA"/>
    <w:rsid w:val="273705EE"/>
    <w:rsid w:val="27914E01"/>
    <w:rsid w:val="2827575A"/>
    <w:rsid w:val="282F0DE4"/>
    <w:rsid w:val="28B46433"/>
    <w:rsid w:val="29032BEF"/>
    <w:rsid w:val="29D72703"/>
    <w:rsid w:val="2A1879C7"/>
    <w:rsid w:val="2A1B0D71"/>
    <w:rsid w:val="2A374FC0"/>
    <w:rsid w:val="2A4C7902"/>
    <w:rsid w:val="2A6A39E8"/>
    <w:rsid w:val="2B4F2A6E"/>
    <w:rsid w:val="2BCD490E"/>
    <w:rsid w:val="2BED6F1A"/>
    <w:rsid w:val="2C155196"/>
    <w:rsid w:val="2C255C58"/>
    <w:rsid w:val="2CC41C04"/>
    <w:rsid w:val="2CF40263"/>
    <w:rsid w:val="2E7620ED"/>
    <w:rsid w:val="2EE724DC"/>
    <w:rsid w:val="2F0D20DE"/>
    <w:rsid w:val="2F5D30B3"/>
    <w:rsid w:val="2F7009B1"/>
    <w:rsid w:val="2FA07728"/>
    <w:rsid w:val="2FC002D5"/>
    <w:rsid w:val="302E6AE1"/>
    <w:rsid w:val="306A6A79"/>
    <w:rsid w:val="30E82380"/>
    <w:rsid w:val="315453F8"/>
    <w:rsid w:val="31D21342"/>
    <w:rsid w:val="31FA6300"/>
    <w:rsid w:val="32170A8D"/>
    <w:rsid w:val="32AF23C2"/>
    <w:rsid w:val="32EE1A36"/>
    <w:rsid w:val="3317707E"/>
    <w:rsid w:val="339C3413"/>
    <w:rsid w:val="342D1BFF"/>
    <w:rsid w:val="342F480F"/>
    <w:rsid w:val="3475581F"/>
    <w:rsid w:val="347E1DA2"/>
    <w:rsid w:val="349B682B"/>
    <w:rsid w:val="34B34830"/>
    <w:rsid w:val="34C649F1"/>
    <w:rsid w:val="3503309E"/>
    <w:rsid w:val="35435064"/>
    <w:rsid w:val="3620672B"/>
    <w:rsid w:val="363C648D"/>
    <w:rsid w:val="365B1287"/>
    <w:rsid w:val="367847F7"/>
    <w:rsid w:val="36831F44"/>
    <w:rsid w:val="37AB74C2"/>
    <w:rsid w:val="37B7226F"/>
    <w:rsid w:val="37B86AAF"/>
    <w:rsid w:val="37C14982"/>
    <w:rsid w:val="37DB3ACA"/>
    <w:rsid w:val="37F40CE9"/>
    <w:rsid w:val="3810525E"/>
    <w:rsid w:val="3875617F"/>
    <w:rsid w:val="389573C2"/>
    <w:rsid w:val="397E0931"/>
    <w:rsid w:val="39DF13C4"/>
    <w:rsid w:val="3A1E08C5"/>
    <w:rsid w:val="3A6C04FD"/>
    <w:rsid w:val="3A8332F9"/>
    <w:rsid w:val="3AA314C6"/>
    <w:rsid w:val="3AD2258E"/>
    <w:rsid w:val="3AD62764"/>
    <w:rsid w:val="3AE9559E"/>
    <w:rsid w:val="3B135B6F"/>
    <w:rsid w:val="3B4B6B6F"/>
    <w:rsid w:val="3B4B76B4"/>
    <w:rsid w:val="3B4F1DA6"/>
    <w:rsid w:val="3B510544"/>
    <w:rsid w:val="3BCF3DE2"/>
    <w:rsid w:val="3BDE6A17"/>
    <w:rsid w:val="3C134CAD"/>
    <w:rsid w:val="3C6E7B33"/>
    <w:rsid w:val="3DC70DA6"/>
    <w:rsid w:val="3E433531"/>
    <w:rsid w:val="3E5816B5"/>
    <w:rsid w:val="3E8D51C5"/>
    <w:rsid w:val="3E911ED8"/>
    <w:rsid w:val="3ED30629"/>
    <w:rsid w:val="3EE55534"/>
    <w:rsid w:val="3F345912"/>
    <w:rsid w:val="3F456AA7"/>
    <w:rsid w:val="3FE86074"/>
    <w:rsid w:val="404350E0"/>
    <w:rsid w:val="409C0254"/>
    <w:rsid w:val="40A33F45"/>
    <w:rsid w:val="41694E7F"/>
    <w:rsid w:val="41910FCD"/>
    <w:rsid w:val="42857E42"/>
    <w:rsid w:val="42F775E0"/>
    <w:rsid w:val="432934FC"/>
    <w:rsid w:val="433B7B45"/>
    <w:rsid w:val="438F36C0"/>
    <w:rsid w:val="44207DA3"/>
    <w:rsid w:val="442C26BD"/>
    <w:rsid w:val="44463ADF"/>
    <w:rsid w:val="44C70737"/>
    <w:rsid w:val="45AF7D25"/>
    <w:rsid w:val="4642740B"/>
    <w:rsid w:val="46985A97"/>
    <w:rsid w:val="46E23A2A"/>
    <w:rsid w:val="475B169A"/>
    <w:rsid w:val="490E7AA5"/>
    <w:rsid w:val="491344B5"/>
    <w:rsid w:val="494012EE"/>
    <w:rsid w:val="498948AA"/>
    <w:rsid w:val="49F243DB"/>
    <w:rsid w:val="4A780610"/>
    <w:rsid w:val="4A8E676D"/>
    <w:rsid w:val="4A95657B"/>
    <w:rsid w:val="4AF000C1"/>
    <w:rsid w:val="4B9758EB"/>
    <w:rsid w:val="4BA25344"/>
    <w:rsid w:val="4BEB36BA"/>
    <w:rsid w:val="4BEF33B4"/>
    <w:rsid w:val="4C1252D5"/>
    <w:rsid w:val="4C2F38A5"/>
    <w:rsid w:val="4C7306FC"/>
    <w:rsid w:val="4C7C5EF5"/>
    <w:rsid w:val="4CBE0263"/>
    <w:rsid w:val="4CF514BF"/>
    <w:rsid w:val="4D1717E9"/>
    <w:rsid w:val="4D287306"/>
    <w:rsid w:val="4D980EF2"/>
    <w:rsid w:val="4D9E2AF5"/>
    <w:rsid w:val="4ECF2AD4"/>
    <w:rsid w:val="4F034F6A"/>
    <w:rsid w:val="4F273FBE"/>
    <w:rsid w:val="4F286E37"/>
    <w:rsid w:val="4F2F77D7"/>
    <w:rsid w:val="4F31194C"/>
    <w:rsid w:val="4F602AB3"/>
    <w:rsid w:val="4FE35D07"/>
    <w:rsid w:val="5082298F"/>
    <w:rsid w:val="50C231AF"/>
    <w:rsid w:val="50DA3093"/>
    <w:rsid w:val="5145397C"/>
    <w:rsid w:val="51EE3A6C"/>
    <w:rsid w:val="52242D7E"/>
    <w:rsid w:val="52255532"/>
    <w:rsid w:val="527313D2"/>
    <w:rsid w:val="52A5133D"/>
    <w:rsid w:val="52BA6550"/>
    <w:rsid w:val="52C36E5D"/>
    <w:rsid w:val="53466052"/>
    <w:rsid w:val="54013AED"/>
    <w:rsid w:val="542D56BA"/>
    <w:rsid w:val="54A82848"/>
    <w:rsid w:val="54F3048A"/>
    <w:rsid w:val="55D97B52"/>
    <w:rsid w:val="5624334F"/>
    <w:rsid w:val="5704401B"/>
    <w:rsid w:val="57A10184"/>
    <w:rsid w:val="581A6C16"/>
    <w:rsid w:val="58650B29"/>
    <w:rsid w:val="58741A49"/>
    <w:rsid w:val="59142B31"/>
    <w:rsid w:val="5942122C"/>
    <w:rsid w:val="59594278"/>
    <w:rsid w:val="595B7AB0"/>
    <w:rsid w:val="598729A5"/>
    <w:rsid w:val="5A3D2DC3"/>
    <w:rsid w:val="5ACB5EC5"/>
    <w:rsid w:val="5B0A558E"/>
    <w:rsid w:val="5B327420"/>
    <w:rsid w:val="5B5B06A3"/>
    <w:rsid w:val="5BAB33C9"/>
    <w:rsid w:val="5BE508A9"/>
    <w:rsid w:val="5C000D60"/>
    <w:rsid w:val="5C0564B8"/>
    <w:rsid w:val="5C167132"/>
    <w:rsid w:val="5C1C1980"/>
    <w:rsid w:val="5C751D60"/>
    <w:rsid w:val="5C935552"/>
    <w:rsid w:val="5CD3428B"/>
    <w:rsid w:val="5D09221E"/>
    <w:rsid w:val="5D494E95"/>
    <w:rsid w:val="5DB56F1E"/>
    <w:rsid w:val="5DC32AF4"/>
    <w:rsid w:val="5DC67B16"/>
    <w:rsid w:val="5DEB6E57"/>
    <w:rsid w:val="5F563F98"/>
    <w:rsid w:val="5FB33FD2"/>
    <w:rsid w:val="5FBE1B5B"/>
    <w:rsid w:val="60156636"/>
    <w:rsid w:val="60C95C15"/>
    <w:rsid w:val="61334426"/>
    <w:rsid w:val="622C0E17"/>
    <w:rsid w:val="62605093"/>
    <w:rsid w:val="63531DCD"/>
    <w:rsid w:val="6482678D"/>
    <w:rsid w:val="65253FDA"/>
    <w:rsid w:val="65300472"/>
    <w:rsid w:val="65347A1E"/>
    <w:rsid w:val="65452F82"/>
    <w:rsid w:val="6560518B"/>
    <w:rsid w:val="658C2034"/>
    <w:rsid w:val="65A34092"/>
    <w:rsid w:val="65BC0D23"/>
    <w:rsid w:val="65C01C2E"/>
    <w:rsid w:val="65DA79A0"/>
    <w:rsid w:val="666176C6"/>
    <w:rsid w:val="666B3D6C"/>
    <w:rsid w:val="677F6F74"/>
    <w:rsid w:val="67B40B6D"/>
    <w:rsid w:val="68B42650"/>
    <w:rsid w:val="68D35BC0"/>
    <w:rsid w:val="68F22CE1"/>
    <w:rsid w:val="693105D7"/>
    <w:rsid w:val="69386092"/>
    <w:rsid w:val="69840267"/>
    <w:rsid w:val="6A1133BF"/>
    <w:rsid w:val="6A192046"/>
    <w:rsid w:val="6B172F2F"/>
    <w:rsid w:val="6BA03046"/>
    <w:rsid w:val="6BC7249D"/>
    <w:rsid w:val="6BDC20C6"/>
    <w:rsid w:val="6BFE7215"/>
    <w:rsid w:val="6C9F05FC"/>
    <w:rsid w:val="6DA55BB0"/>
    <w:rsid w:val="6DDD3F44"/>
    <w:rsid w:val="6DF76D93"/>
    <w:rsid w:val="6E3A15CB"/>
    <w:rsid w:val="6E737672"/>
    <w:rsid w:val="6EDD2A32"/>
    <w:rsid w:val="6F2D3F54"/>
    <w:rsid w:val="6FB04A89"/>
    <w:rsid w:val="6FCA78EF"/>
    <w:rsid w:val="70257977"/>
    <w:rsid w:val="71785618"/>
    <w:rsid w:val="719173FA"/>
    <w:rsid w:val="71A9239B"/>
    <w:rsid w:val="72334DB7"/>
    <w:rsid w:val="72AD133E"/>
    <w:rsid w:val="72F14A43"/>
    <w:rsid w:val="733E6754"/>
    <w:rsid w:val="737D0B03"/>
    <w:rsid w:val="747D4685"/>
    <w:rsid w:val="7550560B"/>
    <w:rsid w:val="757906F5"/>
    <w:rsid w:val="75B2624C"/>
    <w:rsid w:val="762F1A8F"/>
    <w:rsid w:val="763C2FCD"/>
    <w:rsid w:val="76950A52"/>
    <w:rsid w:val="77281135"/>
    <w:rsid w:val="77351703"/>
    <w:rsid w:val="7743475F"/>
    <w:rsid w:val="77CB123B"/>
    <w:rsid w:val="784D2C1B"/>
    <w:rsid w:val="78CC6C6A"/>
    <w:rsid w:val="791372BB"/>
    <w:rsid w:val="7A123748"/>
    <w:rsid w:val="7A345D59"/>
    <w:rsid w:val="7A9E7923"/>
    <w:rsid w:val="7AEA32BE"/>
    <w:rsid w:val="7B2737E9"/>
    <w:rsid w:val="7B5733E2"/>
    <w:rsid w:val="7BB1107D"/>
    <w:rsid w:val="7C3A18F2"/>
    <w:rsid w:val="7C60423E"/>
    <w:rsid w:val="7C7554D3"/>
    <w:rsid w:val="7DBE58DA"/>
    <w:rsid w:val="7E345FE1"/>
    <w:rsid w:val="7E3B3A15"/>
    <w:rsid w:val="7E8E108F"/>
    <w:rsid w:val="7EDC30B8"/>
    <w:rsid w:val="7F2A14D1"/>
    <w:rsid w:val="7F4852A7"/>
    <w:rsid w:val="7F614579"/>
    <w:rsid w:val="7F972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next w:val="1"/>
    <w:link w:val="20"/>
    <w:qFormat/>
    <w:uiPriority w:val="0"/>
    <w:pPr>
      <w:keepNext/>
      <w:numPr>
        <w:ilvl w:val="0"/>
        <w:numId w:val="1"/>
      </w:numPr>
      <w:spacing w:before="100" w:beforeLines="100" w:after="50" w:afterLines="50" w:line="360" w:lineRule="auto"/>
      <w:outlineLvl w:val="0"/>
    </w:pPr>
    <w:rPr>
      <w:rFonts w:ascii="宋体" w:hAnsi="宋体" w:eastAsia="宋体" w:cs="Times New Roman"/>
      <w:b/>
      <w:bCs/>
      <w:kern w:val="24"/>
      <w:sz w:val="30"/>
      <w:szCs w:val="24"/>
      <w:u w:color="000000"/>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link w:val="32"/>
    <w:qFormat/>
    <w:uiPriority w:val="0"/>
    <w:pPr>
      <w:ind w:firstLine="880" w:firstLineChars="200"/>
    </w:pPr>
    <w:rPr>
      <w:rFonts w:ascii="仿宋_GB2312" w:hAnsi="仿宋_GB2312" w:eastAsia="仿宋_GB2312" w:cs="Arial"/>
      <w:sz w:val="32"/>
      <w:szCs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5">
    <w:name w:val="caption"/>
    <w:basedOn w:val="1"/>
    <w:next w:val="1"/>
    <w:unhideWhenUsed/>
    <w:qFormat/>
    <w:uiPriority w:val="35"/>
    <w:rPr>
      <w:rFonts w:eastAsia="黑体" w:asciiTheme="majorHAnsi" w:hAnsiTheme="majorHAnsi" w:cstheme="majorBidi"/>
      <w:sz w:val="20"/>
      <w:szCs w:val="20"/>
    </w:rPr>
  </w:style>
  <w:style w:type="paragraph" w:styleId="6">
    <w:name w:val="Document Map"/>
    <w:basedOn w:val="1"/>
    <w:qFormat/>
    <w:uiPriority w:val="0"/>
    <w:pPr>
      <w:shd w:val="clear" w:color="auto" w:fill="000080"/>
    </w:pPr>
  </w:style>
  <w:style w:type="paragraph" w:styleId="7">
    <w:name w:val="annotation text"/>
    <w:basedOn w:val="1"/>
    <w:link w:val="22"/>
    <w:qFormat/>
    <w:uiPriority w:val="0"/>
  </w:style>
  <w:style w:type="paragraph" w:styleId="8">
    <w:name w:val="Plain Text"/>
    <w:basedOn w:val="1"/>
    <w:qFormat/>
    <w:uiPriority w:val="0"/>
    <w:rPr>
      <w:rFonts w:ascii="宋体" w:hAnsi="Courier New" w:eastAsia="宋体"/>
      <w:szCs w:val="21"/>
      <w:lang w:bidi="ar-SA"/>
    </w:rPr>
  </w:style>
  <w:style w:type="paragraph" w:styleId="9">
    <w:name w:val="Balloon Text"/>
    <w:basedOn w:val="1"/>
    <w:link w:val="23"/>
    <w:qFormat/>
    <w:uiPriority w:val="0"/>
    <w:rPr>
      <w:sz w:val="18"/>
      <w:szCs w:val="18"/>
    </w:rPr>
  </w:style>
  <w:style w:type="paragraph" w:styleId="10">
    <w:name w:val="footer"/>
    <w:basedOn w:val="1"/>
    <w:link w:val="19"/>
    <w:qFormat/>
    <w:uiPriority w:val="0"/>
    <w:pPr>
      <w:tabs>
        <w:tab w:val="center" w:pos="4153"/>
        <w:tab w:val="right" w:pos="8306"/>
      </w:tabs>
      <w:snapToGrid w:val="0"/>
    </w:pPr>
    <w:rPr>
      <w:sz w:val="18"/>
    </w:rPr>
  </w:style>
  <w:style w:type="paragraph" w:styleId="11">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spacing w:line="240" w:lineRule="auto"/>
      <w:ind w:firstLine="0" w:firstLineChars="0"/>
    </w:pPr>
    <w:rPr>
      <w:sz w:val="21"/>
    </w:rPr>
  </w:style>
  <w:style w:type="paragraph" w:styleId="13">
    <w:name w:val="annotation subject"/>
    <w:basedOn w:val="7"/>
    <w:next w:val="7"/>
    <w:link w:val="24"/>
    <w:qFormat/>
    <w:uiPriority w:val="0"/>
    <w:rPr>
      <w:b/>
      <w:bCs/>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99"/>
    <w:rPr>
      <w:color w:val="0000FF"/>
      <w:u w:val="single"/>
    </w:rPr>
  </w:style>
  <w:style w:type="character" w:styleId="18">
    <w:name w:val="annotation reference"/>
    <w:qFormat/>
    <w:uiPriority w:val="0"/>
    <w:rPr>
      <w:sz w:val="21"/>
      <w:szCs w:val="21"/>
    </w:rPr>
  </w:style>
  <w:style w:type="character" w:customStyle="1" w:styleId="19">
    <w:name w:val="页脚 字符"/>
    <w:link w:val="10"/>
    <w:qFormat/>
    <w:uiPriority w:val="0"/>
    <w:rPr>
      <w:rFonts w:ascii="Times New Roman" w:hAnsi="Times New Roman" w:eastAsia="宋体" w:cs="Times New Roman"/>
      <w:sz w:val="18"/>
      <w:szCs w:val="24"/>
    </w:rPr>
  </w:style>
  <w:style w:type="character" w:customStyle="1" w:styleId="20">
    <w:name w:val="标题 1 字符"/>
    <w:link w:val="4"/>
    <w:qFormat/>
    <w:uiPriority w:val="0"/>
    <w:rPr>
      <w:rFonts w:ascii="宋体" w:hAnsi="宋体"/>
      <w:b/>
      <w:bCs/>
      <w:kern w:val="24"/>
      <w:sz w:val="30"/>
      <w:szCs w:val="24"/>
      <w:u w:color="000000"/>
    </w:rPr>
  </w:style>
  <w:style w:type="character" w:customStyle="1" w:styleId="21">
    <w:name w:val="页眉 字符"/>
    <w:link w:val="11"/>
    <w:qFormat/>
    <w:uiPriority w:val="0"/>
    <w:rPr>
      <w:rFonts w:ascii="Times New Roman" w:hAnsi="Times New Roman" w:eastAsia="宋体" w:cs="Times New Roman"/>
      <w:sz w:val="18"/>
      <w:szCs w:val="18"/>
    </w:rPr>
  </w:style>
  <w:style w:type="character" w:customStyle="1" w:styleId="22">
    <w:name w:val="批注文字 字符"/>
    <w:link w:val="7"/>
    <w:qFormat/>
    <w:uiPriority w:val="0"/>
    <w:rPr>
      <w:rFonts w:ascii="Times New Roman" w:hAnsi="Times New Roman"/>
      <w:kern w:val="2"/>
      <w:sz w:val="21"/>
      <w:szCs w:val="24"/>
    </w:rPr>
  </w:style>
  <w:style w:type="character" w:customStyle="1" w:styleId="23">
    <w:name w:val="批注框文本 字符"/>
    <w:link w:val="9"/>
    <w:qFormat/>
    <w:uiPriority w:val="0"/>
    <w:rPr>
      <w:rFonts w:ascii="Times New Roman" w:hAnsi="Times New Roman"/>
      <w:kern w:val="2"/>
      <w:sz w:val="18"/>
      <w:szCs w:val="18"/>
    </w:rPr>
  </w:style>
  <w:style w:type="character" w:customStyle="1" w:styleId="24">
    <w:name w:val="批注主题 字符"/>
    <w:link w:val="13"/>
    <w:qFormat/>
    <w:uiPriority w:val="0"/>
    <w:rPr>
      <w:rFonts w:ascii="Times New Roman" w:hAnsi="Times New Roman"/>
      <w:b/>
      <w:bCs/>
      <w:kern w:val="2"/>
      <w:sz w:val="21"/>
      <w:szCs w:val="24"/>
    </w:rPr>
  </w:style>
  <w:style w:type="paragraph" w:customStyle="1" w:styleId="25">
    <w:name w:val="修订1"/>
    <w:qFormat/>
    <w:uiPriority w:val="0"/>
    <w:rPr>
      <w:rFonts w:ascii="Times New Roman" w:hAnsi="Times New Roman" w:eastAsia="宋体" w:cs="Times New Roman"/>
      <w:kern w:val="2"/>
      <w:sz w:val="21"/>
      <w:szCs w:val="24"/>
      <w:lang w:val="en-US" w:eastAsia="zh-CN" w:bidi="ar-SA"/>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修订2"/>
    <w:hidden/>
    <w:semiHidden/>
    <w:qFormat/>
    <w:uiPriority w:val="99"/>
    <w:rPr>
      <w:rFonts w:ascii="Times New Roman" w:hAnsi="Times New Roman" w:eastAsia="宋体" w:cs="Times New Roman"/>
      <w:kern w:val="2"/>
      <w:sz w:val="24"/>
      <w:szCs w:val="24"/>
      <w:lang w:val="en-US" w:eastAsia="zh-CN" w:bidi="ar-SA"/>
    </w:rPr>
  </w:style>
  <w:style w:type="paragraph" w:styleId="29">
    <w:name w:val="List Paragraph"/>
    <w:basedOn w:val="1"/>
    <w:qFormat/>
    <w:uiPriority w:val="99"/>
    <w:pPr>
      <w:ind w:firstLine="420"/>
    </w:pPr>
  </w:style>
  <w:style w:type="paragraph" w:customStyle="1" w:styleId="30">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1">
    <w:name w:val="宋体小四正文"/>
    <w:basedOn w:val="1"/>
    <w:qFormat/>
    <w:uiPriority w:val="0"/>
    <w:pPr>
      <w:snapToGrid w:val="0"/>
      <w:spacing w:line="360" w:lineRule="auto"/>
      <w:ind w:firstLine="480" w:firstLineChars="200"/>
    </w:pPr>
    <w:rPr>
      <w:sz w:val="24"/>
      <w:szCs w:val="24"/>
    </w:rPr>
  </w:style>
  <w:style w:type="character" w:customStyle="1" w:styleId="32">
    <w:name w:val="正文文本 字符"/>
    <w:basedOn w:val="16"/>
    <w:link w:val="2"/>
    <w:qFormat/>
    <w:uiPriority w:val="0"/>
    <w:rPr>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4FE2C-79D0-4AD2-9BC4-B1648EE61F6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112</Words>
  <Characters>123</Characters>
  <Lines>36</Lines>
  <Paragraphs>10</Paragraphs>
  <TotalTime>3</TotalTime>
  <ScaleCrop>false</ScaleCrop>
  <LinksUpToDate>false</LinksUpToDate>
  <CharactersWithSpaces>142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2025-03-06T07:13:00Z</dcterms:created>
  <dc:creator>Chen Xiangyu</dc:creator>
  <cp:lastModifiedBy>司剑云</cp:lastModifiedBy>
  <cp:lastPrinted>2019-01-02T05:57:00Z</cp:lastPrinted>
  <dcterms:modified xsi:type="dcterms:W3CDTF">2026-09-08T08:51:15Z</dcterms:modified>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A964341FD1154C25BACF28C3E026934E_13</vt:lpwstr>
  </property>
  <property fmtid="{D5CDD505-2E9C-101B-9397-08002B2CF9AE}" pid="4" name="KSOTemplateDocerSaveRecord">
    <vt:lpwstr>eyJoZGlkIjoiZDRiNThhNWMwMDdmMGNiNzQ3ZWQxMGEwZTFhN2M3ODQiLCJ1c2VySWQiOiI0MzkzNDgzMDUifQ==</vt:lpwstr>
  </property>
</Properties>
</file>