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tabs>
          <w:tab w:val="right" w:leader="dot" w:pos="8296"/>
        </w:tabs>
        <w:jc w:val="center"/>
        <w:rPr>
          <w:rFonts w:hint="eastAsia" w:ascii="宋体" w:hAnsi="宋体" w:cs="宋体"/>
          <w:b w:val="0"/>
          <w:sz w:val="36"/>
          <w:szCs w:val="36"/>
          <w:highlight w:val="none"/>
        </w:rPr>
      </w:pPr>
      <w:r>
        <w:rPr>
          <w:rFonts w:ascii="宋体" w:hAnsi="宋体" w:cs="宋体"/>
          <w:bCs w:val="0"/>
          <w:caps w:val="0"/>
          <w:sz w:val="36"/>
          <w:szCs w:val="36"/>
          <w:highlight w:val="none"/>
        </w:rPr>
        <w:drawing>
          <wp:anchor distT="0" distB="0" distL="114300" distR="114300" simplePos="0" relativeHeight="251659264" behindDoc="0" locked="0" layoutInCell="1" allowOverlap="1">
            <wp:simplePos x="0" y="0"/>
            <wp:positionH relativeFrom="page">
              <wp:posOffset>-333375</wp:posOffset>
            </wp:positionH>
            <wp:positionV relativeFrom="page">
              <wp:posOffset>-39370</wp:posOffset>
            </wp:positionV>
            <wp:extent cx="7886700" cy="6486525"/>
            <wp:effectExtent l="0" t="0" r="0" b="3175"/>
            <wp:wrapNone/>
            <wp:docPr id="1" name="图片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19"/>
                    <pic:cNvPicPr>
                      <a:picLocks noChangeAspect="1"/>
                    </pic:cNvPicPr>
                  </pic:nvPicPr>
                  <pic:blipFill>
                    <a:blip r:embed="rId6" cstate="print">
                      <a:lum/>
                    </a:blip>
                    <a:stretch>
                      <a:fillRect/>
                    </a:stretch>
                  </pic:blipFill>
                  <pic:spPr>
                    <a:xfrm>
                      <a:off x="0" y="0"/>
                      <a:ext cx="7886700" cy="6486525"/>
                    </a:xfrm>
                    <a:prstGeom prst="rect">
                      <a:avLst/>
                    </a:prstGeom>
                    <a:noFill/>
                    <a:ln w="9525">
                      <a:noFill/>
                    </a:ln>
                    <a:effectLst/>
                  </pic:spPr>
                </pic:pic>
              </a:graphicData>
            </a:graphic>
          </wp:anchor>
        </w:drawing>
      </w: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r>
        <w:rPr>
          <w:rFonts w:ascii="宋体" w:hAnsi="宋体" w:cs="宋体"/>
          <w:b w:val="0"/>
          <w:sz w:val="36"/>
          <w:szCs w:val="36"/>
          <w:highlight w:val="none"/>
        </w:rPr>
        <mc:AlternateContent>
          <mc:Choice Requires="wps">
            <w:drawing>
              <wp:anchor distT="0" distB="0" distL="114300" distR="114300" simplePos="0" relativeHeight="251662336" behindDoc="0" locked="0" layoutInCell="1" allowOverlap="1">
                <wp:simplePos x="0" y="0"/>
                <wp:positionH relativeFrom="column">
                  <wp:posOffset>-400050</wp:posOffset>
                </wp:positionH>
                <wp:positionV relativeFrom="paragraph">
                  <wp:posOffset>367665</wp:posOffset>
                </wp:positionV>
                <wp:extent cx="5742940" cy="1028065"/>
                <wp:effectExtent l="0" t="0" r="0" b="635"/>
                <wp:wrapNone/>
                <wp:docPr id="6" name="文本框 6"/>
                <wp:cNvGraphicFramePr/>
                <a:graphic xmlns:a="http://schemas.openxmlformats.org/drawingml/2006/main">
                  <a:graphicData uri="http://schemas.microsoft.com/office/word/2010/wordprocessingShape">
                    <wps:wsp>
                      <wps:cNvSpPr txBox="1"/>
                      <wps:spPr>
                        <a:xfrm>
                          <a:off x="0" y="0"/>
                          <a:ext cx="5742940" cy="1028065"/>
                        </a:xfrm>
                        <a:prstGeom prst="rect">
                          <a:avLst/>
                        </a:prstGeom>
                        <a:noFill/>
                        <a:ln w="9525">
                          <a:noFill/>
                        </a:ln>
                        <a:effectLst/>
                      </wps:spPr>
                      <wps:txbx>
                        <w:txbxContent>
                          <w:p>
                            <w:pPr>
                              <w:jc w:val="right"/>
                              <w:rPr>
                                <w:rFonts w:hint="eastAsia" w:asciiTheme="minorEastAsia" w:hAnsiTheme="minorEastAsia" w:eastAsiaTheme="minorEastAsia" w:cstheme="minorEastAsia"/>
                                <w:b/>
                                <w:spacing w:val="-11"/>
                                <w:szCs w:val="32"/>
                                <w:highlight w:val="none"/>
                              </w:rPr>
                            </w:pPr>
                            <w:r>
                              <w:rPr>
                                <w:rFonts w:hint="eastAsia" w:asciiTheme="minorEastAsia" w:hAnsiTheme="minorEastAsia" w:eastAsiaTheme="minorEastAsia" w:cstheme="minorEastAsia"/>
                                <w:b/>
                                <w:spacing w:val="-11"/>
                                <w:szCs w:val="32"/>
                                <w:highlight w:val="none"/>
                              </w:rPr>
                              <w:t>云南送变电工程有限公司</w:t>
                            </w:r>
                          </w:p>
                          <w:p>
                            <w:pPr>
                              <w:jc w:val="right"/>
                              <w:rPr>
                                <w:rFonts w:hint="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2026年</w:t>
                            </w:r>
                            <w:r>
                              <w:rPr>
                                <w:rFonts w:hint="eastAsia" w:asciiTheme="minorEastAsia" w:hAnsiTheme="minorEastAsia" w:eastAsiaTheme="minorEastAsia" w:cstheme="minorEastAsia"/>
                                <w:b/>
                                <w:color w:val="000000" w:themeColor="text1"/>
                                <w:spacing w:val="-11"/>
                                <w:szCs w:val="32"/>
                                <w:highlight w:val="none"/>
                                <w14:textFill>
                                  <w14:solidFill>
                                    <w14:schemeClr w14:val="tx1"/>
                                  </w14:solidFill>
                                </w14:textFill>
                              </w:rPr>
                              <w:t>应急指挥</w:t>
                            </w: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中心等</w:t>
                            </w:r>
                            <w:r>
                              <w:rPr>
                                <w:rFonts w:hint="eastAsia" w:asciiTheme="minorEastAsia" w:hAnsiTheme="minorEastAsia" w:eastAsiaTheme="minorEastAsia" w:cstheme="minorEastAsia"/>
                                <w:b/>
                                <w:color w:val="000000" w:themeColor="text1"/>
                                <w:spacing w:val="-11"/>
                                <w:szCs w:val="32"/>
                                <w:highlight w:val="none"/>
                                <w14:textFill>
                                  <w14:solidFill>
                                    <w14:schemeClr w14:val="tx1"/>
                                  </w14:solidFill>
                                </w14:textFill>
                              </w:rPr>
                              <w:t>会议室改造项目</w:t>
                            </w: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货物类</w:t>
                            </w:r>
                            <w:r>
                              <w:rPr>
                                <w:rFonts w:hint="eastAsia" w:asciiTheme="minorEastAsia" w:hAnsiTheme="minorEastAsia" w:eastAsiaTheme="minorEastAsia" w:cstheme="minorEastAsia"/>
                                <w:b/>
                                <w:color w:val="000000" w:themeColor="text1"/>
                                <w:spacing w:val="-11"/>
                                <w:szCs w:val="32"/>
                                <w:highlight w:val="none"/>
                                <w14:textFill>
                                  <w14:solidFill>
                                    <w14:schemeClr w14:val="tx1"/>
                                  </w14:solidFill>
                                </w14:textFill>
                              </w:rPr>
                              <w:t>专项采购</w:t>
                            </w:r>
                            <w:r>
                              <w:rPr>
                                <w:rFonts w:hint="eastAsia" w:asciiTheme="minorEastAsia" w:hAnsiTheme="minorEastAsia" w:eastAsiaTheme="minorEastAsia" w:cstheme="minorEastAsia"/>
                                <w:b/>
                                <w:color w:val="000000" w:themeColor="text1"/>
                                <w:spacing w:val="-11"/>
                                <w:szCs w:val="32"/>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公开询比</w:t>
                            </w:r>
                            <w:r>
                              <w:rPr>
                                <w:rFonts w:hint="eastAsia" w:asciiTheme="minorEastAsia" w:hAnsiTheme="minorEastAsia" w:eastAsiaTheme="minorEastAsia" w:cstheme="minorEastAsia"/>
                                <w:b/>
                                <w:color w:val="000000" w:themeColor="text1"/>
                                <w:spacing w:val="-11"/>
                                <w:szCs w:val="32"/>
                                <w:highlight w:val="none"/>
                                <w:lang w:eastAsia="zh-CN"/>
                                <w14:textFill>
                                  <w14:solidFill>
                                    <w14:schemeClr w14:val="tx1"/>
                                  </w14:solidFill>
                                </w14:textFill>
                              </w:rPr>
                              <w:t>）</w:t>
                            </w:r>
                          </w:p>
                        </w:txbxContent>
                      </wps:txbx>
                      <wps:bodyPr upright="1">
                        <a:noAutofit/>
                      </wps:bodyPr>
                    </wps:wsp>
                  </a:graphicData>
                </a:graphic>
              </wp:anchor>
            </w:drawing>
          </mc:Choice>
          <mc:Fallback>
            <w:pict>
              <v:shape id="_x0000_s1026" o:spid="_x0000_s1026" o:spt="202" type="#_x0000_t202" style="position:absolute;left:0pt;margin-left:-31.5pt;margin-top:28.95pt;height:80.95pt;width:452.2pt;z-index:251662336;mso-width-relative:page;mso-height-relative:page;" filled="f" stroked="f" coordsize="21600,21600" o:gfxdata="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YkJBvNkAAAAKAQAADwAAAAAAAAABACAAAAAiAAAAZHJzL2Rv&#10;d25yZXYueG1sUEsBAhQAFAAAAAgAh07iQJXNfN/HAQAAgAMAAA4AAAAAAAAAAQAgAAAAKAEAAGRy&#10;cy9lMm9Eb2MueG1sUEsFBgAAAAAGAAYAWQEAAGEFAAAAAA==&#10;">
                <v:fill on="f" focussize="0,0"/>
                <v:stroke on="f"/>
                <v:imagedata o:title=""/>
                <o:lock v:ext="edit" aspectratio="f"/>
                <v:textbox>
                  <w:txbxContent>
                    <w:p>
                      <w:pPr>
                        <w:jc w:val="right"/>
                        <w:rPr>
                          <w:rFonts w:hint="eastAsia" w:asciiTheme="minorEastAsia" w:hAnsiTheme="minorEastAsia" w:eastAsiaTheme="minorEastAsia" w:cstheme="minorEastAsia"/>
                          <w:b/>
                          <w:spacing w:val="-11"/>
                          <w:szCs w:val="32"/>
                          <w:highlight w:val="none"/>
                        </w:rPr>
                      </w:pPr>
                      <w:r>
                        <w:rPr>
                          <w:rFonts w:hint="eastAsia" w:asciiTheme="minorEastAsia" w:hAnsiTheme="minorEastAsia" w:eastAsiaTheme="minorEastAsia" w:cstheme="minorEastAsia"/>
                          <w:b/>
                          <w:spacing w:val="-11"/>
                          <w:szCs w:val="32"/>
                          <w:highlight w:val="none"/>
                        </w:rPr>
                        <w:t>云南送变电工程有限公司</w:t>
                      </w:r>
                    </w:p>
                    <w:p>
                      <w:pPr>
                        <w:jc w:val="right"/>
                        <w:rPr>
                          <w:rFonts w:hint="eastAsia" w:eastAsiaTheme="minorEastAsia"/>
                          <w:color w:val="000000" w:themeColor="text1"/>
                          <w:highlight w:val="none"/>
                          <w:lang w:eastAsia="zh-CN"/>
                          <w14:textFill>
                            <w14:solidFill>
                              <w14:schemeClr w14:val="tx1"/>
                            </w14:solidFill>
                          </w14:textFill>
                        </w:rPr>
                      </w:pP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2026年</w:t>
                      </w:r>
                      <w:r>
                        <w:rPr>
                          <w:rFonts w:hint="eastAsia" w:asciiTheme="minorEastAsia" w:hAnsiTheme="minorEastAsia" w:eastAsiaTheme="minorEastAsia" w:cstheme="minorEastAsia"/>
                          <w:b/>
                          <w:color w:val="000000" w:themeColor="text1"/>
                          <w:spacing w:val="-11"/>
                          <w:szCs w:val="32"/>
                          <w:highlight w:val="none"/>
                          <w14:textFill>
                            <w14:solidFill>
                              <w14:schemeClr w14:val="tx1"/>
                            </w14:solidFill>
                          </w14:textFill>
                        </w:rPr>
                        <w:t>应急指挥</w:t>
                      </w: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中心等</w:t>
                      </w:r>
                      <w:r>
                        <w:rPr>
                          <w:rFonts w:hint="eastAsia" w:asciiTheme="minorEastAsia" w:hAnsiTheme="minorEastAsia" w:eastAsiaTheme="minorEastAsia" w:cstheme="minorEastAsia"/>
                          <w:b/>
                          <w:color w:val="000000" w:themeColor="text1"/>
                          <w:spacing w:val="-11"/>
                          <w:szCs w:val="32"/>
                          <w:highlight w:val="none"/>
                          <w14:textFill>
                            <w14:solidFill>
                              <w14:schemeClr w14:val="tx1"/>
                            </w14:solidFill>
                          </w14:textFill>
                        </w:rPr>
                        <w:t>会议室改造项目</w:t>
                      </w: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货物类</w:t>
                      </w:r>
                      <w:r>
                        <w:rPr>
                          <w:rFonts w:hint="eastAsia" w:asciiTheme="minorEastAsia" w:hAnsiTheme="minorEastAsia" w:eastAsiaTheme="minorEastAsia" w:cstheme="minorEastAsia"/>
                          <w:b/>
                          <w:color w:val="000000" w:themeColor="text1"/>
                          <w:spacing w:val="-11"/>
                          <w:szCs w:val="32"/>
                          <w:highlight w:val="none"/>
                          <w14:textFill>
                            <w14:solidFill>
                              <w14:schemeClr w14:val="tx1"/>
                            </w14:solidFill>
                          </w14:textFill>
                        </w:rPr>
                        <w:t>专项采购</w:t>
                      </w:r>
                      <w:r>
                        <w:rPr>
                          <w:rFonts w:hint="eastAsia" w:asciiTheme="minorEastAsia" w:hAnsiTheme="minorEastAsia" w:eastAsiaTheme="minorEastAsia" w:cstheme="minorEastAsia"/>
                          <w:b/>
                          <w:color w:val="000000" w:themeColor="text1"/>
                          <w:spacing w:val="-11"/>
                          <w:szCs w:val="32"/>
                          <w:highlight w:val="none"/>
                          <w:lang w:eastAsia="zh-CN"/>
                          <w14:textFill>
                            <w14:solidFill>
                              <w14:schemeClr w14:val="tx1"/>
                            </w14:solidFill>
                          </w14:textFill>
                        </w:rPr>
                        <w:t>（</w:t>
                      </w:r>
                      <w:r>
                        <w:rPr>
                          <w:rFonts w:hint="eastAsia" w:asciiTheme="minorEastAsia" w:hAnsiTheme="minorEastAsia" w:eastAsiaTheme="minorEastAsia" w:cstheme="minorEastAsia"/>
                          <w:b/>
                          <w:color w:val="000000" w:themeColor="text1"/>
                          <w:spacing w:val="-11"/>
                          <w:szCs w:val="32"/>
                          <w:highlight w:val="none"/>
                          <w:lang w:val="en-US" w:eastAsia="zh-CN"/>
                          <w14:textFill>
                            <w14:solidFill>
                              <w14:schemeClr w14:val="tx1"/>
                            </w14:solidFill>
                          </w14:textFill>
                        </w:rPr>
                        <w:t>公开询比</w:t>
                      </w:r>
                      <w:r>
                        <w:rPr>
                          <w:rFonts w:hint="eastAsia" w:asciiTheme="minorEastAsia" w:hAnsiTheme="minorEastAsia" w:eastAsiaTheme="minorEastAsia" w:cstheme="minorEastAsia"/>
                          <w:b/>
                          <w:color w:val="000000" w:themeColor="text1"/>
                          <w:spacing w:val="-11"/>
                          <w:szCs w:val="32"/>
                          <w:highlight w:val="none"/>
                          <w:lang w:eastAsia="zh-CN"/>
                          <w14:textFill>
                            <w14:solidFill>
                              <w14:schemeClr w14:val="tx1"/>
                            </w14:solidFill>
                          </w14:textFill>
                        </w:rPr>
                        <w:t>）</w:t>
                      </w:r>
                    </w:p>
                  </w:txbxContent>
                </v:textbox>
              </v:shape>
            </w:pict>
          </mc:Fallback>
        </mc:AlternateContent>
      </w: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r>
        <w:rPr>
          <w:rFonts w:ascii="宋体" w:hAnsi="宋体" w:cs="宋体"/>
          <w:b w:val="0"/>
          <w:sz w:val="36"/>
          <w:szCs w:val="36"/>
          <w:highlight w:val="none"/>
        </w:rPr>
        <mc:AlternateContent>
          <mc:Choice Requires="wps">
            <w:drawing>
              <wp:anchor distT="0" distB="0" distL="114300" distR="114300" simplePos="0" relativeHeight="251660288" behindDoc="0" locked="0" layoutInCell="1" allowOverlap="1">
                <wp:simplePos x="0" y="0"/>
                <wp:positionH relativeFrom="column">
                  <wp:posOffset>-408940</wp:posOffset>
                </wp:positionH>
                <wp:positionV relativeFrom="paragraph">
                  <wp:posOffset>386080</wp:posOffset>
                </wp:positionV>
                <wp:extent cx="5742940" cy="1274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42940" cy="1274445"/>
                        </a:xfrm>
                        <a:prstGeom prst="rect">
                          <a:avLst/>
                        </a:prstGeom>
                        <a:noFill/>
                        <a:ln w="9525">
                          <a:noFill/>
                        </a:ln>
                        <a:effectLst/>
                      </wps:spPr>
                      <wps:txbx>
                        <w:txbxContent>
                          <w:p>
                            <w:pPr>
                              <w:spacing w:line="480" w:lineRule="exact"/>
                              <w:ind w:firstLine="1197" w:firstLineChars="400"/>
                              <w:jc w:val="right"/>
                              <w:rPr>
                                <w:rFonts w:hint="eastAsia" w:asciiTheme="minorEastAsia" w:hAnsiTheme="minorEastAsia" w:eastAsiaTheme="minorEastAsia" w:cstheme="minorEastAsia"/>
                                <w:b/>
                                <w:spacing w:val="-11"/>
                                <w:szCs w:val="32"/>
                              </w:rPr>
                            </w:pPr>
                            <w:r>
                              <w:rPr>
                                <w:rFonts w:hint="eastAsia" w:asciiTheme="minorEastAsia" w:hAnsiTheme="minorEastAsia" w:eastAsiaTheme="minorEastAsia" w:cstheme="minorEastAsia"/>
                                <w:b/>
                                <w:spacing w:val="-11"/>
                                <w:szCs w:val="32"/>
                              </w:rPr>
                              <w:t>技术规范书</w:t>
                            </w:r>
                          </w:p>
                          <w:p>
                            <w:pPr>
                              <w:jc w:val="center"/>
                            </w:pPr>
                          </w:p>
                        </w:txbxContent>
                      </wps:txbx>
                      <wps:bodyPr upright="1"/>
                    </wps:wsp>
                  </a:graphicData>
                </a:graphic>
              </wp:anchor>
            </w:drawing>
          </mc:Choice>
          <mc:Fallback>
            <w:pict>
              <v:shape id="_x0000_s1026" o:spid="_x0000_s1026" o:spt="202" type="#_x0000_t202" style="position:absolute;left:0pt;margin-left:-32.2pt;margin-top:30.4pt;height:100.35pt;width:452.2pt;z-index:251660288;mso-width-relative:page;mso-height-relative:page;" filled="f" stroked="f" coordsize="21600,21600" o:gfxdata="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Q2cxjXAAAACgEAAA8AAAAAAAAAAQAgAAAAIgAAAGRycy9kb3ducmV2LnhtbFBLAQIU&#10;ABQAAAAIAIdO4kARRFfwuwEAAGYDAAAOAAAAAAAAAAEAIAAAACYBAABkcnMvZTJvRG9jLnhtbFBL&#10;BQYAAAAABgAGAFkBAABTBQAAAAA=&#10;">
                <v:fill on="f" focussize="0,0"/>
                <v:stroke on="f"/>
                <v:imagedata o:title=""/>
                <o:lock v:ext="edit" aspectratio="f"/>
                <v:textbox>
                  <w:txbxContent>
                    <w:p>
                      <w:pPr>
                        <w:spacing w:line="480" w:lineRule="exact"/>
                        <w:ind w:firstLine="1197" w:firstLineChars="400"/>
                        <w:jc w:val="right"/>
                        <w:rPr>
                          <w:rFonts w:hint="eastAsia" w:asciiTheme="minorEastAsia" w:hAnsiTheme="minorEastAsia" w:eastAsiaTheme="minorEastAsia" w:cstheme="minorEastAsia"/>
                          <w:b/>
                          <w:spacing w:val="-11"/>
                          <w:szCs w:val="32"/>
                        </w:rPr>
                      </w:pPr>
                      <w:r>
                        <w:rPr>
                          <w:rFonts w:hint="eastAsia" w:asciiTheme="minorEastAsia" w:hAnsiTheme="minorEastAsia" w:eastAsiaTheme="minorEastAsia" w:cstheme="minorEastAsia"/>
                          <w:b/>
                          <w:spacing w:val="-11"/>
                          <w:szCs w:val="32"/>
                        </w:rPr>
                        <w:t>技术规范书</w:t>
                      </w:r>
                    </w:p>
                    <w:p>
                      <w:pPr>
                        <w:jc w:val="center"/>
                      </w:pPr>
                    </w:p>
                  </w:txbxContent>
                </v:textbox>
              </v:shape>
            </w:pict>
          </mc:Fallback>
        </mc:AlternateContent>
      </w: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pStyle w:val="14"/>
        <w:tabs>
          <w:tab w:val="right" w:leader="dot" w:pos="8296"/>
        </w:tabs>
        <w:jc w:val="center"/>
        <w:rPr>
          <w:rFonts w:hint="eastAsia" w:ascii="宋体" w:hAnsi="宋体" w:cs="宋体"/>
          <w:b w:val="0"/>
          <w:sz w:val="36"/>
          <w:szCs w:val="36"/>
          <w:highlight w:val="none"/>
        </w:rPr>
      </w:pPr>
    </w:p>
    <w:p>
      <w:pPr>
        <w:jc w:val="center"/>
        <w:rPr>
          <w:rFonts w:hint="default" w:asciiTheme="minorEastAsia" w:hAnsiTheme="minorEastAsia" w:eastAsiaTheme="minorEastAsia" w:cstheme="minorEastAsia"/>
          <w:b/>
          <w:sz w:val="28"/>
          <w:szCs w:val="28"/>
          <w:highlight w:val="none"/>
          <w:lang w:val="en-US" w:eastAsia="zh-CN"/>
        </w:rPr>
      </w:pPr>
      <w:r>
        <w:rPr>
          <w:rFonts w:hint="eastAsia" w:asciiTheme="minorEastAsia" w:hAnsiTheme="minorEastAsia" w:eastAsiaTheme="minorEastAsia" w:cstheme="minorEastAsia"/>
          <w:b/>
          <w:sz w:val="28"/>
          <w:szCs w:val="28"/>
          <w:highlight w:val="none"/>
          <w:lang w:val="en-US" w:eastAsia="zh-CN"/>
        </w:rPr>
        <w:t>云南送变电工程有限公司</w:t>
      </w:r>
    </w:p>
    <w:p>
      <w:pPr>
        <w:jc w:val="center"/>
        <w:rPr>
          <w:rFonts w:hint="eastAsia" w:asciiTheme="minorEastAsia" w:hAnsiTheme="minorEastAsia" w:eastAsiaTheme="minorEastAsia" w:cstheme="minorEastAsia"/>
          <w:b/>
          <w:color w:val="auto"/>
          <w:sz w:val="28"/>
          <w:szCs w:val="28"/>
          <w:highlight w:val="none"/>
        </w:rPr>
        <w:sectPr>
          <w:headerReference r:id="rId3" w:type="default"/>
          <w:footerReference r:id="rId4" w:type="default"/>
          <w:pgSz w:w="11906" w:h="16838"/>
          <w:pgMar w:top="1440" w:right="1800" w:bottom="1440" w:left="1800" w:header="851" w:footer="992" w:gutter="0"/>
          <w:cols w:space="720" w:num="1"/>
          <w:docGrid w:type="lines" w:linePitch="312" w:charSpace="0"/>
        </w:sectPr>
      </w:pPr>
      <w:r>
        <w:rPr>
          <w:rFonts w:hint="eastAsia" w:asciiTheme="minorEastAsia" w:hAnsiTheme="minorEastAsia" w:eastAsiaTheme="minorEastAsia" w:cstheme="minorEastAsia"/>
          <w:b/>
          <w:color w:val="auto"/>
          <w:sz w:val="28"/>
          <w:szCs w:val="28"/>
          <w:highlight w:val="none"/>
        </w:rPr>
        <w:t>202</w:t>
      </w:r>
      <w:r>
        <w:rPr>
          <w:rFonts w:hint="eastAsia" w:asciiTheme="minorEastAsia" w:hAnsiTheme="minorEastAsia" w:eastAsiaTheme="minorEastAsia" w:cstheme="minorEastAsia"/>
          <w:b/>
          <w:color w:val="auto"/>
          <w:sz w:val="28"/>
          <w:szCs w:val="28"/>
          <w:highlight w:val="none"/>
          <w:lang w:val="en-US" w:eastAsia="zh-CN"/>
        </w:rPr>
        <w:t>6</w:t>
      </w:r>
      <w:r>
        <w:rPr>
          <w:rFonts w:hint="eastAsia" w:asciiTheme="minorEastAsia" w:hAnsiTheme="minorEastAsia" w:eastAsiaTheme="minorEastAsia" w:cstheme="minorEastAsia"/>
          <w:b/>
          <w:color w:val="auto"/>
          <w:sz w:val="28"/>
          <w:szCs w:val="28"/>
          <w:highlight w:val="none"/>
        </w:rPr>
        <w:t>年</w:t>
      </w:r>
      <w:r>
        <w:rPr>
          <w:rFonts w:hint="eastAsia" w:asciiTheme="minorEastAsia" w:hAnsiTheme="minorEastAsia" w:eastAsiaTheme="minorEastAsia" w:cstheme="minorEastAsia"/>
          <w:b/>
          <w:color w:val="auto"/>
          <w:sz w:val="28"/>
          <w:szCs w:val="28"/>
          <w:highlight w:val="none"/>
          <w:lang w:val="en-US" w:eastAsia="zh-CN"/>
        </w:rPr>
        <w:t>04</w:t>
      </w:r>
      <w:r>
        <w:rPr>
          <w:rFonts w:hint="eastAsia" w:asciiTheme="minorEastAsia" w:hAnsiTheme="minorEastAsia" w:eastAsiaTheme="minorEastAsia" w:cstheme="minorEastAsia"/>
          <w:b/>
          <w:color w:val="auto"/>
          <w:sz w:val="28"/>
          <w:szCs w:val="28"/>
          <w:highlight w:val="none"/>
        </w:rPr>
        <w:t>月</w:t>
      </w:r>
    </w:p>
    <w:p>
      <w:pPr>
        <w:pStyle w:val="14"/>
        <w:tabs>
          <w:tab w:val="right" w:leader="dot" w:pos="8306"/>
        </w:tabs>
        <w:rPr>
          <w:highlight w:val="none"/>
        </w:rPr>
      </w:pPr>
    </w:p>
    <w:sdt>
      <w:sdtPr>
        <w:rPr>
          <w:rFonts w:ascii="宋体" w:hAnsi="宋体" w:eastAsia="宋体"/>
          <w:sz w:val="21"/>
          <w:highlight w:val="none"/>
        </w:rPr>
        <w:id w:val="147457089"/>
      </w:sdtPr>
      <w:sdtEndPr>
        <w:rPr>
          <w:rFonts w:ascii="Calibri" w:hAnsi="Calibri" w:eastAsia="宋体"/>
          <w:b/>
          <w:sz w:val="21"/>
          <w:highlight w:val="none"/>
        </w:rPr>
      </w:sdtEndPr>
      <w:sdtContent>
        <w:p>
          <w:pPr>
            <w:jc w:val="center"/>
            <w:rPr>
              <w:highlight w:val="none"/>
            </w:rPr>
          </w:pPr>
          <w:r>
            <w:rPr>
              <w:rFonts w:ascii="宋体" w:hAnsi="宋体" w:eastAsia="宋体"/>
              <w:sz w:val="21"/>
              <w:highlight w:val="none"/>
            </w:rPr>
            <w:t>目录</w:t>
          </w:r>
        </w:p>
        <w:p>
          <w:pPr>
            <w:pStyle w:val="14"/>
            <w:tabs>
              <w:tab w:val="right" w:leader="dot" w:pos="8303"/>
            </w:tabs>
          </w:pPr>
          <w:r>
            <w:rPr>
              <w:highlight w:val="none"/>
            </w:rPr>
            <w:fldChar w:fldCharType="begin"/>
          </w:r>
          <w:r>
            <w:rPr>
              <w:highlight w:val="none"/>
            </w:rPr>
            <w:instrText xml:space="preserve">TOC \o "1-2" \h \u </w:instrText>
          </w:r>
          <w:r>
            <w:rPr>
              <w:highlight w:val="none"/>
            </w:rPr>
            <w:fldChar w:fldCharType="separate"/>
          </w:r>
          <w:r>
            <w:rPr>
              <w:highlight w:val="none"/>
            </w:rPr>
            <w:fldChar w:fldCharType="begin"/>
          </w:r>
          <w:r>
            <w:rPr>
              <w:highlight w:val="none"/>
            </w:rPr>
            <w:instrText xml:space="preserve"> HYPERLINK \l _Toc5649 </w:instrText>
          </w:r>
          <w:r>
            <w:rPr>
              <w:highlight w:val="none"/>
            </w:rPr>
            <w:fldChar w:fldCharType="separate"/>
          </w:r>
          <w:r>
            <w:rPr>
              <w:rFonts w:hint="eastAsia" w:ascii="黑体" w:hAnsi="黑体" w:eastAsia="黑体" w:cs="黑体"/>
              <w:szCs w:val="32"/>
              <w:highlight w:val="none"/>
            </w:rPr>
            <w:t>一、采购内容</w:t>
          </w:r>
          <w:r>
            <w:tab/>
          </w:r>
          <w:r>
            <w:fldChar w:fldCharType="begin"/>
          </w:r>
          <w:r>
            <w:instrText xml:space="preserve"> PAGEREF _Toc5649 \h </w:instrText>
          </w:r>
          <w:r>
            <w:fldChar w:fldCharType="separate"/>
          </w:r>
          <w:r>
            <w:t>3</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_Toc21548 </w:instrText>
          </w:r>
          <w:r>
            <w:rPr>
              <w:highlight w:val="none"/>
            </w:rPr>
            <w:fldChar w:fldCharType="separate"/>
          </w:r>
          <w:r>
            <w:rPr>
              <w:rFonts w:hint="eastAsia" w:ascii="楷体" w:hAnsi="楷体" w:eastAsia="楷体" w:cs="楷体"/>
              <w:bCs/>
              <w:kern w:val="0"/>
              <w:szCs w:val="32"/>
            </w:rPr>
            <w:t xml:space="preserve">(一) </w:t>
          </w:r>
          <w:r>
            <w:rPr>
              <w:rFonts w:hint="eastAsia" w:ascii="楷体" w:hAnsi="楷体" w:eastAsia="楷体" w:cs="楷体"/>
              <w:bCs/>
              <w:kern w:val="0"/>
              <w:szCs w:val="32"/>
              <w:highlight w:val="none"/>
              <w:lang w:val="en-US" w:eastAsia="zh-CN"/>
            </w:rPr>
            <w:t>应急指挥中心会议系统</w:t>
          </w:r>
          <w:r>
            <w:tab/>
          </w:r>
          <w:r>
            <w:fldChar w:fldCharType="begin"/>
          </w:r>
          <w:r>
            <w:instrText xml:space="preserve"> PAGEREF _Toc21548 \h </w:instrText>
          </w:r>
          <w:r>
            <w:fldChar w:fldCharType="separate"/>
          </w:r>
          <w:r>
            <w:t>3</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_Toc28996 </w:instrText>
          </w:r>
          <w:r>
            <w:rPr>
              <w:highlight w:val="none"/>
            </w:rPr>
            <w:fldChar w:fldCharType="separate"/>
          </w:r>
          <w:r>
            <w:rPr>
              <w:rFonts w:hint="eastAsia" w:ascii="楷体" w:hAnsi="楷体" w:eastAsia="楷体" w:cs="楷体"/>
              <w:bCs/>
              <w:kern w:val="0"/>
              <w:szCs w:val="32"/>
            </w:rPr>
            <w:t xml:space="preserve">(二) </w:t>
          </w:r>
          <w:r>
            <w:rPr>
              <w:rFonts w:hint="eastAsia" w:ascii="楷体" w:hAnsi="楷体" w:eastAsia="楷体" w:cs="楷体"/>
              <w:bCs/>
              <w:kern w:val="0"/>
              <w:szCs w:val="32"/>
              <w:highlight w:val="none"/>
            </w:rPr>
            <w:t>会议中心一、二楼会议室</w:t>
          </w:r>
          <w:r>
            <w:tab/>
          </w:r>
          <w:r>
            <w:fldChar w:fldCharType="begin"/>
          </w:r>
          <w:r>
            <w:instrText xml:space="preserve"> PAGEREF _Toc28996 \h </w:instrText>
          </w:r>
          <w:r>
            <w:fldChar w:fldCharType="separate"/>
          </w:r>
          <w:r>
            <w:t>12</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_Toc13938 </w:instrText>
          </w:r>
          <w:r>
            <w:rPr>
              <w:highlight w:val="none"/>
            </w:rPr>
            <w:fldChar w:fldCharType="separate"/>
          </w:r>
          <w:r>
            <w:rPr>
              <w:rFonts w:hint="eastAsia" w:ascii="楷体" w:hAnsi="楷体" w:eastAsia="楷体" w:cs="楷体"/>
              <w:bCs/>
              <w:kern w:val="0"/>
              <w:szCs w:val="32"/>
            </w:rPr>
            <w:t xml:space="preserve">(三) </w:t>
          </w:r>
          <w:r>
            <w:rPr>
              <w:rFonts w:hint="eastAsia" w:ascii="楷体" w:hAnsi="楷体" w:eastAsia="楷体" w:cs="楷体"/>
              <w:bCs/>
              <w:kern w:val="0"/>
              <w:szCs w:val="32"/>
              <w:lang w:val="en-US" w:eastAsia="zh-CN"/>
            </w:rPr>
            <w:t>2号楼</w:t>
          </w:r>
          <w:r>
            <w:rPr>
              <w:rFonts w:hint="eastAsia" w:ascii="楷体" w:hAnsi="楷体" w:eastAsia="楷体" w:cs="楷体"/>
              <w:bCs/>
              <w:kern w:val="0"/>
              <w:szCs w:val="32"/>
              <w:highlight w:val="none"/>
            </w:rPr>
            <w:t>207会议室</w:t>
          </w:r>
          <w:r>
            <w:tab/>
          </w:r>
          <w:r>
            <w:fldChar w:fldCharType="begin"/>
          </w:r>
          <w:r>
            <w:instrText xml:space="preserve"> PAGEREF _Toc13938 \h </w:instrText>
          </w:r>
          <w:r>
            <w:fldChar w:fldCharType="separate"/>
          </w:r>
          <w:r>
            <w:t>14</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_Toc27000 </w:instrText>
          </w:r>
          <w:r>
            <w:rPr>
              <w:highlight w:val="none"/>
            </w:rPr>
            <w:fldChar w:fldCharType="separate"/>
          </w:r>
          <w:r>
            <w:rPr>
              <w:rFonts w:hint="eastAsia" w:ascii="楷体" w:hAnsi="楷体" w:eastAsia="楷体" w:cs="楷体"/>
              <w:kern w:val="0"/>
              <w:szCs w:val="32"/>
            </w:rPr>
            <w:t xml:space="preserve">(四) </w:t>
          </w:r>
          <w:r>
            <w:rPr>
              <w:rFonts w:hint="eastAsia" w:ascii="楷体" w:hAnsi="楷体" w:eastAsia="楷体" w:cs="楷体"/>
              <w:kern w:val="0"/>
              <w:szCs w:val="32"/>
              <w:highlight w:val="none"/>
            </w:rPr>
            <w:t>会议室</w:t>
          </w:r>
          <w:r>
            <w:rPr>
              <w:rFonts w:hint="eastAsia" w:ascii="楷体" w:hAnsi="楷体" w:eastAsia="楷体" w:cs="楷体"/>
              <w:kern w:val="0"/>
              <w:szCs w:val="32"/>
              <w:highlight w:val="none"/>
              <w:lang w:val="en-US" w:eastAsia="zh-CN"/>
            </w:rPr>
            <w:t>扩音系统</w:t>
          </w:r>
          <w:r>
            <w:tab/>
          </w:r>
          <w:r>
            <w:fldChar w:fldCharType="begin"/>
          </w:r>
          <w:r>
            <w:instrText xml:space="preserve"> PAGEREF _Toc27000 \h </w:instrText>
          </w:r>
          <w:r>
            <w:fldChar w:fldCharType="separate"/>
          </w:r>
          <w:r>
            <w:t>27</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_Toc228 </w:instrText>
          </w:r>
          <w:r>
            <w:rPr>
              <w:highlight w:val="none"/>
            </w:rPr>
            <w:fldChar w:fldCharType="separate"/>
          </w:r>
          <w:r>
            <w:rPr>
              <w:rFonts w:hint="eastAsia" w:ascii="楷体" w:hAnsi="楷体" w:eastAsia="楷体" w:cs="楷体"/>
              <w:kern w:val="0"/>
              <w:szCs w:val="32"/>
            </w:rPr>
            <w:t xml:space="preserve">(五) </w:t>
          </w:r>
          <w:r>
            <w:rPr>
              <w:rFonts w:hint="eastAsia" w:ascii="楷体" w:hAnsi="楷体" w:eastAsia="楷体" w:cs="楷体"/>
              <w:kern w:val="0"/>
              <w:szCs w:val="32"/>
              <w:highlight w:val="none"/>
            </w:rPr>
            <w:t>集成实施服务</w:t>
          </w:r>
          <w:r>
            <w:tab/>
          </w:r>
          <w:r>
            <w:fldChar w:fldCharType="begin"/>
          </w:r>
          <w:r>
            <w:instrText xml:space="preserve"> PAGEREF _Toc228 \h </w:instrText>
          </w:r>
          <w:r>
            <w:fldChar w:fldCharType="separate"/>
          </w:r>
          <w:r>
            <w:t>27</w:t>
          </w:r>
          <w:r>
            <w:fldChar w:fldCharType="end"/>
          </w:r>
          <w:r>
            <w:rPr>
              <w:highlight w:val="none"/>
            </w:rPr>
            <w:fldChar w:fldCharType="end"/>
          </w:r>
        </w:p>
        <w:p>
          <w:pPr>
            <w:pStyle w:val="14"/>
            <w:tabs>
              <w:tab w:val="right" w:leader="dot" w:pos="8303"/>
            </w:tabs>
          </w:pPr>
          <w:r>
            <w:rPr>
              <w:highlight w:val="none"/>
            </w:rPr>
            <w:fldChar w:fldCharType="begin"/>
          </w:r>
          <w:r>
            <w:rPr>
              <w:highlight w:val="none"/>
            </w:rPr>
            <w:instrText xml:space="preserve"> HYPERLINK \l _Toc16532 </w:instrText>
          </w:r>
          <w:r>
            <w:rPr>
              <w:highlight w:val="none"/>
            </w:rPr>
            <w:fldChar w:fldCharType="separate"/>
          </w:r>
          <w:r>
            <w:rPr>
              <w:rFonts w:hint="eastAsia" w:ascii="黑体" w:hAnsi="黑体" w:eastAsia="黑体"/>
              <w:bCs/>
              <w:kern w:val="44"/>
              <w:szCs w:val="32"/>
            </w:rPr>
            <w:t xml:space="preserve">三、 </w:t>
          </w:r>
          <w:r>
            <w:rPr>
              <w:rFonts w:hint="eastAsia" w:ascii="黑体" w:hAnsi="黑体" w:eastAsia="黑体"/>
              <w:bCs/>
              <w:kern w:val="44"/>
              <w:szCs w:val="32"/>
              <w:highlight w:val="none"/>
            </w:rPr>
            <w:t>产品其他要求</w:t>
          </w:r>
          <w:r>
            <w:tab/>
          </w:r>
          <w:r>
            <w:fldChar w:fldCharType="begin"/>
          </w:r>
          <w:r>
            <w:instrText xml:space="preserve"> PAGEREF _Toc16532 \h </w:instrText>
          </w:r>
          <w:r>
            <w:fldChar w:fldCharType="separate"/>
          </w:r>
          <w:r>
            <w:t>31</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_Toc26973 </w:instrText>
          </w:r>
          <w:r>
            <w:rPr>
              <w:highlight w:val="none"/>
            </w:rPr>
            <w:fldChar w:fldCharType="separate"/>
          </w:r>
          <w:r>
            <w:rPr>
              <w:rFonts w:hint="eastAsia" w:ascii="楷体" w:hAnsi="楷体" w:eastAsia="楷体" w:cs="楷体"/>
              <w:bCs/>
              <w:kern w:val="0"/>
              <w:szCs w:val="32"/>
            </w:rPr>
            <w:t xml:space="preserve">(一) </w:t>
          </w:r>
          <w:r>
            <w:rPr>
              <w:rFonts w:hint="eastAsia" w:ascii="楷体" w:hAnsi="楷体" w:eastAsia="楷体" w:cs="楷体"/>
              <w:bCs/>
              <w:kern w:val="0"/>
              <w:szCs w:val="32"/>
              <w:highlight w:val="none"/>
            </w:rPr>
            <w:t>业绩要求</w:t>
          </w:r>
          <w:r>
            <w:tab/>
          </w:r>
          <w:r>
            <w:fldChar w:fldCharType="begin"/>
          </w:r>
          <w:r>
            <w:instrText xml:space="preserve"> PAGEREF _Toc26973 \h </w:instrText>
          </w:r>
          <w:r>
            <w:fldChar w:fldCharType="separate"/>
          </w:r>
          <w:r>
            <w:t>31</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_Toc2666 </w:instrText>
          </w:r>
          <w:r>
            <w:rPr>
              <w:highlight w:val="none"/>
            </w:rPr>
            <w:fldChar w:fldCharType="separate"/>
          </w:r>
          <w:r>
            <w:rPr>
              <w:rFonts w:hint="eastAsia" w:ascii="楷体" w:hAnsi="楷体" w:eastAsia="楷体" w:cs="楷体"/>
              <w:bCs/>
              <w:kern w:val="0"/>
              <w:szCs w:val="32"/>
            </w:rPr>
            <w:t xml:space="preserve">(二) </w:t>
          </w:r>
          <w:r>
            <w:rPr>
              <w:rFonts w:hint="eastAsia" w:ascii="楷体" w:hAnsi="楷体" w:eastAsia="楷体" w:cs="楷体"/>
              <w:bCs/>
              <w:kern w:val="0"/>
              <w:szCs w:val="32"/>
              <w:highlight w:val="none"/>
            </w:rPr>
            <w:t>安装调试要求</w:t>
          </w:r>
          <w:r>
            <w:tab/>
          </w:r>
          <w:r>
            <w:fldChar w:fldCharType="begin"/>
          </w:r>
          <w:r>
            <w:instrText xml:space="preserve"> PAGEREF _Toc2666 \h </w:instrText>
          </w:r>
          <w:r>
            <w:fldChar w:fldCharType="separate"/>
          </w:r>
          <w:r>
            <w:t>31</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_Toc7225 </w:instrText>
          </w:r>
          <w:r>
            <w:rPr>
              <w:highlight w:val="none"/>
            </w:rPr>
            <w:fldChar w:fldCharType="separate"/>
          </w:r>
          <w:r>
            <w:rPr>
              <w:rFonts w:hint="eastAsia" w:ascii="楷体" w:hAnsi="楷体" w:eastAsia="楷体" w:cs="楷体"/>
              <w:bCs/>
              <w:kern w:val="0"/>
              <w:szCs w:val="32"/>
            </w:rPr>
            <w:t xml:space="preserve">(三) </w:t>
          </w:r>
          <w:r>
            <w:rPr>
              <w:rFonts w:hint="eastAsia" w:ascii="楷体" w:hAnsi="楷体" w:eastAsia="楷体" w:cs="楷体"/>
              <w:bCs/>
              <w:kern w:val="0"/>
              <w:szCs w:val="32"/>
              <w:highlight w:val="none"/>
            </w:rPr>
            <w:t>质量保证</w:t>
          </w:r>
          <w:r>
            <w:tab/>
          </w:r>
          <w:r>
            <w:fldChar w:fldCharType="begin"/>
          </w:r>
          <w:r>
            <w:instrText xml:space="preserve"> PAGEREF _Toc7225 \h </w:instrText>
          </w:r>
          <w:r>
            <w:fldChar w:fldCharType="separate"/>
          </w:r>
          <w:r>
            <w:t>31</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_Toc29270 </w:instrText>
          </w:r>
          <w:r>
            <w:rPr>
              <w:highlight w:val="none"/>
            </w:rPr>
            <w:fldChar w:fldCharType="separate"/>
          </w:r>
          <w:r>
            <w:rPr>
              <w:rFonts w:hint="eastAsia" w:ascii="楷体" w:hAnsi="楷体" w:eastAsia="楷体" w:cs="楷体"/>
              <w:bCs/>
              <w:kern w:val="0"/>
              <w:szCs w:val="32"/>
            </w:rPr>
            <w:t xml:space="preserve">(四) </w:t>
          </w:r>
          <w:r>
            <w:rPr>
              <w:rFonts w:hint="eastAsia" w:ascii="楷体" w:hAnsi="楷体" w:eastAsia="楷体" w:cs="楷体"/>
              <w:bCs/>
              <w:kern w:val="0"/>
              <w:szCs w:val="32"/>
              <w:highlight w:val="none"/>
            </w:rPr>
            <w:t>售后服务</w:t>
          </w:r>
          <w:r>
            <w:tab/>
          </w:r>
          <w:r>
            <w:fldChar w:fldCharType="begin"/>
          </w:r>
          <w:r>
            <w:instrText xml:space="preserve"> PAGEREF _Toc29270 \h </w:instrText>
          </w:r>
          <w:r>
            <w:fldChar w:fldCharType="separate"/>
          </w:r>
          <w:r>
            <w:t>31</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_Toc19990 </w:instrText>
          </w:r>
          <w:r>
            <w:rPr>
              <w:highlight w:val="none"/>
            </w:rPr>
            <w:fldChar w:fldCharType="separate"/>
          </w:r>
          <w:r>
            <w:rPr>
              <w:rFonts w:hint="eastAsia" w:ascii="楷体" w:hAnsi="楷体" w:eastAsia="楷体" w:cs="楷体"/>
              <w:bCs/>
              <w:kern w:val="0"/>
              <w:szCs w:val="32"/>
            </w:rPr>
            <w:t xml:space="preserve">(五) </w:t>
          </w:r>
          <w:r>
            <w:rPr>
              <w:rFonts w:hint="eastAsia" w:ascii="楷体" w:hAnsi="楷体" w:eastAsia="楷体" w:cs="楷体"/>
              <w:bCs/>
              <w:kern w:val="0"/>
              <w:szCs w:val="32"/>
              <w:highlight w:val="none"/>
            </w:rPr>
            <w:t>培训服务要求</w:t>
          </w:r>
          <w:r>
            <w:tab/>
          </w:r>
          <w:r>
            <w:fldChar w:fldCharType="begin"/>
          </w:r>
          <w:r>
            <w:instrText xml:space="preserve"> PAGEREF _Toc19990 \h </w:instrText>
          </w:r>
          <w:r>
            <w:fldChar w:fldCharType="separate"/>
          </w:r>
          <w:r>
            <w:t>32</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_Toc24192 </w:instrText>
          </w:r>
          <w:r>
            <w:rPr>
              <w:highlight w:val="none"/>
            </w:rPr>
            <w:fldChar w:fldCharType="separate"/>
          </w:r>
          <w:r>
            <w:rPr>
              <w:rFonts w:hint="eastAsia" w:ascii="楷体" w:hAnsi="楷体" w:eastAsia="楷体" w:cs="楷体"/>
              <w:bCs/>
              <w:kern w:val="0"/>
              <w:szCs w:val="32"/>
            </w:rPr>
            <w:t xml:space="preserve">(六) </w:t>
          </w:r>
          <w:r>
            <w:rPr>
              <w:rFonts w:hint="eastAsia" w:ascii="楷体" w:hAnsi="楷体" w:eastAsia="楷体" w:cs="楷体"/>
              <w:bCs/>
              <w:kern w:val="0"/>
              <w:szCs w:val="32"/>
              <w:highlight w:val="none"/>
            </w:rPr>
            <w:t>知识成果要求</w:t>
          </w:r>
          <w:r>
            <w:tab/>
          </w:r>
          <w:r>
            <w:fldChar w:fldCharType="begin"/>
          </w:r>
          <w:r>
            <w:instrText xml:space="preserve"> PAGEREF _Toc24192 \h </w:instrText>
          </w:r>
          <w:r>
            <w:fldChar w:fldCharType="separate"/>
          </w:r>
          <w:r>
            <w:t>32</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_Toc18542 </w:instrText>
          </w:r>
          <w:r>
            <w:rPr>
              <w:highlight w:val="none"/>
            </w:rPr>
            <w:fldChar w:fldCharType="separate"/>
          </w:r>
          <w:r>
            <w:rPr>
              <w:rFonts w:hint="eastAsia" w:ascii="楷体" w:hAnsi="楷体" w:eastAsia="楷体" w:cs="楷体"/>
              <w:bCs/>
              <w:kern w:val="0"/>
              <w:szCs w:val="32"/>
            </w:rPr>
            <w:t xml:space="preserve">(七) </w:t>
          </w:r>
          <w:r>
            <w:rPr>
              <w:rFonts w:hint="eastAsia" w:ascii="楷体" w:hAnsi="楷体" w:eastAsia="楷体" w:cs="楷体"/>
              <w:bCs/>
              <w:kern w:val="0"/>
              <w:szCs w:val="32"/>
              <w:highlight w:val="none"/>
            </w:rPr>
            <w:t>验收要求</w:t>
          </w:r>
          <w:r>
            <w:tab/>
          </w:r>
          <w:r>
            <w:fldChar w:fldCharType="begin"/>
          </w:r>
          <w:r>
            <w:instrText xml:space="preserve"> PAGEREF _Toc18542 \h </w:instrText>
          </w:r>
          <w:r>
            <w:fldChar w:fldCharType="separate"/>
          </w:r>
          <w:r>
            <w:t>32</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_Toc26255 </w:instrText>
          </w:r>
          <w:r>
            <w:rPr>
              <w:highlight w:val="none"/>
            </w:rPr>
            <w:fldChar w:fldCharType="separate"/>
          </w:r>
          <w:r>
            <w:rPr>
              <w:rFonts w:hint="eastAsia" w:ascii="楷体" w:hAnsi="楷体" w:eastAsia="楷体" w:cs="楷体"/>
              <w:bCs/>
              <w:kern w:val="0"/>
              <w:szCs w:val="32"/>
            </w:rPr>
            <w:t xml:space="preserve">(八) </w:t>
          </w:r>
          <w:r>
            <w:rPr>
              <w:rFonts w:hint="eastAsia" w:ascii="楷体" w:hAnsi="楷体" w:eastAsia="楷体" w:cs="楷体"/>
              <w:bCs/>
              <w:kern w:val="0"/>
              <w:szCs w:val="32"/>
              <w:highlight w:val="none"/>
            </w:rPr>
            <w:t>保密要求</w:t>
          </w:r>
          <w:r>
            <w:tab/>
          </w:r>
          <w:r>
            <w:fldChar w:fldCharType="begin"/>
          </w:r>
          <w:r>
            <w:instrText xml:space="preserve"> PAGEREF _Toc26255 \h </w:instrText>
          </w:r>
          <w:r>
            <w:fldChar w:fldCharType="separate"/>
          </w:r>
          <w:r>
            <w:t>33</w:t>
          </w:r>
          <w:r>
            <w:fldChar w:fldCharType="end"/>
          </w:r>
          <w:r>
            <w:rPr>
              <w:highlight w:val="none"/>
            </w:rPr>
            <w:fldChar w:fldCharType="end"/>
          </w:r>
        </w:p>
        <w:p>
          <w:pPr>
            <w:pStyle w:val="15"/>
            <w:tabs>
              <w:tab w:val="right" w:leader="dot" w:pos="8303"/>
              <w:tab w:val="clear" w:pos="9180"/>
            </w:tabs>
          </w:pPr>
          <w:r>
            <w:rPr>
              <w:highlight w:val="none"/>
            </w:rPr>
            <w:fldChar w:fldCharType="begin"/>
          </w:r>
          <w:r>
            <w:rPr>
              <w:highlight w:val="none"/>
            </w:rPr>
            <w:instrText xml:space="preserve"> HYPERLINK \l _Toc12318 </w:instrText>
          </w:r>
          <w:r>
            <w:rPr>
              <w:highlight w:val="none"/>
            </w:rPr>
            <w:fldChar w:fldCharType="separate"/>
          </w:r>
          <w:r>
            <w:rPr>
              <w:rFonts w:hint="eastAsia" w:ascii="楷体" w:hAnsi="楷体" w:eastAsia="楷体" w:cs="楷体"/>
              <w:bCs/>
              <w:kern w:val="0"/>
              <w:szCs w:val="32"/>
            </w:rPr>
            <w:t xml:space="preserve">(九) </w:t>
          </w:r>
          <w:r>
            <w:rPr>
              <w:rFonts w:hint="eastAsia" w:ascii="楷体" w:hAnsi="楷体" w:eastAsia="楷体" w:cs="楷体"/>
              <w:bCs/>
              <w:kern w:val="0"/>
              <w:szCs w:val="32"/>
              <w:highlight w:val="none"/>
            </w:rPr>
            <w:t>网络安全要求</w:t>
          </w:r>
          <w:r>
            <w:tab/>
          </w:r>
          <w:r>
            <w:fldChar w:fldCharType="begin"/>
          </w:r>
          <w:r>
            <w:instrText xml:space="preserve"> PAGEREF _Toc12318 \h </w:instrText>
          </w:r>
          <w:r>
            <w:fldChar w:fldCharType="separate"/>
          </w:r>
          <w:r>
            <w:t>33</w:t>
          </w:r>
          <w:r>
            <w:fldChar w:fldCharType="end"/>
          </w:r>
          <w:r>
            <w:rPr>
              <w:highlight w:val="none"/>
            </w:rPr>
            <w:fldChar w:fldCharType="end"/>
          </w:r>
        </w:p>
        <w:p>
          <w:pPr>
            <w:jc w:val="center"/>
            <w:rPr>
              <w:rFonts w:hint="eastAsia" w:ascii="宋体" w:hAnsi="宋体" w:cs="宋体"/>
              <w:b/>
              <w:highlight w:val="none"/>
            </w:rPr>
          </w:pPr>
          <w:r>
            <w:rPr>
              <w:highlight w:val="none"/>
            </w:rPr>
            <w:fldChar w:fldCharType="end"/>
          </w:r>
        </w:p>
      </w:sdtContent>
    </w:sdt>
    <w:p>
      <w:pPr>
        <w:jc w:val="center"/>
        <w:rPr>
          <w:rFonts w:hint="eastAsia" w:ascii="宋体" w:hAnsi="宋体" w:cs="宋体"/>
          <w:b/>
          <w:highlight w:val="none"/>
        </w:rPr>
      </w:pPr>
    </w:p>
    <w:p>
      <w:pPr>
        <w:jc w:val="center"/>
        <w:rPr>
          <w:rFonts w:hint="eastAsia" w:ascii="宋体" w:hAnsi="宋体" w:cs="宋体"/>
          <w:b/>
          <w:highlight w:val="none"/>
        </w:rPr>
        <w:sectPr>
          <w:pgSz w:w="11906" w:h="16838"/>
          <w:pgMar w:top="1440" w:right="1803" w:bottom="1440" w:left="1800" w:header="851" w:footer="992" w:gutter="0"/>
          <w:cols w:space="720" w:num="1"/>
          <w:docGrid w:type="lines" w:linePitch="312" w:charSpace="0"/>
        </w:sectPr>
      </w:pPr>
    </w:p>
    <w:p>
      <w:pPr>
        <w:pStyle w:val="2"/>
        <w:spacing w:before="0" w:after="0" w:line="579" w:lineRule="auto"/>
        <w:ind w:left="0" w:leftChars="0" w:firstLine="643" w:firstLineChars="200"/>
        <w:rPr>
          <w:sz w:val="30"/>
          <w:szCs w:val="30"/>
          <w:highlight w:val="none"/>
        </w:rPr>
      </w:pPr>
      <w:bookmarkStart w:id="0" w:name="_Toc4728"/>
      <w:bookmarkStart w:id="1" w:name="_Toc25256"/>
      <w:bookmarkStart w:id="2" w:name="_Toc5649"/>
      <w:bookmarkStart w:id="3" w:name="_Toc295739486"/>
      <w:bookmarkStart w:id="4" w:name="_Toc296528151"/>
      <w:bookmarkStart w:id="5" w:name="_Toc295740484"/>
      <w:r>
        <w:rPr>
          <w:rFonts w:hint="eastAsia" w:ascii="黑体" w:hAnsi="黑体" w:eastAsia="黑体" w:cs="黑体"/>
          <w:sz w:val="32"/>
          <w:szCs w:val="32"/>
          <w:highlight w:val="none"/>
        </w:rPr>
        <w:t>一、采购内容</w:t>
      </w:r>
      <w:bookmarkEnd w:id="0"/>
      <w:bookmarkEnd w:id="1"/>
      <w:bookmarkEnd w:id="2"/>
      <w:bookmarkStart w:id="6" w:name="一"/>
      <w:bookmarkEnd w:id="6"/>
    </w:p>
    <w:p>
      <w:pPr>
        <w:widowControl/>
        <w:ind w:firstLine="640" w:firstLineChars="200"/>
        <w:textAlignment w:val="baseline"/>
        <w:rPr>
          <w:rFonts w:hint="default" w:ascii="仿宋" w:hAnsi="仿宋" w:cs="仿宋"/>
          <w:color w:val="FFC000" w:themeColor="accent4"/>
          <w:szCs w:val="32"/>
          <w:highlight w:val="none"/>
          <w:lang w:val="en-US"/>
          <w14:textFill>
            <w14:solidFill>
              <w14:schemeClr w14:val="accent4"/>
            </w14:solidFill>
          </w14:textFill>
        </w:rPr>
      </w:pPr>
      <w:r>
        <w:rPr>
          <w:rFonts w:hint="eastAsia" w:ascii="仿宋" w:hAnsi="仿宋" w:cs="仿宋"/>
          <w:szCs w:val="32"/>
          <w:highlight w:val="none"/>
        </w:rPr>
        <w:t>1.</w:t>
      </w:r>
      <w:r>
        <w:rPr>
          <w:rFonts w:hint="eastAsia" w:ascii="仿宋" w:hAnsi="仿宋" w:cs="仿宋"/>
          <w:kern w:val="0"/>
          <w:highlight w:val="none"/>
        </w:rPr>
        <w:t>202</w:t>
      </w:r>
      <w:r>
        <w:rPr>
          <w:rFonts w:hint="eastAsia" w:ascii="仿宋" w:hAnsi="仿宋" w:cs="仿宋"/>
          <w:kern w:val="0"/>
          <w:highlight w:val="none"/>
          <w:lang w:val="en-US" w:eastAsia="zh-CN"/>
        </w:rPr>
        <w:t>6</w:t>
      </w:r>
      <w:r>
        <w:rPr>
          <w:rFonts w:hint="eastAsia" w:ascii="仿宋" w:hAnsi="仿宋" w:cs="仿宋"/>
          <w:kern w:val="0"/>
          <w:highlight w:val="none"/>
        </w:rPr>
        <w:t>年云南送变电工程有限公司</w:t>
      </w:r>
      <w:r>
        <w:rPr>
          <w:rFonts w:hint="eastAsia" w:ascii="仿宋" w:hAnsi="仿宋" w:cs="仿宋"/>
          <w:kern w:val="0"/>
          <w:highlight w:val="none"/>
          <w:lang w:eastAsia="zh-CN"/>
        </w:rPr>
        <w:t>应急指挥中心等会议室改造</w:t>
      </w:r>
      <w:r>
        <w:rPr>
          <w:rFonts w:hint="eastAsia" w:ascii="仿宋" w:hAnsi="仿宋" w:cs="仿宋"/>
          <w:kern w:val="0"/>
          <w:highlight w:val="none"/>
          <w:lang w:val="en-US" w:eastAsia="zh-CN"/>
        </w:rPr>
        <w:t>项目涉及</w:t>
      </w:r>
      <w:r>
        <w:rPr>
          <w:rFonts w:hint="eastAsia" w:ascii="仿宋" w:hAnsi="仿宋" w:cs="仿宋"/>
          <w:kern w:val="0"/>
          <w:highlight w:val="none"/>
        </w:rPr>
        <w:t>应急指挥会议室</w:t>
      </w:r>
      <w:r>
        <w:rPr>
          <w:rFonts w:hint="eastAsia" w:ascii="仿宋" w:hAnsi="仿宋" w:cs="仿宋"/>
          <w:kern w:val="0"/>
          <w:highlight w:val="none"/>
          <w:lang w:eastAsia="zh-CN"/>
        </w:rPr>
        <w:t>、</w:t>
      </w:r>
      <w:r>
        <w:rPr>
          <w:rFonts w:hint="eastAsia" w:ascii="仿宋" w:hAnsi="仿宋" w:cs="仿宋"/>
          <w:kern w:val="0"/>
          <w:highlight w:val="none"/>
        </w:rPr>
        <w:t>207会议室</w:t>
      </w:r>
      <w:r>
        <w:rPr>
          <w:rFonts w:hint="eastAsia" w:ascii="仿宋" w:hAnsi="仿宋" w:cs="仿宋"/>
          <w:kern w:val="0"/>
          <w:highlight w:val="none"/>
          <w:lang w:val="en-US" w:eastAsia="zh-CN"/>
        </w:rPr>
        <w:t>会议系统设备</w:t>
      </w:r>
      <w:r>
        <w:rPr>
          <w:rFonts w:hint="eastAsia" w:ascii="仿宋" w:hAnsi="仿宋" w:cs="仿宋"/>
          <w:kern w:val="0"/>
          <w:highlight w:val="none"/>
        </w:rPr>
        <w:t>更新改造</w:t>
      </w:r>
      <w:r>
        <w:rPr>
          <w:rFonts w:hint="eastAsia" w:ascii="仿宋" w:hAnsi="仿宋" w:cs="仿宋"/>
          <w:kern w:val="0"/>
          <w:highlight w:val="none"/>
          <w:lang w:val="en-US" w:eastAsia="zh-CN"/>
        </w:rPr>
        <w:t>及会议中心一、二楼会议室会议系统设备新增，同时包含安装施工调试服务等。</w:t>
      </w:r>
    </w:p>
    <w:p>
      <w:pPr>
        <w:widowControl/>
        <w:ind w:firstLine="640" w:firstLineChars="200"/>
        <w:textAlignment w:val="baseline"/>
        <w:rPr>
          <w:rFonts w:hint="eastAsia" w:ascii="仿宋" w:hAnsi="仿宋" w:cs="仿宋"/>
          <w:kern w:val="0"/>
          <w:highlight w:val="none"/>
        </w:rPr>
      </w:pPr>
      <w:bookmarkStart w:id="7" w:name="_Toc6499"/>
      <w:bookmarkStart w:id="8" w:name="_Toc25077"/>
      <w:r>
        <w:rPr>
          <w:rFonts w:hint="eastAsia" w:ascii="仿宋" w:hAnsi="仿宋" w:cs="仿宋"/>
          <w:kern w:val="0"/>
          <w:highlight w:val="none"/>
        </w:rPr>
        <w:t>2</w:t>
      </w:r>
      <w:r>
        <w:rPr>
          <w:rFonts w:hint="eastAsia" w:ascii="仿宋" w:hAnsi="仿宋" w:cs="仿宋"/>
          <w:szCs w:val="32"/>
          <w:highlight w:val="none"/>
        </w:rPr>
        <w:t>.</w:t>
      </w:r>
      <w:r>
        <w:rPr>
          <w:rFonts w:hint="eastAsia" w:ascii="仿宋" w:hAnsi="仿宋" w:cs="仿宋"/>
          <w:kern w:val="0"/>
          <w:highlight w:val="none"/>
        </w:rPr>
        <w:t>项目地点</w:t>
      </w:r>
      <w:bookmarkEnd w:id="7"/>
      <w:r>
        <w:rPr>
          <w:rFonts w:hint="eastAsia" w:ascii="仿宋" w:hAnsi="仿宋" w:cs="仿宋"/>
          <w:kern w:val="0"/>
          <w:highlight w:val="none"/>
        </w:rPr>
        <w:t>：</w:t>
      </w:r>
      <w:r>
        <w:rPr>
          <w:rFonts w:hint="eastAsia" w:ascii="仿宋" w:hAnsi="仿宋" w:cs="仿宋"/>
          <w:szCs w:val="32"/>
          <w:highlight w:val="none"/>
        </w:rPr>
        <w:t>甲方指定地点。</w:t>
      </w:r>
    </w:p>
    <w:p>
      <w:pPr>
        <w:widowControl/>
        <w:ind w:firstLine="640" w:firstLineChars="200"/>
        <w:textAlignment w:val="baseline"/>
        <w:rPr>
          <w:rFonts w:hint="eastAsia" w:ascii="仿宋" w:hAnsi="仿宋" w:cs="仿宋"/>
          <w:kern w:val="0"/>
          <w:highlight w:val="none"/>
        </w:rPr>
      </w:pPr>
      <w:bookmarkStart w:id="9" w:name="_Toc9467"/>
      <w:bookmarkStart w:id="10" w:name="_Toc15007"/>
      <w:r>
        <w:rPr>
          <w:rFonts w:hint="eastAsia" w:ascii="仿宋" w:hAnsi="仿宋" w:cs="仿宋"/>
          <w:kern w:val="0"/>
          <w:highlight w:val="none"/>
        </w:rPr>
        <w:t>3.完工时间</w:t>
      </w:r>
      <w:bookmarkEnd w:id="9"/>
      <w:r>
        <w:rPr>
          <w:rFonts w:hint="eastAsia" w:ascii="仿宋" w:hAnsi="仿宋" w:cs="仿宋"/>
          <w:kern w:val="0"/>
          <w:highlight w:val="none"/>
        </w:rPr>
        <w:t>：</w:t>
      </w:r>
      <w:bookmarkEnd w:id="10"/>
      <w:r>
        <w:rPr>
          <w:rFonts w:hint="eastAsia" w:ascii="仿宋" w:hAnsi="仿宋" w:cs="仿宋"/>
          <w:kern w:val="0"/>
          <w:highlight w:val="none"/>
          <w:lang w:val="en-US" w:eastAsia="zh-CN"/>
        </w:rPr>
        <w:t>自合同签订后30日内完成供货，45日内完成调试安装。</w:t>
      </w:r>
    </w:p>
    <w:p>
      <w:pPr>
        <w:numPr>
          <w:ilvl w:val="1"/>
          <w:numId w:val="4"/>
        </w:numPr>
        <w:outlineLvl w:val="1"/>
        <w:rPr>
          <w:rFonts w:hint="eastAsia" w:ascii="楷体" w:hAnsi="楷体" w:eastAsia="楷体" w:cs="楷体"/>
          <w:b/>
          <w:bCs/>
          <w:color w:val="000000"/>
          <w:kern w:val="0"/>
          <w:szCs w:val="32"/>
          <w:highlight w:val="none"/>
        </w:rPr>
      </w:pPr>
      <w:bookmarkStart w:id="11" w:name="_Toc21548"/>
      <w:r>
        <w:rPr>
          <w:rFonts w:hint="eastAsia" w:ascii="楷体" w:hAnsi="楷体" w:eastAsia="楷体" w:cs="楷体"/>
          <w:b/>
          <w:bCs/>
          <w:color w:val="000000"/>
          <w:kern w:val="0"/>
          <w:szCs w:val="32"/>
          <w:highlight w:val="none"/>
          <w:lang w:val="en-US" w:eastAsia="zh-CN"/>
        </w:rPr>
        <w:t>应急指挥中心会议系统</w:t>
      </w:r>
      <w:bookmarkEnd w:id="11"/>
    </w:p>
    <w:p>
      <w:pPr>
        <w:pStyle w:val="8"/>
        <w:numPr>
          <w:ilvl w:val="0"/>
          <w:numId w:val="5"/>
        </w:numPr>
        <w:spacing w:before="156" w:after="156"/>
        <w:rPr>
          <w:rFonts w:hint="eastAsia"/>
          <w:sz w:val="28"/>
          <w:szCs w:val="28"/>
          <w:highlight w:val="none"/>
        </w:rPr>
      </w:pPr>
      <w:r>
        <w:rPr>
          <w:rFonts w:hint="eastAsia"/>
          <w:sz w:val="28"/>
          <w:szCs w:val="28"/>
          <w:highlight w:val="none"/>
        </w:rPr>
        <w:t>会议室功能定位：小型日常会议、视频会议、应急指挥、情报会商等。</w:t>
      </w:r>
    </w:p>
    <w:p>
      <w:pPr>
        <w:pStyle w:val="8"/>
        <w:numPr>
          <w:ilvl w:val="0"/>
          <w:numId w:val="5"/>
        </w:numPr>
        <w:spacing w:before="156" w:after="156"/>
        <w:rPr>
          <w:rFonts w:hint="eastAsia"/>
          <w:sz w:val="28"/>
          <w:szCs w:val="28"/>
          <w:highlight w:val="none"/>
        </w:rPr>
      </w:pPr>
      <w:r>
        <w:rPr>
          <w:rFonts w:hint="eastAsia"/>
          <w:sz w:val="28"/>
          <w:szCs w:val="28"/>
          <w:highlight w:val="none"/>
        </w:rPr>
        <w:t>会议室所使用的系统和设备：</w:t>
      </w:r>
      <w:r>
        <w:rPr>
          <w:rFonts w:hint="eastAsia" w:ascii="宋体" w:hAnsi="宋体"/>
          <w:sz w:val="28"/>
          <w:szCs w:val="28"/>
          <w:highlight w:val="none"/>
        </w:rPr>
        <w:t>扩声系统</w:t>
      </w:r>
      <w:r>
        <w:rPr>
          <w:rFonts w:hint="eastAsia" w:ascii="宋体" w:hAnsi="宋体"/>
          <w:sz w:val="28"/>
          <w:szCs w:val="28"/>
          <w:highlight w:val="none"/>
          <w:lang w:eastAsia="zh-CN"/>
        </w:rPr>
        <w:t>、</w:t>
      </w:r>
      <w:r>
        <w:rPr>
          <w:rFonts w:hint="eastAsia"/>
          <w:sz w:val="28"/>
          <w:szCs w:val="28"/>
          <w:highlight w:val="none"/>
          <w:lang w:val="en-US" w:eastAsia="zh-CN"/>
        </w:rPr>
        <w:t>数字会议系统</w:t>
      </w:r>
      <w:r>
        <w:rPr>
          <w:rFonts w:hint="eastAsia" w:ascii="宋体" w:hAnsi="宋体"/>
          <w:sz w:val="28"/>
          <w:szCs w:val="28"/>
          <w:highlight w:val="none"/>
          <w:lang w:val="en-US" w:eastAsia="zh-CN"/>
        </w:rPr>
        <w:t>等</w:t>
      </w:r>
      <w:r>
        <w:rPr>
          <w:rFonts w:hint="eastAsia"/>
          <w:sz w:val="28"/>
          <w:szCs w:val="28"/>
          <w:highlight w:val="none"/>
        </w:rPr>
        <w:t>。</w:t>
      </w:r>
    </w:p>
    <w:p>
      <w:pPr>
        <w:pStyle w:val="8"/>
        <w:numPr>
          <w:ilvl w:val="0"/>
          <w:numId w:val="5"/>
        </w:numPr>
        <w:spacing w:before="156" w:after="156"/>
        <w:rPr>
          <w:rFonts w:hint="eastAsia"/>
          <w:highlight w:val="none"/>
        </w:rPr>
      </w:pPr>
      <w:r>
        <w:rPr>
          <w:rFonts w:hint="eastAsia"/>
          <w:sz w:val="28"/>
          <w:szCs w:val="28"/>
          <w:highlight w:val="none"/>
        </w:rPr>
        <w:t>设备清单及技术参数要求</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
        <w:gridCol w:w="1580"/>
        <w:gridCol w:w="4677"/>
        <w:gridCol w:w="709"/>
        <w:gridCol w:w="7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trPr>
        <w:tc>
          <w:tcPr>
            <w:tcW w:w="542"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序号</w:t>
            </w:r>
          </w:p>
        </w:tc>
        <w:tc>
          <w:tcPr>
            <w:tcW w:w="158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textAlignment w:val="center"/>
              <w:outlineLvl w:val="9"/>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设备名称</w:t>
            </w:r>
          </w:p>
        </w:tc>
        <w:tc>
          <w:tcPr>
            <w:tcW w:w="4677"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textAlignment w:val="center"/>
              <w:outlineLvl w:val="9"/>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技术规格参数及性能要求</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数量</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5"/>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b/>
                <w:color w:val="auto"/>
                <w:sz w:val="20"/>
                <w:szCs w:val="20"/>
                <w:highlight w:val="none"/>
                <w:lang w:bidi="ar"/>
              </w:rPr>
              <w:t>一、扩声系统技术指标及要求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w:t>
            </w:r>
          </w:p>
        </w:tc>
        <w:tc>
          <w:tcPr>
            <w:tcW w:w="1580" w:type="dxa"/>
            <w:vAlign w:val="center"/>
          </w:tcPr>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57" w:beforeLines="50" w:after="157" w:afterLines="50" w:line="240" w:lineRule="auto"/>
              <w:ind w:leftChars="0"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b w:val="0"/>
                <w:color w:val="auto"/>
                <w:kern w:val="0"/>
                <w:sz w:val="20"/>
                <w:szCs w:val="20"/>
                <w:highlight w:val="none"/>
                <w:lang w:val="en-US" w:eastAsia="zh-CN" w:bidi="ar-SA"/>
              </w:rPr>
              <w:t>专业功放</w:t>
            </w:r>
          </w:p>
        </w:tc>
        <w:tc>
          <w:tcPr>
            <w:tcW w:w="4677" w:type="dxa"/>
          </w:tcPr>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1.标准≤1U机箱设计，采用D类数字功放设计方案。</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2.标准XLR输入接口，和LINK输出口。</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3.电源采用开关电源技术，效率高，有效的抑制电源谐波。</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4.内置智能削峰限幅器，支持开机软启动，防止开机时向电网吸收大电流，干扰其它用电设备。</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5.具有：过压保护，欠压保护，过流保护，直流保护，输出短路保护，温控风扇等功能。</w:t>
            </w:r>
          </w:p>
          <w:p>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6.输出功率：立体声@8Ω：≥200W×2；立体声@4Ω：≥400W×2。</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sz w:val="20"/>
                <w:szCs w:val="20"/>
                <w:highlight w:val="none"/>
                <w:lang w:eastAsia="zh-CN"/>
              </w:rPr>
            </w:pPr>
            <w:r>
              <w:rPr>
                <w:rFonts w:hint="eastAsia" w:ascii="仿宋" w:hAnsi="仿宋" w:eastAsia="仿宋" w:cs="仿宋"/>
                <w:color w:val="auto"/>
                <w:kern w:val="0"/>
                <w:sz w:val="20"/>
                <w:szCs w:val="20"/>
                <w:highlight w:val="none"/>
                <w:lang w:val="en-US" w:eastAsia="zh-CN" w:bidi="ar"/>
              </w:rPr>
              <w:t>2</w:t>
            </w:r>
          </w:p>
        </w:tc>
        <w:tc>
          <w:tcPr>
            <w:tcW w:w="788"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eastAsia="zh-CN"/>
              </w:rPr>
            </w:pPr>
            <w:r>
              <w:rPr>
                <w:rFonts w:hint="eastAsia" w:ascii="仿宋" w:hAnsi="仿宋" w:eastAsia="仿宋" w:cs="仿宋"/>
                <w:color w:val="auto"/>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w:t>
            </w:r>
          </w:p>
        </w:tc>
        <w:tc>
          <w:tcPr>
            <w:tcW w:w="1580"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音箱</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1.额定功率：≥100W</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2.峰值功率：≥400W</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3.频率范围（-10dB）：等同或优于90Hz-20KHz</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4.灵敏度(±3dB)：≥92dB</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5.低音单元：≥6.5""低音×1</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6.高音单元：≥3""纸盆高音×1</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7.产品尺寸(H×W×D)：360×210×210(mm)</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8.壁挂式安装</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sz w:val="20"/>
                <w:szCs w:val="20"/>
                <w:highlight w:val="none"/>
              </w:rPr>
            </w:pPr>
            <w:r>
              <w:rPr>
                <w:rFonts w:hint="eastAsia" w:ascii="仿宋" w:hAnsi="仿宋" w:eastAsia="仿宋" w:cs="仿宋"/>
                <w:color w:val="auto"/>
                <w:kern w:val="0"/>
                <w:sz w:val="20"/>
                <w:szCs w:val="20"/>
                <w:highlight w:val="none"/>
                <w:lang w:val="en-US" w:eastAsia="zh-CN" w:bidi="ar"/>
              </w:rPr>
              <w:t>4</w:t>
            </w:r>
          </w:p>
        </w:tc>
        <w:tc>
          <w:tcPr>
            <w:tcW w:w="788"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支架</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音箱壁装支架</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sz w:val="20"/>
                <w:szCs w:val="20"/>
                <w:highlight w:val="none"/>
                <w:lang w:eastAsia="zh-CN"/>
              </w:rPr>
            </w:pPr>
            <w:r>
              <w:rPr>
                <w:rFonts w:hint="eastAsia" w:ascii="仿宋" w:hAnsi="仿宋" w:eastAsia="仿宋" w:cs="仿宋"/>
                <w:color w:val="auto"/>
                <w:kern w:val="0"/>
                <w:sz w:val="20"/>
                <w:szCs w:val="20"/>
                <w:highlight w:val="none"/>
                <w:lang w:val="en-US" w:eastAsia="zh-CN" w:bidi="ar"/>
              </w:rPr>
              <w:t>4</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4</w:t>
            </w:r>
          </w:p>
        </w:tc>
        <w:tc>
          <w:tcPr>
            <w:tcW w:w="1580" w:type="dxa"/>
          </w:tcPr>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57" w:beforeLines="50" w:after="157" w:afterLines="50" w:line="240" w:lineRule="auto"/>
              <w:ind w:leftChars="0" w:firstLine="0" w:firstLineChars="0"/>
              <w:jc w:val="both"/>
              <w:textAlignment w:val="auto"/>
              <w:outlineLvl w:val="9"/>
              <w:rPr>
                <w:rFonts w:hint="eastAsia" w:ascii="仿宋" w:hAnsi="仿宋" w:eastAsia="仿宋" w:cs="仿宋"/>
                <w:color w:val="auto"/>
                <w:sz w:val="20"/>
                <w:szCs w:val="20"/>
                <w:highlight w:val="none"/>
              </w:rPr>
            </w:pPr>
            <w:r>
              <w:rPr>
                <w:rFonts w:hint="eastAsia" w:ascii="仿宋" w:hAnsi="仿宋" w:eastAsia="仿宋" w:cs="仿宋"/>
                <w:b w:val="0"/>
                <w:color w:val="auto"/>
                <w:kern w:val="0"/>
                <w:sz w:val="20"/>
                <w:szCs w:val="20"/>
                <w:highlight w:val="none"/>
                <w:lang w:val="en-US" w:eastAsia="zh-CN" w:bidi="ar-SA"/>
              </w:rPr>
              <w:t>调音台</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1.支持≥10路MIC输入兼容8路线路输入接口，支持≥2组立体声输入接口，≥4路RCA输入，话筒接口幻象电源：+48V。</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2.具有≥2组立体声输出、≥4路编组输出、≥4路辅助输出、≥1个耳机监听输出、≥1个接口双路效果输出、≥1组控制室输出、≥1组主混音断点插入、≥8个断点插入。</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3.内置≥24位DSP效果器，提供≥100种预设效果。</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4.具备≥15个60mm行程的高精密碳膜推子。</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5.内置USB声卡模块，支持连接电脑进行音乐播放和声音录音；内置MP3播放器，支持≥1个USB接口接U盘播放音乐。</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6.投标产品制造商具有符合GB/T31950标准的《诚信管理体系认证证书》（提供第三方认证机构颁发的在有效期内的证书复印件及证书编号在全国认证认可信息公共服务平台的查询结果截图作为证明材料）</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5</w:t>
            </w:r>
          </w:p>
        </w:tc>
        <w:tc>
          <w:tcPr>
            <w:tcW w:w="1580" w:type="dxa"/>
          </w:tcPr>
          <w:p>
            <w:pPr>
              <w:keepNext w:val="0"/>
              <w:keepLines w:val="0"/>
              <w:pageBreakBefore w:val="0"/>
              <w:widowControl w:val="0"/>
              <w:numPr>
                <w:ilvl w:val="0"/>
                <w:numId w:val="0"/>
              </w:numPr>
              <w:tabs>
                <w:tab w:val="left" w:pos="0"/>
              </w:tabs>
              <w:kinsoku/>
              <w:wordWrap/>
              <w:overflowPunct/>
              <w:topLinePunct w:val="0"/>
              <w:autoSpaceDE/>
              <w:autoSpaceDN/>
              <w:bidi w:val="0"/>
              <w:adjustRightInd/>
              <w:snapToGrid/>
              <w:spacing w:before="157" w:beforeLines="50" w:after="157" w:afterLines="50" w:line="240" w:lineRule="auto"/>
              <w:ind w:leftChars="0" w:firstLine="0" w:firstLineChars="0"/>
              <w:textAlignment w:val="auto"/>
              <w:outlineLvl w:val="9"/>
              <w:rPr>
                <w:rFonts w:hint="eastAsia" w:ascii="仿宋" w:hAnsi="仿宋" w:eastAsia="仿宋" w:cs="仿宋"/>
                <w:color w:val="auto"/>
                <w:sz w:val="20"/>
                <w:szCs w:val="20"/>
                <w:highlight w:val="none"/>
              </w:rPr>
            </w:pPr>
            <w:r>
              <w:rPr>
                <w:rFonts w:hint="eastAsia" w:ascii="仿宋" w:hAnsi="仿宋" w:eastAsia="仿宋" w:cs="仿宋"/>
                <w:b w:val="0"/>
                <w:color w:val="auto"/>
                <w:kern w:val="0"/>
                <w:sz w:val="20"/>
                <w:szCs w:val="20"/>
                <w:highlight w:val="none"/>
                <w:lang w:val="en-US" w:eastAsia="zh-CN" w:bidi="ar-SA"/>
              </w:rPr>
              <w:t>AI音箱处理器</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1.前面板采用钢化玻璃覆盖LED灯和IPS高清屏幕一体化设计，拥有≥12组LED数码管，每组有≥3种颜色和≥8个LED灯，实时显示输入输出通道的的电平值；≥2英寸IPS真彩显示屏；≥12个物理按键，配置设备参数；≥1个编码旋钮；后面板具有≥4路卡侬输入接口，采用平衡接法；≥8路卡侬输出接口，采用平衡接法；≥1路RJ45网口，≥1路RS485通讯接口，≥1个船型电源开关。（提供第三方检测机构出具的具有CMA或CNAS标志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2.支持测量≥WAVE、ASIO两种音频驱动声卡的声场曲线，并且能够调节幅度，相位1oct到48oct平滑程度，支持1到16平均点数，且能插入延时；实时显示幅度响应，相位响应以及相干度曲线。（提供第三方检测机构出具的具有CMA或CNAS标志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3.基于频率均衡法，PC客户端可以导入smaart曲线，自动生成FIR滤波器系数。也可以在自动生成完后调整最小相位和线性相位，以及目标曲线更改，实时显示拖动处理频率范围后的实际幅度/相位曲线。并且能够调节延时大小，满足现场需求。（提供第三方检测机构出具的具有CMA或CNAS标志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4.可以同时使用FIR和IIR这两种滤波器来生成校正需要的系数。</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5.设备自带编码旋钮和≥2.0英寸IPS屏幕配合使用，可用于控制和配置设备场景、静音、自动均衡、分频器、矩阵、增益、压缩器、噪声门、限幅器和延时器参数；并且可显示IP地址和当前电平状态。</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6.全矩阵可变增益混音：输入矩阵≥4×8，输出矩阵≥8×8，可将任何的输入通道发送到输出通道，将几个不相邻输出通道叠加混音至物理输出，并且每混音通道输入输出均可进行范围-72db到12db的增益调节。</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7.输入延时器可调范围≥2000ms，输出延时器可调范围≥2000ms。</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在最小相位FIR的处理全功能开启条件下，输入音频到输出音频延时≤388us；输入参量均衡器≥31段，输出参量均衡器≥8段，滤波器类型≥16种，可以调节峰值滤波器，一阶/二阶/可变Q高架/低架滤波器、陷波、一阶/二阶/可变Q高通/低通滤波器以及一阶/二阶可变Q全通滤波器。</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9.设备具有客户端软件，软件可以一键定位局域网内设备，被定位到的设备会在显示屏上显示定位信息；软件支持集中控制≥999台设备；可以安装在Windows7/10/11操作系统中。</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6</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both"/>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电源管理器</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1.配备LCD显示屏，支持显示温度信息，实时输入电压信息、时间信息、IP信息，定时任务信息。</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2.具有≥8路单通道≥10A电源输出插座，总输出电流≥30A，支持实时监控插座功率。</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3.具有≥2个10M/100M网口，≥2路RS-485接口，≥1路USB接口提供照明灯供电；配备≥1个监听扬声器，支持人声报警提示。（提供第三方检测机构出具的具有CMA或CNAS标志的检测报告扫描件或复印件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4.支持过载、短路保护功能；支持连接PC可视化界面进行远程操控；支持网络远程固件升级，支持主从机级联，支持通过一路网口接入局域网使用软件控制所有级联设备。</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5.具备对每一路电源输出进行定时编程，支持每路开关时序间隔动作延迟时间调节设置。</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6.支持实时检测设备温度，支持拓展外接温湿度传感器，显示外部环境温湿度。</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7.具备自定义设置电源锁开启后每个通道开启、关闭、保持关闭前状态；支持设置对应通道的上下限位值、对应的超限动作和动作延时，支持调节报警音量大小。</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8.支持电压、电流或温湿度超过限定值播放相应的人声报警，恢复正常时自动停止。</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9.支持通过主设备电源锁可一键开启或关闭所有从设备；支持独立控制每一路电源输出，支持一键全开或全关；支持一键紧急打开或者关闭全部电源。</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10.支持PC界面控制、定时控制、手动控制、串口控制方式。</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5"/>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kern w:val="0"/>
                <w:sz w:val="20"/>
                <w:szCs w:val="20"/>
                <w:highlight w:val="none"/>
                <w:lang w:bidi="ar"/>
              </w:rPr>
            </w:pPr>
            <w:r>
              <w:rPr>
                <w:rFonts w:hint="eastAsia" w:ascii="仿宋" w:hAnsi="仿宋" w:eastAsia="仿宋" w:cs="仿宋"/>
                <w:b/>
                <w:color w:val="auto"/>
                <w:sz w:val="20"/>
                <w:szCs w:val="20"/>
                <w:highlight w:val="none"/>
                <w:lang w:val="en-US" w:eastAsia="zh-CN" w:bidi="ar"/>
              </w:rPr>
              <w:t>二</w:t>
            </w:r>
            <w:r>
              <w:rPr>
                <w:rFonts w:hint="eastAsia" w:ascii="仿宋" w:hAnsi="仿宋" w:eastAsia="仿宋" w:cs="仿宋"/>
                <w:b/>
                <w:color w:val="auto"/>
                <w:sz w:val="20"/>
                <w:szCs w:val="20"/>
                <w:highlight w:val="none"/>
                <w:lang w:bidi="ar"/>
              </w:rPr>
              <w:t>、数字会议系统技术指标及要求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全数字会议系统主机</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1.支持≥4096台有线会议单元和≥300台无线会议单元同时接入管理使用；支持≥4396台会议单元同时参与会议议程（签到、表决、服务）以及发言控制。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2.主机兼容同时连接有线与无线会议单元，二者可并行使用；采用跨域音频同步技术，有线与无线会议单元音频的音频无缝混音输出。</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3.设备采用分段压缩混音处理技术和时钟同步传输技术，会议单元拾音到主机输出延时≤5ms。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4.设备具有≥1个USB接口；后面板具有≥2路RS-232接口、≥1路RS-485接口、≥4路RJ45通讯接口；具有≥1路RCA输入、≥1路卡侬输入、≥2路凤凰端子输入接口；≥1路RCA输出、≥1路卡侬输出、≥16路凤凰端子输出接口；≥1个拨码开关、≥1个接地柱。</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7.主机具有≥16通道音频分组输出接口；采用会议分区相控技术，可拆分≥16个独立的会议系统使用，也可以组成一个大型的会议系统使用，实现多种方式的会议室合并/拆分。</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8.支持主机U盘和客户端软件两种录音方式；搭配会议话筒和录音盒可以录制单个会议单元发言音频和录制所有会议单元混音发言音频。</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9.具有C/S、B/S管控架构，包括客户端、WEB端、本机全彩触摸屏、安卓手机/平板控制方式；通过客户端、WEB端可调节音频矩阵参数（包括EQ、音量、延时器、会议单元灵敏度）、≥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提供第三方检测机构出具的具有CMA或CNAS标识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10.WEB管理端具有切换个性化主题风格功能，可切换≥4种风格，可选简约主题、政务主题、时尚主题、活力主题，不同主题提供不同UI界面背景颜色。</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11.超大数据处理能力：系统支持≥24台会议单元同时发言，其中支持≥16台有线会议单元和≥8台无线会议单元同时发言；具有自定义会议单元发言人数功能，有线会议单元发言人数范围可设置为等同或优于1至16之间的任意数量；无线会议单元发言人数范围可设置为等同或优于1至8之间的任意数量。</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13.采用会议系统多环路检测及网络补给技术，实现会议单元手拉手链路出现故障时快速恢复，环路恢复时间≤5ms。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14.客户端、WEB端软件可运行于windows操作系统或国产操作系统或macOS系统或Ubuntu桌面版操作系统。（</w:t>
            </w:r>
            <w:r>
              <w:rPr>
                <w:rFonts w:hint="eastAsia" w:ascii="仿宋" w:hAnsi="仿宋" w:eastAsia="仿宋" w:cs="仿宋"/>
                <w:color w:val="auto"/>
                <w:sz w:val="20"/>
                <w:szCs w:val="20"/>
                <w:highlight w:val="none"/>
              </w:rPr>
              <w:t>提供第三方检测机构出具的具有CMA或CNAS标志的检测报告扫描件或复印件</w:t>
            </w:r>
            <w:r>
              <w:rPr>
                <w:rFonts w:hint="eastAsia" w:ascii="仿宋" w:hAnsi="仿宋" w:eastAsia="仿宋" w:cs="仿宋"/>
                <w:color w:val="auto"/>
                <w:kern w:val="0"/>
                <w:sz w:val="20"/>
                <w:szCs w:val="20"/>
                <w:highlight w:val="none"/>
              </w:rPr>
              <w:t>和软件界面截图作为该技术参数证明材料）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15.支持搭配会议话筒处理器使用，主机与话筒处理器之间通过网线连接方式传输音频，可以同时传输≥16路有线会议单元和≥8路无线会议单元发言的音频信号，并提供反馈抑制、智能混音以及自动增益音频调节处理功能。</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16.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提供第三方检测机构出具的具有CMA或CNAS标识的检测报告扫描件或复印件）</w:t>
            </w:r>
            <w:r>
              <w:rPr>
                <w:rFonts w:hint="eastAsia" w:ascii="仿宋" w:hAnsi="仿宋" w:eastAsia="仿宋" w:cs="仿宋"/>
                <w:color w:val="auto"/>
                <w:kern w:val="0"/>
                <w:sz w:val="20"/>
                <w:szCs w:val="20"/>
                <w:highlight w:val="none"/>
              </w:rPr>
              <w:br w:type="textWrapping"/>
            </w: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1</w:t>
            </w:r>
            <w:r>
              <w:rPr>
                <w:rFonts w:hint="eastAsia" w:ascii="仿宋" w:hAnsi="仿宋" w:cs="仿宋"/>
                <w:color w:val="auto"/>
                <w:kern w:val="0"/>
                <w:sz w:val="20"/>
                <w:szCs w:val="20"/>
                <w:highlight w:val="none"/>
                <w:lang w:val="en-US" w:eastAsia="zh-CN"/>
              </w:rPr>
              <w:t>7</w:t>
            </w:r>
            <w:r>
              <w:rPr>
                <w:rFonts w:hint="eastAsia" w:ascii="仿宋" w:hAnsi="仿宋" w:eastAsia="仿宋" w:cs="仿宋"/>
                <w:color w:val="auto"/>
                <w:kern w:val="0"/>
                <w:sz w:val="20"/>
                <w:szCs w:val="20"/>
                <w:highlight w:val="none"/>
              </w:rPr>
              <w:t>.投标产品制造商具有符合GB/T27922-2011标准的售后服务五星级服务认证证书（提供第三方认证机构颁发的在有效期内的证书扫描件或复印件、证书编号在全国认证认可信息公共服务平台的查询结果截图作为证明材料）</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2</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会议主席话筒</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1.采用心型指向性驻极体麦克风，要求内部具有DSP音频处理，没有“噗噗”的低频冲击声，内部具有反馈抑制功能，可有效地防止啸叫。</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2.采用≥128位AES加密技术，支持 WPA/WPA2 无线安全技术。</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3.支持触摸按键签到功能。具备优先权功能，可关闭正在发言的所有代表话筒。具有声控功能。具有发言计时和定时发言功能。</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4.具备TYPE-C口，可进行升级程序和在线充电，内置容量锂电池，电池容量≥4800mAh，可持续≥15小时发言。</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5.支持后台≥5段EQ调节功能。</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6.咪杆长度：380mm（黑色）</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200" w:firstLineChars="10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yellow"/>
              </w:rPr>
              <w:t>7.会议话筒需与原有的设备兼容适配，（原有设备品牌：itc型号：TF-M03300）接入原有设备使用（提供厂家兼容适配承诺函）。</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3</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会议话筒</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1.采用心型指向性驻极体麦克风，要求内部具有DSP音频处理；内部具有反馈抑制功能。</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2.采用≥128位AES加密技术，支持 WPA/WPA2 无线安全技术.</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3.支持触摸按键签到功能。具有声控功能。具有发言计时和定时发言功能。</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4.具备TYPE-C口，可进行升级程序和在线充电，内置容量锂电池，电池容量≥4800mAh，可持续≥15小时发言。</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5.支持后台≥5段EQ调节功能。</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6.咪杆长度：≤380mm（黑色）。</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yellow"/>
              </w:rPr>
              <w:t>7.会议话筒需与原有的设备兼容适配，（原有设备品牌：itc型号：TF-M03300）接入原有设备使用（提供厂家兼容适配承诺函）。</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default" w:ascii="仿宋" w:hAnsi="仿宋" w:eastAsia="仿宋" w:cs="仿宋"/>
                <w:color w:val="auto"/>
                <w:kern w:val="0"/>
                <w:sz w:val="20"/>
                <w:szCs w:val="20"/>
                <w:highlight w:val="none"/>
                <w:lang w:val="en-US" w:eastAsia="zh-CN" w:bidi="ar"/>
              </w:rPr>
            </w:pPr>
            <w:r>
              <w:rPr>
                <w:rFonts w:hint="eastAsia" w:ascii="仿宋" w:hAnsi="仿宋" w:cs="仿宋"/>
                <w:color w:val="auto"/>
                <w:kern w:val="0"/>
                <w:sz w:val="20"/>
                <w:szCs w:val="20"/>
                <w:highlight w:val="none"/>
                <w:lang w:val="en-US" w:eastAsia="zh-CN" w:bidi="ar"/>
              </w:rPr>
              <w:t>15</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4</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发射器</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1.遵从Wi-Fi 6协议标准（IEEE 802.11ax），向下兼容802.11a/b/g/n/ac/Wave2，支持MU-MIMO，允许AP同时接收多个终端发送数据，整机最大传输速率可达1.601Gbps</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2.支持OFDMA空间复用技术和1024QAM调制解调算法。</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3.支持中文SSID，可指定最长包含≥31个字符的SSID，也可以使用中英文混合的SSID</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4.支持WPA3安全协议。</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5.支持等同或优于80/160MHz的高带宽频段。</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6.投标产品制造商需具备专业的售后服务能力，具有GB/T27922-2011要求《售后服务管理师》合格证书的专业技术人员不少于2人。（提供证书复印件）</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default" w:ascii="仿宋" w:hAnsi="仿宋" w:eastAsia="仿宋" w:cs="仿宋"/>
                <w:color w:val="auto"/>
                <w:kern w:val="0"/>
                <w:sz w:val="20"/>
                <w:szCs w:val="20"/>
                <w:highlight w:val="none"/>
                <w:lang w:val="en-US" w:eastAsia="zh-CN" w:bidi="ar"/>
              </w:rPr>
            </w:pPr>
            <w:r>
              <w:rPr>
                <w:rFonts w:hint="eastAsia" w:ascii="仿宋" w:hAnsi="仿宋" w:cs="仿宋"/>
                <w:color w:val="auto"/>
                <w:kern w:val="0"/>
                <w:sz w:val="20"/>
                <w:szCs w:val="20"/>
                <w:highlight w:val="none"/>
                <w:lang w:val="en-US" w:eastAsia="zh-CN" w:bidi="ar"/>
              </w:rPr>
              <w:t>4</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5</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充电箱</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1.充电箱具有≥10个USB接口，支持使用USB线充电，提供5V/9V供电。一端连接充电器一端连接会议单元,支持≥18W快充。支持同时插满所有USB接口。</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2.根据设备的耐受电流大小充电器会自动匹配合适的电流大小给设备充电，同时有过流保护功能。</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3.智能自动电路保护，所有USB插口均具有短路保护功能和自恢复功能。</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default" w:ascii="仿宋" w:hAnsi="仿宋" w:eastAsia="仿宋" w:cs="仿宋"/>
                <w:color w:val="auto"/>
                <w:kern w:val="0"/>
                <w:sz w:val="20"/>
                <w:szCs w:val="20"/>
                <w:highlight w:val="none"/>
                <w:lang w:val="en-US" w:eastAsia="zh-CN" w:bidi="ar"/>
              </w:rPr>
            </w:pPr>
            <w:r>
              <w:rPr>
                <w:rFonts w:hint="eastAsia" w:ascii="仿宋" w:hAnsi="仿宋" w:cs="仿宋"/>
                <w:color w:val="auto"/>
                <w:kern w:val="0"/>
                <w:sz w:val="20"/>
                <w:szCs w:val="20"/>
                <w:highlight w:val="none"/>
                <w:lang w:val="en-US" w:eastAsia="zh-CN" w:bidi="ar"/>
              </w:rPr>
              <w:t>4</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6</w:t>
            </w:r>
          </w:p>
        </w:tc>
        <w:tc>
          <w:tcPr>
            <w:tcW w:w="1580" w:type="dxa"/>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会议话筒处理器</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2.具有≥1个RS485、≥1个RS232接口，可对接摄像机实现摄像跟踪功能；内置≥64个话筒预置位，满足大型会议室摄像跟踪需求。</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3.后面板具有≥1个船形开关、≥4个RJ45、≥1个RS485、≥2个RS232、≥1个TYPE-C接口、≥1个拨码开关、≥1路卡侬输出接口和≥2路RCA输出接口；前面板具有≥1个AFC电容触摸开关；≥4个状态指示灯（包括≥1个AFC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功能状态指示灯、≥1个音频信号灯、≥1个处理器工作状态指示灯、≥1个工作电源指示灯）。（提供第三方检测机构出具的具有CMA或CNAS标志的检测报告扫描件或复印件作为该技术参数证明材料）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4.处理器与数字会议主机通过网络传输链路传输会议单元音频信号，只需要通过网线即可以接收数字会议单元音频信号，并提供自动增益、自动混音、AFC反馈抑制（≥24个可编程陷波点）、EQ调节（≥31段图示均衡器调节）音频处理功能。（提供第三方检测机构出具的具有CMA或CNAS标志的检测报告扫描件或复印件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5.采用啸叫检测门限更新法，移频+陷波组合反馈抑制方式，具有≥24个可编程陷波点，可自由分配动态/静态点，自动/手动切换。</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6.产品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提供第三方检测机构出具的具有CMA或CNAS标志的检测报告扫描件或复印件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7</w:t>
            </w:r>
            <w:r>
              <w:rPr>
                <w:rFonts w:hint="eastAsia" w:ascii="仿宋" w:hAnsi="仿宋" w:eastAsia="仿宋" w:cs="仿宋"/>
                <w:color w:val="auto"/>
                <w:sz w:val="20"/>
                <w:szCs w:val="20"/>
                <w:highlight w:val="none"/>
              </w:rPr>
              <w:t>.支持通过在线服务小程序提交售前、售中或售后问题，厂家客服人员在线或回电及时解答。（提供功能界面截图佐证）</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8</w:t>
            </w:r>
            <w:r>
              <w:rPr>
                <w:rFonts w:hint="eastAsia" w:ascii="仿宋" w:hAnsi="仿宋" w:eastAsia="仿宋" w:cs="仿宋"/>
                <w:color w:val="auto"/>
                <w:sz w:val="20"/>
                <w:szCs w:val="20"/>
                <w:highlight w:val="none"/>
              </w:rPr>
              <w:t>.可提交的服务类型包括“维护”、“指导调试”、“指导安装”、“指导布线”、“远程调试”、“400电话”等类别可选。（提供功能界面截图佐证）</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9</w:t>
            </w:r>
            <w:r>
              <w:rPr>
                <w:rFonts w:hint="eastAsia" w:ascii="仿宋" w:hAnsi="仿宋" w:eastAsia="仿宋" w:cs="仿宋"/>
                <w:color w:val="auto"/>
                <w:sz w:val="20"/>
                <w:szCs w:val="20"/>
                <w:highlight w:val="none"/>
              </w:rPr>
              <w:t>.可通过在线服务小程序实时查询处理进度，具有“待处理”、“处理中”及“已处理”等版块。（提供功能界面截图佐证）</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10</w:t>
            </w:r>
            <w:r>
              <w:rPr>
                <w:rFonts w:hint="eastAsia" w:ascii="仿宋" w:hAnsi="仿宋" w:eastAsia="仿宋" w:cs="仿宋"/>
                <w:color w:val="auto"/>
                <w:sz w:val="20"/>
                <w:szCs w:val="20"/>
                <w:highlight w:val="none"/>
              </w:rPr>
              <w:t>.“已处理”版块具有历史记录功能，可通过联系电话搜索历史条目，条目信息记录申请人姓名、联系电话、申请时间、问题描述、处理状态、处理人、处理用时和处理后信息反馈。并且具有“再次申请”功能。（提供功能界面截图佐证）</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gridSpan w:val="5"/>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kern w:val="0"/>
                <w:sz w:val="20"/>
                <w:szCs w:val="20"/>
                <w:highlight w:val="none"/>
                <w:lang w:bidi="ar"/>
              </w:rPr>
            </w:pPr>
            <w:r>
              <w:rPr>
                <w:rFonts w:hint="eastAsia" w:ascii="仿宋" w:hAnsi="仿宋" w:eastAsia="仿宋" w:cs="仿宋"/>
                <w:b/>
                <w:color w:val="auto"/>
                <w:sz w:val="20"/>
                <w:szCs w:val="20"/>
                <w:highlight w:val="none"/>
                <w:lang w:val="en-US" w:eastAsia="zh-CN" w:bidi="ar"/>
              </w:rPr>
              <w:t>三、辅助材料技术指标及要求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1</w:t>
            </w:r>
          </w:p>
        </w:tc>
        <w:tc>
          <w:tcPr>
            <w:tcW w:w="1580" w:type="dxa"/>
            <w:shd w:val="clear" w:color="auto" w:fill="auto"/>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音频连接线1</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1.8米音频连接线：卡侬头（母）-卡侬头（公）</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6</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2</w:t>
            </w:r>
          </w:p>
        </w:tc>
        <w:tc>
          <w:tcPr>
            <w:tcW w:w="1580" w:type="dxa"/>
            <w:shd w:val="clear" w:color="auto" w:fill="auto"/>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音频连接线2</w:t>
            </w:r>
          </w:p>
        </w:tc>
        <w:tc>
          <w:tcPr>
            <w:tcW w:w="4677" w:type="dxa"/>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1.8米音频连接线：卡农头（母）-空</w:t>
            </w:r>
          </w:p>
        </w:tc>
        <w:tc>
          <w:tcPr>
            <w:tcW w:w="70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2</w:t>
            </w:r>
          </w:p>
        </w:tc>
        <w:tc>
          <w:tcPr>
            <w:tcW w:w="788"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3</w:t>
            </w:r>
          </w:p>
        </w:tc>
        <w:tc>
          <w:tcPr>
            <w:tcW w:w="0" w:type="auto"/>
            <w:shd w:val="clear" w:color="auto" w:fill="auto"/>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音频连接线3</w:t>
            </w:r>
          </w:p>
        </w:tc>
        <w:tc>
          <w:tcPr>
            <w:tcW w:w="0" w:type="auto"/>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1.8米音频连接线：卡农头（公）-空</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4</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4</w:t>
            </w:r>
          </w:p>
        </w:tc>
        <w:tc>
          <w:tcPr>
            <w:tcW w:w="0" w:type="auto"/>
            <w:shd w:val="clear" w:color="auto" w:fill="auto"/>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音频连接线4</w:t>
            </w:r>
          </w:p>
        </w:tc>
        <w:tc>
          <w:tcPr>
            <w:tcW w:w="0" w:type="auto"/>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1.8米音频连接线：6.35话筒插头-空</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2</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5</w:t>
            </w:r>
          </w:p>
        </w:tc>
        <w:tc>
          <w:tcPr>
            <w:tcW w:w="0" w:type="auto"/>
            <w:shd w:val="clear" w:color="auto" w:fill="auto"/>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音频连接线5</w:t>
            </w:r>
          </w:p>
        </w:tc>
        <w:tc>
          <w:tcPr>
            <w:tcW w:w="0" w:type="auto"/>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1.8米音频连接线：6.35话筒插头-卡侬头（公）</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2</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6</w:t>
            </w:r>
          </w:p>
        </w:tc>
        <w:tc>
          <w:tcPr>
            <w:tcW w:w="0" w:type="auto"/>
            <w:shd w:val="clear" w:color="auto" w:fill="auto"/>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音频连接线6</w:t>
            </w:r>
          </w:p>
        </w:tc>
        <w:tc>
          <w:tcPr>
            <w:tcW w:w="0" w:type="auto"/>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5米音频连接线：3.5（耳机插头）-双6.35话筒插头</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val="en-US" w:eastAsia="zh-CN" w:bidi="ar"/>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jc w:val="center"/>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7</w:t>
            </w:r>
          </w:p>
        </w:tc>
        <w:tc>
          <w:tcPr>
            <w:tcW w:w="0" w:type="auto"/>
            <w:shd w:val="clear" w:color="auto" w:fill="auto"/>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音频隔离器</w:t>
            </w:r>
          </w:p>
        </w:tc>
        <w:tc>
          <w:tcPr>
            <w:tcW w:w="0" w:type="auto"/>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1.一款双通道音频隔离器。</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2.低底噪、无50Hz交流“嗡”声、无高频“嗞啦”干扰。</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3.点对点平衡传输音频，可以选择前面板2个接口中的任意一个COMBO接口输入，从后面板对应COMBO接口输出。</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4.即插即用，支持热插拨。</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5.隔离滤波音频传输最远传输信号等同或优于450－600米。</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6.内置瞬态、浪涌抑制、抗静电保护电路。</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7.具有≥2路XLR输入；具有≥2路XLR输出。</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val="en-US" w:eastAsia="zh-CN" w:bidi="ar"/>
              </w:rPr>
            </w:pPr>
            <w:r>
              <w:rPr>
                <w:rFonts w:hint="eastAsia" w:ascii="仿宋" w:hAnsi="仿宋" w:eastAsia="仿宋" w:cs="仿宋"/>
                <w:color w:val="auto"/>
                <w:kern w:val="0"/>
                <w:sz w:val="20"/>
                <w:szCs w:val="20"/>
                <w:highlight w:val="none"/>
                <w:lang w:val="en-US" w:eastAsia="zh-CN" w:bidi="ar"/>
              </w:rPr>
              <w:t>1</w:t>
            </w:r>
          </w:p>
        </w:tc>
        <w:tc>
          <w:tcPr>
            <w:tcW w:w="0" w:type="auto"/>
          </w:tcPr>
          <w:p>
            <w:pPr>
              <w:keepNext w:val="0"/>
              <w:keepLines w:val="0"/>
              <w:pageBreakBefore w:val="0"/>
              <w:widowControl/>
              <w:kinsoku/>
              <w:wordWrap/>
              <w:overflowPunct/>
              <w:topLinePunct w:val="0"/>
              <w:autoSpaceDE/>
              <w:autoSpaceDN/>
              <w:bidi w:val="0"/>
              <w:adjustRightInd/>
              <w:snapToGrid/>
              <w:spacing w:before="157" w:beforeLines="50" w:after="157" w:afterLines="50" w:line="240" w:lineRule="auto"/>
              <w:ind w:firstLine="0" w:firstLineChars="0"/>
              <w:jc w:val="center"/>
              <w:textAlignment w:val="center"/>
              <w:outlineLvl w:val="9"/>
              <w:rPr>
                <w:rFonts w:hint="eastAsia" w:ascii="仿宋" w:hAnsi="仿宋" w:eastAsia="仿宋" w:cs="仿宋"/>
                <w:color w:val="auto"/>
                <w:kern w:val="0"/>
                <w:sz w:val="20"/>
                <w:szCs w:val="20"/>
                <w:highlight w:val="none"/>
                <w:lang w:bidi="ar"/>
              </w:rPr>
            </w:pPr>
            <w:r>
              <w:rPr>
                <w:rFonts w:hint="eastAsia" w:ascii="仿宋" w:hAnsi="仿宋" w:eastAsia="仿宋" w:cs="仿宋"/>
                <w:color w:val="auto"/>
                <w:kern w:val="0"/>
                <w:sz w:val="20"/>
                <w:szCs w:val="20"/>
                <w:highlight w:val="none"/>
                <w:lang w:val="en-US" w:eastAsia="zh-CN" w:bidi="ar"/>
              </w:rPr>
              <w:t>根</w:t>
            </w:r>
          </w:p>
        </w:tc>
      </w:tr>
    </w:tbl>
    <w:p>
      <w:pPr>
        <w:rPr>
          <w:highlight w:val="none"/>
        </w:rPr>
      </w:pPr>
    </w:p>
    <w:p>
      <w:pPr>
        <w:numPr>
          <w:ilvl w:val="1"/>
          <w:numId w:val="4"/>
        </w:numPr>
        <w:outlineLvl w:val="1"/>
        <w:rPr>
          <w:rFonts w:hint="eastAsia" w:ascii="楷体" w:hAnsi="楷体" w:eastAsia="楷体" w:cs="楷体"/>
          <w:b/>
          <w:bCs/>
          <w:color w:val="000000"/>
          <w:kern w:val="0"/>
          <w:szCs w:val="32"/>
          <w:highlight w:val="none"/>
        </w:rPr>
      </w:pPr>
      <w:bookmarkStart w:id="12" w:name="_Toc28996"/>
      <w:r>
        <w:rPr>
          <w:rFonts w:hint="eastAsia" w:ascii="楷体" w:hAnsi="楷体" w:eastAsia="楷体" w:cs="楷体"/>
          <w:b/>
          <w:bCs/>
          <w:color w:val="000000"/>
          <w:kern w:val="0"/>
          <w:szCs w:val="32"/>
          <w:highlight w:val="none"/>
        </w:rPr>
        <w:t>会议中心一、二楼会议室</w:t>
      </w:r>
      <w:bookmarkEnd w:id="12"/>
    </w:p>
    <w:p>
      <w:pPr>
        <w:pStyle w:val="8"/>
        <w:numPr>
          <w:ilvl w:val="0"/>
          <w:numId w:val="6"/>
        </w:numPr>
        <w:spacing w:before="156" w:after="156"/>
        <w:rPr>
          <w:rFonts w:hint="eastAsia"/>
          <w:sz w:val="28"/>
          <w:szCs w:val="28"/>
          <w:highlight w:val="none"/>
        </w:rPr>
      </w:pPr>
      <w:r>
        <w:rPr>
          <w:rFonts w:hint="eastAsia"/>
          <w:sz w:val="28"/>
          <w:szCs w:val="28"/>
          <w:highlight w:val="none"/>
        </w:rPr>
        <w:t>会议室功能定位：小型日常会议、培训、视频会议。</w:t>
      </w:r>
    </w:p>
    <w:p>
      <w:pPr>
        <w:pStyle w:val="8"/>
        <w:numPr>
          <w:ilvl w:val="0"/>
          <w:numId w:val="6"/>
        </w:numPr>
        <w:spacing w:before="156" w:after="156"/>
        <w:rPr>
          <w:rFonts w:hint="eastAsia"/>
          <w:sz w:val="28"/>
          <w:szCs w:val="28"/>
          <w:highlight w:val="none"/>
        </w:rPr>
      </w:pPr>
      <w:r>
        <w:rPr>
          <w:rFonts w:hint="eastAsia"/>
          <w:sz w:val="28"/>
          <w:szCs w:val="28"/>
          <w:highlight w:val="none"/>
        </w:rPr>
        <w:t>会议室所使用的系统及设备：</w:t>
      </w:r>
      <w:r>
        <w:rPr>
          <w:rFonts w:hint="eastAsia"/>
          <w:sz w:val="28"/>
          <w:szCs w:val="28"/>
          <w:highlight w:val="none"/>
          <w:lang w:val="en-US" w:eastAsia="zh-CN"/>
        </w:rPr>
        <w:t>扩声系统</w:t>
      </w:r>
      <w:r>
        <w:rPr>
          <w:rFonts w:hint="eastAsia"/>
          <w:sz w:val="28"/>
          <w:szCs w:val="28"/>
          <w:highlight w:val="none"/>
        </w:rPr>
        <w:t>。</w:t>
      </w:r>
    </w:p>
    <w:p>
      <w:pPr>
        <w:pStyle w:val="8"/>
        <w:numPr>
          <w:ilvl w:val="0"/>
          <w:numId w:val="6"/>
        </w:numPr>
        <w:spacing w:before="156" w:after="156"/>
        <w:rPr>
          <w:rFonts w:hint="eastAsia"/>
          <w:sz w:val="28"/>
          <w:szCs w:val="28"/>
          <w:highlight w:val="none"/>
        </w:rPr>
      </w:pPr>
      <w:r>
        <w:rPr>
          <w:rFonts w:hint="eastAsia"/>
          <w:sz w:val="28"/>
          <w:szCs w:val="28"/>
          <w:highlight w:val="none"/>
        </w:rPr>
        <w:t>设备清单及技术参数要求</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2"/>
        <w:gridCol w:w="1590"/>
        <w:gridCol w:w="5110"/>
        <w:gridCol w:w="633"/>
        <w:gridCol w:w="6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jc w:val="center"/>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序号</w:t>
            </w:r>
          </w:p>
        </w:tc>
        <w:tc>
          <w:tcPr>
            <w:tcW w:w="159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设备名称</w:t>
            </w:r>
          </w:p>
        </w:tc>
        <w:tc>
          <w:tcPr>
            <w:tcW w:w="511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技术规格参数及性能要求</w:t>
            </w:r>
          </w:p>
        </w:tc>
        <w:tc>
          <w:tcPr>
            <w:tcW w:w="63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jc w:val="center"/>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数量</w:t>
            </w:r>
          </w:p>
        </w:tc>
        <w:tc>
          <w:tcPr>
            <w:tcW w:w="657"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jc w:val="center"/>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pPr>
              <w:pStyle w:val="8"/>
              <w:keepNext w:val="0"/>
              <w:keepLines w:val="0"/>
              <w:pageBreakBefore w:val="0"/>
              <w:kinsoku/>
              <w:wordWrap/>
              <w:overflowPunct/>
              <w:topLinePunct w:val="0"/>
              <w:autoSpaceDE/>
              <w:autoSpaceDN/>
              <w:bidi w:val="0"/>
              <w:adjustRightInd/>
              <w:snapToGrid/>
              <w:spacing w:before="157" w:beforeLines="50" w:after="157" w:afterLines="50"/>
              <w:rPr>
                <w:rFonts w:hint="eastAsia" w:ascii="仿宋" w:hAnsi="仿宋" w:eastAsia="仿宋" w:cs="仿宋"/>
                <w:color w:val="auto"/>
                <w:sz w:val="20"/>
                <w:szCs w:val="20"/>
                <w:highlight w:val="none"/>
              </w:rPr>
            </w:pPr>
            <w:r>
              <w:rPr>
                <w:rFonts w:hint="eastAsia" w:ascii="仿宋" w:hAnsi="仿宋" w:eastAsia="仿宋" w:cs="仿宋"/>
                <w:b/>
                <w:color w:val="auto"/>
                <w:sz w:val="20"/>
                <w:szCs w:val="20"/>
                <w:highlight w:val="none"/>
                <w:lang w:bidi="ar"/>
              </w:rPr>
              <w:t>一、会议中心一、二楼会议室设备技术指标及要求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53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jc w:val="center"/>
              <w:rPr>
                <w:rFonts w:hint="default"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1</w:t>
            </w:r>
          </w:p>
        </w:tc>
        <w:tc>
          <w:tcPr>
            <w:tcW w:w="1590"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壁挂式空调</w:t>
            </w:r>
          </w:p>
        </w:tc>
        <w:tc>
          <w:tcPr>
            <w:tcW w:w="5110"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1.空调类型： 壁挂式变频空调；</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2.空调匹数： 1.5匹；</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3.能效等级： 1级能效；</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4.制冷量 3500W；制冷功率 810W；</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5.制热量 5000W；制热功率 1235W；</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6.循环风 700(m3/h)；</w:t>
            </w:r>
          </w:p>
        </w:tc>
        <w:tc>
          <w:tcPr>
            <w:tcW w:w="633"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2</w:t>
            </w:r>
          </w:p>
        </w:tc>
        <w:tc>
          <w:tcPr>
            <w:tcW w:w="657"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2"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jc w:val="center"/>
              <w:rPr>
                <w:rFonts w:hint="default"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2</w:t>
            </w:r>
            <w:bookmarkStart w:id="48" w:name="_GoBack"/>
            <w:bookmarkEnd w:id="48"/>
          </w:p>
        </w:tc>
        <w:tc>
          <w:tcPr>
            <w:tcW w:w="1590"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AI智慧一体式高清终端</w:t>
            </w:r>
          </w:p>
        </w:tc>
        <w:tc>
          <w:tcPr>
            <w:tcW w:w="5110"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1.输入输出一体化设计，根据需求可任意配置为输入终端、输出终端、KVM输入终端或KVM输出终端；终端并支持去中心化无服务器架构部署。</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2.作为输入节点时，支持同步采集2路1920x1080P@60fps高清视频信号并同步编码，支持YUV4:4:4 1920x1080P@60采集并编码；作为输出节点时，支持同时解码16路1080P@60fps高清视频信号，支持YUV4:4:4 1920x1080P@60解码并显示，支持画面平铺、缩放、叠加、分割等，支持同步输出2路不同的高清视频拼接合成画面。</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3.在不增加外部设备的情况下，支持在输入源上增加图片作为输入源的台标；支持设置拼墙字幕、输入盒字幕，可设置字体类型、排列方式、字体大小、字体颜色、背景颜色、透明度、滚动速度、字体间距、是否居中、显示位置等，以及支持底图功能，可在软件上启用或禁用底图功能。</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4.内嵌输入同步功能，支持4个输入节点对一个4K信号源进行同步采集、同步编码，传输到4个输出节点同步解码、同步显示，整个4K信号画面清晰流畅，无撕裂，实现4K信号源的传输。</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w:t>
            </w:r>
            <w:r>
              <w:rPr>
                <w:rFonts w:hint="eastAsia" w:ascii="仿宋" w:hAnsi="仿宋" w:eastAsia="仿宋" w:cs="仿宋"/>
                <w:color w:val="auto"/>
                <w:sz w:val="20"/>
                <w:szCs w:val="20"/>
                <w:highlight w:val="none"/>
                <w:lang w:val="en-US" w:eastAsia="zh-CN"/>
              </w:rPr>
              <w:t>5.具备≥3路HDMI视频输入接口、≥2路3.5mm音频输入接口，≥2路HDMI视频输出接口、≥1路DP视频输出接口、≥2路3.5mm音频输出接口；≥2路USB3.0、≥1路Type-C；具备≥1路LAN/WAN网口、≥1路OPTICAL光纤网络接口；盒子自带一键复位动态IP功能。（提供产品接口图佐证）</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6.具备中控功能，具备≥1路RS-485口、≥2路RS-232口、≥2路弱继电器口、≥3路IO口及≥4路红外输出接口，支持自定义编程。</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7.支持网络丢包时修复机制，20%网络丢包时，音视频清晰流畅，无卡顿、无马赛克。</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8.支持USB透传功能，无需额外增加设备，无需额外使用单独的网络，仅需接一根网线或双向光纤线即可实现媒体、信令、USB透传数据的共同传输，可透传U盘、USB摄像机、U Key、USB HID等USB设备。</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9.支持SIP协议，内置坐席视频对讲功能，可外接USB摄像机、USB耳麦与标准SIP协议设备进行视频对讲。支持KVM即时通信功能，可与单人或全员进行文字或截图沟通交流，图片支持放大、缩小，放大后可拖动查看。</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10.支持国密算法SM2、SM3、SM4对信令和媒体流进行加密传输，确保数据安全可控。</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11.内置AI手势识别能力，通过识别不同的手势并转换成不同的控制指令去控制信号源缩放、拖拽、全屏等。</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12.作为输出节点时，支持设置音频均衡器，可启用或关闭均衡器，启用或关闭动态压缩，内置≥18种均衡器场景，可以一键切换，也可全自定义设置，针对60Hz、170Hz、310Hz、600Hz、1KHz、3KHz、6KHz、12KHz、14KHz、16KHz等不同频段的音频可以单独控制增益，范围是-20dB至20dB。</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13.支持信号源标注功能，作为输入节点时，可通过控制平板、PC端、KVM坐席、web端对输入信号进行标注，作为KVM输出节点时，可对接管的输入盒信号进行标注，标注时都支持自由画线、直线、箭头、方形、圆形、三角形等标注形态，可设置标注线条粗细、线条颜色，可撤销或还原批注操作，可通过橡皮擦框选删除标注或全部删除。</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14.支持对输出盒添加时间显示、温度显示、湿度显示、实时人数统计控件，可设置控件的坐标位置、字体大小、字体颜色、背景颜色、透明度、字体间距、字体类型等。</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15.支持AI目标识别算法，可实现行人属性识别、人流量统计、区域人数统计、区域人数超限识别、人脸抓拍、人脸识别、行人抓拍、车辆抓拍、高频陌生人识别、低频人员识别等视频结构化分析功能。</w:t>
            </w:r>
          </w:p>
          <w:p>
            <w:pPr>
              <w:pStyle w:val="8"/>
              <w:keepNext w:val="0"/>
              <w:keepLines w:val="0"/>
              <w:pageBreakBefore w:val="0"/>
              <w:kinsoku/>
              <w:wordWrap/>
              <w:overflowPunct/>
              <w:topLinePunct w:val="0"/>
              <w:autoSpaceDE/>
              <w:autoSpaceDN/>
              <w:bidi w:val="0"/>
              <w:adjustRightInd/>
              <w:snapToGrid/>
              <w:spacing w:before="157" w:beforeLines="50" w:after="157" w:afterLines="50" w:line="240" w:lineRule="auto"/>
              <w:outlineLvl w:val="9"/>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16.支持AI周界防范算法，可实现区域入侵识别、电瓶车进电梯识别、非机动车违停识别等视频结构化分析功能。</w:t>
            </w:r>
            <w:r>
              <w:rPr>
                <w:rFonts w:hint="eastAsia" w:ascii="仿宋" w:hAnsi="仿宋" w:eastAsia="仿宋" w:cs="仿宋"/>
                <w:color w:val="auto"/>
                <w:sz w:val="20"/>
                <w:szCs w:val="20"/>
                <w:highlight w:val="none"/>
                <w:lang w:val="en-US" w:eastAsia="zh-CN"/>
              </w:rPr>
              <w:br w:type="textWrapping"/>
            </w:r>
            <w:r>
              <w:rPr>
                <w:rFonts w:hint="eastAsia" w:ascii="仿宋" w:hAnsi="仿宋" w:eastAsia="仿宋" w:cs="仿宋"/>
                <w:color w:val="auto"/>
                <w:sz w:val="20"/>
                <w:szCs w:val="20"/>
                <w:highlight w:val="yellow"/>
                <w:lang w:val="en-US" w:eastAsia="zh-CN"/>
              </w:rPr>
              <w:t>1</w:t>
            </w:r>
            <w:r>
              <w:rPr>
                <w:rFonts w:hint="eastAsia" w:ascii="仿宋" w:hAnsi="仿宋" w:cs="仿宋"/>
                <w:color w:val="auto"/>
                <w:sz w:val="20"/>
                <w:szCs w:val="20"/>
                <w:highlight w:val="yellow"/>
                <w:lang w:val="en-US" w:eastAsia="zh-CN"/>
              </w:rPr>
              <w:t>7</w:t>
            </w:r>
            <w:r>
              <w:rPr>
                <w:rFonts w:hint="eastAsia" w:ascii="仿宋" w:hAnsi="仿宋" w:eastAsia="仿宋" w:cs="仿宋"/>
                <w:color w:val="auto"/>
                <w:sz w:val="20"/>
                <w:szCs w:val="20"/>
                <w:highlight w:val="yellow"/>
                <w:lang w:val="en-US" w:eastAsia="zh-CN"/>
              </w:rPr>
              <w:t>.高清一体化终端需与原有分布系统兼容适配(原有品牌itc型号为 TF-CGG1)接入原有分布系统使用(提供厂家兼容适配承诺函)</w:t>
            </w:r>
            <w:r>
              <w:rPr>
                <w:rFonts w:hint="eastAsia" w:ascii="仿宋" w:hAnsi="仿宋" w:eastAsia="仿宋" w:cs="仿宋"/>
                <w:color w:val="auto"/>
                <w:sz w:val="20"/>
                <w:szCs w:val="20"/>
                <w:highlight w:val="none"/>
                <w:lang w:val="en-US" w:eastAsia="zh-CN"/>
              </w:rPr>
              <w:t>。</w:t>
            </w:r>
          </w:p>
        </w:tc>
        <w:tc>
          <w:tcPr>
            <w:tcW w:w="633"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rPr>
                <w:rFonts w:hint="eastAsia" w:ascii="仿宋" w:hAnsi="仿宋" w:eastAsia="仿宋" w:cs="仿宋"/>
                <w:color w:val="auto"/>
                <w:sz w:val="20"/>
                <w:szCs w:val="20"/>
                <w:highlight w:val="none"/>
                <w:lang w:val="en-US" w:eastAsia="zh-CN"/>
              </w:rPr>
            </w:pPr>
            <w:r>
              <w:rPr>
                <w:rFonts w:hint="eastAsia" w:ascii="仿宋" w:hAnsi="仿宋" w:cs="仿宋"/>
                <w:color w:val="auto"/>
                <w:sz w:val="20"/>
                <w:szCs w:val="20"/>
                <w:highlight w:val="none"/>
                <w:lang w:val="en-US" w:eastAsia="zh-CN"/>
              </w:rPr>
              <w:t>6</w:t>
            </w:r>
          </w:p>
        </w:tc>
        <w:tc>
          <w:tcPr>
            <w:tcW w:w="657" w:type="dxa"/>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rPr>
                <w:rFonts w:hint="eastAsia" w:ascii="仿宋" w:hAnsi="仿宋" w:eastAsia="仿宋" w:cs="仿宋"/>
                <w:color w:val="auto"/>
                <w:sz w:val="20"/>
                <w:szCs w:val="20"/>
                <w:highlight w:val="none"/>
                <w:lang w:val="en-US" w:eastAsia="zh-CN"/>
              </w:rPr>
            </w:pPr>
            <w:r>
              <w:rPr>
                <w:rFonts w:hint="eastAsia" w:ascii="仿宋" w:hAnsi="仿宋" w:eastAsia="仿宋" w:cs="仿宋"/>
                <w:color w:val="auto"/>
                <w:sz w:val="20"/>
                <w:szCs w:val="20"/>
                <w:highlight w:val="none"/>
                <w:lang w:val="en-US" w:eastAsia="zh-CN"/>
              </w:rPr>
              <w:t>台</w:t>
            </w:r>
          </w:p>
        </w:tc>
      </w:tr>
    </w:tbl>
    <w:p>
      <w:pPr>
        <w:rPr>
          <w:highlight w:val="none"/>
        </w:rPr>
      </w:pPr>
    </w:p>
    <w:p>
      <w:pPr>
        <w:numPr>
          <w:ilvl w:val="1"/>
          <w:numId w:val="4"/>
        </w:numPr>
        <w:outlineLvl w:val="1"/>
        <w:rPr>
          <w:rFonts w:hint="eastAsia" w:ascii="楷体" w:hAnsi="楷体" w:eastAsia="楷体" w:cs="楷体"/>
          <w:b/>
          <w:bCs/>
          <w:color w:val="000000"/>
          <w:kern w:val="0"/>
          <w:szCs w:val="32"/>
          <w:highlight w:val="none"/>
        </w:rPr>
      </w:pPr>
      <w:bookmarkStart w:id="13" w:name="_Toc13938"/>
      <w:r>
        <w:rPr>
          <w:rFonts w:hint="eastAsia" w:ascii="楷体" w:hAnsi="楷体" w:eastAsia="楷体" w:cs="楷体"/>
          <w:b/>
          <w:bCs/>
          <w:color w:val="000000"/>
          <w:kern w:val="0"/>
          <w:szCs w:val="32"/>
          <w:highlight w:val="none"/>
        </w:rPr>
        <w:t>207会议室</w:t>
      </w:r>
      <w:bookmarkEnd w:id="13"/>
    </w:p>
    <w:p>
      <w:pPr>
        <w:pStyle w:val="8"/>
        <w:numPr>
          <w:ilvl w:val="0"/>
          <w:numId w:val="7"/>
        </w:numPr>
        <w:spacing w:before="156" w:after="156"/>
        <w:rPr>
          <w:rFonts w:hint="eastAsia" w:ascii="宋体" w:hAnsi="宋体"/>
          <w:sz w:val="28"/>
          <w:szCs w:val="28"/>
          <w:highlight w:val="none"/>
        </w:rPr>
      </w:pPr>
      <w:r>
        <w:rPr>
          <w:rFonts w:hint="eastAsia" w:ascii="宋体" w:hAnsi="宋体"/>
          <w:sz w:val="28"/>
          <w:szCs w:val="28"/>
          <w:highlight w:val="none"/>
        </w:rPr>
        <w:t>会议室功能定位：小型日常会议、培训、视频会议。</w:t>
      </w:r>
    </w:p>
    <w:p>
      <w:pPr>
        <w:pStyle w:val="8"/>
        <w:numPr>
          <w:ilvl w:val="0"/>
          <w:numId w:val="7"/>
        </w:numPr>
        <w:spacing w:before="156" w:after="156"/>
        <w:rPr>
          <w:rFonts w:hint="eastAsia" w:ascii="宋体" w:hAnsi="宋体"/>
          <w:sz w:val="28"/>
          <w:szCs w:val="28"/>
          <w:highlight w:val="none"/>
        </w:rPr>
      </w:pPr>
      <w:r>
        <w:rPr>
          <w:rFonts w:hint="eastAsia" w:ascii="宋体" w:hAnsi="宋体"/>
          <w:sz w:val="28"/>
          <w:szCs w:val="28"/>
          <w:highlight w:val="none"/>
        </w:rPr>
        <w:t>会议室所使用的系统及设备：扩声系统</w:t>
      </w:r>
      <w:r>
        <w:rPr>
          <w:rFonts w:hint="eastAsia" w:ascii="宋体" w:hAnsi="宋体"/>
          <w:sz w:val="28"/>
          <w:szCs w:val="28"/>
          <w:highlight w:val="none"/>
          <w:lang w:eastAsia="zh-CN"/>
        </w:rPr>
        <w:t>、</w:t>
      </w:r>
      <w:r>
        <w:rPr>
          <w:rFonts w:hint="eastAsia" w:ascii="宋体" w:hAnsi="宋体"/>
          <w:sz w:val="28"/>
          <w:szCs w:val="28"/>
          <w:highlight w:val="none"/>
          <w:lang w:val="en-US" w:eastAsia="zh-CN"/>
        </w:rPr>
        <w:t>数字会议系统等</w:t>
      </w:r>
    </w:p>
    <w:p>
      <w:pPr>
        <w:pStyle w:val="8"/>
        <w:numPr>
          <w:ilvl w:val="0"/>
          <w:numId w:val="7"/>
        </w:numPr>
        <w:spacing w:before="156" w:after="156"/>
        <w:rPr>
          <w:highlight w:val="none"/>
        </w:rPr>
      </w:pPr>
      <w:r>
        <w:rPr>
          <w:rFonts w:hint="eastAsia" w:ascii="宋体" w:hAnsi="宋体"/>
          <w:sz w:val="28"/>
          <w:szCs w:val="28"/>
          <w:highlight w:val="none"/>
        </w:rPr>
        <w:t>设备清单及技术参数要求</w:t>
      </w:r>
    </w:p>
    <w:p>
      <w:pPr>
        <w:pStyle w:val="8"/>
        <w:numPr>
          <w:ilvl w:val="0"/>
          <w:numId w:val="7"/>
        </w:numPr>
        <w:spacing w:before="156" w:after="156"/>
        <w:rPr>
          <w:rFonts w:hint="eastAsia"/>
          <w:sz w:val="28"/>
          <w:szCs w:val="28"/>
          <w:highlight w:val="none"/>
        </w:rPr>
      </w:pPr>
      <w:r>
        <w:rPr>
          <w:rFonts w:hint="eastAsia"/>
          <w:sz w:val="28"/>
          <w:szCs w:val="28"/>
          <w:highlight w:val="none"/>
        </w:rPr>
        <w:t>设备清单及技术参数要求</w:t>
      </w:r>
    </w:p>
    <w:tbl>
      <w:tblPr>
        <w:tblStyle w:val="19"/>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3"/>
        <w:gridCol w:w="1599"/>
        <w:gridCol w:w="4819"/>
        <w:gridCol w:w="941"/>
        <w:gridCol w:w="6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序号</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设备名称</w:t>
            </w:r>
          </w:p>
        </w:tc>
        <w:tc>
          <w:tcPr>
            <w:tcW w:w="481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技术规格参数及性能要求</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数量</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b/>
                <w:color w:val="auto"/>
                <w:sz w:val="20"/>
                <w:szCs w:val="20"/>
                <w:highlight w:val="none"/>
              </w:rPr>
            </w:pPr>
            <w:r>
              <w:rPr>
                <w:rFonts w:hint="eastAsia" w:ascii="仿宋" w:hAnsi="仿宋" w:eastAsia="仿宋" w:cs="仿宋"/>
                <w:b/>
                <w:color w:val="auto"/>
                <w:kern w:val="0"/>
                <w:sz w:val="20"/>
                <w:szCs w:val="20"/>
                <w:highlight w:val="none"/>
                <w:lang w:bidi="ar"/>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tcPr>
          <w:p>
            <w:pPr>
              <w:pStyle w:val="8"/>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b/>
                <w:color w:val="auto"/>
                <w:sz w:val="20"/>
                <w:szCs w:val="20"/>
                <w:highlight w:val="none"/>
                <w:lang w:bidi="ar"/>
              </w:rPr>
              <w:t>一、扩声系统技术指标及要求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音箱</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1.频率范围（-10dB）：等同或优于90Hz-20KHz</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2.灵敏度(±3dB)：92dB</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3.最大声压级（额定/峰值）：112dB/118dB</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4.标称阻抗：8Ω</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5.额定功率：100W</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6.峰值功率：400W</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2</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cs="仿宋"/>
                <w:color w:val="auto"/>
                <w:kern w:val="0"/>
                <w:sz w:val="20"/>
                <w:szCs w:val="20"/>
                <w:highlight w:val="none"/>
                <w:lang w:val="en-US" w:eastAsia="zh-CN"/>
              </w:rPr>
              <w:t>2</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支架</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音箱支架</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2</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cs="仿宋"/>
                <w:color w:val="auto"/>
                <w:kern w:val="0"/>
                <w:sz w:val="20"/>
                <w:szCs w:val="20"/>
                <w:highlight w:val="none"/>
                <w:lang w:val="en-US" w:eastAsia="zh-CN"/>
              </w:rPr>
              <w:t>3</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专业功放</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1.频率响应(@1W功率下)：20Hz-20KHz/±1dB @8Ω</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2.THD+N(@1/8功率下) ：≤0.01%</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3.分离度(@1KHz) ：≥80dB</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4.阻尼系数(@1KHz) ：≥200@ 8 ohms </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5.信噪比（A计权）：≥93dB</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6.输入灵敏度：2.2dBu(1V)</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7.输入阻抗：10KΩ </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8.输出功率：立体声@8Ω：200W×2;立体声@4Ω：400W×2</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9.输入电压：~220V/50Hz</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10.整机功耗：150W</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cs="仿宋"/>
                <w:color w:val="auto"/>
                <w:kern w:val="0"/>
                <w:sz w:val="20"/>
                <w:szCs w:val="20"/>
                <w:highlight w:val="none"/>
                <w:lang w:val="en-US" w:eastAsia="zh-CN"/>
              </w:rPr>
              <w:t>4</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AI音箱处理器</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1.前面板采用钢化玻璃覆盖LED灯和IPS高清屏幕一体化设计，拥有≥12组LED数码管，每组有≥3种颜色和≥8个LED灯，实时显示输入输出通道的的电平值；≥2英寸IPS真彩显示屏；≥12个物理按键，配置设备参数；≥1个编码旋钮；后面板具有≥4路卡侬输入接口，采用平衡接法；≥8路卡侬输出接口，采用平衡接法；≥1路RJ45网口，≥1路RS485通讯接口，≥1个船型电源开关。（提供第三方检测机构出具的具有CMA或CNAS标志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2.支持测量≥WAVE、ASIO两种音频驱动声卡的声场曲线，并且能够调节幅度，相位1oct到48oct平滑程度，支持1到16平均点数，且能插入延时；实时显示幅度响应，相位响应以及相干度曲线。（提供第三方检测机构出具的具有CMA或CNAS标志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3.基于频率均衡法，PC客户端可以导入smaart曲线，自动生成FIR滤波器系数。也可以在自动生成完后调整最小相位和线性相位，以及目标曲线更改，实时显示拖动处理频率范围后的实际幅度/相位曲线。并且能够调节延时大小，满足现场需求。（提供第三方检测机构出具的具有CMA或CNAS标志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4.可以同时使用FIR和IIR这两种滤波器来生成校正需要的系数。</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5.设备自带编码旋钮和≥2.0英寸IPS屏幕配合使用，可用于控制和配置设备场景、静音、自动均衡、分频器、矩阵、增益、压缩器、噪声门、限幅器和延时器参数；并且可显示IP地址和当前电平状态。</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6.全矩阵可变增益混音：输入矩阵≥4×8，输出矩阵≥8×8，可将任何的输入通道发送到输出通道，将几个不相邻输出通道叠加混音至物理输出，并且每混音通道输入输出均可进行范围-72db到12db的增益调节。</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7.输入延时器可调范围≥2000ms，输出延时器可调范围≥2000ms。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在最小相位FIR的处理全功能开启条件下，输入音频到输出音频延时≤388us；输入参量均衡器≥31段，输出参量均衡器≥8段，滤波器类型≥16种，可以调节峰值滤波器，一阶/二阶/可变Q高架/低架滤波器、陷波、一阶/二阶/可变Q高通/低通滤波器以及一阶/二阶可变Q全通滤波器。</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9.设备具有客户端软件，软件可以一键定位局域网内设备，被定位到的设备会在显示屏上显示定位信息；软件支持集中控制≥999台设备；可以安装在Windows7/10/11操作系统中。</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cs="仿宋"/>
                <w:color w:val="auto"/>
                <w:kern w:val="0"/>
                <w:sz w:val="20"/>
                <w:szCs w:val="20"/>
                <w:highlight w:val="none"/>
                <w:lang w:val="en-US" w:eastAsia="zh-CN"/>
              </w:rPr>
              <w:t>5</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调音台</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1．USB声卡端口：支持电脑播放/录音，通过CH11/12通道回放</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2．幻象电源：CH1-CH6每路通道带48V幻象开关独立控制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3．INSERT：1组主混音断点插入、6个断点插入</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4．USB接口：外接U盘播放音乐</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5．失真度：&lt;0.03% at+0dB,22Hz-22KHz A-weighted</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6．灵敏度：+20dB~-30dB</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7．信噪比：&lt;-100dBr A-weighted</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 xml:space="preserve">8．频率响应：20Hz-20kHz，±2dB  </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9．效果器：24位DSP效果器（包括人声、小房子、大厅、回声、回声+回响、盘子、声乐板、合唱GTR，旋转GTR、颤音GTR类型），不少于100种预设效果</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10．立体声输入通道：2组（4路单声道）、4路RCA输入</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11．单声道均衡：高频：+/-15dB @12KHz；中频：+/-15dB @100Hz-8KHz；低频：+/-15dB @80Hz</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12．立体声均衡：高频：+/-15dB @12KHz；中频：+/-15dB @3KHz or +/-15dB @500Hz；低频：+/-15dB @80Hz</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13．主混音串音：&lt;-80dB @0dB 20Hz-22KHz A-weighted，主输出：0dB,其他通道：最小</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14．电平表：2x12-点距LED电平指示表</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15．麦克风输入：8路（8个XLR接口）</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16．线路输入：6路单插单声道/立体声自动切换混合接口</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b/>
                <w:color w:val="auto"/>
                <w:sz w:val="20"/>
                <w:szCs w:val="20"/>
                <w:highlight w:val="none"/>
                <w:lang w:bidi="ar"/>
              </w:rPr>
            </w:pPr>
            <w:r>
              <w:rPr>
                <w:rFonts w:hint="eastAsia" w:ascii="仿宋" w:hAnsi="仿宋" w:eastAsia="仿宋" w:cs="仿宋"/>
                <w:b/>
                <w:color w:val="auto"/>
                <w:sz w:val="20"/>
                <w:szCs w:val="20"/>
                <w:highlight w:val="none"/>
                <w:lang w:bidi="ar"/>
              </w:rPr>
              <w:t>二、数字会议系统技术指标及要求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全数字会议系统主机</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1.支持≥4096台有线会议单元和≥300台无线会议单元同时接入管理使用；支持≥4396台会议单元同时参与会议议程（签到、表决、服务）以及发言控制。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2.主机兼容同时连接有线与无线会议单元，二者可并行使用；采用跨域音频同步技术，有线与无线会议单元音频的音频无缝混音输出。</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3.设备采用分段压缩混音处理技术和时钟同步传输技术，会议单元拾音到主机输出延时≤5ms。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4.设备具有≥1个USB接口；后面板具有≥2路RS-232接口、≥1路RS-485接口、≥4路RJ45通讯接口；具有≥1路RCA输入、≥1路卡侬输入、≥2路凤凰端子输入接口；≥1路RCA输出、≥1路卡侬输出、≥16路凤凰端子输出接口；≥1个拨码开关、≥1个接地柱。</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5.前面板具有≥5个状态指示灯，可显示有线无线会议单元使用状态；其中≥4个有线会议发言单元通讯指示灯，有线会议单元正常通讯使用为闪烁状态；其中≥1个为无线会议发言单元通讯指示灯，接上无线收发器正常使用进入闪烁状态；未接入设备时不亮，可快速检测链路使用状态。</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6.具有≥16路音频输出通道，通过扩展可实现≥272个音频输出通道，音频输出通道可配置为有线角色分离输出模式、无线角色分离输出模式、同传输出模式；每个音频输出通道都能独立调节音频参数，包括≥30级音量调节、≥10段均衡器调节、≥100级延时器调节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7.主机具有≥16通道音频分组输出接口；采用会议分区相控技术，可拆分≥16个独立的会议系统使用，也可以组成一个大型的会议系统使用，实现多种方式的会议室合并/拆分。</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8.支持主机U盘和客户端软件两种录音方式；搭配会议话筒和录音盒可以录制单个会议单元发言音频和录制所有会议单元混音发言音频。</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9.具有C/S、B/S管控架构，包括客户端、WEB端、本机全彩触摸屏、安卓手机/平板控制方式；通过客户端、WEB端可调节音频矩阵参数（包括EQ、音量、延时器、会议单元灵敏度）、≥16通道输出模式切换、开关会议单元、中英俄法四种语言切换、控制角色分离主机功能；使用本机全彩触摸屏可调节会议模式、有线/无线会议单元开麦数量、编ID、主机/从机设置、中英俄法四种语言切换、显示亮度/输出音量调节、显示剩余使用天数、输入注册码进行主机注册功能；使用安卓手机/平板可控制会议单元开关、开启签到、投票、表决、接收会议服务信息、一键关闭无线会议单元功能，免PC操作。（提供第三方检测机构出具的具有CMA或CNAS标识的检测报告扫描件或复印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10.WEB管理端具有切换个性化主题风格功能，可切换≥4种风格，可选简约主题、政务主题、时尚主题、活力主题，不同主题提供不同UI界面背景颜色。</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11.超大数据处理能力：系统支持≥24台会议单元同时发言，其中支持≥16台有线会议单元和≥8台无线会议单元同时发言；具有自定义会议单元发言人数功能，有线会议单元发言人数范围可设置为等同或优于1至16之间的任意数量；无线会议单元发言人数范围可设置为等同或优于1至8之间的任意数量。</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12.具有≥3种备份机制；支持主机双机热备功能，可设置一台设备为主机，另一台设置为从机，当主机出现故障时，可自动切换至从机运行，实现双备份功能；支持环形双链路功能，确保在其中的一条网线断开或者单元出问题时，会议能继续正常进行；支持T型链路备份功能，链路中即使多台会议单元出现故障，其他会议单元不受影响，保障会议正常进行。</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13.采用会议系统多环路检测及网络补给技术，实现会议单元手拉手链路出现故障时快速恢复，环路恢复时间≤5ms。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14.客户端、WEB端软件可运行于windows操作系统或国产操作系统或macOS系统或Ubuntu桌面版操作系统。（</w:t>
            </w:r>
            <w:r>
              <w:rPr>
                <w:rFonts w:hint="eastAsia" w:ascii="仿宋" w:hAnsi="仿宋" w:eastAsia="仿宋" w:cs="仿宋"/>
                <w:color w:val="auto"/>
                <w:sz w:val="20"/>
                <w:szCs w:val="20"/>
                <w:highlight w:val="none"/>
              </w:rPr>
              <w:t>提供第三方检测机构出具的具有CMA或CNAS标志的检测报告扫描件或复印件</w:t>
            </w:r>
            <w:r>
              <w:rPr>
                <w:rFonts w:hint="eastAsia" w:ascii="仿宋" w:hAnsi="仿宋" w:eastAsia="仿宋" w:cs="仿宋"/>
                <w:color w:val="auto"/>
                <w:kern w:val="0"/>
                <w:sz w:val="20"/>
                <w:szCs w:val="20"/>
                <w:highlight w:val="none"/>
              </w:rPr>
              <w:t>和软件界面截图作为该技术参数证明材料）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15.支持搭配会议话筒处理器使用，主机与话筒处理器之间通过网线连接方式传输音频，可以同时传输≥16路有线会议单元和≥8路无线会议单元发言的音频信号，并提供反馈抑制、智能混音以及自动增益音频调节处理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16.会议主机软件融入音频综合管理平台实现音频设备统一管理，平台可扫描数字会议主机、音频处理器、混音器、抑制器、功放类产品在线情况，同款产品多台在线设备也可扫描，并显示设备硬件名称、硬件IP地址、在线、离线状态信息；具备一键上传配置信息至云端或保存本地进行备份功能和一键还原配置信息功能。（提供第三方检测机构出具的具有CMA或CNAS标识的检测报告扫描件或复印件）</w:t>
            </w:r>
            <w:r>
              <w:rPr>
                <w:rFonts w:hint="eastAsia" w:ascii="仿宋" w:hAnsi="仿宋" w:eastAsia="仿宋" w:cs="仿宋"/>
                <w:color w:val="auto"/>
                <w:kern w:val="0"/>
                <w:sz w:val="20"/>
                <w:szCs w:val="20"/>
                <w:highlight w:val="none"/>
              </w:rPr>
              <w:br w:type="textWrapping"/>
            </w: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1</w:t>
            </w:r>
            <w:r>
              <w:rPr>
                <w:rFonts w:hint="eastAsia" w:ascii="仿宋" w:hAnsi="仿宋" w:cs="仿宋"/>
                <w:color w:val="auto"/>
                <w:kern w:val="0"/>
                <w:sz w:val="20"/>
                <w:szCs w:val="20"/>
                <w:highlight w:val="none"/>
                <w:lang w:val="en-US" w:eastAsia="zh-CN"/>
              </w:rPr>
              <w:t>7</w:t>
            </w:r>
            <w:r>
              <w:rPr>
                <w:rFonts w:hint="eastAsia" w:ascii="仿宋" w:hAnsi="仿宋" w:eastAsia="仿宋" w:cs="仿宋"/>
                <w:color w:val="auto"/>
                <w:kern w:val="0"/>
                <w:sz w:val="20"/>
                <w:szCs w:val="20"/>
                <w:highlight w:val="none"/>
              </w:rPr>
              <w:t>.投标产品制造商具有符合GB/T27922-2011标准的售后服务五星级服务认证证书（提供第三方认证机构颁发的在有效期内的证书扫描件或复印件、证书编号在全国认证认可信息公共服务平台的查询结果截图作为证明材料）</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2</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数字会议系统</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1.软件内嵌于会议系统主机设备，应用于对全数字会议系统音频传输软件的管理或控制。</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2.支持同声传译功能。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3.内置DSP音频处理技术，支持EQ均衡调节音频处理能力。</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4.支持话筒管理能力，通过不同的模式限制话筒发言数量，保障会场发言秩序。</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5.软件支持根据话筒ID提供不同的代码编号给中控系统，与中控系统对接后，可实现摄像自动跟踪功能。</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1</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3</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会议话筒处理器</w:t>
            </w:r>
          </w:p>
        </w:tc>
        <w:tc>
          <w:tcPr>
            <w:tcW w:w="4819" w:type="dxa"/>
            <w:vAlign w:val="top"/>
          </w:tcPr>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具有智能混音、语音检测功能，可以实现≥16个有线会议单元+≥8个无线会议单元同时开启并实时检测会议单元dB值；当发言人讲话时，会议单元自动调整为发言状态，并联动摄像机自动跟踪发言人；当发言人停止讲话时，会议单元自动调整为静音状态，并联动摄像机自动切换到全景画面。</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2.具有≥1个RS485、≥1个RS232接口，可对接摄像机实现摄像跟踪功能；内置≥64个话筒预置位，满足大型会议室摄像跟踪需求。</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3.后面板具有≥1个船形开关、≥4个RJ45、≥1个RS485、≥2个RS232、≥1个TYPE-C接口、≥1个拨码开关、≥1路卡侬输出接口和≥2路RCA输出接口；前面板具有≥1个AFC电容触摸开关；≥4个状态指示灯（包括≥1个AFC 功能状态指示灯、≥1个音频信号灯、≥1个处理器工作状态指示灯、≥1个工作电源指示灯）。（提供第三方检测机构出具的具有CMA或CNAS标志的检测报告扫描件或复印件作为该技术参数证明材料）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4.处理器与数字会议主机通过网络传输链路传输会议单元音频信号，只需要通过网线即可以接收数字会议单元音频信号，并提供自动增益、自动混音、AFC反馈抑制（≥24个可编程陷波点）、EQ调节（≥31段图示均衡器调节）音频处理功能。（提供第三方检测机构出具的具有CMA或CNAS标志的检测报告扫描件或复印件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5.采用啸叫检测门限更新法，移频+陷波组合反馈抑制方式，具有≥24个可编程陷波点，可自由分配动态/静态点，自动/手动切换。</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6.产品软件与数字会议主机软件集成，可以实现使用同一软件配置数字会议主机和会议话筒处理器；支持搭配音频综合管理平台集中管控各种音频设备，包含数字会议系统软件模块、电子桌牌软件模块、反馈抑制器软件模块、智能混音器软件模块、数字音频处理器软件模块、智控数字专业功放软件模块，各模块打开呈现在状态栏窗口，可快速管理和调用。（提供第三方检测机构出具的具有CMA或CNAS标志的检测报告扫描件或复印件作为该技术参数证明材料）</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7</w:t>
            </w:r>
            <w:r>
              <w:rPr>
                <w:rFonts w:hint="eastAsia" w:ascii="仿宋" w:hAnsi="仿宋" w:eastAsia="仿宋" w:cs="仿宋"/>
                <w:color w:val="auto"/>
                <w:sz w:val="20"/>
                <w:szCs w:val="20"/>
                <w:highlight w:val="none"/>
              </w:rPr>
              <w:t>.支持通过在线服务小程序提交售前、售中或售后问题，厂家客服人员在线或回电及时解答。（提供功能界面截图佐证）</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8</w:t>
            </w:r>
            <w:r>
              <w:rPr>
                <w:rFonts w:hint="eastAsia" w:ascii="仿宋" w:hAnsi="仿宋" w:eastAsia="仿宋" w:cs="仿宋"/>
                <w:color w:val="auto"/>
                <w:sz w:val="20"/>
                <w:szCs w:val="20"/>
                <w:highlight w:val="none"/>
              </w:rPr>
              <w:t>.可提交的服务类型包括“维护”、“指导调试”、“指导安装”、“指导布线”、“远程调试”、“400电话”等类别可选。（提供功能界面截图佐证）</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9</w:t>
            </w:r>
            <w:r>
              <w:rPr>
                <w:rFonts w:hint="eastAsia" w:ascii="仿宋" w:hAnsi="仿宋" w:eastAsia="仿宋" w:cs="仿宋"/>
                <w:color w:val="auto"/>
                <w:sz w:val="20"/>
                <w:szCs w:val="20"/>
                <w:highlight w:val="none"/>
              </w:rPr>
              <w:t>.可通过在线服务小程序实时查询处理进度，具有“待处理”、“处理中”及“已处理”等版块。（提供功能界面截图佐证）</w:t>
            </w:r>
          </w:p>
          <w:p>
            <w:pPr>
              <w:keepNext w:val="0"/>
              <w:keepLines w:val="0"/>
              <w:pageBreakBefore w:val="0"/>
              <w:kinsoku/>
              <w:wordWrap/>
              <w:overflowPunct/>
              <w:topLinePunct w:val="0"/>
              <w:autoSpaceDE/>
              <w:autoSpaceDN/>
              <w:bidi w:val="0"/>
              <w:adjustRightInd/>
              <w:snapToGrid/>
              <w:spacing w:before="157" w:beforeLines="50" w:after="157" w:afterLines="50" w:line="240" w:lineRule="auto"/>
              <w:ind w:firstLine="0" w:firstLineChars="0"/>
              <w:outlineLvl w:val="9"/>
              <w:rPr>
                <w:rFonts w:hint="eastAsia" w:ascii="仿宋" w:hAnsi="仿宋" w:eastAsia="仿宋" w:cs="仿宋"/>
                <w:color w:val="auto"/>
                <w:kern w:val="0"/>
                <w:sz w:val="20"/>
                <w:szCs w:val="20"/>
                <w:highlight w:val="none"/>
              </w:rPr>
            </w:pPr>
            <w:r>
              <w:rPr>
                <w:rFonts w:hint="eastAsia" w:ascii="仿宋" w:hAnsi="仿宋" w:cs="仿宋"/>
                <w:color w:val="auto"/>
                <w:sz w:val="20"/>
                <w:szCs w:val="20"/>
                <w:highlight w:val="none"/>
                <w:lang w:eastAsia="zh-CN"/>
              </w:rPr>
              <w:t>▲</w:t>
            </w:r>
            <w:r>
              <w:rPr>
                <w:rFonts w:hint="eastAsia" w:ascii="仿宋" w:hAnsi="仿宋" w:cs="仿宋"/>
                <w:color w:val="auto"/>
                <w:sz w:val="20"/>
                <w:szCs w:val="20"/>
                <w:highlight w:val="none"/>
                <w:lang w:val="en-US" w:eastAsia="zh-CN"/>
              </w:rPr>
              <w:t>10</w:t>
            </w:r>
            <w:r>
              <w:rPr>
                <w:rFonts w:hint="eastAsia" w:ascii="仿宋" w:hAnsi="仿宋" w:eastAsia="仿宋" w:cs="仿宋"/>
                <w:color w:val="auto"/>
                <w:sz w:val="20"/>
                <w:szCs w:val="20"/>
                <w:highlight w:val="none"/>
              </w:rPr>
              <w:t>.“已处理”版块具有历史记录功能，可通过联系电话搜索历史条目，条目信息记录申请人姓名、联系电话、申请时间、问题描述、处理状态、处理人、处理用时和处理后信息反馈。并且具有“再次申请”功能。（提供功能界面截图佐证）</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4</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会议话筒</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1.采用心型指向性驻极体麦克风，要求内部具有DSP音频处理，没有“噗噗”的低频冲击声，内部具有反馈抑制功能，可有效地防止啸叫。</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2.采用≥128位AES加密技术，支持 WPA/WPA2 无线安全技术。</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3.支持触摸按键签到功能。具备优先权功能，可关闭正在发言的所有代表话筒。具有声控功能。具有发言计时和定时发言功能。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4.具备TYPE-C口，可进行升级程序和在线充电，内置容量锂电池，电池容量≥4800mAh，可持续≥15小时发言。</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5.支持后台≥5段EQ调节功能。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6.咪杆长度：380mm</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yellow"/>
              </w:rPr>
              <w:t>7.会议话筒需与原有的设备兼容适配，（原有设备品牌：itc型号：TF-M03300）接入原有设备使用（提供厂家兼容适配承诺函）。</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1</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5</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会议话筒</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1.采用心型指向性驻极体麦克风，要求内部具有DSP音频处理；内部具有反馈抑制功能。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2.采用≥128位AES加密技术，支持 WPA/WPA2 无线安全技术.</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3.支持触摸按键签到功能。具有声控功能。具有发言计时和定时发言功能。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4.具备TYPE-C口，可进行升级程序和在线充电，内置容量锂电池，电池容量≥4800mAh，可持续≥15小时发言。</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5.支持后台≥5段EQ调节功能。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6.咪杆长度：≤380mm</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yellow"/>
              </w:rPr>
              <w:t>7.会议话筒需与原有的设备兼容适配，（原有设备品牌：itc型号：TF-M03300）接入原有设备使用（提供厂家兼容适配承诺函）。</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default" w:ascii="仿宋" w:hAnsi="仿宋" w:eastAsia="仿宋" w:cs="仿宋"/>
                <w:color w:val="auto"/>
                <w:kern w:val="0"/>
                <w:sz w:val="20"/>
                <w:szCs w:val="20"/>
                <w:highlight w:val="none"/>
                <w:lang w:val="en-US" w:eastAsia="zh-CN" w:bidi="ar-SA"/>
              </w:rPr>
            </w:pPr>
            <w:r>
              <w:rPr>
                <w:rFonts w:hint="eastAsia" w:ascii="仿宋" w:hAnsi="仿宋" w:cs="仿宋"/>
                <w:color w:val="auto"/>
                <w:kern w:val="0"/>
                <w:sz w:val="20"/>
                <w:szCs w:val="20"/>
                <w:highlight w:val="none"/>
                <w:lang w:val="en-US" w:eastAsia="zh-CN" w:bidi="ar-SA"/>
              </w:rPr>
              <w:t>16</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6</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rPr>
              <w:t>发射器</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1.遵从Wi-Fi 6协议标准（IEEE 802.11ax），向下兼容802.11a/b/g/n/ac/Wave2，支持MU-MIMO，允许AP同时接收多个终端发送数据，整机最大传输速率可达1.601Gbps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2.支持OFDMA空间复用技术和1024QAM调制解调算法。</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3.支持中文SSID，可指定最长包含≥31个字符的SSID，也可以使用中英文混合的SSID</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4.支持WPA3安全协议。</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5.支持等同或优于80/160MHz的高带宽频段。</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cs="仿宋"/>
                <w:color w:val="auto"/>
                <w:kern w:val="0"/>
                <w:sz w:val="20"/>
                <w:szCs w:val="20"/>
                <w:highlight w:val="none"/>
                <w:lang w:eastAsia="zh-CN"/>
              </w:rPr>
              <w:t>▲</w:t>
            </w:r>
            <w:r>
              <w:rPr>
                <w:rFonts w:hint="eastAsia" w:ascii="仿宋" w:hAnsi="仿宋" w:eastAsia="仿宋" w:cs="仿宋"/>
                <w:color w:val="auto"/>
                <w:kern w:val="0"/>
                <w:sz w:val="20"/>
                <w:szCs w:val="20"/>
                <w:highlight w:val="none"/>
              </w:rPr>
              <w:t>6.投标产品制造商需具备专业的售后服务能力，具有GB/T27922-2011要求《售后服务管理师》合格证书的专业技术人员不少于2人。（提供证书复印件）</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cs="仿宋"/>
                <w:color w:val="auto"/>
                <w:kern w:val="0"/>
                <w:sz w:val="20"/>
                <w:szCs w:val="20"/>
                <w:highlight w:val="none"/>
                <w:lang w:val="en-US" w:eastAsia="zh-CN"/>
              </w:rPr>
              <w:t>4</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eastAsia="zh-CN"/>
              </w:rPr>
            </w:pPr>
            <w:r>
              <w:rPr>
                <w:rFonts w:hint="eastAsia" w:ascii="仿宋" w:hAnsi="仿宋" w:eastAsia="仿宋" w:cs="仿宋"/>
                <w:color w:val="auto"/>
                <w:kern w:val="0"/>
                <w:sz w:val="20"/>
                <w:szCs w:val="20"/>
                <w:highlight w:val="none"/>
                <w:lang w:val="en-US" w:eastAsia="zh-CN"/>
              </w:rPr>
              <w:t>7</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rPr>
              <w:t>充电箱</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1.充电箱具有≥10个USB接口，支持使用USB线充电，提供5V/9V供电。一端连接充电器一端连接会议单元,支持≥18W快充。支持同时插满所有USB接口。</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2.根据设备的耐受电流大小充电器会自动匹配合适的电流大小给设备充电，同时有过流保护功能。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3.智能自动电路保护，所有USB插口均具有短路保护功能和自恢复功能。</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cs="仿宋"/>
                <w:color w:val="auto"/>
                <w:kern w:val="0"/>
                <w:sz w:val="20"/>
                <w:szCs w:val="20"/>
                <w:highlight w:val="none"/>
                <w:lang w:val="en-US" w:eastAsia="zh-CN"/>
              </w:rPr>
              <w:t>4</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b/>
                <w:color w:val="auto"/>
                <w:kern w:val="0"/>
                <w:sz w:val="20"/>
                <w:szCs w:val="20"/>
                <w:highlight w:val="none"/>
                <w:lang w:bidi="ar"/>
              </w:rPr>
              <w:t>三、视频信号源技术指标及要求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1" w:hRule="atLeast"/>
        </w:trPr>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摄像机</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1.传感器类型：1/2.8英寸, CMOS, 有效像素：207万 逐行扫描</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2.镜头：12x, f3.5mm ~ 42.3mm, F1.8 ~ F2.8（等效35mm焦距：27mm-322mm）</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3.数字变焦：16x</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4.色彩空间/压缩：YUY2/MJPEG/H.264</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5.最低照度：0.5Lux @ (F1.8, AGC ON)</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6.电子快门：1/30s ~ 1/10000s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7.信噪比：≥55dB</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8.视场角：水平72.5° ~ 6.9°，垂直44.8° ~ 3.9°</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9.转动范围：水平±170°，垂直-30° ~ +90°</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10.转动速度范围：水平1.7° ~ 100°/s，垂直1.7° ~ 69.9°/s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11.预置位：数量255，精度0.1°</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12.视频信号系统：1080P60，1080P59.94，1080P50，1080I60，1080I59.94，1080I50，1080P30，1080P29.97，1080P25，720P60，720P59.94，720P50</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13.视频制式：支持多种不同帧率和分辨率视频格式，最高支持1080P60 YUY2输出；USB视频通信协议 UVC 1.1 or UVC1.5；USB音频 32K采样率，支持UAC2.0；UVC PTZ控制 支持；IPC特性（IP Camera）</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14.视频编码标准：H.264/H.265</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15.视频码流：第一码流1920x1080,1280x720,1024x576,960x540,640x480,640x360,第二码流1280x720,1024x576,720x576, 720x480,720x408,640x360,480x270,320x240,320x180</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16.视频码率：32Kbps ~ 102400Kbps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17.码率控制：可变码率, 固定码率</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18.帧率：1fps ~ 60fps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19.音频压缩标准：AAC</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20.音频码率：96Kbps, 128Kbps, 256Kbps</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21.支持网络协议：NDI｜HB，NDI｜HX, TCP/IP, HTTP, RTSP, RTMP, Onvif, DHCP, 组播,SRT 等</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22.输入输出接口：USB接口 1路USB 3.0: A型插座</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23.平均无故障时间：30000h</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24.电源接口：JEITA类型（DC IN 12V）</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25.输入电压：DC 12V，PoE（802.3af）</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26.输入电流：1000mA</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27.工作温度：0°C ~ 40°C</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28.储藏温度：-40°C ~ 60°C</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29.功耗：≤12W</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1</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b/>
                <w:color w:val="auto"/>
                <w:kern w:val="0"/>
                <w:sz w:val="20"/>
                <w:szCs w:val="20"/>
                <w:highlight w:val="none"/>
                <w:lang w:bidi="ar"/>
              </w:rPr>
            </w:pPr>
            <w:r>
              <w:rPr>
                <w:rFonts w:hint="eastAsia" w:ascii="仿宋" w:hAnsi="仿宋" w:eastAsia="仿宋" w:cs="仿宋"/>
                <w:b/>
                <w:color w:val="auto"/>
                <w:kern w:val="0"/>
                <w:sz w:val="20"/>
                <w:szCs w:val="20"/>
                <w:highlight w:val="none"/>
                <w:lang w:bidi="ar"/>
              </w:rPr>
              <w:t>四、分布式系统技术指标及要求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1</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AI智慧一体式高清终端</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1.输入输出一体化设计，根据需求可任意配置为输入终端、输出终端、KVM输入终端或KVM输出终端；终端并支持去中心化无服务器架构部署。</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2.作为输入节点时，支持同步采集2路1920x1080P@60fps高清视频信号并同步编码，支持YUV4:4:4 1920x1080P@60采集并编码；作为输出节点时，支持同时解码16路1080P@60fps高清视频信号，支持YUV4:4:4 1920x1080P@60解码并显示，支持画面平铺、缩放、叠加、分割等，支持同步输出2路不同的高清视频拼接合成画面。</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3.在不增加外部设备的情况下，支持在输入源上增加图片作为输入源的台标；支持设置拼墙字幕、输入盒字幕，可设置字体类型、排列方式、字体大小、字体颜色、背景颜色、透明度、滚动速度、字体间距、是否居中、显示位置等，以及支持底图功能，可在软件上启用或禁用底图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4.内嵌输入同步功能，支持4个输入节点对一个4K信号源进行同步采集、同步编码，传输到4个输出节点同步解码、同步显示，整个4K信号画面清晰流畅，无撕裂，实现4K信号源的传输。</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cs="仿宋"/>
                <w:color w:val="auto"/>
                <w:sz w:val="20"/>
                <w:szCs w:val="20"/>
                <w:highlight w:val="none"/>
                <w:lang w:eastAsia="zh-CN"/>
              </w:rPr>
              <w:t>▲</w:t>
            </w:r>
            <w:r>
              <w:rPr>
                <w:rFonts w:hint="eastAsia" w:ascii="仿宋" w:hAnsi="仿宋" w:eastAsia="仿宋" w:cs="仿宋"/>
                <w:color w:val="auto"/>
                <w:sz w:val="20"/>
                <w:szCs w:val="20"/>
                <w:highlight w:val="none"/>
              </w:rPr>
              <w:t>5.具备≥3路HDMI视频输入接口、≥2路3.5mm音频输入接口，≥2路HDMI视频输出接口、≥1路DP视频输出接口、≥2路3.5mm音频输出接口；≥2路USB3.0、≥1路Type-C；具备≥1路LAN/WAN网口、≥1路OPTICAL光纤网络接口；盒子自带一键复位动态IP功能。（提供产品接口图佐证）</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6.具备中控功能，具备≥1路RS-485口、≥2路RS-232口、≥2路弱继电器口、≥3路IO口及≥4路红外输出接口，支持自定义编程。</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7.支持网络丢包时修复机制，20%网络丢包时，音视频清晰流畅，无卡顿、无马赛克。</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8.支持USB透传功能，无需额外增加设备，无需额外使用单独的网络，仅需接一根网线或双向光纤线即可实现媒体、信令、USB透传数据的共同传输，可透传U盘、USB摄像机、U Key、USB HID等USB设备。</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9.支持SIP协议，内置坐席视频对讲功能，可外接USB摄像机、USB耳麦与标准SIP协议设备进行视频对讲。支持KVM即时通信功能，可与单人或全员进行文字或截图沟通交流，图片支持放大、缩小，放大后可拖动查看。</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10.支持国密算法SM2、SM3、SM4对信令和媒体流进行加密传输，确保数据安全可控。</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11.内置AI手势识别能力，通过识别不同的手势并转换成不同的控制指令去控制信号源缩放、拖拽、全屏等。</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12.作为输出节点时，支持设置音频均衡器，可启用或关闭均衡器，启用或关闭动态压缩，内置≥18种均衡器场景，可以一键切换，也可全自定义设置，针对60Hz、170Hz、310Hz、600Hz、1KHz、3KHz、6KHz、12KHz、14KHz、16KHz等不同频段的音频可以单独控制增益，范围是-20dB至20dB。</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13.支持信号源标注功能，作为输入节点时，可通过控制平板、PC端、KVM坐席、web端对输入信号进行标注，作为KVM输出节点时，可对接管的输入盒信号进行标注，标注时都支持自由画线、直线、箭头、方形、圆形、三角形等标注形态，可设置标注线条粗细、线条颜色，可撤销或还原批注操作，可通过橡皮擦框选删除标注或全部删除。</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14.支持对输出盒添加时间显示、温度显示、湿度显示、实时人数统计控件，可设置控件的坐标位置、字体大小、字体颜色、背景颜色、透明度、字体间距、字体类型等。</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15.支持AI目标识别算法，可实现行人属性识别、人流量统计、区域人数统计、区域人数超限识别、人脸抓拍、人脸识别、行人抓拍、车辆抓拍、高频陌生人识别、低频人员识别等视频结构化分析功能。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16.支持AI周界防范算法，可实现区域入侵识别、电瓶车进电梯识别、非机动车违停识别等视频结构化分析功能。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17.支持AI行为识别算法，可实现人员离岗识别、未戴口罩识别、打电话识别、吸烟识别、人员跌倒识别、人员打架识别、人员徘徊识别、玩手机识别、手持刀具识别、人员趴睡识别、人员攀爬识别、人员翻墙识别、人群聚集识别等视频结构化分析功能。</w:t>
            </w:r>
          </w:p>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18.支持AI作业安全识别算法，可实现未穿工服识别、短裤短袖识别、未戴头盔识别、未穿反光衣识别等视频结构化分析功能。</w:t>
            </w:r>
          </w:p>
          <w:p>
            <w:pPr>
              <w:keepNext w:val="0"/>
              <w:keepLines w:val="0"/>
              <w:pageBreakBefore w:val="0"/>
              <w:kinsoku/>
              <w:wordWrap/>
              <w:overflowPunct/>
              <w:topLinePunct w:val="0"/>
              <w:autoSpaceDE/>
              <w:autoSpaceDN/>
              <w:bidi w:val="0"/>
              <w:adjustRightInd/>
              <w:snapToGrid/>
              <w:spacing w:before="157" w:beforeLines="50" w:after="157" w:afterLines="50"/>
              <w:ind w:firstLine="200" w:firstLineChars="10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yellow"/>
              </w:rPr>
              <w:t>19.高清一体化终端需与原有分布系统兼容适配(原有品牌itc型号为 TF-CGG1)接入原有分布系统使用(提供厂家兼容适配承诺函)。</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cs="仿宋"/>
                <w:color w:val="auto"/>
                <w:kern w:val="0"/>
                <w:sz w:val="20"/>
                <w:szCs w:val="20"/>
                <w:highlight w:val="none"/>
                <w:lang w:val="en-US" w:eastAsia="zh-CN"/>
              </w:rPr>
              <w:t>8</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2</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高清一体化终端专用</w:t>
            </w:r>
            <w:r>
              <w:rPr>
                <w:rFonts w:hint="eastAsia" w:ascii="仿宋" w:hAnsi="仿宋" w:eastAsia="仿宋" w:cs="仿宋"/>
                <w:color w:val="auto"/>
                <w:kern w:val="0"/>
                <w:sz w:val="20"/>
                <w:szCs w:val="20"/>
                <w:highlight w:val="none"/>
                <w:lang w:val="en-US" w:eastAsia="zh-CN"/>
              </w:rPr>
              <w:t xml:space="preserve"> </w:t>
            </w:r>
            <w:r>
              <w:rPr>
                <w:rFonts w:hint="eastAsia" w:ascii="仿宋" w:hAnsi="仿宋" w:eastAsia="仿宋" w:cs="仿宋"/>
                <w:color w:val="auto"/>
                <w:kern w:val="0"/>
                <w:sz w:val="20"/>
                <w:szCs w:val="20"/>
                <w:highlight w:val="none"/>
              </w:rPr>
              <w:t>散热机架</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具备高效散热能力，可依据设备运行状况动态调节散热速率，确保设备在高负荷运转下也能维持低温稳定，全力守护高清一体化终端的性能，延长设备使用寿命。</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1</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3</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交换机</w:t>
            </w:r>
          </w:p>
        </w:tc>
        <w:tc>
          <w:tcPr>
            <w:tcW w:w="4819"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ind w:firstLine="0" w:firstLineChars="0"/>
              <w:textAlignment w:val="auto"/>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万兆web管理PoE交换机,包转发率126Mpps,交换容量432Gbps,24个千兆电口,4个万兆光口,VLAN:4K,MAC:16K,19英寸1U标准机架,金属外壳,支持POE+,输出功率400W,挂耳默认自带</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1</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b/>
                <w:color w:val="auto"/>
                <w:kern w:val="0"/>
                <w:sz w:val="20"/>
                <w:szCs w:val="20"/>
                <w:highlight w:val="none"/>
                <w:lang w:val="en-US" w:eastAsia="zh-CN" w:bidi="ar"/>
              </w:rPr>
              <w:t>五、</w:t>
            </w:r>
            <w:r>
              <w:rPr>
                <w:rFonts w:hint="eastAsia" w:ascii="仿宋" w:hAnsi="仿宋" w:eastAsia="仿宋" w:cs="仿宋"/>
                <w:b/>
                <w:color w:val="auto"/>
                <w:kern w:val="0"/>
                <w:sz w:val="20"/>
                <w:szCs w:val="20"/>
                <w:highlight w:val="none"/>
                <w:lang w:bidi="ar"/>
              </w:rPr>
              <w:t>辅助材料技术指标及要求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音频连接线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1.8米音频连接线：3.5（耳机插头）*1,双莲花（RCA）*1,线径：0.3mm</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cs="仿宋"/>
                <w:color w:val="auto"/>
                <w:kern w:val="0"/>
                <w:sz w:val="20"/>
                <w:szCs w:val="20"/>
                <w:highlight w:val="none"/>
                <w:lang w:val="en-US" w:eastAsia="zh-CN"/>
              </w:rPr>
              <w:t>3</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2</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音频连接线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1.8米音频连接线：卡农头（公）*1，线径：0.3mm</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4</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3</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rPr>
              <w:t>音频连接线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音频跳线：3.5mm接线头-双RCA莲花(1.8m)</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2</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4</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rPr>
              <w:t>音频连接线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音频跳线：三芯卡侬头（母）-三芯卡侬头（公）(1.8m)</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2</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5</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rPr>
              <w:t>音频连接线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1.8米音频连接线：卡农头（母）*1，线径：0.3mm</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4</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6</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rPr>
              <w:t>音频连接线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1.8米音频连接线：卡农头（公）*1，线径：0.3mm</w:t>
            </w:r>
          </w:p>
        </w:tc>
        <w:tc>
          <w:tcPr>
            <w:tcW w:w="941"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4</w:t>
            </w:r>
          </w:p>
        </w:tc>
        <w:tc>
          <w:tcPr>
            <w:tcW w:w="640"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bidi="ar-SA"/>
              </w:rPr>
            </w:pPr>
            <w:r>
              <w:rPr>
                <w:rFonts w:hint="eastAsia" w:ascii="仿宋" w:hAnsi="仿宋" w:eastAsia="仿宋" w:cs="仿宋"/>
                <w:color w:val="auto"/>
                <w:kern w:val="0"/>
                <w:sz w:val="20"/>
                <w:szCs w:val="20"/>
                <w:highlight w:val="none"/>
                <w:lang w:val="en-US" w:eastAsia="zh-CN"/>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7</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网线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六类非屏蔽双绞线</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8</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音箱线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RVVP2*1.0</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default" w:ascii="仿宋" w:hAnsi="仿宋" w:eastAsia="仿宋" w:cs="仿宋"/>
                <w:color w:val="auto"/>
                <w:kern w:val="0"/>
                <w:sz w:val="20"/>
                <w:szCs w:val="20"/>
                <w:highlight w:val="none"/>
                <w:lang w:val="en-US" w:eastAsia="zh-CN"/>
              </w:rPr>
            </w:pPr>
            <w:r>
              <w:rPr>
                <w:rFonts w:hint="eastAsia" w:ascii="仿宋" w:hAnsi="仿宋" w:cs="仿宋"/>
                <w:color w:val="auto"/>
                <w:kern w:val="0"/>
                <w:sz w:val="20"/>
                <w:szCs w:val="20"/>
                <w:highlight w:val="none"/>
                <w:lang w:val="en-US" w:eastAsia="zh-CN"/>
              </w:rPr>
              <w:t>300</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9</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机柜</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600*600*1166 前门为钢化玻璃门,后门为钣金门SPCC优质冷轧钢板制作，其它1.2MM；承重：800KG；配置:8位国标电源排插一个</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10</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电源线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RVV2*1.0电源线</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100</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11</w:t>
            </w:r>
          </w:p>
        </w:tc>
        <w:tc>
          <w:tcPr>
            <w:tcW w:w="1599" w:type="dxa"/>
            <w:shd w:val="clear" w:color="auto" w:fill="auto"/>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线材</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水晶头、电工胶布、PVC线槽</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5"/>
            <w:vAlign w:val="center"/>
          </w:tcPr>
          <w:p>
            <w:pPr>
              <w:pStyle w:val="8"/>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kern w:val="0"/>
                <w:sz w:val="20"/>
                <w:szCs w:val="20"/>
                <w:highlight w:val="none"/>
              </w:rPr>
            </w:pPr>
            <w:r>
              <w:rPr>
                <w:rFonts w:hint="eastAsia" w:ascii="仿宋" w:hAnsi="仿宋" w:eastAsia="仿宋" w:cs="仿宋"/>
                <w:b/>
                <w:color w:val="auto"/>
                <w:kern w:val="0"/>
                <w:sz w:val="20"/>
                <w:szCs w:val="20"/>
                <w:highlight w:val="none"/>
                <w:lang w:val="en-US" w:eastAsia="zh-CN" w:bidi="ar"/>
              </w:rPr>
              <w:t>六、综合布线技术指标及要求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1</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会议室和车队办公区</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4芯室外光缆</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500</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2</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光模块</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千兆单模SFP光模块，波长1310nm，最大传输距离10km</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6</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3"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3</w:t>
            </w:r>
          </w:p>
        </w:tc>
        <w:tc>
          <w:tcPr>
            <w:tcW w:w="1599"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left"/>
              <w:textAlignment w:val="center"/>
              <w:rPr>
                <w:rFonts w:hint="eastAsia" w:ascii="仿宋" w:hAnsi="仿宋" w:eastAsia="仿宋" w:cs="仿宋"/>
                <w:color w:val="auto"/>
                <w:kern w:val="0"/>
                <w:sz w:val="20"/>
                <w:szCs w:val="20"/>
                <w:highlight w:val="none"/>
              </w:rPr>
            </w:pPr>
            <w:r>
              <w:rPr>
                <w:rFonts w:hint="eastAsia" w:ascii="仿宋" w:hAnsi="仿宋" w:eastAsia="仿宋" w:cs="仿宋"/>
                <w:color w:val="auto"/>
                <w:kern w:val="0"/>
                <w:sz w:val="20"/>
                <w:szCs w:val="20"/>
                <w:highlight w:val="none"/>
              </w:rPr>
              <w:t>网线</w:t>
            </w:r>
          </w:p>
        </w:tc>
        <w:tc>
          <w:tcPr>
            <w:tcW w:w="4819" w:type="dxa"/>
            <w:vAlign w:val="center"/>
          </w:tcPr>
          <w:p>
            <w:pPr>
              <w:keepNext w:val="0"/>
              <w:keepLines w:val="0"/>
              <w:pageBreakBefore w:val="0"/>
              <w:kinsoku/>
              <w:wordWrap/>
              <w:overflowPunct/>
              <w:topLinePunct w:val="0"/>
              <w:autoSpaceDE/>
              <w:autoSpaceDN/>
              <w:bidi w:val="0"/>
              <w:adjustRightInd/>
              <w:snapToGrid/>
              <w:spacing w:before="157" w:beforeLines="50" w:after="157" w:afterLines="50"/>
              <w:ind w:firstLine="0" w:firstLineChars="0"/>
              <w:rPr>
                <w:rFonts w:hint="eastAsia" w:ascii="仿宋" w:hAnsi="仿宋" w:eastAsia="仿宋" w:cs="仿宋"/>
                <w:color w:val="auto"/>
                <w:sz w:val="20"/>
                <w:szCs w:val="20"/>
                <w:highlight w:val="none"/>
              </w:rPr>
            </w:pPr>
            <w:r>
              <w:rPr>
                <w:rFonts w:hint="eastAsia" w:ascii="仿宋" w:hAnsi="仿宋" w:eastAsia="仿宋" w:cs="仿宋"/>
                <w:color w:val="auto"/>
                <w:sz w:val="20"/>
                <w:szCs w:val="20"/>
                <w:highlight w:val="none"/>
              </w:rPr>
              <w:t>六类非屏蔽双绞线</w:t>
            </w:r>
          </w:p>
        </w:tc>
        <w:tc>
          <w:tcPr>
            <w:tcW w:w="941"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2</w:t>
            </w:r>
          </w:p>
        </w:tc>
        <w:tc>
          <w:tcPr>
            <w:tcW w:w="640" w:type="dxa"/>
            <w:vAlign w:val="center"/>
          </w:tcPr>
          <w:p>
            <w:pPr>
              <w:keepNext w:val="0"/>
              <w:keepLines w:val="0"/>
              <w:pageBreakBefore w:val="0"/>
              <w:widowControl/>
              <w:kinsoku/>
              <w:wordWrap/>
              <w:overflowPunct/>
              <w:topLinePunct w:val="0"/>
              <w:autoSpaceDE/>
              <w:autoSpaceDN/>
              <w:bidi w:val="0"/>
              <w:adjustRightInd/>
              <w:snapToGrid/>
              <w:spacing w:before="157" w:beforeLines="50" w:after="157" w:afterLines="50"/>
              <w:ind w:firstLine="0" w:firstLineChars="0"/>
              <w:jc w:val="center"/>
              <w:textAlignment w:val="center"/>
              <w:rPr>
                <w:rFonts w:hint="eastAsia" w:ascii="仿宋" w:hAnsi="仿宋" w:eastAsia="仿宋" w:cs="仿宋"/>
                <w:color w:val="auto"/>
                <w:kern w:val="0"/>
                <w:sz w:val="20"/>
                <w:szCs w:val="20"/>
                <w:highlight w:val="none"/>
                <w:lang w:val="en-US" w:eastAsia="zh-CN"/>
              </w:rPr>
            </w:pPr>
            <w:r>
              <w:rPr>
                <w:rFonts w:hint="eastAsia" w:ascii="仿宋" w:hAnsi="仿宋" w:eastAsia="仿宋" w:cs="仿宋"/>
                <w:color w:val="auto"/>
                <w:kern w:val="0"/>
                <w:sz w:val="20"/>
                <w:szCs w:val="20"/>
                <w:highlight w:val="none"/>
                <w:lang w:val="en-US" w:eastAsia="zh-CN"/>
              </w:rPr>
              <w:t>箱</w:t>
            </w:r>
          </w:p>
        </w:tc>
      </w:tr>
    </w:tbl>
    <w:p/>
    <w:bookmarkEnd w:id="3"/>
    <w:bookmarkEnd w:id="4"/>
    <w:bookmarkEnd w:id="5"/>
    <w:bookmarkEnd w:id="8"/>
    <w:p>
      <w:pPr>
        <w:numPr>
          <w:ilvl w:val="1"/>
          <w:numId w:val="4"/>
        </w:numPr>
        <w:outlineLvl w:val="1"/>
        <w:rPr>
          <w:rFonts w:hint="eastAsia" w:ascii="楷体" w:hAnsi="楷体" w:eastAsia="楷体" w:cs="楷体"/>
          <w:color w:val="000000"/>
          <w:kern w:val="0"/>
          <w:szCs w:val="32"/>
          <w:highlight w:val="none"/>
        </w:rPr>
      </w:pPr>
      <w:bookmarkStart w:id="14" w:name="_Toc27000"/>
      <w:bookmarkStart w:id="15" w:name="_Toc6319"/>
      <w:bookmarkStart w:id="16" w:name="_Toc112138685"/>
      <w:bookmarkStart w:id="17" w:name="_Toc9230"/>
      <w:bookmarkStart w:id="18" w:name="_Toc20024"/>
      <w:r>
        <w:rPr>
          <w:rFonts w:hint="eastAsia" w:ascii="楷体" w:hAnsi="楷体" w:eastAsia="楷体" w:cs="楷体"/>
          <w:color w:val="000000"/>
          <w:kern w:val="0"/>
          <w:szCs w:val="32"/>
          <w:highlight w:val="none"/>
        </w:rPr>
        <w:t>会议室</w:t>
      </w:r>
      <w:r>
        <w:rPr>
          <w:rFonts w:hint="eastAsia" w:ascii="楷体" w:hAnsi="楷体" w:eastAsia="楷体" w:cs="楷体"/>
          <w:color w:val="000000"/>
          <w:kern w:val="0"/>
          <w:szCs w:val="32"/>
          <w:highlight w:val="none"/>
          <w:lang w:val="en-US" w:eastAsia="zh-CN"/>
        </w:rPr>
        <w:t>扩音系统</w:t>
      </w:r>
      <w:bookmarkEnd w:id="14"/>
    </w:p>
    <w:p>
      <w:pPr>
        <w:ind w:firstLine="560"/>
        <w:rPr>
          <w:rFonts w:hint="eastAsia" w:ascii="仿宋" w:hAnsi="仿宋"/>
          <w:highlight w:val="none"/>
        </w:rPr>
      </w:pPr>
      <w:r>
        <w:rPr>
          <w:rFonts w:hint="eastAsia" w:ascii="仿宋" w:hAnsi="仿宋"/>
          <w:highlight w:val="none"/>
        </w:rPr>
        <w:t>本项目需要对应急指挥会议室</w:t>
      </w:r>
      <w:r>
        <w:rPr>
          <w:rFonts w:hint="eastAsia" w:ascii="仿宋" w:hAnsi="仿宋"/>
          <w:highlight w:val="none"/>
          <w:lang w:eastAsia="zh-CN"/>
        </w:rPr>
        <w:t>、</w:t>
      </w:r>
      <w:r>
        <w:rPr>
          <w:rFonts w:hint="eastAsia" w:ascii="仿宋" w:hAnsi="仿宋"/>
          <w:highlight w:val="none"/>
        </w:rPr>
        <w:t>207会议室</w:t>
      </w:r>
      <w:r>
        <w:rPr>
          <w:rFonts w:hint="eastAsia" w:ascii="仿宋" w:hAnsi="仿宋"/>
          <w:highlight w:val="none"/>
          <w:lang w:val="en-US" w:eastAsia="zh-CN"/>
        </w:rPr>
        <w:t>会议系统设备更新改造及会议中心一、二楼会议室会议系统设备新增</w:t>
      </w:r>
      <w:r>
        <w:rPr>
          <w:rFonts w:hint="eastAsia" w:ascii="仿宋" w:hAnsi="仿宋"/>
          <w:highlight w:val="none"/>
        </w:rPr>
        <w:t>策略：</w:t>
      </w:r>
    </w:p>
    <w:p>
      <w:pPr>
        <w:ind w:firstLine="560"/>
        <w:rPr>
          <w:rFonts w:hint="eastAsia" w:ascii="仿宋" w:hAnsi="仿宋"/>
          <w:highlight w:val="none"/>
          <w:lang w:val="en-US" w:eastAsia="zh-CN"/>
        </w:rPr>
      </w:pPr>
      <w:r>
        <w:rPr>
          <w:rFonts w:hint="eastAsia" w:ascii="仿宋" w:hAnsi="仿宋"/>
          <w:highlight w:val="none"/>
          <w:lang w:val="en-US" w:eastAsia="zh-CN"/>
        </w:rPr>
        <w:t>1、</w:t>
      </w:r>
      <w:r>
        <w:rPr>
          <w:rFonts w:hint="eastAsia" w:ascii="仿宋" w:hAnsi="仿宋"/>
          <w:highlight w:val="none"/>
        </w:rPr>
        <w:t>交换机开启IP/MAC绑定功能，实现所有设备IP和MAC绑定。</w:t>
      </w:r>
    </w:p>
    <w:p>
      <w:pPr>
        <w:ind w:firstLine="560"/>
        <w:rPr>
          <w:rFonts w:hint="eastAsia" w:ascii="仿宋" w:hAnsi="仿宋"/>
          <w:highlight w:val="none"/>
        </w:rPr>
      </w:pPr>
      <w:r>
        <w:rPr>
          <w:rFonts w:hint="eastAsia" w:ascii="仿宋" w:hAnsi="仿宋"/>
          <w:highlight w:val="none"/>
          <w:lang w:val="en-US" w:eastAsia="zh-CN"/>
        </w:rPr>
        <w:t>2、</w:t>
      </w:r>
      <w:r>
        <w:rPr>
          <w:rFonts w:hint="eastAsia" w:ascii="仿宋" w:hAnsi="仿宋"/>
          <w:highlight w:val="none"/>
        </w:rPr>
        <w:t>根据甲方及云南电网要求，实现白名单机制，仅允许白名单内的设备进行统信。</w:t>
      </w:r>
    </w:p>
    <w:p>
      <w:pPr>
        <w:ind w:firstLine="560"/>
        <w:rPr>
          <w:rFonts w:hint="eastAsia" w:ascii="仿宋" w:hAnsi="仿宋"/>
          <w:highlight w:val="none"/>
        </w:rPr>
      </w:pPr>
      <w:r>
        <w:rPr>
          <w:rFonts w:hint="eastAsia" w:ascii="仿宋" w:hAnsi="仿宋"/>
          <w:highlight w:val="none"/>
        </w:rPr>
        <w:t>3、根据云南电网要求信息安全要求，对各个设备进行安全加固。</w:t>
      </w:r>
    </w:p>
    <w:p>
      <w:pPr>
        <w:ind w:firstLine="560"/>
        <w:rPr>
          <w:rFonts w:hint="eastAsia" w:ascii="仿宋" w:hAnsi="仿宋"/>
          <w:highlight w:val="none"/>
        </w:rPr>
      </w:pPr>
      <w:r>
        <w:rPr>
          <w:rFonts w:hint="eastAsia" w:ascii="仿宋" w:hAnsi="仿宋"/>
          <w:highlight w:val="none"/>
        </w:rPr>
        <w:t>所有会议室均需要确保与云南电网视频会议网络低延时高可靠通信。</w:t>
      </w:r>
    </w:p>
    <w:p>
      <w:pPr>
        <w:ind w:firstLine="560"/>
        <w:rPr>
          <w:rFonts w:hint="eastAsia" w:ascii="仿宋" w:hAnsi="仿宋"/>
          <w:highlight w:val="none"/>
          <w:lang w:val="en-US" w:eastAsia="zh-CN"/>
        </w:rPr>
      </w:pPr>
      <w:r>
        <w:rPr>
          <w:rFonts w:hint="eastAsia" w:ascii="仿宋" w:hAnsi="仿宋"/>
          <w:highlight w:val="none"/>
          <w:lang w:val="en-US" w:eastAsia="zh-CN"/>
        </w:rPr>
        <w:t>交换机设备应通过综合布线实现独立组网，与办公网络物理隔离。</w:t>
      </w:r>
    </w:p>
    <w:p>
      <w:pPr>
        <w:numPr>
          <w:ilvl w:val="1"/>
          <w:numId w:val="4"/>
        </w:numPr>
        <w:outlineLvl w:val="1"/>
        <w:rPr>
          <w:rFonts w:hint="eastAsia" w:ascii="楷体" w:hAnsi="楷体" w:eastAsia="楷体" w:cs="楷体"/>
          <w:color w:val="auto"/>
          <w:kern w:val="0"/>
          <w:szCs w:val="32"/>
          <w:highlight w:val="none"/>
        </w:rPr>
      </w:pPr>
      <w:bookmarkStart w:id="19" w:name="_Toc228"/>
      <w:r>
        <w:rPr>
          <w:rFonts w:hint="eastAsia" w:ascii="楷体" w:hAnsi="楷体" w:eastAsia="楷体" w:cs="楷体"/>
          <w:color w:val="auto"/>
          <w:kern w:val="0"/>
          <w:szCs w:val="32"/>
          <w:highlight w:val="none"/>
        </w:rPr>
        <w:t>集成实施服务</w:t>
      </w:r>
      <w:bookmarkEnd w:id="19"/>
    </w:p>
    <w:p>
      <w:pPr>
        <w:pStyle w:val="4"/>
        <w:numPr>
          <w:ilvl w:val="0"/>
          <w:numId w:val="0"/>
        </w:numPr>
        <w:ind w:left="1004"/>
        <w:rPr>
          <w:rFonts w:hint="eastAsia"/>
          <w:highlight w:val="none"/>
        </w:rPr>
      </w:pPr>
      <w:r>
        <w:rPr>
          <w:rFonts w:hint="eastAsia"/>
          <w:highlight w:val="none"/>
        </w:rPr>
        <w:t>1、集成实施总体要求</w:t>
      </w:r>
    </w:p>
    <w:p>
      <w:pPr>
        <w:ind w:firstLine="560"/>
        <w:rPr>
          <w:rFonts w:hint="eastAsia" w:ascii="仿宋" w:hAnsi="仿宋"/>
          <w:color w:val="FF0000"/>
          <w:highlight w:val="none"/>
        </w:rPr>
      </w:pPr>
      <w:r>
        <w:rPr>
          <w:rFonts w:hint="eastAsia" w:ascii="仿宋" w:hAnsi="仿宋"/>
          <w:color w:val="FF0000"/>
          <w:highlight w:val="none"/>
        </w:rPr>
        <w:t>本项目主要由应急指挥会议室</w:t>
      </w:r>
      <w:r>
        <w:rPr>
          <w:rFonts w:hint="eastAsia" w:ascii="仿宋" w:hAnsi="仿宋"/>
          <w:color w:val="FF0000"/>
          <w:highlight w:val="none"/>
          <w:lang w:eastAsia="zh-CN"/>
        </w:rPr>
        <w:t>、</w:t>
      </w:r>
      <w:r>
        <w:rPr>
          <w:rFonts w:hint="eastAsia" w:ascii="仿宋" w:hAnsi="仿宋"/>
          <w:color w:val="FF0000"/>
          <w:highlight w:val="none"/>
          <w:lang w:val="en-US" w:eastAsia="zh-CN"/>
        </w:rPr>
        <w:t>会议中心一、二楼会议室、</w:t>
      </w:r>
      <w:r>
        <w:rPr>
          <w:rFonts w:hint="eastAsia" w:ascii="仿宋" w:hAnsi="仿宋"/>
          <w:color w:val="FF0000"/>
          <w:highlight w:val="none"/>
        </w:rPr>
        <w:t>207会议室组成，会议室主要用于日常会议、培训、视频会议、腾讯会议等；集成实施总体要求如下：</w:t>
      </w:r>
    </w:p>
    <w:p>
      <w:pPr>
        <w:ind w:firstLine="560"/>
        <w:rPr>
          <w:rFonts w:hint="eastAsia" w:ascii="仿宋" w:hAnsi="仿宋"/>
          <w:color w:val="FF0000"/>
          <w:highlight w:val="none"/>
        </w:rPr>
      </w:pPr>
      <w:r>
        <w:rPr>
          <w:rFonts w:hint="eastAsia" w:ascii="仿宋" w:hAnsi="仿宋"/>
          <w:color w:val="FF0000"/>
          <w:highlight w:val="none"/>
        </w:rPr>
        <w:t>（1）</w:t>
      </w:r>
      <w:r>
        <w:rPr>
          <w:rFonts w:hint="default" w:ascii="仿宋" w:hAnsi="仿宋"/>
          <w:color w:val="FF0000"/>
          <w:highlight w:val="none"/>
          <w:lang w:val="en-US" w:eastAsia="zh-CN"/>
        </w:rPr>
        <w:t>系统深度融合：实现数字会议系统、专业扩声系统、分布式坐席管理系统的无缝集成，支持本地会议与腾讯会议、视频会议等远程会议模式的一键切换，确保音频、视频、控制信号互联互通。</w:t>
      </w:r>
    </w:p>
    <w:p>
      <w:pPr>
        <w:ind w:firstLine="560"/>
        <w:rPr>
          <w:rFonts w:hint="default" w:ascii="仿宋" w:hAnsi="仿宋"/>
          <w:color w:val="FF0000"/>
          <w:highlight w:val="none"/>
        </w:rPr>
      </w:pPr>
      <w:r>
        <w:rPr>
          <w:rFonts w:hint="eastAsia" w:ascii="仿宋" w:hAnsi="仿宋"/>
          <w:color w:val="FF0000"/>
          <w:highlight w:val="none"/>
        </w:rPr>
        <w:t>（</w:t>
      </w:r>
      <w:r>
        <w:rPr>
          <w:rFonts w:hint="eastAsia" w:ascii="仿宋" w:hAnsi="仿宋"/>
          <w:color w:val="FF0000"/>
          <w:highlight w:val="none"/>
          <w:lang w:val="en-US" w:eastAsia="zh-CN"/>
        </w:rPr>
        <w:t>2</w:t>
      </w:r>
      <w:r>
        <w:rPr>
          <w:rFonts w:hint="eastAsia" w:ascii="仿宋" w:hAnsi="仿宋"/>
          <w:color w:val="FF0000"/>
          <w:highlight w:val="none"/>
        </w:rPr>
        <w:t>）</w:t>
      </w:r>
      <w:r>
        <w:rPr>
          <w:rFonts w:hint="default" w:ascii="仿宋" w:hAnsi="仿宋"/>
          <w:color w:val="FF0000"/>
          <w:highlight w:val="none"/>
          <w:lang w:val="en-US" w:eastAsia="zh-CN"/>
        </w:rPr>
        <w:t>高保真音频体验：通过DSP音频处理、智能混音、自动增益及反馈抑制技术，确保声场均匀覆盖、语言清晰可辨；支持多人同时发言无啸叫，满足会议、培训、汇报等多场景音质需求。</w:t>
      </w:r>
    </w:p>
    <w:p>
      <w:pPr>
        <w:ind w:firstLine="560"/>
        <w:rPr>
          <w:rFonts w:hint="default" w:ascii="仿宋" w:hAnsi="仿宋"/>
          <w:color w:val="FF0000"/>
          <w:highlight w:val="none"/>
        </w:rPr>
      </w:pPr>
      <w:r>
        <w:rPr>
          <w:rFonts w:hint="eastAsia" w:ascii="仿宋" w:hAnsi="仿宋"/>
          <w:color w:val="FF0000"/>
          <w:highlight w:val="none"/>
        </w:rPr>
        <w:t>（</w:t>
      </w:r>
      <w:r>
        <w:rPr>
          <w:rFonts w:hint="eastAsia" w:ascii="仿宋" w:hAnsi="仿宋"/>
          <w:color w:val="FF0000"/>
          <w:highlight w:val="none"/>
          <w:lang w:val="en-US" w:eastAsia="zh-CN"/>
        </w:rPr>
        <w:t>3</w:t>
      </w:r>
      <w:r>
        <w:rPr>
          <w:rFonts w:hint="eastAsia" w:ascii="仿宋" w:hAnsi="仿宋"/>
          <w:color w:val="FF0000"/>
          <w:highlight w:val="none"/>
        </w:rPr>
        <w:t>）</w:t>
      </w:r>
      <w:r>
        <w:rPr>
          <w:rFonts w:hint="default" w:ascii="仿宋" w:hAnsi="仿宋"/>
          <w:color w:val="FF0000"/>
          <w:highlight w:val="none"/>
          <w:lang w:val="en-US" w:eastAsia="zh-CN"/>
        </w:rPr>
        <w:t>智能化集中管控：</w:t>
      </w:r>
      <w:r>
        <w:rPr>
          <w:rFonts w:hint="eastAsia" w:ascii="仿宋" w:hAnsi="仿宋"/>
          <w:color w:val="FF0000"/>
          <w:highlight w:val="none"/>
          <w:lang w:val="en-US" w:eastAsia="zh-CN"/>
        </w:rPr>
        <w:t>将</w:t>
      </w:r>
      <w:r>
        <w:rPr>
          <w:rFonts w:hint="eastAsia" w:ascii="仿宋" w:hAnsi="仿宋"/>
          <w:color w:val="FF0000"/>
          <w:highlight w:val="none"/>
        </w:rPr>
        <w:t>应急指挥会议室</w:t>
      </w:r>
      <w:r>
        <w:rPr>
          <w:rFonts w:hint="eastAsia" w:ascii="仿宋" w:hAnsi="仿宋"/>
          <w:color w:val="FF0000"/>
          <w:highlight w:val="none"/>
          <w:lang w:eastAsia="zh-CN"/>
        </w:rPr>
        <w:t>、</w:t>
      </w:r>
      <w:r>
        <w:rPr>
          <w:rFonts w:hint="eastAsia" w:ascii="仿宋" w:hAnsi="仿宋"/>
          <w:color w:val="FF0000"/>
          <w:highlight w:val="none"/>
        </w:rPr>
        <w:t>207会议室</w:t>
      </w:r>
      <w:r>
        <w:rPr>
          <w:rFonts w:hint="eastAsia" w:ascii="仿宋" w:hAnsi="仿宋"/>
          <w:color w:val="FF0000"/>
          <w:highlight w:val="none"/>
          <w:lang w:eastAsia="zh-CN"/>
        </w:rPr>
        <w:t>，</w:t>
      </w:r>
      <w:r>
        <w:rPr>
          <w:rFonts w:hint="eastAsia" w:ascii="仿宋" w:hAnsi="仿宋"/>
          <w:color w:val="FF0000"/>
          <w:highlight w:val="none"/>
          <w:lang w:val="en-US" w:eastAsia="zh-CN"/>
        </w:rPr>
        <w:t>加入会议中心一、二楼会议室、1号楼421会议室构建好的会议局域网，通过局域网实现</w:t>
      </w:r>
      <w:r>
        <w:rPr>
          <w:rFonts w:hint="default" w:ascii="仿宋" w:hAnsi="仿宋"/>
          <w:color w:val="FF0000"/>
          <w:highlight w:val="none"/>
          <w:lang w:val="en-US" w:eastAsia="zh-CN"/>
        </w:rPr>
        <w:t>统一控制平台，支持PC、平板、移动端APP对</w:t>
      </w:r>
      <w:r>
        <w:rPr>
          <w:rFonts w:hint="eastAsia" w:ascii="仿宋" w:hAnsi="仿宋"/>
          <w:color w:val="FF0000"/>
          <w:highlight w:val="none"/>
          <w:lang w:val="en-US" w:eastAsia="zh-CN"/>
        </w:rPr>
        <w:t>上述各会议室的</w:t>
      </w:r>
      <w:r>
        <w:rPr>
          <w:rFonts w:hint="default" w:ascii="仿宋" w:hAnsi="仿宋"/>
          <w:color w:val="FF0000"/>
          <w:highlight w:val="none"/>
          <w:lang w:val="en-US" w:eastAsia="zh-CN"/>
        </w:rPr>
        <w:t>无线话筒、功放、摄像机、分布式节点等设备集中管理，实现场景模式预设（会议/培训/视频模式）、摄像联动跟踪等功能，操作便捷</w:t>
      </w:r>
      <w:r>
        <w:rPr>
          <w:rFonts w:hint="eastAsia" w:ascii="仿宋" w:hAnsi="仿宋"/>
          <w:color w:val="FF0000"/>
          <w:highlight w:val="none"/>
          <w:lang w:val="en-US" w:eastAsia="zh-CN"/>
        </w:rPr>
        <w:t>，其次通过会议平台控制，实现某一会议室的音、视频内容通过会议局域网（通过控制平台，不通过腾讯会议等模式）在其它会议室播放及声音双向传播</w:t>
      </w:r>
      <w:r>
        <w:rPr>
          <w:rFonts w:hint="default" w:ascii="仿宋" w:hAnsi="仿宋"/>
          <w:color w:val="FF0000"/>
          <w:highlight w:val="none"/>
          <w:lang w:val="en-US" w:eastAsia="zh-CN"/>
        </w:rPr>
        <w:t>。</w:t>
      </w:r>
    </w:p>
    <w:p>
      <w:pPr>
        <w:ind w:firstLine="560"/>
        <w:rPr>
          <w:rFonts w:hint="default" w:ascii="仿宋" w:hAnsi="仿宋"/>
          <w:color w:val="FF0000"/>
          <w:highlight w:val="none"/>
        </w:rPr>
      </w:pPr>
      <w:r>
        <w:rPr>
          <w:rFonts w:hint="eastAsia" w:ascii="仿宋" w:hAnsi="仿宋"/>
          <w:color w:val="FF0000"/>
          <w:highlight w:val="none"/>
        </w:rPr>
        <w:t>（</w:t>
      </w:r>
      <w:r>
        <w:rPr>
          <w:rFonts w:hint="eastAsia" w:ascii="仿宋" w:hAnsi="仿宋"/>
          <w:color w:val="FF0000"/>
          <w:highlight w:val="none"/>
          <w:lang w:val="en-US" w:eastAsia="zh-CN"/>
        </w:rPr>
        <w:t>4</w:t>
      </w:r>
      <w:r>
        <w:rPr>
          <w:rFonts w:hint="eastAsia" w:ascii="仿宋" w:hAnsi="仿宋"/>
          <w:color w:val="FF0000"/>
          <w:highlight w:val="none"/>
        </w:rPr>
        <w:t>）</w:t>
      </w:r>
      <w:r>
        <w:rPr>
          <w:rFonts w:hint="default" w:ascii="仿宋" w:hAnsi="仿宋"/>
          <w:color w:val="FF0000"/>
          <w:highlight w:val="none"/>
          <w:lang w:val="en-US" w:eastAsia="zh-CN"/>
        </w:rPr>
        <w:t>高可靠性与冗余：核心设备采用双机热备、环形双链路及光纤/网口双链路备份机制，故障时无缝切换；支持国密算法加密传输，确保会议信息安全；集成消防报警联动，紧急情况下自动提示疏散。</w:t>
      </w:r>
    </w:p>
    <w:p>
      <w:pPr>
        <w:ind w:firstLine="560"/>
        <w:rPr>
          <w:rFonts w:hint="default" w:ascii="仿宋" w:hAnsi="仿宋"/>
          <w:color w:val="FF0000"/>
          <w:highlight w:val="none"/>
          <w:lang w:val="en-US" w:eastAsia="zh-CN"/>
        </w:rPr>
      </w:pPr>
      <w:r>
        <w:rPr>
          <w:rFonts w:hint="eastAsia" w:ascii="仿宋" w:hAnsi="仿宋"/>
          <w:color w:val="FF0000"/>
          <w:highlight w:val="none"/>
        </w:rPr>
        <w:t>（</w:t>
      </w:r>
      <w:r>
        <w:rPr>
          <w:rFonts w:hint="eastAsia" w:ascii="仿宋" w:hAnsi="仿宋"/>
          <w:color w:val="FF0000"/>
          <w:highlight w:val="none"/>
          <w:lang w:val="en-US" w:eastAsia="zh-CN"/>
        </w:rPr>
        <w:t>5</w:t>
      </w:r>
      <w:r>
        <w:rPr>
          <w:rFonts w:hint="eastAsia" w:ascii="仿宋" w:hAnsi="仿宋"/>
          <w:color w:val="FF0000"/>
          <w:highlight w:val="none"/>
        </w:rPr>
        <w:t>）</w:t>
      </w:r>
      <w:r>
        <w:rPr>
          <w:rFonts w:hint="default" w:ascii="仿宋" w:hAnsi="仿宋"/>
          <w:color w:val="FF0000"/>
          <w:highlight w:val="none"/>
          <w:lang w:val="en-US" w:eastAsia="zh-CN"/>
        </w:rPr>
        <w:t>可视化运维：提供设备状态实时监测、故障预警及日志管理功能，支持远程固件升级与配置备份，降低运维成本，保障系统长期稳定运行。</w:t>
      </w:r>
    </w:p>
    <w:p>
      <w:pPr>
        <w:ind w:firstLine="560"/>
        <w:rPr>
          <w:rFonts w:hint="eastAsia" w:ascii="仿宋" w:hAnsi="仿宋"/>
          <w:highlight w:val="red"/>
          <w:lang w:val="en-US" w:eastAsia="zh-CN"/>
        </w:rPr>
      </w:pPr>
      <w:r>
        <w:rPr>
          <w:rFonts w:hint="eastAsia" w:ascii="仿宋" w:hAnsi="仿宋"/>
          <w:color w:val="FF0000"/>
          <w:highlight w:val="none"/>
          <w:lang w:val="en-US" w:eastAsia="zh-CN"/>
        </w:rPr>
        <w:t>（6）视频会议系统信号应满足全高清、高保真、低延迟的要求。</w:t>
      </w:r>
    </w:p>
    <w:p>
      <w:pPr>
        <w:pStyle w:val="4"/>
        <w:numPr>
          <w:ilvl w:val="0"/>
          <w:numId w:val="0"/>
        </w:numPr>
        <w:ind w:left="1004"/>
        <w:rPr>
          <w:highlight w:val="none"/>
        </w:rPr>
      </w:pPr>
      <w:r>
        <w:rPr>
          <w:rFonts w:hint="eastAsia"/>
          <w:highlight w:val="none"/>
        </w:rPr>
        <w:t>2、线路敷设实施要求</w:t>
      </w:r>
    </w:p>
    <w:p>
      <w:pPr>
        <w:ind w:firstLine="560"/>
        <w:rPr>
          <w:rFonts w:hint="eastAsia" w:ascii="仿宋" w:hAnsi="仿宋"/>
          <w:highlight w:val="none"/>
        </w:rPr>
      </w:pPr>
      <w:r>
        <w:rPr>
          <w:rFonts w:hint="eastAsia" w:ascii="仿宋" w:hAnsi="仿宋"/>
          <w:highlight w:val="none"/>
        </w:rPr>
        <w:t>（1）强电电源线、控制线、音箱线、音频线、视频线等要分开不同路敷设，避免工频干扰和其他电磁干扰，如电源线与弱电线路之间至少保持20CM的距离，强弱电线缆应分别穿管或桥架线槽敷设。</w:t>
      </w:r>
    </w:p>
    <w:p>
      <w:pPr>
        <w:ind w:firstLine="560"/>
        <w:rPr>
          <w:rFonts w:hint="eastAsia" w:ascii="仿宋" w:hAnsi="仿宋"/>
          <w:highlight w:val="none"/>
        </w:rPr>
      </w:pPr>
      <w:r>
        <w:rPr>
          <w:rFonts w:hint="eastAsia" w:ascii="仿宋" w:hAnsi="仿宋"/>
          <w:highlight w:val="none"/>
        </w:rPr>
        <w:t>（2）音频线应采用带屏蔽外层的双绞线，机柜里面的音频线与电源线要分开两侧敷设，同时屏蔽层要有效接地。</w:t>
      </w:r>
    </w:p>
    <w:p>
      <w:pPr>
        <w:ind w:firstLine="560"/>
        <w:rPr>
          <w:rFonts w:hint="eastAsia" w:ascii="仿宋" w:hAnsi="仿宋"/>
          <w:highlight w:val="none"/>
        </w:rPr>
      </w:pPr>
      <w:r>
        <w:rPr>
          <w:rFonts w:hint="eastAsia" w:ascii="仿宋" w:hAnsi="仿宋"/>
          <w:highlight w:val="none"/>
        </w:rPr>
        <w:t>（3）所敷设的线缆两端应根据实际使用情况留适当余量，并标示明显的永久标记，以便于维护及管理。</w:t>
      </w:r>
    </w:p>
    <w:p>
      <w:pPr>
        <w:ind w:firstLine="560"/>
        <w:rPr>
          <w:rFonts w:hint="eastAsia" w:ascii="仿宋" w:hAnsi="仿宋"/>
          <w:highlight w:val="none"/>
        </w:rPr>
      </w:pPr>
      <w:r>
        <w:rPr>
          <w:rFonts w:hint="eastAsia" w:ascii="仿宋" w:hAnsi="仿宋"/>
          <w:highlight w:val="none"/>
        </w:rPr>
        <w:t>（4）音频视频延长线需预先埋入地板下面，采用PVC管穿管敷设。</w:t>
      </w:r>
    </w:p>
    <w:p>
      <w:pPr>
        <w:ind w:firstLine="560"/>
        <w:rPr>
          <w:rFonts w:hint="eastAsia" w:ascii="仿宋" w:hAnsi="仿宋"/>
          <w:highlight w:val="none"/>
        </w:rPr>
      </w:pPr>
      <w:r>
        <w:rPr>
          <w:rFonts w:hint="eastAsia" w:ascii="仿宋" w:hAnsi="仿宋"/>
          <w:highlight w:val="none"/>
        </w:rPr>
        <w:t>（5）会议室的地面信息插座、舞台音箱插座、地面电源插座的音频线、电源线、音箱线都要预先地板下面，采用 PVC管穿管敷设；PVC管尺寸根据线路数量确定。</w:t>
      </w:r>
    </w:p>
    <w:p>
      <w:pPr>
        <w:ind w:firstLine="560"/>
        <w:rPr>
          <w:rFonts w:hint="eastAsia"/>
          <w:highlight w:val="none"/>
        </w:rPr>
      </w:pPr>
      <w:r>
        <w:rPr>
          <w:rFonts w:hint="eastAsia" w:ascii="仿宋" w:hAnsi="仿宋"/>
          <w:highlight w:val="none"/>
        </w:rPr>
        <w:t>（6）会议室摄像机、音箱等壁挂和吊装设备的视频线、音响线、控制线都必须先在吊顶装修结束前预埋，并且在天花板上安装线槽，线路走线槽到会议室机房与机房设备连接。</w:t>
      </w:r>
    </w:p>
    <w:p>
      <w:pPr>
        <w:pStyle w:val="4"/>
        <w:numPr>
          <w:ilvl w:val="0"/>
          <w:numId w:val="0"/>
        </w:numPr>
        <w:ind w:left="1004"/>
        <w:rPr>
          <w:highlight w:val="none"/>
        </w:rPr>
      </w:pPr>
      <w:r>
        <w:rPr>
          <w:rFonts w:hint="eastAsia"/>
          <w:highlight w:val="none"/>
        </w:rPr>
        <w:t>4、会议室内电缆敷设要求</w:t>
      </w:r>
    </w:p>
    <w:p>
      <w:pPr>
        <w:ind w:firstLine="560"/>
        <w:rPr>
          <w:rFonts w:hint="eastAsia" w:ascii="仿宋" w:hAnsi="仿宋"/>
          <w:highlight w:val="none"/>
        </w:rPr>
      </w:pPr>
      <w:r>
        <w:rPr>
          <w:rFonts w:hint="eastAsia" w:ascii="仿宋" w:hAnsi="仿宋"/>
          <w:highlight w:val="none"/>
        </w:rPr>
        <w:t>（1）采用地槽、墙槽、架槽时，电缆应从机架、会议桌或设备的合适位置引入，将电缆顺着所盘方向理直，按电缆的排列次序放入槽内；</w:t>
      </w:r>
    </w:p>
    <w:p>
      <w:pPr>
        <w:ind w:firstLine="560"/>
        <w:rPr>
          <w:rFonts w:hint="eastAsia" w:ascii="仿宋" w:hAnsi="仿宋"/>
          <w:highlight w:val="none"/>
        </w:rPr>
      </w:pPr>
      <w:r>
        <w:rPr>
          <w:rFonts w:hint="eastAsia" w:ascii="仿宋" w:hAnsi="仿宋"/>
          <w:highlight w:val="none"/>
        </w:rPr>
        <w:t>（2）拐弯处应符合电缆曲率半径要求；电缆离开机架、会议桌和设备时，应在距起弯点10毫米处成捆空绑。</w:t>
      </w:r>
    </w:p>
    <w:p>
      <w:pPr>
        <w:ind w:firstLine="560"/>
        <w:rPr>
          <w:rFonts w:hint="eastAsia" w:ascii="仿宋" w:hAnsi="仿宋"/>
          <w:highlight w:val="none"/>
        </w:rPr>
      </w:pPr>
      <w:r>
        <w:rPr>
          <w:rFonts w:hint="eastAsia" w:ascii="仿宋" w:hAnsi="仿宋"/>
          <w:highlight w:val="none"/>
        </w:rPr>
        <w:t>（3）根据电缆的数量应每隔100~300毫米空绑一次，或加入理线夹。</w:t>
      </w:r>
    </w:p>
    <w:p>
      <w:pPr>
        <w:ind w:firstLine="560"/>
        <w:rPr>
          <w:rFonts w:hint="eastAsia" w:ascii="仿宋" w:hAnsi="仿宋"/>
          <w:highlight w:val="none"/>
        </w:rPr>
      </w:pPr>
      <w:r>
        <w:rPr>
          <w:rFonts w:hint="eastAsia" w:ascii="仿宋" w:hAnsi="仿宋"/>
          <w:highlight w:val="none"/>
        </w:rPr>
        <w:t>（4）采用架槽时，架槽宜每隔一定距离留出线口。电缆由出线口从机架上方引入，在引入机架时，应成捆绑扎。</w:t>
      </w:r>
    </w:p>
    <w:p>
      <w:pPr>
        <w:ind w:firstLine="560"/>
        <w:rPr>
          <w:rFonts w:hint="eastAsia" w:ascii="仿宋" w:hAnsi="仿宋"/>
          <w:highlight w:val="none"/>
        </w:rPr>
      </w:pPr>
      <w:r>
        <w:rPr>
          <w:rFonts w:hint="eastAsia" w:ascii="仿宋" w:hAnsi="仿宋"/>
          <w:highlight w:val="none"/>
        </w:rPr>
        <w:t>（5）采用活动地板时，线缆在地板下可灵活布放，并应顺直无扭绞；采用活动天花板上方安装时，线缆可在天花板上灵活布放，并应顺直无扭曲。</w:t>
      </w:r>
    </w:p>
    <w:p>
      <w:pPr>
        <w:ind w:firstLine="560"/>
        <w:rPr>
          <w:rFonts w:hint="eastAsia" w:ascii="仿宋" w:hAnsi="仿宋"/>
          <w:highlight w:val="none"/>
        </w:rPr>
      </w:pPr>
      <w:r>
        <w:rPr>
          <w:rFonts w:hint="eastAsia" w:ascii="仿宋" w:hAnsi="仿宋"/>
          <w:highlight w:val="none"/>
        </w:rPr>
        <w:t>（6）在引入机架、操作台、设备时还应成捆绑扎。</w:t>
      </w:r>
    </w:p>
    <w:p>
      <w:pPr>
        <w:ind w:firstLine="560"/>
        <w:rPr>
          <w:rFonts w:hint="eastAsia" w:ascii="仿宋" w:hAnsi="仿宋"/>
          <w:highlight w:val="none"/>
        </w:rPr>
      </w:pPr>
      <w:r>
        <w:rPr>
          <w:rFonts w:hint="eastAsia" w:ascii="仿宋" w:hAnsi="仿宋"/>
          <w:highlight w:val="none"/>
        </w:rPr>
        <w:t>（7）在敷设的电缆两端应留适度余量，并标示明显的永久性标记。</w:t>
      </w:r>
    </w:p>
    <w:p>
      <w:pPr>
        <w:ind w:firstLine="560"/>
        <w:rPr>
          <w:rFonts w:hint="eastAsia" w:ascii="仿宋" w:hAnsi="仿宋"/>
          <w:highlight w:val="none"/>
        </w:rPr>
      </w:pPr>
      <w:r>
        <w:rPr>
          <w:rFonts w:hint="eastAsia" w:ascii="仿宋" w:hAnsi="仿宋"/>
          <w:highlight w:val="none"/>
        </w:rPr>
        <w:t>（8）各种电缆及控制线插头的装设应符合国标要求。</w:t>
      </w:r>
    </w:p>
    <w:p>
      <w:pPr>
        <w:pStyle w:val="4"/>
        <w:numPr>
          <w:ilvl w:val="0"/>
          <w:numId w:val="0"/>
        </w:numPr>
        <w:ind w:left="1004"/>
        <w:rPr>
          <w:highlight w:val="none"/>
        </w:rPr>
      </w:pPr>
      <w:r>
        <w:rPr>
          <w:rFonts w:hint="eastAsia"/>
          <w:highlight w:val="none"/>
        </w:rPr>
        <w:t>5、音箱的安装要求</w:t>
      </w:r>
    </w:p>
    <w:p>
      <w:pPr>
        <w:ind w:firstLine="560"/>
        <w:rPr>
          <w:rFonts w:hint="eastAsia" w:ascii="仿宋" w:hAnsi="仿宋"/>
          <w:highlight w:val="none"/>
        </w:rPr>
      </w:pPr>
      <w:r>
        <w:rPr>
          <w:rFonts w:hint="eastAsia" w:ascii="仿宋" w:hAnsi="仿宋"/>
          <w:highlight w:val="none"/>
        </w:rPr>
        <w:t>（1）音箱的吊装须采用经过安全认证和保险的吊装组件；</w:t>
      </w:r>
    </w:p>
    <w:p>
      <w:pPr>
        <w:ind w:firstLine="560"/>
        <w:rPr>
          <w:rFonts w:hint="eastAsia" w:ascii="仿宋" w:hAnsi="仿宋"/>
          <w:highlight w:val="none"/>
        </w:rPr>
      </w:pPr>
      <w:r>
        <w:rPr>
          <w:rFonts w:hint="eastAsia" w:ascii="仿宋" w:hAnsi="仿宋"/>
          <w:highlight w:val="none"/>
        </w:rPr>
        <w:t>（2）音箱的安装应牢固、安全，其安装角度宜于调整；</w:t>
      </w:r>
    </w:p>
    <w:p>
      <w:pPr>
        <w:ind w:firstLine="560"/>
        <w:rPr>
          <w:rFonts w:hint="eastAsia" w:ascii="仿宋" w:hAnsi="仿宋"/>
          <w:highlight w:val="none"/>
        </w:rPr>
      </w:pPr>
      <w:r>
        <w:rPr>
          <w:rFonts w:hint="eastAsia" w:ascii="仿宋" w:hAnsi="仿宋"/>
          <w:highlight w:val="none"/>
        </w:rPr>
        <w:t>（3）音箱输入电缆与音箱的连接必须牢固可靠；</w:t>
      </w:r>
    </w:p>
    <w:p>
      <w:pPr>
        <w:ind w:firstLine="560"/>
        <w:rPr>
          <w:rFonts w:hint="eastAsia" w:ascii="仿宋" w:hAnsi="仿宋"/>
          <w:highlight w:val="none"/>
        </w:rPr>
      </w:pPr>
      <w:r>
        <w:rPr>
          <w:rFonts w:hint="eastAsia" w:ascii="仿宋" w:hAnsi="仿宋"/>
          <w:highlight w:val="none"/>
        </w:rPr>
        <w:t>（4）音箱输入电缆不可扭曲或绞合；</w:t>
      </w:r>
    </w:p>
    <w:p>
      <w:pPr>
        <w:ind w:firstLine="560"/>
        <w:rPr>
          <w:rFonts w:hint="eastAsia" w:ascii="仿宋" w:hAnsi="仿宋"/>
          <w:highlight w:val="none"/>
        </w:rPr>
      </w:pPr>
      <w:r>
        <w:rPr>
          <w:rFonts w:hint="eastAsia" w:ascii="仿宋" w:hAnsi="仿宋"/>
          <w:highlight w:val="none"/>
        </w:rPr>
        <w:t>（5）音箱电缆的选用必须满足音箱使用功率的容量要求；</w:t>
      </w:r>
    </w:p>
    <w:p>
      <w:pPr>
        <w:ind w:firstLine="560"/>
        <w:rPr>
          <w:rFonts w:hint="eastAsia"/>
          <w:highlight w:val="none"/>
        </w:rPr>
      </w:pPr>
      <w:r>
        <w:rPr>
          <w:rFonts w:hint="eastAsia" w:ascii="仿宋" w:hAnsi="仿宋"/>
          <w:highlight w:val="none"/>
        </w:rPr>
        <w:t>（6）各音箱电缆两端须标示永久性标记和相位标记。</w:t>
      </w:r>
    </w:p>
    <w:p>
      <w:pPr>
        <w:keepNext/>
        <w:keepLines/>
        <w:widowControl/>
        <w:numPr>
          <w:ilvl w:val="0"/>
          <w:numId w:val="8"/>
        </w:numPr>
        <w:spacing w:line="579" w:lineRule="auto"/>
        <w:ind w:firstLine="643" w:firstLineChars="200"/>
        <w:jc w:val="left"/>
        <w:outlineLvl w:val="0"/>
        <w:rPr>
          <w:rFonts w:hint="eastAsia" w:ascii="黑体" w:hAnsi="黑体" w:eastAsia="黑体"/>
          <w:b/>
          <w:bCs/>
          <w:kern w:val="44"/>
          <w:szCs w:val="32"/>
          <w:highlight w:val="none"/>
        </w:rPr>
      </w:pPr>
      <w:bookmarkStart w:id="20" w:name="_Toc16532"/>
      <w:r>
        <w:rPr>
          <w:rFonts w:hint="eastAsia" w:ascii="黑体" w:hAnsi="黑体" w:eastAsia="黑体"/>
          <w:b/>
          <w:bCs/>
          <w:kern w:val="44"/>
          <w:szCs w:val="32"/>
          <w:highlight w:val="none"/>
        </w:rPr>
        <w:t>产品其他要求</w:t>
      </w:r>
      <w:bookmarkEnd w:id="15"/>
      <w:bookmarkEnd w:id="16"/>
      <w:bookmarkEnd w:id="20"/>
    </w:p>
    <w:p>
      <w:pPr>
        <w:widowControl/>
        <w:numPr>
          <w:ilvl w:val="1"/>
          <w:numId w:val="9"/>
        </w:numPr>
        <w:jc w:val="left"/>
        <w:outlineLvl w:val="1"/>
        <w:rPr>
          <w:rFonts w:hint="eastAsia" w:ascii="楷体" w:hAnsi="楷体" w:eastAsia="楷体" w:cs="楷体"/>
          <w:b/>
          <w:bCs/>
          <w:color w:val="000000"/>
          <w:kern w:val="0"/>
          <w:szCs w:val="32"/>
          <w:highlight w:val="none"/>
        </w:rPr>
      </w:pPr>
      <w:bookmarkStart w:id="21" w:name="_Toc26973"/>
      <w:bookmarkStart w:id="22" w:name="_Toc14914"/>
      <w:bookmarkStart w:id="23" w:name="_Toc112138686"/>
      <w:r>
        <w:rPr>
          <w:rFonts w:hint="eastAsia" w:ascii="楷体" w:hAnsi="楷体" w:eastAsia="楷体" w:cs="楷体"/>
          <w:b/>
          <w:bCs/>
          <w:color w:val="000000"/>
          <w:kern w:val="0"/>
          <w:szCs w:val="32"/>
          <w:highlight w:val="none"/>
        </w:rPr>
        <w:t>业绩要求</w:t>
      </w:r>
      <w:bookmarkEnd w:id="21"/>
      <w:bookmarkEnd w:id="22"/>
      <w:bookmarkEnd w:id="23"/>
    </w:p>
    <w:p>
      <w:pPr>
        <w:ind w:firstLine="560"/>
        <w:rPr>
          <w:rFonts w:hint="eastAsia" w:ascii="仿宋" w:hAnsi="仿宋" w:eastAsia="仿宋" w:cs="仿宋"/>
          <w:highlight w:val="none"/>
          <w:lang w:eastAsia="zh-CN"/>
        </w:rPr>
      </w:pPr>
      <w:r>
        <w:rPr>
          <w:rFonts w:hint="eastAsia" w:ascii="仿宋" w:hAnsi="仿宋"/>
          <w:highlight w:val="none"/>
          <w:lang w:val="en-US" w:eastAsia="zh-CN"/>
        </w:rPr>
        <w:t>详见方案技术评审部分。</w:t>
      </w:r>
    </w:p>
    <w:p>
      <w:pPr>
        <w:widowControl/>
        <w:numPr>
          <w:ilvl w:val="1"/>
          <w:numId w:val="9"/>
        </w:numPr>
        <w:jc w:val="left"/>
        <w:outlineLvl w:val="1"/>
        <w:rPr>
          <w:rFonts w:hint="eastAsia" w:ascii="楷体" w:hAnsi="楷体" w:eastAsia="楷体" w:cs="楷体"/>
          <w:b/>
          <w:bCs/>
          <w:color w:val="000000"/>
          <w:kern w:val="0"/>
          <w:szCs w:val="32"/>
          <w:highlight w:val="none"/>
        </w:rPr>
      </w:pPr>
      <w:bookmarkStart w:id="24" w:name="_Toc2666"/>
      <w:bookmarkStart w:id="25" w:name="_Toc112138687"/>
      <w:bookmarkStart w:id="26" w:name="_Toc20965"/>
      <w:r>
        <w:rPr>
          <w:rFonts w:hint="eastAsia" w:ascii="楷体" w:hAnsi="楷体" w:eastAsia="楷体" w:cs="楷体"/>
          <w:b/>
          <w:bCs/>
          <w:color w:val="000000"/>
          <w:kern w:val="0"/>
          <w:szCs w:val="32"/>
          <w:highlight w:val="none"/>
        </w:rPr>
        <w:t>安装调试要求</w:t>
      </w:r>
      <w:bookmarkEnd w:id="24"/>
      <w:bookmarkEnd w:id="25"/>
      <w:bookmarkEnd w:id="26"/>
    </w:p>
    <w:p>
      <w:pPr>
        <w:ind w:firstLine="560"/>
        <w:rPr>
          <w:rFonts w:hint="eastAsia" w:ascii="仿宋" w:hAnsi="仿宋"/>
          <w:highlight w:val="none"/>
        </w:rPr>
      </w:pPr>
      <w:bookmarkStart w:id="27" w:name="_Toc1497"/>
      <w:bookmarkStart w:id="28" w:name="_Toc112138688"/>
      <w:r>
        <w:rPr>
          <w:rFonts w:hint="eastAsia" w:ascii="仿宋" w:hAnsi="仿宋"/>
          <w:highlight w:val="none"/>
        </w:rPr>
        <w:t>在安装调试过程中，实施人员需具相关施工证书</w:t>
      </w:r>
      <w:r>
        <w:rPr>
          <w:rFonts w:hint="eastAsia" w:ascii="仿宋" w:hAnsi="仿宋"/>
          <w:color w:val="auto"/>
          <w:highlight w:val="none"/>
        </w:rPr>
        <w:t>（包括但不限于备低压电工证、安全员</w:t>
      </w:r>
      <w:r>
        <w:rPr>
          <w:rFonts w:hint="eastAsia" w:ascii="仿宋" w:hAnsi="仿宋"/>
          <w:color w:val="auto"/>
          <w:highlight w:val="none"/>
          <w:lang w:val="en-US" w:eastAsia="zh-CN"/>
        </w:rPr>
        <w:t>等</w:t>
      </w:r>
      <w:r>
        <w:rPr>
          <w:rFonts w:hint="eastAsia" w:ascii="仿宋" w:hAnsi="仿宋"/>
          <w:color w:val="auto"/>
          <w:highlight w:val="none"/>
        </w:rPr>
        <w:t>），音视</w:t>
      </w:r>
      <w:r>
        <w:rPr>
          <w:rFonts w:hint="eastAsia" w:ascii="仿宋" w:hAnsi="仿宋"/>
          <w:highlight w:val="none"/>
        </w:rPr>
        <w:t>频设备至少有</w:t>
      </w:r>
      <w:r>
        <w:rPr>
          <w:rFonts w:hint="eastAsia" w:ascii="仿宋" w:hAnsi="仿宋"/>
          <w:highlight w:val="none"/>
          <w:u w:val="none"/>
          <w:lang w:val="en-US" w:eastAsia="zh-CN"/>
        </w:rPr>
        <w:t>1</w:t>
      </w:r>
      <w:r>
        <w:rPr>
          <w:rFonts w:hint="eastAsia" w:ascii="仿宋" w:hAnsi="仿宋"/>
          <w:highlight w:val="none"/>
          <w:u w:val="none"/>
        </w:rPr>
        <w:t>名原制造商工程师</w:t>
      </w:r>
      <w:r>
        <w:rPr>
          <w:rFonts w:hint="eastAsia" w:ascii="仿宋" w:hAnsi="仿宋"/>
          <w:highlight w:val="none"/>
        </w:rPr>
        <w:t>在场。并提供安装调试过程中的各种文档资料。设备安装调试完成后，须对所投产品中的IT设备进行信息安全加固。安装调试时间最长不超过45天，提供详细实施方案及工期计划。</w:t>
      </w:r>
    </w:p>
    <w:p>
      <w:pPr>
        <w:widowControl/>
        <w:numPr>
          <w:ilvl w:val="1"/>
          <w:numId w:val="9"/>
        </w:numPr>
        <w:jc w:val="left"/>
        <w:outlineLvl w:val="1"/>
        <w:rPr>
          <w:rFonts w:hint="eastAsia" w:ascii="楷体" w:hAnsi="楷体" w:eastAsia="楷体" w:cs="楷体"/>
          <w:b/>
          <w:bCs/>
          <w:color w:val="000000"/>
          <w:kern w:val="0"/>
          <w:szCs w:val="32"/>
          <w:highlight w:val="none"/>
        </w:rPr>
      </w:pPr>
      <w:bookmarkStart w:id="29" w:name="_Toc7225"/>
      <w:r>
        <w:rPr>
          <w:rFonts w:hint="eastAsia" w:ascii="楷体" w:hAnsi="楷体" w:eastAsia="楷体" w:cs="楷体"/>
          <w:b/>
          <w:bCs/>
          <w:color w:val="000000"/>
          <w:kern w:val="0"/>
          <w:szCs w:val="32"/>
          <w:highlight w:val="none"/>
        </w:rPr>
        <w:t>质量保证</w:t>
      </w:r>
      <w:bookmarkEnd w:id="27"/>
      <w:bookmarkEnd w:id="28"/>
      <w:bookmarkEnd w:id="29"/>
    </w:p>
    <w:p>
      <w:pPr>
        <w:ind w:firstLine="560"/>
        <w:rPr>
          <w:rFonts w:hint="eastAsia" w:ascii="仿宋" w:hAnsi="仿宋"/>
          <w:highlight w:val="none"/>
        </w:rPr>
      </w:pPr>
      <w:r>
        <w:rPr>
          <w:rFonts w:hint="eastAsia" w:ascii="仿宋" w:hAnsi="仿宋"/>
          <w:highlight w:val="none"/>
        </w:rPr>
        <w:t>为保证产品质量，防止虚假应标，要求成交人在中标后提供相关样品供采购人测试，测试通过后签订合同。项目要求质量保证期（质保期）为</w:t>
      </w:r>
      <w:r>
        <w:rPr>
          <w:rFonts w:ascii="仿宋" w:hAnsi="仿宋"/>
          <w:highlight w:val="none"/>
        </w:rPr>
        <w:t>36</w:t>
      </w:r>
      <w:r>
        <w:rPr>
          <w:rFonts w:hint="eastAsia" w:ascii="仿宋" w:hAnsi="仿宋"/>
          <w:highlight w:val="none"/>
        </w:rPr>
        <w:t>个月，自项目验收合格之日起开始计算。</w:t>
      </w:r>
    </w:p>
    <w:p>
      <w:pPr>
        <w:widowControl/>
        <w:numPr>
          <w:ilvl w:val="1"/>
          <w:numId w:val="9"/>
        </w:numPr>
        <w:jc w:val="left"/>
        <w:outlineLvl w:val="1"/>
        <w:rPr>
          <w:rFonts w:hint="eastAsia" w:ascii="楷体" w:hAnsi="楷体" w:eastAsia="楷体" w:cs="楷体"/>
          <w:b/>
          <w:bCs/>
          <w:color w:val="000000"/>
          <w:kern w:val="0"/>
          <w:szCs w:val="32"/>
          <w:highlight w:val="none"/>
        </w:rPr>
      </w:pPr>
      <w:bookmarkStart w:id="30" w:name="_Toc29270"/>
      <w:bookmarkStart w:id="31" w:name="_Toc27028"/>
      <w:bookmarkStart w:id="32" w:name="_Toc112138689"/>
      <w:r>
        <w:rPr>
          <w:rFonts w:hint="eastAsia" w:ascii="楷体" w:hAnsi="楷体" w:eastAsia="楷体" w:cs="楷体"/>
          <w:b/>
          <w:bCs/>
          <w:color w:val="000000"/>
          <w:kern w:val="0"/>
          <w:szCs w:val="32"/>
          <w:highlight w:val="none"/>
        </w:rPr>
        <w:t>售后服务</w:t>
      </w:r>
      <w:bookmarkEnd w:id="30"/>
      <w:bookmarkEnd w:id="31"/>
      <w:bookmarkEnd w:id="32"/>
    </w:p>
    <w:p>
      <w:pPr>
        <w:ind w:firstLine="560"/>
        <w:rPr>
          <w:rFonts w:hint="eastAsia" w:ascii="仿宋" w:hAnsi="仿宋"/>
          <w:highlight w:val="none"/>
        </w:rPr>
      </w:pPr>
      <w:r>
        <w:rPr>
          <w:rFonts w:hint="eastAsia" w:ascii="仿宋" w:hAnsi="仿宋"/>
          <w:highlight w:val="none"/>
        </w:rPr>
        <w:t>1.成交人应在质保到期前，</w:t>
      </w:r>
      <w:r>
        <w:rPr>
          <w:rFonts w:ascii="仿宋" w:hAnsi="仿宋"/>
          <w:highlight w:val="none"/>
        </w:rPr>
        <w:t>免费提供7X24小时原制造商技术支持和上门维修服务</w:t>
      </w:r>
      <w:r>
        <w:rPr>
          <w:rFonts w:hint="eastAsia" w:ascii="仿宋" w:hAnsi="仿宋"/>
          <w:highlight w:val="none"/>
        </w:rPr>
        <w:t>。</w:t>
      </w:r>
      <w:r>
        <w:rPr>
          <w:rFonts w:ascii="仿宋" w:hAnsi="仿宋"/>
          <w:highlight w:val="none"/>
        </w:rPr>
        <w:t>对可能由设备引起的故障，导致设备所承载的系统无法正常运行的情况，</w:t>
      </w:r>
      <w:r>
        <w:rPr>
          <w:rFonts w:hint="eastAsia" w:ascii="仿宋" w:hAnsi="仿宋"/>
          <w:highlight w:val="none"/>
        </w:rPr>
        <w:t>成交人</w:t>
      </w:r>
      <w:r>
        <w:rPr>
          <w:rFonts w:ascii="仿宋" w:hAnsi="仿宋"/>
          <w:highlight w:val="none"/>
        </w:rPr>
        <w:t>应免费提供原制造商技术支持和上门故障定位及排除服务，包括人工、配件（选项配件）、交通等任何费用全免</w:t>
      </w:r>
      <w:r>
        <w:rPr>
          <w:rFonts w:hint="eastAsia" w:ascii="仿宋" w:hAnsi="仿宋"/>
          <w:highlight w:val="none"/>
        </w:rPr>
        <w:t>。</w:t>
      </w:r>
      <w:r>
        <w:rPr>
          <w:rFonts w:ascii="仿宋" w:hAnsi="仿宋"/>
          <w:highlight w:val="none"/>
        </w:rPr>
        <w:t>发生设备或部件硬件故障，应承诺在</w:t>
      </w:r>
      <w:r>
        <w:rPr>
          <w:rFonts w:hint="eastAsia" w:ascii="仿宋" w:hAnsi="仿宋"/>
          <w:highlight w:val="none"/>
        </w:rPr>
        <w:t>5</w:t>
      </w:r>
      <w:r>
        <w:rPr>
          <w:rFonts w:ascii="仿宋" w:hAnsi="仿宋"/>
          <w:highlight w:val="none"/>
        </w:rPr>
        <w:t>个工作日内完成备件的更换。</w:t>
      </w:r>
      <w:r>
        <w:rPr>
          <w:rFonts w:hint="eastAsia" w:ascii="仿宋" w:hAnsi="仿宋"/>
          <w:highlight w:val="none"/>
        </w:rPr>
        <w:t>发生软件故障时，在3个工作日内完成软件修复。提供各个设备及部件更换价格，在质保期满之后，按照约定价格提供主要设备及部件。</w:t>
      </w:r>
    </w:p>
    <w:p>
      <w:pPr>
        <w:ind w:firstLine="560"/>
        <w:rPr>
          <w:rFonts w:hint="eastAsia" w:ascii="仿宋" w:hAnsi="仿宋"/>
          <w:highlight w:val="none"/>
        </w:rPr>
      </w:pPr>
      <w:r>
        <w:rPr>
          <w:rFonts w:hint="eastAsia" w:ascii="仿宋" w:hAnsi="仿宋"/>
          <w:highlight w:val="none"/>
        </w:rPr>
        <w:t>2.质保</w:t>
      </w:r>
      <w:r>
        <w:rPr>
          <w:rFonts w:ascii="仿宋" w:hAnsi="仿宋"/>
          <w:highlight w:val="none"/>
        </w:rPr>
        <w:t>期内</w:t>
      </w:r>
      <w:r>
        <w:rPr>
          <w:rFonts w:hint="eastAsia" w:ascii="仿宋" w:hAnsi="仿宋"/>
          <w:highlight w:val="none"/>
        </w:rPr>
        <w:t>成交人</w:t>
      </w:r>
      <w:r>
        <w:rPr>
          <w:rFonts w:ascii="仿宋" w:hAnsi="仿宋"/>
          <w:highlight w:val="none"/>
        </w:rPr>
        <w:t>必须提供每半年1次巡检</w:t>
      </w:r>
      <w:r>
        <w:rPr>
          <w:rFonts w:hint="eastAsia" w:ascii="仿宋" w:hAnsi="仿宋"/>
          <w:highlight w:val="none"/>
        </w:rPr>
        <w:t>服务，提供</w:t>
      </w:r>
      <w:r>
        <w:rPr>
          <w:rFonts w:ascii="仿宋" w:hAnsi="仿宋"/>
          <w:highlight w:val="none"/>
        </w:rPr>
        <w:t>特殊保供电及重要节假日（国庆、元旦、春节等）时期的节前特巡及节</w:t>
      </w:r>
      <w:r>
        <w:rPr>
          <w:rFonts w:hint="eastAsia" w:ascii="仿宋" w:hAnsi="仿宋"/>
          <w:highlight w:val="none"/>
        </w:rPr>
        <w:t>日期间</w:t>
      </w:r>
      <w:r>
        <w:rPr>
          <w:rFonts w:ascii="仿宋" w:hAnsi="仿宋"/>
          <w:highlight w:val="none"/>
        </w:rPr>
        <w:t xml:space="preserve">保障，并提交巡检报告及优化建议。 </w:t>
      </w:r>
    </w:p>
    <w:p>
      <w:pPr>
        <w:ind w:firstLine="560"/>
        <w:rPr>
          <w:rFonts w:hint="eastAsia" w:ascii="仿宋" w:hAnsi="仿宋"/>
          <w:highlight w:val="none"/>
        </w:rPr>
      </w:pPr>
      <w:r>
        <w:rPr>
          <w:rFonts w:hint="eastAsia" w:ascii="仿宋" w:hAnsi="仿宋"/>
          <w:highlight w:val="none"/>
        </w:rPr>
        <w:t>3.</w:t>
      </w:r>
      <w:r>
        <w:rPr>
          <w:rFonts w:ascii="仿宋" w:hAnsi="仿宋"/>
          <w:highlight w:val="none"/>
        </w:rPr>
        <w:t>承诺</w:t>
      </w:r>
      <w:r>
        <w:rPr>
          <w:rFonts w:hint="eastAsia" w:ascii="仿宋" w:hAnsi="仿宋"/>
          <w:highlight w:val="none"/>
        </w:rPr>
        <w:t>在质保</w:t>
      </w:r>
      <w:r>
        <w:rPr>
          <w:rFonts w:ascii="仿宋" w:hAnsi="仿宋"/>
          <w:highlight w:val="none"/>
        </w:rPr>
        <w:t>期内免费提供</w:t>
      </w:r>
      <w:r>
        <w:rPr>
          <w:rFonts w:hint="eastAsia" w:ascii="仿宋" w:hAnsi="仿宋"/>
          <w:highlight w:val="none"/>
        </w:rPr>
        <w:t>设备自带</w:t>
      </w:r>
      <w:r>
        <w:rPr>
          <w:rFonts w:ascii="仿宋" w:hAnsi="仿宋"/>
          <w:highlight w:val="none"/>
        </w:rPr>
        <w:t>软件版本更新和版本升级</w:t>
      </w:r>
      <w:r>
        <w:rPr>
          <w:rFonts w:hint="eastAsia" w:ascii="仿宋" w:hAnsi="仿宋"/>
          <w:highlight w:val="none"/>
        </w:rPr>
        <w:t>服务</w:t>
      </w:r>
      <w:r>
        <w:rPr>
          <w:rFonts w:ascii="仿宋" w:hAnsi="仿宋"/>
          <w:highlight w:val="none"/>
        </w:rPr>
        <w:t>。</w:t>
      </w:r>
    </w:p>
    <w:p>
      <w:pPr>
        <w:widowControl/>
        <w:numPr>
          <w:ilvl w:val="1"/>
          <w:numId w:val="9"/>
        </w:numPr>
        <w:jc w:val="left"/>
        <w:outlineLvl w:val="1"/>
        <w:rPr>
          <w:rFonts w:hint="eastAsia" w:ascii="楷体" w:hAnsi="楷体" w:eastAsia="楷体" w:cs="楷体"/>
          <w:b/>
          <w:bCs/>
          <w:color w:val="000000"/>
          <w:kern w:val="0"/>
          <w:szCs w:val="32"/>
          <w:highlight w:val="none"/>
        </w:rPr>
      </w:pPr>
      <w:bookmarkStart w:id="33" w:name="_Toc12051"/>
      <w:bookmarkStart w:id="34" w:name="_Toc112138690"/>
      <w:bookmarkStart w:id="35" w:name="_Toc19990"/>
      <w:r>
        <w:rPr>
          <w:rFonts w:hint="eastAsia" w:ascii="楷体" w:hAnsi="楷体" w:eastAsia="楷体" w:cs="楷体"/>
          <w:b/>
          <w:bCs/>
          <w:color w:val="000000"/>
          <w:kern w:val="0"/>
          <w:szCs w:val="32"/>
          <w:highlight w:val="none"/>
        </w:rPr>
        <w:t>培训服务要求</w:t>
      </w:r>
      <w:bookmarkEnd w:id="33"/>
      <w:bookmarkEnd w:id="34"/>
      <w:bookmarkEnd w:id="35"/>
    </w:p>
    <w:p>
      <w:pPr>
        <w:ind w:firstLine="560"/>
        <w:rPr>
          <w:rFonts w:hint="eastAsia" w:ascii="仿宋" w:hAnsi="仿宋"/>
          <w:highlight w:val="none"/>
        </w:rPr>
      </w:pPr>
      <w:r>
        <w:rPr>
          <w:rFonts w:ascii="仿宋" w:hAnsi="仿宋"/>
          <w:highlight w:val="none"/>
        </w:rPr>
        <w:t>采用现场培训方式，每个</w:t>
      </w:r>
      <w:r>
        <w:rPr>
          <w:rFonts w:hint="eastAsia" w:ascii="仿宋" w:hAnsi="仿宋"/>
          <w:highlight w:val="none"/>
        </w:rPr>
        <w:t>产品</w:t>
      </w:r>
      <w:r>
        <w:rPr>
          <w:rFonts w:ascii="仿宋" w:hAnsi="仿宋"/>
          <w:highlight w:val="none"/>
        </w:rPr>
        <w:t>提供至少1次</w:t>
      </w:r>
      <w:r>
        <w:rPr>
          <w:rFonts w:hint="eastAsia" w:ascii="仿宋" w:hAnsi="仿宋"/>
          <w:highlight w:val="none"/>
        </w:rPr>
        <w:t>的免费培训</w:t>
      </w:r>
      <w:r>
        <w:rPr>
          <w:rFonts w:ascii="仿宋" w:hAnsi="仿宋"/>
          <w:highlight w:val="none"/>
        </w:rPr>
        <w:t>。</w:t>
      </w:r>
      <w:r>
        <w:rPr>
          <w:rFonts w:hint="eastAsia" w:ascii="仿宋" w:hAnsi="仿宋"/>
          <w:highlight w:val="none"/>
        </w:rPr>
        <w:t>培训地点及时间由采购人指定。</w:t>
      </w:r>
    </w:p>
    <w:p>
      <w:pPr>
        <w:widowControl/>
        <w:numPr>
          <w:ilvl w:val="1"/>
          <w:numId w:val="9"/>
        </w:numPr>
        <w:jc w:val="left"/>
        <w:outlineLvl w:val="1"/>
        <w:rPr>
          <w:rFonts w:hint="eastAsia" w:ascii="楷体" w:hAnsi="楷体" w:eastAsia="楷体" w:cs="楷体"/>
          <w:b/>
          <w:bCs/>
          <w:color w:val="000000"/>
          <w:kern w:val="0"/>
          <w:szCs w:val="32"/>
          <w:highlight w:val="none"/>
        </w:rPr>
      </w:pPr>
      <w:bookmarkStart w:id="36" w:name="_Toc112138691"/>
      <w:bookmarkStart w:id="37" w:name="_Toc32308"/>
      <w:bookmarkStart w:id="38" w:name="_Toc24192"/>
      <w:r>
        <w:rPr>
          <w:rFonts w:hint="eastAsia" w:ascii="楷体" w:hAnsi="楷体" w:eastAsia="楷体" w:cs="楷体"/>
          <w:b/>
          <w:bCs/>
          <w:color w:val="000000"/>
          <w:kern w:val="0"/>
          <w:szCs w:val="32"/>
          <w:highlight w:val="none"/>
        </w:rPr>
        <w:t>知识成果要求</w:t>
      </w:r>
      <w:bookmarkEnd w:id="36"/>
      <w:bookmarkEnd w:id="37"/>
      <w:bookmarkEnd w:id="38"/>
    </w:p>
    <w:p>
      <w:pPr>
        <w:ind w:firstLine="560"/>
        <w:rPr>
          <w:highlight w:val="none"/>
        </w:rPr>
      </w:pPr>
      <w:r>
        <w:rPr>
          <w:rFonts w:hint="eastAsia" w:ascii="仿宋" w:hAnsi="仿宋"/>
          <w:highlight w:val="none"/>
        </w:rPr>
        <w:t>因投标产品的知识产权引起的纠纷，由成交人承担相应责任。</w:t>
      </w:r>
    </w:p>
    <w:p>
      <w:pPr>
        <w:widowControl/>
        <w:numPr>
          <w:ilvl w:val="1"/>
          <w:numId w:val="9"/>
        </w:numPr>
        <w:jc w:val="left"/>
        <w:outlineLvl w:val="1"/>
        <w:rPr>
          <w:rFonts w:hint="eastAsia" w:ascii="楷体" w:hAnsi="楷体" w:eastAsia="楷体" w:cs="楷体"/>
          <w:b/>
          <w:bCs/>
          <w:color w:val="000000"/>
          <w:kern w:val="0"/>
          <w:szCs w:val="32"/>
          <w:highlight w:val="none"/>
        </w:rPr>
      </w:pPr>
      <w:bookmarkStart w:id="39" w:name="_Toc18542"/>
      <w:bookmarkStart w:id="40" w:name="_Toc7399"/>
      <w:bookmarkStart w:id="41" w:name="_Toc112138692"/>
      <w:r>
        <w:rPr>
          <w:rFonts w:hint="eastAsia" w:ascii="楷体" w:hAnsi="楷体" w:eastAsia="楷体" w:cs="楷体"/>
          <w:b/>
          <w:bCs/>
          <w:color w:val="000000"/>
          <w:kern w:val="0"/>
          <w:szCs w:val="32"/>
          <w:highlight w:val="none"/>
        </w:rPr>
        <w:t>验收要求</w:t>
      </w:r>
      <w:bookmarkEnd w:id="39"/>
      <w:bookmarkEnd w:id="40"/>
      <w:bookmarkEnd w:id="41"/>
    </w:p>
    <w:p>
      <w:pPr>
        <w:ind w:firstLine="560"/>
        <w:rPr>
          <w:rFonts w:hint="eastAsia" w:ascii="仿宋" w:hAnsi="仿宋"/>
          <w:highlight w:val="none"/>
        </w:rPr>
      </w:pPr>
      <w:r>
        <w:rPr>
          <w:rFonts w:hint="eastAsia" w:ascii="仿宋" w:hAnsi="仿宋"/>
          <w:highlight w:val="none"/>
        </w:rPr>
        <w:t>1．所有验收工作由采购人组织进行，成交人须配合提供验收资料，具体要求由双方协商确定。</w:t>
      </w:r>
    </w:p>
    <w:p>
      <w:pPr>
        <w:ind w:firstLine="560"/>
        <w:rPr>
          <w:rFonts w:hint="eastAsia" w:ascii="仿宋" w:hAnsi="仿宋"/>
          <w:highlight w:val="none"/>
        </w:rPr>
      </w:pPr>
      <w:r>
        <w:rPr>
          <w:rFonts w:hint="eastAsia" w:ascii="仿宋" w:hAnsi="仿宋"/>
          <w:highlight w:val="none"/>
        </w:rPr>
        <w:t>2．若采购人认为成交人提供的资料不符合要求，成交人应在7个工作日内完成整改并提交采购人，因此产生的相关费用由成交人负责。</w:t>
      </w:r>
    </w:p>
    <w:p>
      <w:pPr>
        <w:widowControl/>
        <w:numPr>
          <w:ilvl w:val="1"/>
          <w:numId w:val="9"/>
        </w:numPr>
        <w:jc w:val="left"/>
        <w:outlineLvl w:val="1"/>
        <w:rPr>
          <w:rFonts w:hint="eastAsia" w:ascii="楷体" w:hAnsi="楷体" w:eastAsia="楷体" w:cs="楷体"/>
          <w:b/>
          <w:bCs/>
          <w:color w:val="000000"/>
          <w:kern w:val="0"/>
          <w:szCs w:val="32"/>
          <w:highlight w:val="none"/>
        </w:rPr>
      </w:pPr>
      <w:bookmarkStart w:id="42" w:name="_Toc112138693"/>
      <w:bookmarkStart w:id="43" w:name="_Toc26255"/>
      <w:bookmarkStart w:id="44" w:name="_Toc7100"/>
      <w:r>
        <w:rPr>
          <w:rFonts w:hint="eastAsia" w:ascii="楷体" w:hAnsi="楷体" w:eastAsia="楷体" w:cs="楷体"/>
          <w:b/>
          <w:bCs/>
          <w:color w:val="000000"/>
          <w:kern w:val="0"/>
          <w:szCs w:val="32"/>
          <w:highlight w:val="none"/>
        </w:rPr>
        <w:t>保密要求</w:t>
      </w:r>
      <w:bookmarkEnd w:id="42"/>
      <w:bookmarkEnd w:id="43"/>
      <w:bookmarkEnd w:id="44"/>
    </w:p>
    <w:p>
      <w:pPr>
        <w:ind w:firstLine="560"/>
        <w:rPr>
          <w:rFonts w:hint="eastAsia" w:ascii="仿宋" w:hAnsi="仿宋"/>
          <w:highlight w:val="none"/>
        </w:rPr>
      </w:pPr>
      <w:r>
        <w:rPr>
          <w:rFonts w:hint="eastAsia" w:ascii="仿宋" w:hAnsi="仿宋"/>
          <w:highlight w:val="none"/>
        </w:rPr>
        <w:t>1.保密信息指成交人在工作中接触到的一切属于采购人的信息和资料。成交人须确保不发生有责任的信息安全事件、且不得将保密信息泄露给第三方，如违反将承担相关费用和责任。</w:t>
      </w:r>
    </w:p>
    <w:p>
      <w:pPr>
        <w:ind w:firstLine="560"/>
        <w:rPr>
          <w:rFonts w:hint="eastAsia" w:ascii="仿宋" w:hAnsi="仿宋"/>
          <w:highlight w:val="none"/>
        </w:rPr>
      </w:pPr>
      <w:r>
        <w:rPr>
          <w:rFonts w:hint="eastAsia" w:ascii="仿宋" w:hAnsi="仿宋"/>
          <w:highlight w:val="none"/>
        </w:rPr>
        <w:t>2.成交人的管理人员、一般员工以及其他受成交人委托、聘用等直接或间接接触保密信息的人员均应恪尽保密义务，不因人员的流动而免责。</w:t>
      </w:r>
    </w:p>
    <w:p>
      <w:pPr>
        <w:ind w:firstLine="560"/>
        <w:rPr>
          <w:rFonts w:hint="eastAsia" w:ascii="仿宋" w:hAnsi="仿宋"/>
          <w:highlight w:val="none"/>
        </w:rPr>
      </w:pPr>
      <w:r>
        <w:rPr>
          <w:rFonts w:hint="eastAsia" w:ascii="仿宋" w:hAnsi="仿宋"/>
          <w:highlight w:val="none"/>
        </w:rPr>
        <w:t>3.成交人有义务妥善保管保密信息，成交人对于从采购人得到的保密信息，安全管理要求不得低于国家、行业和采购人相关的安全管理要求。</w:t>
      </w:r>
    </w:p>
    <w:p>
      <w:pPr>
        <w:widowControl/>
        <w:numPr>
          <w:ilvl w:val="1"/>
          <w:numId w:val="9"/>
        </w:numPr>
        <w:jc w:val="left"/>
        <w:outlineLvl w:val="1"/>
        <w:rPr>
          <w:rFonts w:hint="eastAsia" w:ascii="楷体" w:hAnsi="楷体" w:eastAsia="楷体" w:cs="楷体"/>
          <w:b/>
          <w:bCs/>
          <w:color w:val="000000"/>
          <w:kern w:val="0"/>
          <w:szCs w:val="32"/>
          <w:highlight w:val="none"/>
        </w:rPr>
      </w:pPr>
      <w:bookmarkStart w:id="45" w:name="_Toc112138694"/>
      <w:bookmarkStart w:id="46" w:name="_Toc20706"/>
      <w:bookmarkStart w:id="47" w:name="_Toc12318"/>
      <w:r>
        <w:rPr>
          <w:rFonts w:hint="eastAsia" w:ascii="楷体" w:hAnsi="楷体" w:eastAsia="楷体" w:cs="楷体"/>
          <w:b/>
          <w:bCs/>
          <w:color w:val="000000"/>
          <w:kern w:val="0"/>
          <w:szCs w:val="32"/>
          <w:highlight w:val="none"/>
        </w:rPr>
        <w:t>网络安全要求</w:t>
      </w:r>
      <w:bookmarkEnd w:id="45"/>
      <w:bookmarkEnd w:id="46"/>
      <w:bookmarkEnd w:id="47"/>
    </w:p>
    <w:p>
      <w:pPr>
        <w:ind w:firstLine="560"/>
        <w:rPr>
          <w:rFonts w:hint="eastAsia" w:ascii="仿宋" w:hAnsi="仿宋"/>
          <w:highlight w:val="none"/>
        </w:rPr>
      </w:pPr>
      <w:r>
        <w:rPr>
          <w:rFonts w:hint="eastAsia" w:ascii="仿宋" w:hAnsi="仿宋"/>
          <w:highlight w:val="none"/>
        </w:rPr>
        <w:t>1.成交人人员应遵守采购人场地管理、设备使用等方面的制度和规定。因成交人原因造成采购人信息不安全时，采购人有权随时终止本合同并要求成交人赔偿因此给采购人造成的全部损失。</w:t>
      </w:r>
    </w:p>
    <w:p>
      <w:pPr>
        <w:ind w:firstLine="560"/>
        <w:rPr>
          <w:rFonts w:hint="eastAsia" w:ascii="仿宋" w:hAnsi="仿宋"/>
          <w:highlight w:val="none"/>
        </w:rPr>
      </w:pPr>
      <w:r>
        <w:rPr>
          <w:rFonts w:ascii="仿宋" w:hAnsi="仿宋"/>
          <w:highlight w:val="none"/>
        </w:rPr>
        <w:t>2</w:t>
      </w:r>
      <w:r>
        <w:rPr>
          <w:rFonts w:hint="eastAsia" w:ascii="仿宋" w:hAnsi="仿宋"/>
          <w:highlight w:val="none"/>
        </w:rPr>
        <w:t>.采购人有权对成交人与本项目工作有关的工作履行情况及网络安全和控制情况进行监控、检查和评价。成交人应按照采购人安排定期或不定期对成交人在服务过程中的合规行为进行自查并向采购人报告情况。</w:t>
      </w:r>
    </w:p>
    <w:p>
      <w:pPr>
        <w:ind w:firstLine="560"/>
        <w:rPr>
          <w:rFonts w:hint="eastAsia" w:ascii="仿宋" w:hAnsi="仿宋"/>
          <w:highlight w:val="none"/>
        </w:rPr>
      </w:pPr>
      <w:r>
        <w:rPr>
          <w:rFonts w:ascii="仿宋" w:hAnsi="仿宋"/>
          <w:highlight w:val="none"/>
        </w:rPr>
        <w:t>3</w:t>
      </w:r>
      <w:r>
        <w:rPr>
          <w:rFonts w:hint="eastAsia" w:ascii="仿宋" w:hAnsi="仿宋"/>
          <w:highlight w:val="none"/>
        </w:rPr>
        <w:t>.成交人应有相应的网络安全保障能力及管控措施，并有应对突发网络安全事件的能力。</w:t>
      </w:r>
    </w:p>
    <w:p>
      <w:pPr>
        <w:ind w:firstLine="560"/>
        <w:rPr>
          <w:rFonts w:hint="eastAsia" w:ascii="仿宋" w:hAnsi="仿宋"/>
          <w:highlight w:val="none"/>
        </w:rPr>
      </w:pPr>
      <w:r>
        <w:rPr>
          <w:rFonts w:ascii="仿宋" w:hAnsi="仿宋"/>
          <w:highlight w:val="none"/>
        </w:rPr>
        <w:t>4</w:t>
      </w:r>
      <w:r>
        <w:rPr>
          <w:rFonts w:hint="eastAsia" w:ascii="仿宋" w:hAnsi="仿宋"/>
          <w:highlight w:val="none"/>
        </w:rPr>
        <w:t>.成交人不得在项目期间利用采购人网络资源或相关业务平台从事危害国家安全等违法犯罪活动，不得利用采购人网络资源或相关业务平台制作、查阅、复制和传播违反宪法和法律、妨碍社会治安、破坏国家统一、破坏民族团结、色情、暴力等信息。</w:t>
      </w:r>
    </w:p>
    <w:p>
      <w:pPr>
        <w:ind w:firstLine="560"/>
        <w:rPr>
          <w:highlight w:val="none"/>
        </w:rPr>
      </w:pPr>
      <w:r>
        <w:rPr>
          <w:rFonts w:ascii="仿宋" w:hAnsi="仿宋"/>
          <w:highlight w:val="none"/>
        </w:rPr>
        <w:t>5</w:t>
      </w:r>
      <w:r>
        <w:rPr>
          <w:rFonts w:hint="eastAsia" w:ascii="仿宋" w:hAnsi="仿宋"/>
          <w:highlight w:val="none"/>
        </w:rPr>
        <w:t>.成交人在实施期间至项目结束后，均应确保数据在全生命周期各环节中不被非法访问、复制、使用、泄露或破坏，做好数据安全风险监测和数据安全审计，及时发现数据安全缺陷、漏洞，并立即组织闭环整改工作。</w:t>
      </w:r>
      <w:bookmarkEnd w:id="17"/>
      <w:bookmarkEnd w:id="18"/>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firstLine="36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rPr>
                              <w:rFonts w:eastAsia="宋体"/>
                            </w:rPr>
                          </w:pP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2"/>
                      <w:rPr>
                        <w:rFonts w:eastAsia="宋体"/>
                      </w:rPr>
                    </w:pPr>
                    <w:r>
                      <w:rPr>
                        <w:rFonts w:hint="eastAsia"/>
                      </w:rPr>
                      <w:fldChar w:fldCharType="begin"/>
                    </w:r>
                    <w:r>
                      <w:rPr>
                        <w:rFonts w:hint="eastAsia"/>
                      </w:rPr>
                      <w:instrText xml:space="preserve"> PAGE  \* MERGEFORMAT </w:instrText>
                    </w:r>
                    <w:r>
                      <w:rPr>
                        <w:rFonts w:hint="eastAsia"/>
                      </w:rPr>
                      <w:fldChar w:fldCharType="separate"/>
                    </w:r>
                    <w:r>
                      <w:t>51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rPr>
        <w:b/>
        <w:sz w:val="18"/>
        <w:szCs w:val="18"/>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AF8226"/>
    <w:multiLevelType w:val="singleLevel"/>
    <w:tmpl w:val="A9AF8226"/>
    <w:lvl w:ilvl="0" w:tentative="0">
      <w:start w:val="3"/>
      <w:numFmt w:val="chineseCounting"/>
      <w:suff w:val="nothing"/>
      <w:lvlText w:val="%1、"/>
      <w:lvlJc w:val="left"/>
      <w:rPr>
        <w:rFonts w:hint="eastAsia"/>
      </w:rPr>
    </w:lvl>
  </w:abstractNum>
  <w:abstractNum w:abstractNumId="1">
    <w:nsid w:val="D508EB9B"/>
    <w:multiLevelType w:val="multilevel"/>
    <w:tmpl w:val="D508EB9B"/>
    <w:lvl w:ilvl="0" w:tentative="0">
      <w:start w:val="1"/>
      <w:numFmt w:val="decimal"/>
      <w:lvlText w:val="%1、"/>
      <w:lvlJc w:val="left"/>
      <w:pPr>
        <w:ind w:left="104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2">
    <w:nsid w:val="0254D0DF"/>
    <w:multiLevelType w:val="multilevel"/>
    <w:tmpl w:val="0254D0DF"/>
    <w:lvl w:ilvl="0" w:tentative="0">
      <w:start w:val="1"/>
      <w:numFmt w:val="decimal"/>
      <w:lvlText w:val="%1、"/>
      <w:lvlJc w:val="left"/>
      <w:pPr>
        <w:ind w:left="104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3">
    <w:nsid w:val="1114EBF7"/>
    <w:multiLevelType w:val="multilevel"/>
    <w:tmpl w:val="1114EBF7"/>
    <w:lvl w:ilvl="0" w:tentative="0">
      <w:start w:val="1"/>
      <w:numFmt w:val="decimal"/>
      <w:lvlText w:val="%1"/>
      <w:lvlJc w:val="left"/>
      <w:pPr>
        <w:ind w:left="432" w:hanging="432"/>
      </w:pPr>
      <w:rPr>
        <w:rFonts w:hint="eastAsia"/>
      </w:rPr>
    </w:lvl>
    <w:lvl w:ilvl="1" w:tentative="0">
      <w:start w:val="1"/>
      <w:numFmt w:val="decimal"/>
      <w:lvlText w:val="%1.%2"/>
      <w:lvlJc w:val="left"/>
      <w:pPr>
        <w:ind w:left="718" w:hanging="576"/>
      </w:pPr>
      <w:rPr>
        <w:rFonts w:hint="eastAsia"/>
      </w:rPr>
    </w:lvl>
    <w:lvl w:ilvl="2" w:tentative="0">
      <w:start w:val="1"/>
      <w:numFmt w:val="decimal"/>
      <w:pStyle w:val="4"/>
      <w:suff w:val="space"/>
      <w:lvlText w:val="%1.%2.%3"/>
      <w:lvlJc w:val="left"/>
      <w:pPr>
        <w:ind w:left="1004"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4">
    <w:nsid w:val="24A45E55"/>
    <w:multiLevelType w:val="multilevel"/>
    <w:tmpl w:val="24A45E55"/>
    <w:lvl w:ilvl="0" w:tentative="0">
      <w:start w:val="1"/>
      <w:numFmt w:val="decimal"/>
      <w:lvlText w:val="%1."/>
      <w:lvlJc w:val="left"/>
      <w:pPr>
        <w:ind w:left="1723" w:hanging="1080"/>
      </w:pPr>
      <w:rPr>
        <w:rFonts w:hint="default"/>
      </w:rPr>
    </w:lvl>
    <w:lvl w:ilvl="1" w:tentative="0">
      <w:start w:val="1"/>
      <w:numFmt w:val="chineseCountingThousand"/>
      <w:lvlText w:val="(%2)"/>
      <w:lvlJc w:val="left"/>
      <w:pPr>
        <w:ind w:left="1483" w:hanging="420"/>
      </w:pPr>
      <w:rPr>
        <w:rFonts w:hint="eastAsia"/>
      </w:rPr>
    </w:lvl>
    <w:lvl w:ilvl="2" w:tentative="0">
      <w:start w:val="1"/>
      <w:numFmt w:val="lowerRoman"/>
      <w:lvlText w:val="%3."/>
      <w:lvlJc w:val="right"/>
      <w:pPr>
        <w:ind w:left="1903" w:hanging="420"/>
      </w:pPr>
      <w:rPr>
        <w:rFonts w:hint="eastAsia"/>
      </w:rPr>
    </w:lvl>
    <w:lvl w:ilvl="3" w:tentative="0">
      <w:start w:val="1"/>
      <w:numFmt w:val="decimal"/>
      <w:lvlText w:val="%4."/>
      <w:lvlJc w:val="left"/>
      <w:pPr>
        <w:ind w:left="2323" w:hanging="420"/>
      </w:pPr>
      <w:rPr>
        <w:rFonts w:hint="eastAsia"/>
      </w:rPr>
    </w:lvl>
    <w:lvl w:ilvl="4" w:tentative="0">
      <w:start w:val="1"/>
      <w:numFmt w:val="lowerLetter"/>
      <w:lvlText w:val="%5)"/>
      <w:lvlJc w:val="left"/>
      <w:pPr>
        <w:ind w:left="2743" w:hanging="420"/>
      </w:pPr>
      <w:rPr>
        <w:rFonts w:hint="eastAsia"/>
      </w:rPr>
    </w:lvl>
    <w:lvl w:ilvl="5" w:tentative="0">
      <w:start w:val="1"/>
      <w:numFmt w:val="lowerRoman"/>
      <w:lvlText w:val="%6."/>
      <w:lvlJc w:val="right"/>
      <w:pPr>
        <w:ind w:left="3163" w:hanging="420"/>
      </w:pPr>
      <w:rPr>
        <w:rFonts w:hint="eastAsia"/>
      </w:rPr>
    </w:lvl>
    <w:lvl w:ilvl="6" w:tentative="0">
      <w:start w:val="1"/>
      <w:numFmt w:val="decimal"/>
      <w:lvlText w:val="%7."/>
      <w:lvlJc w:val="left"/>
      <w:pPr>
        <w:ind w:left="3583" w:hanging="420"/>
      </w:pPr>
      <w:rPr>
        <w:rFonts w:hint="eastAsia"/>
      </w:rPr>
    </w:lvl>
    <w:lvl w:ilvl="7" w:tentative="0">
      <w:start w:val="1"/>
      <w:numFmt w:val="lowerLetter"/>
      <w:lvlText w:val="%8)"/>
      <w:lvlJc w:val="left"/>
      <w:pPr>
        <w:ind w:left="4003" w:hanging="420"/>
      </w:pPr>
      <w:rPr>
        <w:rFonts w:hint="eastAsia"/>
      </w:rPr>
    </w:lvl>
    <w:lvl w:ilvl="8" w:tentative="0">
      <w:start w:val="1"/>
      <w:numFmt w:val="lowerRoman"/>
      <w:lvlText w:val="%9."/>
      <w:lvlJc w:val="right"/>
      <w:pPr>
        <w:ind w:left="4423" w:hanging="420"/>
      </w:pPr>
      <w:rPr>
        <w:rFonts w:hint="eastAsia"/>
      </w:rPr>
    </w:lvl>
  </w:abstractNum>
  <w:abstractNum w:abstractNumId="5">
    <w:nsid w:val="294169AF"/>
    <w:multiLevelType w:val="multilevel"/>
    <w:tmpl w:val="294169AF"/>
    <w:lvl w:ilvl="0" w:tentative="0">
      <w:start w:val="1"/>
      <w:numFmt w:val="decimal"/>
      <w:lvlText w:val="%1."/>
      <w:lvlJc w:val="left"/>
      <w:pPr>
        <w:ind w:left="1723" w:hanging="1080"/>
      </w:pPr>
      <w:rPr>
        <w:rFonts w:hint="default"/>
      </w:rPr>
    </w:lvl>
    <w:lvl w:ilvl="1" w:tentative="0">
      <w:start w:val="1"/>
      <w:numFmt w:val="chineseCountingThousand"/>
      <w:lvlText w:val="(%2)"/>
      <w:lvlJc w:val="left"/>
      <w:pPr>
        <w:ind w:left="1483" w:hanging="420"/>
      </w:pPr>
      <w:rPr>
        <w:rFonts w:hint="eastAsia"/>
      </w:rPr>
    </w:lvl>
    <w:lvl w:ilvl="2" w:tentative="0">
      <w:start w:val="1"/>
      <w:numFmt w:val="lowerRoman"/>
      <w:lvlText w:val="%3."/>
      <w:lvlJc w:val="right"/>
      <w:pPr>
        <w:ind w:left="1903" w:hanging="420"/>
      </w:pPr>
      <w:rPr>
        <w:rFonts w:hint="eastAsia"/>
      </w:rPr>
    </w:lvl>
    <w:lvl w:ilvl="3" w:tentative="0">
      <w:start w:val="1"/>
      <w:numFmt w:val="decimal"/>
      <w:lvlText w:val="%4."/>
      <w:lvlJc w:val="left"/>
      <w:pPr>
        <w:ind w:left="2323" w:hanging="420"/>
      </w:pPr>
      <w:rPr>
        <w:rFonts w:hint="eastAsia"/>
      </w:rPr>
    </w:lvl>
    <w:lvl w:ilvl="4" w:tentative="0">
      <w:start w:val="1"/>
      <w:numFmt w:val="lowerLetter"/>
      <w:lvlText w:val="%5)"/>
      <w:lvlJc w:val="left"/>
      <w:pPr>
        <w:ind w:left="2743" w:hanging="420"/>
      </w:pPr>
      <w:rPr>
        <w:rFonts w:hint="eastAsia"/>
      </w:rPr>
    </w:lvl>
    <w:lvl w:ilvl="5" w:tentative="0">
      <w:start w:val="1"/>
      <w:numFmt w:val="lowerRoman"/>
      <w:lvlText w:val="%6."/>
      <w:lvlJc w:val="right"/>
      <w:pPr>
        <w:ind w:left="3163" w:hanging="420"/>
      </w:pPr>
      <w:rPr>
        <w:rFonts w:hint="eastAsia"/>
      </w:rPr>
    </w:lvl>
    <w:lvl w:ilvl="6" w:tentative="0">
      <w:start w:val="1"/>
      <w:numFmt w:val="decimal"/>
      <w:lvlText w:val="%7."/>
      <w:lvlJc w:val="left"/>
      <w:pPr>
        <w:ind w:left="3583" w:hanging="420"/>
      </w:pPr>
      <w:rPr>
        <w:rFonts w:hint="eastAsia"/>
      </w:rPr>
    </w:lvl>
    <w:lvl w:ilvl="7" w:tentative="0">
      <w:start w:val="1"/>
      <w:numFmt w:val="lowerLetter"/>
      <w:lvlText w:val="%8)"/>
      <w:lvlJc w:val="left"/>
      <w:pPr>
        <w:ind w:left="4003" w:hanging="420"/>
      </w:pPr>
      <w:rPr>
        <w:rFonts w:hint="eastAsia"/>
      </w:rPr>
    </w:lvl>
    <w:lvl w:ilvl="8" w:tentative="0">
      <w:start w:val="1"/>
      <w:numFmt w:val="lowerRoman"/>
      <w:lvlText w:val="%9."/>
      <w:lvlJc w:val="right"/>
      <w:pPr>
        <w:ind w:left="4423" w:hanging="420"/>
      </w:pPr>
      <w:rPr>
        <w:rFonts w:hint="eastAsia"/>
      </w:rPr>
    </w:lvl>
  </w:abstractNum>
  <w:abstractNum w:abstractNumId="6">
    <w:nsid w:val="53035426"/>
    <w:multiLevelType w:val="multilevel"/>
    <w:tmpl w:val="53035426"/>
    <w:lvl w:ilvl="0" w:tentative="0">
      <w:start w:val="1"/>
      <w:numFmt w:val="chineseCountingThousand"/>
      <w:lvlText w:val="第%1章"/>
      <w:lvlJc w:val="left"/>
      <w:pPr>
        <w:tabs>
          <w:tab w:val="left" w:pos="1534"/>
        </w:tabs>
        <w:ind w:left="454" w:firstLine="0"/>
      </w:pPr>
      <w:rPr>
        <w:rFonts w:hint="eastAsia"/>
      </w:rPr>
    </w:lvl>
    <w:lvl w:ilvl="1" w:tentative="0">
      <w:start w:val="1"/>
      <w:numFmt w:val="decimal"/>
      <w:pStyle w:val="6"/>
      <w:isLgl/>
      <w:lvlText w:val="附录%1.%2. "/>
      <w:lvlJc w:val="left"/>
      <w:pPr>
        <w:tabs>
          <w:tab w:val="left" w:pos="2254"/>
        </w:tabs>
        <w:ind w:left="454" w:firstLine="0"/>
      </w:pPr>
      <w:rPr>
        <w:rFonts w:ascii="Times New Roman" w:hAnsi="Times New Roman" w:cs="Times New Roman"/>
        <w:b w:val="0"/>
        <w:bCs w:val="0"/>
        <w:i w:val="0"/>
        <w:iCs w:val="0"/>
        <w:caps w:val="0"/>
        <w:smallCaps w:val="0"/>
        <w:strike w:val="0"/>
        <w:dstrike w:val="0"/>
        <w:spacing w:val="0"/>
        <w:position w:val="0"/>
        <w:u w:val="none"/>
        <w:vertAlign w:val="baseline"/>
      </w:rPr>
    </w:lvl>
    <w:lvl w:ilvl="2" w:tentative="0">
      <w:start w:val="1"/>
      <w:numFmt w:val="decimal"/>
      <w:isLgl/>
      <w:lvlText w:val="%1.%2.%3"/>
      <w:lvlJc w:val="left"/>
      <w:pPr>
        <w:tabs>
          <w:tab w:val="left" w:pos="1174"/>
        </w:tabs>
        <w:ind w:left="454" w:firstLine="0"/>
      </w:pPr>
      <w:rPr>
        <w:rFonts w:hint="eastAsia"/>
      </w:rPr>
    </w:lvl>
    <w:lvl w:ilvl="3" w:tentative="0">
      <w:start w:val="1"/>
      <w:numFmt w:val="decimal"/>
      <w:isLgl/>
      <w:lvlText w:val="%1.%2.%3.%4"/>
      <w:lvlJc w:val="left"/>
      <w:pPr>
        <w:tabs>
          <w:tab w:val="left" w:pos="1647"/>
        </w:tabs>
        <w:ind w:left="567" w:firstLine="0"/>
      </w:pPr>
      <w:rPr>
        <w:rFonts w:hint="eastAsia"/>
      </w:rPr>
    </w:lvl>
    <w:lvl w:ilvl="4" w:tentative="0">
      <w:start w:val="1"/>
      <w:numFmt w:val="decimal"/>
      <w:isLgl/>
      <w:lvlText w:val="%1.%2.%3.%4.%5"/>
      <w:lvlJc w:val="left"/>
      <w:pPr>
        <w:tabs>
          <w:tab w:val="left" w:pos="2120"/>
        </w:tabs>
        <w:ind w:left="680" w:firstLine="0"/>
      </w:pPr>
      <w:rPr>
        <w:rFonts w:hint="eastAsia"/>
      </w:rPr>
    </w:lvl>
    <w:lvl w:ilvl="5" w:tentative="0">
      <w:start w:val="1"/>
      <w:numFmt w:val="decimal"/>
      <w:isLgl/>
      <w:lvlText w:val="%1.%2.%3.%4.%5.%6"/>
      <w:lvlJc w:val="left"/>
      <w:pPr>
        <w:tabs>
          <w:tab w:val="left" w:pos="2594"/>
        </w:tabs>
        <w:ind w:left="794" w:firstLine="0"/>
      </w:pPr>
      <w:rPr>
        <w:rFonts w:hint="eastAsia"/>
      </w:rPr>
    </w:lvl>
    <w:lvl w:ilvl="6" w:tentative="0">
      <w:start w:val="1"/>
      <w:numFmt w:val="decimal"/>
      <w:isLgl/>
      <w:lvlText w:val="%1.%2.%3.%4.%5.%6.%7"/>
      <w:lvlJc w:val="left"/>
      <w:pPr>
        <w:tabs>
          <w:tab w:val="left" w:pos="2254"/>
        </w:tabs>
        <w:ind w:left="1750" w:hanging="1296"/>
      </w:pPr>
      <w:rPr>
        <w:rFonts w:hint="eastAsia"/>
      </w:rPr>
    </w:lvl>
    <w:lvl w:ilvl="7" w:tentative="0">
      <w:start w:val="1"/>
      <w:numFmt w:val="decimal"/>
      <w:isLgl/>
      <w:lvlText w:val="%1.%2.%3.%4.%5.%6.%7.%8"/>
      <w:lvlJc w:val="left"/>
      <w:pPr>
        <w:tabs>
          <w:tab w:val="left" w:pos="2614"/>
        </w:tabs>
        <w:ind w:left="1894" w:hanging="1440"/>
      </w:pPr>
      <w:rPr>
        <w:rFonts w:hint="eastAsia"/>
      </w:rPr>
    </w:lvl>
    <w:lvl w:ilvl="8" w:tentative="0">
      <w:start w:val="1"/>
      <w:numFmt w:val="decimal"/>
      <w:isLgl/>
      <w:lvlText w:val="%1.%2.%3.%4.%5.%6.%7.%8.%9"/>
      <w:lvlJc w:val="left"/>
      <w:pPr>
        <w:tabs>
          <w:tab w:val="left" w:pos="2974"/>
        </w:tabs>
        <w:ind w:left="2038" w:hanging="1584"/>
      </w:pPr>
      <w:rPr>
        <w:rFonts w:hint="eastAsia"/>
      </w:rPr>
    </w:lvl>
  </w:abstractNum>
  <w:abstractNum w:abstractNumId="7">
    <w:nsid w:val="63F61B27"/>
    <w:multiLevelType w:val="multilevel"/>
    <w:tmpl w:val="63F61B27"/>
    <w:lvl w:ilvl="0" w:tentative="0">
      <w:start w:val="1"/>
      <w:numFmt w:val="decimal"/>
      <w:lvlText w:val="%1、"/>
      <w:lvlJc w:val="left"/>
      <w:pPr>
        <w:ind w:left="104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8">
    <w:nsid w:val="68804DFB"/>
    <w:multiLevelType w:val="multilevel"/>
    <w:tmpl w:val="68804DFB"/>
    <w:lvl w:ilvl="0" w:tentative="0">
      <w:start w:val="1"/>
      <w:numFmt w:val="decimal"/>
      <w:lvlText w:val="%1."/>
      <w:lvlJc w:val="left"/>
      <w:pPr>
        <w:tabs>
          <w:tab w:val="left" w:pos="360"/>
        </w:tabs>
        <w:ind w:left="360" w:hanging="360"/>
      </w:pPr>
    </w:lvl>
    <w:lvl w:ilvl="1" w:tentative="0">
      <w:start w:val="1"/>
      <w:numFmt w:val="decimal"/>
      <w:pStyle w:val="30"/>
      <w:lvlText w:val="%1.%2."/>
      <w:lvlJc w:val="left"/>
      <w:pPr>
        <w:tabs>
          <w:tab w:val="left" w:pos="1080"/>
        </w:tabs>
        <w:ind w:left="720" w:hanging="360"/>
      </w:pPr>
    </w:lvl>
    <w:lvl w:ilvl="2" w:tentative="0">
      <w:start w:val="1"/>
      <w:numFmt w:val="decimal"/>
      <w:lvlText w:val="%1.%2.%3."/>
      <w:lvlJc w:val="left"/>
      <w:pPr>
        <w:tabs>
          <w:tab w:val="left" w:pos="1440"/>
        </w:tabs>
        <w:ind w:left="1080" w:hanging="360"/>
      </w:pPr>
    </w:lvl>
    <w:lvl w:ilvl="3" w:tentative="0">
      <w:start w:val="1"/>
      <w:numFmt w:val="decimal"/>
      <w:lvlText w:val="%1.%2.%3.%4."/>
      <w:lvlJc w:val="left"/>
      <w:pPr>
        <w:tabs>
          <w:tab w:val="left" w:pos="2160"/>
        </w:tabs>
        <w:ind w:left="1440" w:hanging="360"/>
      </w:pPr>
    </w:lvl>
    <w:lvl w:ilvl="4" w:tentative="0">
      <w:start w:val="1"/>
      <w:numFmt w:val="lowerLetter"/>
      <w:lvlText w:val="(%5)"/>
      <w:lvlJc w:val="left"/>
      <w:pPr>
        <w:tabs>
          <w:tab w:val="left" w:pos="1800"/>
        </w:tabs>
        <w:ind w:left="1800" w:hanging="360"/>
      </w:pPr>
    </w:lvl>
    <w:lvl w:ilvl="5" w:tentative="0">
      <w:start w:val="1"/>
      <w:numFmt w:val="lowerRoman"/>
      <w:lvlText w:val="(%6)"/>
      <w:lvlJc w:val="left"/>
      <w:pPr>
        <w:tabs>
          <w:tab w:val="left" w:pos="2160"/>
        </w:tabs>
        <w:ind w:left="2160" w:hanging="360"/>
      </w:pPr>
    </w:lvl>
    <w:lvl w:ilvl="6" w:tentative="0">
      <w:start w:val="1"/>
      <w:numFmt w:val="decimal"/>
      <w:lvlText w:val="%7."/>
      <w:lvlJc w:val="left"/>
      <w:pPr>
        <w:tabs>
          <w:tab w:val="left" w:pos="2520"/>
        </w:tabs>
        <w:ind w:left="2520" w:hanging="360"/>
      </w:pPr>
    </w:lvl>
    <w:lvl w:ilvl="7" w:tentative="0">
      <w:start w:val="1"/>
      <w:numFmt w:val="lowerLetter"/>
      <w:lvlText w:val="%8."/>
      <w:lvlJc w:val="left"/>
      <w:pPr>
        <w:tabs>
          <w:tab w:val="left" w:pos="2880"/>
        </w:tabs>
        <w:ind w:left="2880" w:hanging="360"/>
      </w:pPr>
    </w:lvl>
    <w:lvl w:ilvl="8" w:tentative="0">
      <w:start w:val="1"/>
      <w:numFmt w:val="lowerRoman"/>
      <w:lvlText w:val="%9."/>
      <w:lvlJc w:val="left"/>
      <w:pPr>
        <w:tabs>
          <w:tab w:val="left" w:pos="3240"/>
        </w:tabs>
        <w:ind w:left="3240" w:hanging="360"/>
      </w:pPr>
    </w:lvl>
  </w:abstractNum>
  <w:num w:numId="1">
    <w:abstractNumId w:val="3"/>
  </w:num>
  <w:num w:numId="2">
    <w:abstractNumId w:val="6"/>
  </w:num>
  <w:num w:numId="3">
    <w:abstractNumId w:val="8"/>
  </w:num>
  <w:num w:numId="4">
    <w:abstractNumId w:val="5"/>
  </w:num>
  <w:num w:numId="5">
    <w:abstractNumId w:val="7"/>
  </w:num>
  <w:num w:numId="6">
    <w:abstractNumId w:val="2"/>
  </w:num>
  <w:num w:numId="7">
    <w:abstractNumId w:val="1"/>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7724"/>
    <w:rsid w:val="00010B24"/>
    <w:rsid w:val="00035F1C"/>
    <w:rsid w:val="000F7307"/>
    <w:rsid w:val="001328C1"/>
    <w:rsid w:val="001604EA"/>
    <w:rsid w:val="00283B62"/>
    <w:rsid w:val="00296FFA"/>
    <w:rsid w:val="00310F4F"/>
    <w:rsid w:val="00326AE5"/>
    <w:rsid w:val="00354DDF"/>
    <w:rsid w:val="0038275D"/>
    <w:rsid w:val="003A439F"/>
    <w:rsid w:val="00432F57"/>
    <w:rsid w:val="00511E72"/>
    <w:rsid w:val="0054799F"/>
    <w:rsid w:val="005B394B"/>
    <w:rsid w:val="006C54C0"/>
    <w:rsid w:val="00716854"/>
    <w:rsid w:val="0074396E"/>
    <w:rsid w:val="00781BC2"/>
    <w:rsid w:val="007E4D78"/>
    <w:rsid w:val="007F4E54"/>
    <w:rsid w:val="007F5737"/>
    <w:rsid w:val="008373CF"/>
    <w:rsid w:val="00877724"/>
    <w:rsid w:val="00882EF8"/>
    <w:rsid w:val="008B5E30"/>
    <w:rsid w:val="00915A19"/>
    <w:rsid w:val="00980199"/>
    <w:rsid w:val="009A4B92"/>
    <w:rsid w:val="009D35FF"/>
    <w:rsid w:val="00A17266"/>
    <w:rsid w:val="00A20660"/>
    <w:rsid w:val="00A46819"/>
    <w:rsid w:val="00B04FE3"/>
    <w:rsid w:val="00B1045B"/>
    <w:rsid w:val="00B5377C"/>
    <w:rsid w:val="00B65C61"/>
    <w:rsid w:val="00C149F3"/>
    <w:rsid w:val="00C16CAC"/>
    <w:rsid w:val="00C41E81"/>
    <w:rsid w:val="00CA7A87"/>
    <w:rsid w:val="00CB04A0"/>
    <w:rsid w:val="00CE3E89"/>
    <w:rsid w:val="00CE7C2A"/>
    <w:rsid w:val="00E775FC"/>
    <w:rsid w:val="00EA1DC1"/>
    <w:rsid w:val="00EA68D2"/>
    <w:rsid w:val="00F671E0"/>
    <w:rsid w:val="02CD3AFD"/>
    <w:rsid w:val="03E2379C"/>
    <w:rsid w:val="072D57AF"/>
    <w:rsid w:val="096A4B81"/>
    <w:rsid w:val="0DCA2B2C"/>
    <w:rsid w:val="0E43308A"/>
    <w:rsid w:val="0EE23E96"/>
    <w:rsid w:val="0F0A004B"/>
    <w:rsid w:val="11002217"/>
    <w:rsid w:val="11070104"/>
    <w:rsid w:val="125F0EAB"/>
    <w:rsid w:val="12FD414F"/>
    <w:rsid w:val="161D5036"/>
    <w:rsid w:val="18D57054"/>
    <w:rsid w:val="1CCC554A"/>
    <w:rsid w:val="1E4179B6"/>
    <w:rsid w:val="1E622506"/>
    <w:rsid w:val="206955B5"/>
    <w:rsid w:val="20F36B91"/>
    <w:rsid w:val="22F25862"/>
    <w:rsid w:val="23DF268E"/>
    <w:rsid w:val="266E3A84"/>
    <w:rsid w:val="268D6F3F"/>
    <w:rsid w:val="27197466"/>
    <w:rsid w:val="2DEA03EC"/>
    <w:rsid w:val="33910AAB"/>
    <w:rsid w:val="359871F5"/>
    <w:rsid w:val="365A34BC"/>
    <w:rsid w:val="367355A2"/>
    <w:rsid w:val="379344BE"/>
    <w:rsid w:val="379613F6"/>
    <w:rsid w:val="37D24F2F"/>
    <w:rsid w:val="3B5E4D65"/>
    <w:rsid w:val="3D2959BD"/>
    <w:rsid w:val="3ED1739E"/>
    <w:rsid w:val="3F1C1A45"/>
    <w:rsid w:val="3F943452"/>
    <w:rsid w:val="43813731"/>
    <w:rsid w:val="46EE485A"/>
    <w:rsid w:val="46F822CF"/>
    <w:rsid w:val="490031CC"/>
    <w:rsid w:val="49F02E1F"/>
    <w:rsid w:val="49FC6FF1"/>
    <w:rsid w:val="4CD05346"/>
    <w:rsid w:val="4F094291"/>
    <w:rsid w:val="54212218"/>
    <w:rsid w:val="57011372"/>
    <w:rsid w:val="595E6596"/>
    <w:rsid w:val="59B2670C"/>
    <w:rsid w:val="5A901DDC"/>
    <w:rsid w:val="5E766130"/>
    <w:rsid w:val="60642301"/>
    <w:rsid w:val="614C5FF9"/>
    <w:rsid w:val="6223037D"/>
    <w:rsid w:val="63762687"/>
    <w:rsid w:val="64F225B2"/>
    <w:rsid w:val="656F0A54"/>
    <w:rsid w:val="69D77441"/>
    <w:rsid w:val="6C2230E0"/>
    <w:rsid w:val="6C3D30A4"/>
    <w:rsid w:val="6CCB4222"/>
    <w:rsid w:val="6E584EDB"/>
    <w:rsid w:val="71EF481C"/>
    <w:rsid w:val="72165D9F"/>
    <w:rsid w:val="73DC1BF3"/>
    <w:rsid w:val="78B94F4F"/>
    <w:rsid w:val="7AEE5ABC"/>
    <w:rsid w:val="7D220FCA"/>
    <w:rsid w:val="7F1E2B05"/>
    <w:rsid w:val="7FB566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黑体"/>
      <w:kern w:val="2"/>
      <w:sz w:val="32"/>
      <w:szCs w:val="22"/>
      <w:lang w:val="en-US" w:eastAsia="zh-CN" w:bidi="ar-SA"/>
    </w:rPr>
  </w:style>
  <w:style w:type="paragraph" w:styleId="2">
    <w:name w:val="heading 1"/>
    <w:basedOn w:val="1"/>
    <w:next w:val="1"/>
    <w:qFormat/>
    <w:uiPriority w:val="0"/>
    <w:pPr>
      <w:keepNext/>
      <w:keepLines/>
      <w:spacing w:before="340" w:after="330" w:line="578" w:lineRule="auto"/>
      <w:ind w:left="200" w:leftChars="200"/>
      <w:outlineLvl w:val="0"/>
    </w:pPr>
    <w:rPr>
      <w:rFonts w:ascii="Times New Roman" w:hAnsi="Times New Roman" w:eastAsia="宋体" w:cs="Times New Roman"/>
      <w:b/>
      <w:bCs/>
      <w:kern w:val="44"/>
      <w:sz w:val="44"/>
      <w:szCs w:val="44"/>
    </w:rPr>
  </w:style>
  <w:style w:type="paragraph" w:styleId="3">
    <w:name w:val="heading 2"/>
    <w:basedOn w:val="1"/>
    <w:next w:val="1"/>
    <w:qFormat/>
    <w:uiPriority w:val="0"/>
    <w:pPr>
      <w:autoSpaceDE w:val="0"/>
      <w:autoSpaceDN w:val="0"/>
      <w:adjustRightInd w:val="0"/>
      <w:spacing w:line="360" w:lineRule="auto"/>
      <w:jc w:val="center"/>
      <w:outlineLvl w:val="1"/>
    </w:pPr>
    <w:rPr>
      <w:rFonts w:ascii="楷体_GB2312" w:hAnsi="楷体_GB2312" w:eastAsia="楷体_GB2312" w:cs="Times New Roman"/>
      <w:b/>
      <w:sz w:val="28"/>
      <w:szCs w:val="30"/>
      <w:lang w:val="zh-CN"/>
    </w:rPr>
  </w:style>
  <w:style w:type="paragraph" w:styleId="4">
    <w:name w:val="heading 3"/>
    <w:basedOn w:val="1"/>
    <w:next w:val="1"/>
    <w:link w:val="42"/>
    <w:qFormat/>
    <w:uiPriority w:val="0"/>
    <w:pPr>
      <w:keepNext/>
      <w:keepLines/>
      <w:numPr>
        <w:ilvl w:val="2"/>
        <w:numId w:val="1"/>
      </w:numPr>
      <w:spacing w:before="260" w:after="260" w:line="416" w:lineRule="auto"/>
      <w:outlineLvl w:val="2"/>
    </w:pPr>
    <w:rPr>
      <w:b/>
      <w:bCs/>
      <w:sz w:val="28"/>
      <w:szCs w:val="32"/>
    </w:rPr>
  </w:style>
  <w:style w:type="paragraph" w:styleId="5">
    <w:name w:val="heading 4"/>
    <w:basedOn w:val="1"/>
    <w:next w:val="1"/>
    <w:unhideWhenUsed/>
    <w:qFormat/>
    <w:uiPriority w:val="0"/>
    <w:pPr>
      <w:keepNext/>
      <w:keepLines/>
      <w:spacing w:before="280" w:after="290" w:line="372" w:lineRule="auto"/>
      <w:outlineLvl w:val="3"/>
    </w:pPr>
    <w:rPr>
      <w:rFonts w:ascii="Arial" w:hAnsi="Arial" w:eastAsia="黑体"/>
      <w:b/>
      <w:sz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99"/>
    <w:pPr>
      <w:numPr>
        <w:ilvl w:val="1"/>
        <w:numId w:val="2"/>
      </w:numPr>
      <w:tabs>
        <w:tab w:val="left" w:pos="1534"/>
      </w:tabs>
    </w:pPr>
  </w:style>
  <w:style w:type="paragraph" w:styleId="7">
    <w:name w:val="annotation text"/>
    <w:basedOn w:val="1"/>
    <w:link w:val="36"/>
    <w:qFormat/>
    <w:uiPriority w:val="99"/>
    <w:pPr>
      <w:jc w:val="left"/>
    </w:pPr>
  </w:style>
  <w:style w:type="paragraph" w:styleId="8">
    <w:name w:val="Body Text"/>
    <w:basedOn w:val="1"/>
    <w:next w:val="9"/>
    <w:qFormat/>
    <w:uiPriority w:val="0"/>
    <w:pPr>
      <w:spacing w:beforeLines="50" w:afterLines="50"/>
    </w:pPr>
    <w:rPr>
      <w:rFonts w:ascii="宋体" w:hAnsi="宋体"/>
      <w:color w:val="000000"/>
      <w:kern w:val="0"/>
      <w:sz w:val="24"/>
    </w:rPr>
  </w:style>
  <w:style w:type="paragraph" w:styleId="9">
    <w:name w:val="Title"/>
    <w:basedOn w:val="1"/>
    <w:qFormat/>
    <w:uiPriority w:val="0"/>
    <w:pPr>
      <w:spacing w:before="240" w:after="60"/>
      <w:jc w:val="center"/>
      <w:outlineLvl w:val="0"/>
    </w:pPr>
    <w:rPr>
      <w:rFonts w:ascii="Arial" w:hAnsi="Arial"/>
      <w:b/>
    </w:rPr>
  </w:style>
  <w:style w:type="paragraph" w:styleId="10">
    <w:name w:val="toc 3"/>
    <w:basedOn w:val="1"/>
    <w:next w:val="1"/>
    <w:qFormat/>
    <w:uiPriority w:val="0"/>
    <w:pPr>
      <w:ind w:left="840" w:leftChars="400"/>
    </w:pPr>
  </w:style>
  <w:style w:type="paragraph" w:styleId="11">
    <w:name w:val="Balloon Text"/>
    <w:basedOn w:val="1"/>
    <w:link w:val="34"/>
    <w:qFormat/>
    <w:uiPriority w:val="0"/>
    <w:rPr>
      <w:sz w:val="18"/>
      <w:szCs w:val="18"/>
    </w:rPr>
  </w:style>
  <w:style w:type="paragraph" w:styleId="12">
    <w:name w:val="footer"/>
    <w:basedOn w:val="1"/>
    <w:unhideWhenUsed/>
    <w:qFormat/>
    <w:uiPriority w:val="0"/>
    <w:pPr>
      <w:tabs>
        <w:tab w:val="center" w:pos="4153"/>
        <w:tab w:val="right" w:pos="8306"/>
      </w:tabs>
      <w:snapToGrid w:val="0"/>
      <w:jc w:val="left"/>
    </w:pPr>
    <w:rPr>
      <w:kern w:val="0"/>
      <w:sz w:val="18"/>
      <w:szCs w:val="18"/>
    </w:rPr>
  </w:style>
  <w:style w:type="paragraph" w:styleId="13">
    <w:name w:val="header"/>
    <w:basedOn w:val="1"/>
    <w:link w:val="35"/>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120" w:after="120"/>
      <w:jc w:val="left"/>
    </w:pPr>
    <w:rPr>
      <w:rFonts w:ascii="Times New Roman" w:hAnsi="Times New Roman" w:cs="Times New Roman"/>
      <w:b/>
      <w:bCs/>
      <w:caps/>
      <w:sz w:val="20"/>
      <w:szCs w:val="20"/>
    </w:rPr>
  </w:style>
  <w:style w:type="paragraph" w:styleId="15">
    <w:name w:val="toc 2"/>
    <w:basedOn w:val="1"/>
    <w:next w:val="1"/>
    <w:qFormat/>
    <w:uiPriority w:val="39"/>
    <w:pPr>
      <w:tabs>
        <w:tab w:val="right" w:leader="dot" w:pos="9180"/>
      </w:tabs>
      <w:autoSpaceDE w:val="0"/>
      <w:autoSpaceDN w:val="0"/>
      <w:adjustRightInd w:val="0"/>
      <w:spacing w:line="440" w:lineRule="exact"/>
      <w:ind w:left="420" w:leftChars="200"/>
      <w:jc w:val="left"/>
    </w:pPr>
    <w:rPr>
      <w:rFonts w:ascii="宋体" w:hAnsi="宋体" w:cs="Times New Roman"/>
      <w:kern w:val="0"/>
      <w:sz w:val="24"/>
      <w:szCs w:val="24"/>
    </w:rPr>
  </w:style>
  <w:style w:type="paragraph" w:styleId="16">
    <w:name w:val="Normal (Web)"/>
    <w:basedOn w:val="1"/>
    <w:unhideWhenUsed/>
    <w:qFormat/>
    <w:uiPriority w:val="0"/>
    <w:pPr>
      <w:widowControl/>
      <w:spacing w:beforeAutospacing="1" w:afterAutospacing="1"/>
      <w:jc w:val="left"/>
    </w:pPr>
    <w:rPr>
      <w:rFonts w:hint="eastAsia" w:ascii="宋体" w:hAnsi="宋体" w:cs="Times New Roman"/>
      <w:kern w:val="0"/>
      <w:sz w:val="24"/>
      <w:szCs w:val="24"/>
    </w:rPr>
  </w:style>
  <w:style w:type="paragraph" w:styleId="17">
    <w:name w:val="annotation subject"/>
    <w:basedOn w:val="7"/>
    <w:next w:val="7"/>
    <w:link w:val="39"/>
    <w:unhideWhenUsed/>
    <w:qFormat/>
    <w:uiPriority w:val="0"/>
    <w:rPr>
      <w:b/>
      <w:bCs/>
    </w:rPr>
  </w:style>
  <w:style w:type="table" w:styleId="19">
    <w:name w:val="Table Grid"/>
    <w:basedOn w:val="1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Hyperlink"/>
    <w:basedOn w:val="20"/>
    <w:unhideWhenUsed/>
    <w:qFormat/>
    <w:uiPriority w:val="99"/>
    <w:rPr>
      <w:color w:val="0563C1" w:themeColor="hyperlink"/>
      <w:u w:val="single"/>
      <w14:textFill>
        <w14:solidFill>
          <w14:schemeClr w14:val="hlink"/>
        </w14:solidFill>
      </w14:textFill>
    </w:rPr>
  </w:style>
  <w:style w:type="character" w:styleId="23">
    <w:name w:val="annotation reference"/>
    <w:basedOn w:val="20"/>
    <w:qFormat/>
    <w:uiPriority w:val="99"/>
    <w:rPr>
      <w:sz w:val="21"/>
      <w:szCs w:val="21"/>
    </w:rPr>
  </w:style>
  <w:style w:type="paragraph" w:customStyle="1" w:styleId="24">
    <w:name w:val="正文缩进2字符"/>
    <w:basedOn w:val="1"/>
    <w:qFormat/>
    <w:uiPriority w:val="0"/>
    <w:pPr>
      <w:widowControl/>
      <w:spacing w:before="100" w:beforeAutospacing="1" w:after="100" w:afterAutospacing="1" w:line="300" w:lineRule="auto"/>
      <w:ind w:left="357" w:firstLine="420" w:firstLineChars="200"/>
      <w:jc w:val="left"/>
    </w:pPr>
    <w:rPr>
      <w:rFonts w:ascii="ˎ̥" w:hAnsi="ˎ̥"/>
      <w:color w:val="51585D"/>
      <w:kern w:val="0"/>
      <w:sz w:val="20"/>
      <w:szCs w:val="20"/>
    </w:rPr>
  </w:style>
  <w:style w:type="paragraph" w:customStyle="1" w:styleId="25">
    <w:name w:val="样式 正文首行缩进 + 段前: 0.5 行 段后: 0.5 行"/>
    <w:basedOn w:val="1"/>
    <w:qFormat/>
    <w:uiPriority w:val="0"/>
    <w:pPr>
      <w:spacing w:beforeLines="50" w:afterLines="50" w:line="480" w:lineRule="exact"/>
      <w:ind w:firstLine="420"/>
    </w:pPr>
    <w:rPr>
      <w:rFonts w:ascii="Times New Roman" w:hAnsi="Times New Roman" w:eastAsia="宋体" w:cs="宋体"/>
      <w:sz w:val="24"/>
      <w:szCs w:val="20"/>
    </w:rPr>
  </w:style>
  <w:style w:type="character" w:customStyle="1" w:styleId="26">
    <w:name w:val="font11"/>
    <w:basedOn w:val="20"/>
    <w:qFormat/>
    <w:uiPriority w:val="0"/>
    <w:rPr>
      <w:rFonts w:hint="eastAsia" w:ascii="宋体" w:hAnsi="宋体" w:eastAsia="宋体" w:cs="宋体"/>
      <w:color w:val="000000"/>
      <w:sz w:val="21"/>
      <w:szCs w:val="21"/>
      <w:u w:val="none"/>
    </w:rPr>
  </w:style>
  <w:style w:type="paragraph" w:customStyle="1" w:styleId="27">
    <w:name w:val="内容正文"/>
    <w:basedOn w:val="1"/>
    <w:qFormat/>
    <w:uiPriority w:val="0"/>
    <w:pPr>
      <w:spacing w:beforeLines="50" w:afterLines="50"/>
    </w:pPr>
    <w:rPr>
      <w:rFonts w:ascii="Arial" w:hAnsi="Arial"/>
      <w:szCs w:val="21"/>
    </w:rPr>
  </w:style>
  <w:style w:type="character" w:customStyle="1" w:styleId="28">
    <w:name w:val="font01"/>
    <w:basedOn w:val="20"/>
    <w:qFormat/>
    <w:uiPriority w:val="0"/>
    <w:rPr>
      <w:rFonts w:hint="default" w:ascii="Times New Roman" w:hAnsi="Times New Roman" w:cs="Times New Roman"/>
      <w:color w:val="000000"/>
      <w:sz w:val="24"/>
      <w:szCs w:val="24"/>
      <w:u w:val="none"/>
    </w:rPr>
  </w:style>
  <w:style w:type="paragraph" w:customStyle="1" w:styleId="29">
    <w:name w:val="列出段落1"/>
    <w:basedOn w:val="1"/>
    <w:qFormat/>
    <w:uiPriority w:val="0"/>
    <w:pPr>
      <w:adjustRightInd w:val="0"/>
      <w:snapToGrid w:val="0"/>
      <w:spacing w:before="120" w:after="120" w:line="360" w:lineRule="auto"/>
      <w:ind w:left="578" w:firstLine="420" w:firstLineChars="200"/>
    </w:pPr>
    <w:rPr>
      <w:lang w:eastAsia="zh-TW"/>
    </w:rPr>
  </w:style>
  <w:style w:type="paragraph" w:customStyle="1" w:styleId="30">
    <w:name w:val="Numbered list 2.2"/>
    <w:basedOn w:val="3"/>
    <w:next w:val="1"/>
    <w:qFormat/>
    <w:uiPriority w:val="0"/>
    <w:pPr>
      <w:widowControl/>
      <w:numPr>
        <w:ilvl w:val="1"/>
        <w:numId w:val="3"/>
      </w:numPr>
      <w:tabs>
        <w:tab w:val="left" w:pos="720"/>
      </w:tabs>
      <w:spacing w:before="240" w:after="60"/>
      <w:jc w:val="left"/>
    </w:pPr>
    <w:rPr>
      <w:rFonts w:eastAsia="宋体"/>
      <w:kern w:val="0"/>
      <w:sz w:val="24"/>
      <w:szCs w:val="20"/>
      <w:lang w:val="en-GB" w:eastAsia="en-US"/>
    </w:rPr>
  </w:style>
  <w:style w:type="paragraph" w:customStyle="1" w:styleId="31">
    <w:name w:val="WPSOffice手动目录 1"/>
    <w:qFormat/>
    <w:uiPriority w:val="0"/>
    <w:rPr>
      <w:rFonts w:ascii="Times New Roman" w:hAnsi="Times New Roman" w:eastAsia="宋体" w:cs="Times New Roman"/>
      <w:lang w:val="en-US" w:eastAsia="zh-CN" w:bidi="ar-SA"/>
    </w:rPr>
  </w:style>
  <w:style w:type="character" w:customStyle="1" w:styleId="32">
    <w:name w:val="NormalCharacter"/>
    <w:qFormat/>
    <w:uiPriority w:val="0"/>
    <w:rPr>
      <w:rFonts w:ascii="Calibri" w:hAnsi="Calibri" w:eastAsia="仿宋" w:cs="黑体"/>
      <w:kern w:val="2"/>
      <w:sz w:val="32"/>
      <w:szCs w:val="22"/>
      <w:lang w:val="en-US" w:eastAsia="zh-CN" w:bidi="ar-SA"/>
    </w:rPr>
  </w:style>
  <w:style w:type="paragraph" w:customStyle="1" w:styleId="33">
    <w:name w:val="WPSOffice手动目录 2"/>
    <w:qFormat/>
    <w:uiPriority w:val="0"/>
    <w:pPr>
      <w:ind w:left="200" w:leftChars="200"/>
    </w:pPr>
    <w:rPr>
      <w:rFonts w:ascii="Times New Roman" w:hAnsi="Times New Roman" w:eastAsia="宋体" w:cs="Times New Roman"/>
      <w:lang w:val="en-US" w:eastAsia="zh-CN" w:bidi="ar-SA"/>
    </w:rPr>
  </w:style>
  <w:style w:type="character" w:customStyle="1" w:styleId="34">
    <w:name w:val="批注框文本 字符"/>
    <w:basedOn w:val="20"/>
    <w:link w:val="11"/>
    <w:qFormat/>
    <w:uiPriority w:val="0"/>
    <w:rPr>
      <w:rFonts w:ascii="Calibri" w:hAnsi="Calibri" w:eastAsia="仿宋" w:cs="黑体"/>
      <w:kern w:val="2"/>
      <w:sz w:val="18"/>
      <w:szCs w:val="18"/>
    </w:rPr>
  </w:style>
  <w:style w:type="character" w:customStyle="1" w:styleId="35">
    <w:name w:val="页眉 字符"/>
    <w:basedOn w:val="20"/>
    <w:link w:val="13"/>
    <w:qFormat/>
    <w:uiPriority w:val="0"/>
    <w:rPr>
      <w:rFonts w:ascii="Calibri" w:hAnsi="Calibri" w:eastAsia="仿宋" w:cs="黑体"/>
      <w:kern w:val="2"/>
      <w:sz w:val="18"/>
      <w:szCs w:val="18"/>
    </w:rPr>
  </w:style>
  <w:style w:type="character" w:customStyle="1" w:styleId="36">
    <w:name w:val="批注文字 字符"/>
    <w:basedOn w:val="20"/>
    <w:link w:val="7"/>
    <w:qFormat/>
    <w:uiPriority w:val="99"/>
    <w:rPr>
      <w:rFonts w:ascii="Calibri" w:hAnsi="Calibri" w:eastAsia="仿宋" w:cs="黑体"/>
      <w:kern w:val="2"/>
      <w:sz w:val="32"/>
      <w:szCs w:val="22"/>
    </w:rPr>
  </w:style>
  <w:style w:type="paragraph" w:customStyle="1" w:styleId="37">
    <w:name w:val="列表段落1"/>
    <w:basedOn w:val="1"/>
    <w:qFormat/>
    <w:uiPriority w:val="99"/>
    <w:pPr>
      <w:ind w:firstLine="420" w:firstLineChars="200"/>
    </w:pPr>
  </w:style>
  <w:style w:type="table" w:customStyle="1" w:styleId="38">
    <w:name w:val="网格型1"/>
    <w:basedOn w:val="1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
    <w:name w:val="批注主题 字符"/>
    <w:basedOn w:val="36"/>
    <w:link w:val="17"/>
    <w:semiHidden/>
    <w:qFormat/>
    <w:uiPriority w:val="0"/>
    <w:rPr>
      <w:rFonts w:ascii="Calibri" w:hAnsi="Calibri" w:eastAsia="仿宋" w:cs="黑体"/>
      <w:b/>
      <w:bCs/>
      <w:kern w:val="2"/>
      <w:sz w:val="32"/>
      <w:szCs w:val="22"/>
    </w:rPr>
  </w:style>
  <w:style w:type="character" w:customStyle="1" w:styleId="40">
    <w:name w:val="font21"/>
    <w:basedOn w:val="20"/>
    <w:qFormat/>
    <w:uiPriority w:val="0"/>
    <w:rPr>
      <w:rFonts w:hint="eastAsia" w:ascii="仿宋" w:hAnsi="仿宋" w:eastAsia="仿宋" w:cs="仿宋"/>
      <w:color w:val="000000"/>
      <w:sz w:val="32"/>
      <w:szCs w:val="32"/>
      <w:u w:val="none"/>
    </w:rPr>
  </w:style>
  <w:style w:type="character" w:customStyle="1" w:styleId="41">
    <w:name w:val="font41"/>
    <w:basedOn w:val="20"/>
    <w:qFormat/>
    <w:uiPriority w:val="0"/>
    <w:rPr>
      <w:rFonts w:hint="eastAsia" w:ascii="仿宋" w:hAnsi="仿宋" w:eastAsia="仿宋" w:cs="仿宋"/>
      <w:color w:val="000000"/>
      <w:sz w:val="32"/>
      <w:szCs w:val="32"/>
      <w:u w:val="none"/>
    </w:rPr>
  </w:style>
  <w:style w:type="character" w:customStyle="1" w:styleId="42">
    <w:name w:val="标题 3 字符"/>
    <w:basedOn w:val="20"/>
    <w:link w:val="4"/>
    <w:qFormat/>
    <w:uiPriority w:val="0"/>
    <w:rPr>
      <w:rFonts w:ascii="Calibri" w:hAnsi="Calibri" w:eastAsia="仿宋" w:cs="黑体"/>
      <w:b/>
      <w:bCs/>
      <w:kern w:val="2"/>
      <w:sz w:val="28"/>
      <w:szCs w:val="3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35</Pages>
  <Words>15164</Words>
  <Characters>17826</Characters>
  <Lines>289</Lines>
  <Paragraphs>81</Paragraphs>
  <TotalTime>56</TotalTime>
  <ScaleCrop>false</ScaleCrop>
  <LinksUpToDate>false</LinksUpToDate>
  <CharactersWithSpaces>18005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2024-10-14T06:40:00Z</dcterms:created>
  <dc:creator>孙严智13:59:22</dc:creator>
  <cp:lastModifiedBy>王雅楠</cp:lastModifiedBy>
  <dcterms:modified xsi:type="dcterms:W3CDTF">2026-09-09T07:40:50Z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CCC07B6F17AB4A08B4EC9DDF5522DD32</vt:lpwstr>
  </property>
  <property fmtid="{D5CDD505-2E9C-101B-9397-08002B2CF9AE}" pid="4" name="KSOTemplateDocerSaveRecord">
    <vt:lpwstr>eyJoZGlkIjoiY2FlMjYxODNlNjZjMzE3MTEyMTVhYjdmZmI3ZDYxODMiLCJ1c2VySWQiOiIxMTM3MTQyMCJ9</vt:lpwstr>
  </property>
</Properties>
</file>