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56" w:lineRule="exact"/>
        <w:ind w:left="0" w:leftChars="0" w:firstLine="0" w:firstLineChars="0"/>
        <w:rPr>
          <w:color w:val="auto"/>
          <w:highlight w:val="none"/>
        </w:rPr>
      </w:pPr>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-63500</wp:posOffset>
            </wp:positionH>
            <wp:positionV relativeFrom="paragraph">
              <wp:posOffset>-17780</wp:posOffset>
            </wp:positionV>
            <wp:extent cx="7765415" cy="11156315"/>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2"/>
                    <a:srcRect/>
                    <a:stretch>
                      <a:fillRect/>
                    </a:stretch>
                  </pic:blipFill>
                  <pic:spPr>
                    <a:xfrm>
                      <a:off x="0" y="0"/>
                      <a:ext cx="7765415" cy="11156315"/>
                    </a:xfrm>
                    <a:prstGeom prst="rect">
                      <a:avLst/>
                    </a:prstGeom>
                    <a:noFill/>
                    <a:ln w="9525">
                      <a:noFill/>
                      <a:miter lim="800000"/>
                      <a:headEnd/>
                      <a:tailEnd/>
                    </a:ln>
                  </pic:spPr>
                </pic:pic>
              </a:graphicData>
            </a:graphic>
          </wp:anchor>
        </w:drawing>
      </w:r>
    </w:p>
    <w:p>
      <w:pPr>
        <w:spacing w:before="140" w:line="232" w:lineRule="auto"/>
        <w:ind w:left="0" w:leftChars="0" w:right="0" w:rightChars="0" w:firstLine="0" w:firstLineChars="0"/>
        <w:jc w:val="center"/>
        <w:outlineLvl w:val="0"/>
        <w:rPr>
          <w:rFonts w:hint="eastAsia" w:ascii="仿宋" w:hAnsi="仿宋" w:cs="仿宋"/>
          <w:b/>
          <w:bCs/>
          <w:color w:val="auto"/>
          <w:spacing w:val="-9"/>
          <w:sz w:val="43"/>
          <w:szCs w:val="43"/>
          <w:highlight w:val="none"/>
          <w:u w:val="single" w:color="auto"/>
          <w:lang w:val="en-US" w:eastAsia="zh-CN"/>
        </w:rPr>
      </w:pPr>
      <w:bookmarkStart w:id="0" w:name="_Toc19302"/>
      <w:bookmarkStart w:id="1" w:name="_Toc19372"/>
      <w:bookmarkStart w:id="2" w:name="_Toc2809"/>
      <w:bookmarkStart w:id="3" w:name="_Toc28904"/>
      <w:bookmarkStart w:id="4" w:name="_Toc24625"/>
      <w:bookmarkStart w:id="5" w:name="_Toc29472"/>
      <w:bookmarkStart w:id="6" w:name="_Toc20997"/>
      <w:bookmarkStart w:id="7" w:name="_Toc17055"/>
      <w:bookmarkStart w:id="8" w:name="_Toc1688"/>
      <w:bookmarkStart w:id="9" w:name="_Toc25033"/>
      <w:bookmarkStart w:id="10" w:name="_Toc18823"/>
      <w:bookmarkStart w:id="11" w:name="_Toc11929"/>
      <w:bookmarkStart w:id="12" w:name="_Toc26284"/>
      <w:bookmarkStart w:id="13" w:name="_Toc18267"/>
      <w:bookmarkStart w:id="14" w:name="_Toc2867"/>
      <w:bookmarkStart w:id="15" w:name="_Toc11937"/>
      <w:r>
        <w:rPr>
          <w:rFonts w:hint="eastAsia" w:ascii="仿宋" w:hAnsi="仿宋" w:cs="仿宋"/>
          <w:b/>
          <w:bCs/>
          <w:color w:val="auto"/>
          <w:spacing w:val="-9"/>
          <w:sz w:val="43"/>
          <w:szCs w:val="43"/>
          <w:highlight w:val="none"/>
          <w:u w:val="single" w:color="auto"/>
          <w:lang w:val="en-US" w:eastAsia="zh-CN"/>
        </w:rPr>
        <w:t>2026年南方电网数据平台与安全（广东）有限公司</w:t>
      </w:r>
      <w:bookmarkEnd w:id="0"/>
      <w:bookmarkEnd w:id="1"/>
      <w:bookmarkEnd w:id="2"/>
      <w:bookmarkEnd w:id="3"/>
      <w:bookmarkEnd w:id="4"/>
    </w:p>
    <w:p>
      <w:pPr>
        <w:spacing w:before="140" w:line="232" w:lineRule="auto"/>
        <w:ind w:left="0" w:leftChars="0" w:right="0" w:rightChars="0" w:firstLine="0" w:firstLineChars="0"/>
        <w:jc w:val="center"/>
        <w:outlineLvl w:val="0"/>
        <w:rPr>
          <w:rFonts w:hint="eastAsia" w:ascii="仿宋" w:hAnsi="仿宋" w:cs="仿宋"/>
          <w:b/>
          <w:bCs/>
          <w:color w:val="auto"/>
          <w:spacing w:val="-9"/>
          <w:sz w:val="43"/>
          <w:szCs w:val="43"/>
          <w:highlight w:val="none"/>
          <w:u w:val="single" w:color="auto"/>
          <w:lang w:val="en-US" w:eastAsia="zh-CN"/>
        </w:rPr>
      </w:pPr>
      <w:bookmarkStart w:id="16" w:name="_Toc15663"/>
      <w:bookmarkStart w:id="17" w:name="_Toc22101"/>
      <w:bookmarkStart w:id="18" w:name="_Toc10934"/>
      <w:bookmarkStart w:id="19" w:name="_Toc19174"/>
      <w:bookmarkStart w:id="20" w:name="_Toc18651"/>
      <w:bookmarkStart w:id="21" w:name="_Toc3308"/>
      <w:r>
        <w:rPr>
          <w:rFonts w:hint="eastAsia" w:ascii="仿宋" w:hAnsi="仿宋" w:cs="仿宋"/>
          <w:b/>
          <w:bCs/>
          <w:color w:val="auto"/>
          <w:spacing w:val="-9"/>
          <w:sz w:val="43"/>
          <w:szCs w:val="43"/>
          <w:highlight w:val="none"/>
          <w:u w:val="single" w:color="auto"/>
          <w:lang w:val="en-US" w:eastAsia="zh-CN"/>
        </w:rPr>
        <w:t>知识产权管理体系再认证及年审认证服务项目</w:t>
      </w:r>
      <w:bookmarkEnd w:id="16"/>
      <w:bookmarkEnd w:id="17"/>
      <w:bookmarkEnd w:id="18"/>
      <w:bookmarkEnd w:id="19"/>
      <w:bookmarkEnd w:id="20"/>
      <w:bookmarkEnd w:id="21"/>
    </w:p>
    <w:bookmarkEnd w:id="5"/>
    <w:bookmarkEnd w:id="6"/>
    <w:p>
      <w:pPr>
        <w:spacing w:before="140" w:line="232" w:lineRule="auto"/>
        <w:ind w:left="0" w:leftChars="0" w:right="0" w:rightChars="0" w:firstLine="0" w:firstLineChars="0"/>
        <w:jc w:val="center"/>
        <w:outlineLvl w:val="0"/>
        <w:rPr>
          <w:rFonts w:hint="eastAsia" w:ascii="仿宋" w:hAnsi="仿宋" w:eastAsia="仿宋" w:cs="仿宋"/>
          <w:b/>
          <w:bCs/>
          <w:color w:val="auto"/>
          <w:spacing w:val="-9"/>
          <w:sz w:val="43"/>
          <w:szCs w:val="43"/>
          <w:highlight w:val="none"/>
          <w:u w:val="none" w:color="auto"/>
        </w:rPr>
      </w:pPr>
      <w:bookmarkStart w:id="22" w:name="_Toc13796"/>
      <w:bookmarkStart w:id="23" w:name="_Toc9849"/>
    </w:p>
    <w:p>
      <w:pPr>
        <w:spacing w:before="140" w:line="232" w:lineRule="auto"/>
        <w:ind w:left="0" w:leftChars="0" w:right="0" w:rightChars="0" w:firstLine="0" w:firstLineChars="0"/>
        <w:jc w:val="center"/>
        <w:outlineLvl w:val="0"/>
        <w:rPr>
          <w:rFonts w:hint="eastAsia" w:ascii="仿宋" w:hAnsi="仿宋" w:eastAsia="仿宋" w:cs="仿宋"/>
          <w:b/>
          <w:bCs/>
          <w:color w:val="auto"/>
          <w:spacing w:val="-9"/>
          <w:sz w:val="43"/>
          <w:szCs w:val="43"/>
          <w:highlight w:val="none"/>
          <w:u w:val="none" w:color="auto"/>
        </w:rPr>
      </w:pPr>
      <w:bookmarkStart w:id="24" w:name="_Toc8595"/>
      <w:bookmarkStart w:id="25" w:name="_Toc14209"/>
      <w:bookmarkStart w:id="26" w:name="_Toc22232"/>
      <w:bookmarkStart w:id="27" w:name="_Toc18912"/>
      <w:bookmarkStart w:id="28" w:name="_Toc11591"/>
      <w:r>
        <w:rPr>
          <w:rFonts w:hint="eastAsia" w:ascii="仿宋" w:hAnsi="仿宋" w:eastAsia="仿宋" w:cs="仿宋"/>
          <w:b/>
          <w:bCs/>
          <w:color w:val="auto"/>
          <w:spacing w:val="-9"/>
          <w:sz w:val="43"/>
          <w:szCs w:val="43"/>
          <w:highlight w:val="none"/>
          <w:u w:val="none" w:color="auto"/>
        </w:rPr>
        <w:t>技术规范书</w:t>
      </w:r>
      <w:bookmarkEnd w:id="7"/>
      <w:bookmarkEnd w:id="8"/>
      <w:bookmarkEnd w:id="9"/>
      <w:bookmarkEnd w:id="10"/>
      <w:bookmarkEnd w:id="11"/>
      <w:bookmarkEnd w:id="12"/>
      <w:bookmarkEnd w:id="13"/>
      <w:bookmarkEnd w:id="14"/>
      <w:bookmarkEnd w:id="15"/>
      <w:bookmarkEnd w:id="22"/>
      <w:bookmarkEnd w:id="23"/>
      <w:bookmarkEnd w:id="24"/>
      <w:bookmarkEnd w:id="25"/>
      <w:bookmarkEnd w:id="26"/>
      <w:bookmarkEnd w:id="27"/>
      <w:bookmarkEnd w:id="28"/>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8" w:lineRule="auto"/>
        <w:rPr>
          <w:color w:val="auto"/>
          <w:highlight w:val="none"/>
        </w:rPr>
      </w:pPr>
    </w:p>
    <w:p>
      <w:pPr>
        <w:pStyle w:val="7"/>
        <w:spacing w:line="249" w:lineRule="auto"/>
        <w:rPr>
          <w:color w:val="auto"/>
          <w:highlight w:val="none"/>
        </w:rPr>
      </w:pPr>
    </w:p>
    <w:p>
      <w:pPr>
        <w:pStyle w:val="7"/>
        <w:spacing w:line="249" w:lineRule="auto"/>
        <w:rPr>
          <w:color w:val="auto"/>
          <w:highlight w:val="none"/>
        </w:rPr>
      </w:pPr>
    </w:p>
    <w:p>
      <w:pPr>
        <w:pStyle w:val="7"/>
        <w:spacing w:line="249" w:lineRule="auto"/>
        <w:rPr>
          <w:color w:val="auto"/>
          <w:highlight w:val="none"/>
        </w:rPr>
      </w:pPr>
    </w:p>
    <w:p>
      <w:pPr>
        <w:pStyle w:val="7"/>
        <w:spacing w:line="249" w:lineRule="auto"/>
        <w:rPr>
          <w:color w:val="auto"/>
          <w:highlight w:val="none"/>
        </w:rPr>
      </w:pPr>
    </w:p>
    <w:p>
      <w:pPr>
        <w:pStyle w:val="7"/>
        <w:spacing w:line="249" w:lineRule="auto"/>
        <w:ind w:left="0" w:leftChars="0" w:firstLine="0" w:firstLineChars="0"/>
        <w:rPr>
          <w:color w:val="auto"/>
          <w:highlight w:val="none"/>
        </w:rPr>
      </w:pPr>
    </w:p>
    <w:p>
      <w:pPr>
        <w:pStyle w:val="7"/>
        <w:spacing w:line="249" w:lineRule="auto"/>
        <w:rPr>
          <w:color w:val="auto"/>
          <w:highlight w:val="none"/>
        </w:rPr>
      </w:pPr>
    </w:p>
    <w:p>
      <w:pPr>
        <w:spacing w:before="101" w:line="356" w:lineRule="auto"/>
        <w:ind w:left="0" w:leftChars="0" w:right="0" w:rightChars="0" w:firstLine="0" w:firstLineChars="0"/>
        <w:jc w:val="center"/>
        <w:rPr>
          <w:rFonts w:hint="eastAsia" w:ascii="仿宋" w:hAnsi="仿宋" w:eastAsia="仿宋" w:cs="仿宋"/>
          <w:color w:val="auto"/>
          <w:spacing w:val="7"/>
          <w:sz w:val="31"/>
          <w:szCs w:val="31"/>
          <w:highlight w:val="none"/>
          <w:lang w:val="en-US" w:eastAsia="zh-CN"/>
        </w:rPr>
      </w:pPr>
      <w:r>
        <w:rPr>
          <w:rFonts w:hint="eastAsia" w:ascii="仿宋" w:hAnsi="仿宋" w:cs="仿宋"/>
          <w:color w:val="auto"/>
          <w:spacing w:val="7"/>
          <w:sz w:val="31"/>
          <w:szCs w:val="31"/>
          <w:highlight w:val="none"/>
          <w:lang w:eastAsia="zh-CN"/>
        </w:rPr>
        <w:t>南方电网数据平台与安全（广东）有限公司</w:t>
      </w:r>
    </w:p>
    <w:p>
      <w:pPr>
        <w:spacing w:before="101" w:line="356" w:lineRule="auto"/>
        <w:ind w:left="0" w:leftChars="0" w:right="0" w:rightChars="0" w:firstLine="0" w:firstLineChars="0"/>
        <w:jc w:val="center"/>
        <w:rPr>
          <w:rFonts w:ascii="仿宋" w:hAnsi="仿宋" w:eastAsia="仿宋" w:cs="仿宋"/>
          <w:color w:val="auto"/>
          <w:sz w:val="31"/>
          <w:szCs w:val="31"/>
          <w:highlight w:val="none"/>
        </w:rPr>
      </w:pPr>
      <w:r>
        <w:rPr>
          <w:rFonts w:ascii="仿宋" w:hAnsi="仿宋" w:eastAsia="仿宋" w:cs="仿宋"/>
          <w:color w:val="auto"/>
          <w:spacing w:val="-3"/>
          <w:sz w:val="31"/>
          <w:szCs w:val="31"/>
          <w:highlight w:val="none"/>
        </w:rPr>
        <w:t>202</w:t>
      </w:r>
      <w:r>
        <w:rPr>
          <w:rFonts w:hint="eastAsia" w:ascii="仿宋" w:hAnsi="仿宋" w:cs="仿宋"/>
          <w:color w:val="auto"/>
          <w:spacing w:val="-3"/>
          <w:sz w:val="31"/>
          <w:szCs w:val="31"/>
          <w:highlight w:val="none"/>
          <w:lang w:val="en-US" w:eastAsia="zh-CN"/>
        </w:rPr>
        <w:t>6</w:t>
      </w:r>
      <w:r>
        <w:rPr>
          <w:rFonts w:ascii="仿宋" w:hAnsi="仿宋" w:eastAsia="仿宋" w:cs="仿宋"/>
          <w:color w:val="auto"/>
          <w:spacing w:val="-47"/>
          <w:sz w:val="31"/>
          <w:szCs w:val="31"/>
          <w:highlight w:val="none"/>
        </w:rPr>
        <w:t xml:space="preserve"> </w:t>
      </w:r>
      <w:r>
        <w:rPr>
          <w:rFonts w:ascii="仿宋" w:hAnsi="仿宋" w:eastAsia="仿宋" w:cs="仿宋"/>
          <w:color w:val="auto"/>
          <w:spacing w:val="-3"/>
          <w:sz w:val="31"/>
          <w:szCs w:val="31"/>
          <w:highlight w:val="none"/>
        </w:rPr>
        <w:t>年</w:t>
      </w:r>
      <w:r>
        <w:rPr>
          <w:rFonts w:hint="eastAsia" w:ascii="仿宋" w:hAnsi="仿宋" w:cs="仿宋"/>
          <w:color w:val="auto"/>
          <w:spacing w:val="-63"/>
          <w:sz w:val="31"/>
          <w:szCs w:val="31"/>
          <w:highlight w:val="none"/>
          <w:lang w:val="en-US" w:eastAsia="zh-CN"/>
        </w:rPr>
        <w:t>9</w:t>
      </w:r>
      <w:r>
        <w:rPr>
          <w:rFonts w:ascii="仿宋" w:hAnsi="仿宋" w:eastAsia="仿宋" w:cs="仿宋"/>
          <w:color w:val="auto"/>
          <w:spacing w:val="-3"/>
          <w:sz w:val="31"/>
          <w:szCs w:val="31"/>
          <w:highlight w:val="none"/>
        </w:rPr>
        <w:t>月</w:t>
      </w:r>
    </w:p>
    <w:p>
      <w:pPr>
        <w:spacing w:line="356" w:lineRule="auto"/>
        <w:rPr>
          <w:rFonts w:ascii="仿宋" w:hAnsi="仿宋" w:eastAsia="仿宋" w:cs="仿宋"/>
          <w:color w:val="auto"/>
          <w:sz w:val="31"/>
          <w:szCs w:val="31"/>
          <w:highlight w:val="none"/>
        </w:rPr>
        <w:sectPr>
          <w:headerReference r:id="rId5" w:type="default"/>
          <w:footerReference r:id="rId6" w:type="default"/>
          <w:pgSz w:w="11906" w:h="16839"/>
          <w:pgMar w:top="1" w:right="0" w:bottom="1151" w:left="19" w:header="0" w:footer="987" w:gutter="0"/>
          <w:pgBorders>
            <w:top w:val="none" w:sz="0" w:space="0"/>
            <w:left w:val="none" w:sz="0" w:space="0"/>
            <w:bottom w:val="none" w:sz="0" w:space="0"/>
            <w:right w:val="none" w:sz="0" w:space="0"/>
          </w:pgBorders>
          <w:pgNumType w:fmt="decimal"/>
          <w:cols w:space="720" w:num="1"/>
        </w:sectPr>
      </w:pPr>
    </w:p>
    <w:p>
      <w:pPr>
        <w:pStyle w:val="7"/>
        <w:spacing w:line="252" w:lineRule="auto"/>
        <w:rPr>
          <w:color w:val="auto"/>
          <w:highlight w:val="none"/>
        </w:rPr>
      </w:pPr>
    </w:p>
    <w:p>
      <w:pPr>
        <w:pStyle w:val="7"/>
        <w:spacing w:line="252" w:lineRule="auto"/>
        <w:rPr>
          <w:color w:val="auto"/>
          <w:highlight w:val="none"/>
        </w:rPr>
      </w:pPr>
    </w:p>
    <w:p>
      <w:pPr>
        <w:pStyle w:val="7"/>
        <w:spacing w:line="252" w:lineRule="auto"/>
        <w:rPr>
          <w:color w:val="auto"/>
          <w:highlight w:val="none"/>
        </w:rPr>
      </w:pPr>
    </w:p>
    <w:p>
      <w:pPr>
        <w:pStyle w:val="7"/>
        <w:spacing w:line="252" w:lineRule="auto"/>
        <w:rPr>
          <w:color w:val="auto"/>
          <w:highlight w:val="none"/>
        </w:rPr>
      </w:pPr>
    </w:p>
    <w:sdt>
      <w:sdtPr>
        <w:rPr>
          <w:rFonts w:ascii="宋体" w:hAnsi="宋体" w:eastAsia="宋体" w:cs="Arial"/>
          <w:b/>
          <w:bCs/>
          <w:snapToGrid w:val="0"/>
          <w:color w:val="auto"/>
          <w:kern w:val="0"/>
          <w:sz w:val="21"/>
          <w:szCs w:val="21"/>
          <w:highlight w:val="none"/>
          <w:lang w:val="en-US" w:eastAsia="en-US" w:bidi="ar-SA"/>
        </w:rPr>
        <w:id w:val="147451686"/>
        <w15:color w:val="DBDBDB"/>
        <w:docPartObj>
          <w:docPartGallery w:val="Table of Contents"/>
          <w:docPartUnique/>
        </w:docPartObj>
      </w:sdtPr>
      <w:sdtEndPr>
        <w:rPr>
          <w:rFonts w:ascii="Arial" w:hAnsi="Arial" w:eastAsia="Arial" w:cs="Arial"/>
          <w:b/>
          <w:bCs/>
          <w:snapToGrid w:val="0"/>
          <w:color w:val="auto"/>
          <w:kern w:val="0"/>
          <w:sz w:val="21"/>
          <w:szCs w:val="21"/>
          <w:highlight w:val="none"/>
          <w:lang w:val="en-US" w:eastAsia="en-US"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目</w:t>
          </w:r>
          <w:r>
            <w:rPr>
              <w:rFonts w:hint="eastAsia" w:ascii="仿宋" w:hAnsi="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录</w:t>
          </w:r>
        </w:p>
        <w:p>
          <w:pPr>
            <w:pStyle w:val="11"/>
            <w:tabs>
              <w:tab w:val="right" w:leader="dot" w:pos="8336"/>
            </w:tabs>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TOC \o "1-2" \h \u </w:instrText>
          </w:r>
          <w:r>
            <w:rPr>
              <w:rFonts w:hint="eastAsia" w:ascii="仿宋" w:hAnsi="仿宋" w:eastAsia="仿宋" w:cs="仿宋"/>
              <w:color w:val="auto"/>
              <w:sz w:val="32"/>
              <w:szCs w:val="32"/>
              <w:highlight w:val="none"/>
            </w:rPr>
            <w:fldChar w:fldCharType="separate"/>
          </w:r>
        </w:p>
        <w:p>
          <w:pPr>
            <w:pStyle w:val="11"/>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_Toc31856 </w:instrText>
          </w:r>
          <w:r>
            <w:rPr>
              <w:rFonts w:hint="eastAsia" w:ascii="仿宋" w:hAnsi="仿宋" w:eastAsia="仿宋" w:cs="仿宋"/>
              <w:szCs w:val="32"/>
              <w:highlight w:val="none"/>
            </w:rPr>
            <w:fldChar w:fldCharType="separate"/>
          </w:r>
          <w:r>
            <w:rPr>
              <w:rFonts w:hint="eastAsia" w:ascii="黑体" w:hAnsi="黑体" w:eastAsia="黑体" w:cs="黑体"/>
              <w:szCs w:val="32"/>
            </w:rPr>
            <w:t xml:space="preserve">一、 </w:t>
          </w:r>
          <w:r>
            <w:rPr>
              <w:rFonts w:hint="eastAsia" w:ascii="黑体" w:hAnsi="黑体" w:eastAsia="黑体" w:cs="黑体"/>
              <w:szCs w:val="32"/>
              <w:highlight w:val="none"/>
            </w:rPr>
            <w:t>项目</w:t>
          </w:r>
          <w:r>
            <w:rPr>
              <w:rFonts w:hint="eastAsia" w:ascii="黑体" w:hAnsi="黑体" w:eastAsia="黑体" w:cs="黑体"/>
              <w:szCs w:val="32"/>
              <w:highlight w:val="none"/>
              <w:lang w:val="en-US" w:eastAsia="zh-CN"/>
            </w:rPr>
            <w:t>背景</w:t>
          </w:r>
          <w:r>
            <w:tab/>
          </w:r>
          <w:r>
            <w:fldChar w:fldCharType="begin"/>
          </w:r>
          <w:r>
            <w:instrText xml:space="preserve"> PAGEREF _Toc31856 \h </w:instrText>
          </w:r>
          <w:r>
            <w:fldChar w:fldCharType="separate"/>
          </w:r>
          <w:r>
            <w:t>1</w:t>
          </w:r>
          <w:r>
            <w:fldChar w:fldCharType="end"/>
          </w:r>
          <w:r>
            <w:rPr>
              <w:rFonts w:hint="eastAsia" w:ascii="仿宋" w:hAnsi="仿宋" w:eastAsia="仿宋" w:cs="仿宋"/>
              <w:color w:val="auto"/>
              <w:szCs w:val="32"/>
              <w:highlight w:val="none"/>
            </w:rPr>
            <w:fldChar w:fldCharType="end"/>
          </w:r>
        </w:p>
        <w:p>
          <w:pPr>
            <w:pStyle w:val="11"/>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_Toc27041 </w:instrText>
          </w:r>
          <w:r>
            <w:rPr>
              <w:rFonts w:hint="eastAsia" w:ascii="仿宋" w:hAnsi="仿宋" w:eastAsia="仿宋" w:cs="仿宋"/>
              <w:szCs w:val="32"/>
              <w:highlight w:val="none"/>
            </w:rPr>
            <w:fldChar w:fldCharType="separate"/>
          </w:r>
          <w:r>
            <w:rPr>
              <w:rFonts w:hint="eastAsia" w:ascii="黑体" w:hAnsi="黑体" w:eastAsia="黑体" w:cs="黑体"/>
              <w:szCs w:val="32"/>
              <w:lang w:val="en-US" w:eastAsia="zh-CN"/>
            </w:rPr>
            <w:t xml:space="preserve">二、 </w:t>
          </w:r>
          <w:r>
            <w:rPr>
              <w:rFonts w:hint="eastAsia" w:ascii="黑体" w:hAnsi="黑体" w:eastAsia="黑体" w:cs="黑体"/>
              <w:szCs w:val="32"/>
              <w:highlight w:val="none"/>
              <w:lang w:val="en-US" w:eastAsia="zh-CN"/>
            </w:rPr>
            <w:t>服务要求</w:t>
          </w:r>
          <w:r>
            <w:tab/>
          </w:r>
          <w:r>
            <w:fldChar w:fldCharType="begin"/>
          </w:r>
          <w:r>
            <w:instrText xml:space="preserve"> PAGEREF _Toc27041 \h </w:instrText>
          </w:r>
          <w:r>
            <w:fldChar w:fldCharType="separate"/>
          </w:r>
          <w:r>
            <w:t>1</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_Toc9999 </w:instrText>
          </w:r>
          <w:r>
            <w:rPr>
              <w:rFonts w:hint="eastAsia" w:ascii="仿宋" w:hAnsi="仿宋" w:eastAsia="仿宋" w:cs="仿宋"/>
              <w:szCs w:val="32"/>
              <w:highlight w:val="none"/>
            </w:rPr>
            <w:fldChar w:fldCharType="separate"/>
          </w:r>
          <w:r>
            <w:rPr>
              <w:rFonts w:hint="eastAsia"/>
              <w:highlight w:val="none"/>
              <w:lang w:val="en-US" w:eastAsia="zh-CN"/>
            </w:rPr>
            <w:t>（一）服务目标</w:t>
          </w:r>
          <w:r>
            <w:tab/>
          </w:r>
          <w:r>
            <w:fldChar w:fldCharType="begin"/>
          </w:r>
          <w:r>
            <w:instrText xml:space="preserve"> PAGEREF _Toc9999 \h </w:instrText>
          </w:r>
          <w:r>
            <w:fldChar w:fldCharType="separate"/>
          </w:r>
          <w:r>
            <w:t>1</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_Toc17143 </w:instrText>
          </w:r>
          <w:r>
            <w:rPr>
              <w:rFonts w:hint="eastAsia" w:ascii="仿宋" w:hAnsi="仿宋" w:eastAsia="仿宋" w:cs="仿宋"/>
              <w:szCs w:val="32"/>
              <w:highlight w:val="none"/>
            </w:rPr>
            <w:fldChar w:fldCharType="separate"/>
          </w:r>
          <w:r>
            <w:rPr>
              <w:rFonts w:hint="eastAsia" w:ascii="Arial" w:hAnsi="Arial"/>
              <w:lang w:val="en-US" w:eastAsia="zh-CN"/>
            </w:rPr>
            <w:t xml:space="preserve">（二） </w:t>
          </w:r>
          <w:r>
            <w:rPr>
              <w:rFonts w:hint="eastAsia" w:ascii="Arial" w:hAnsi="Arial"/>
              <w:highlight w:val="none"/>
              <w:lang w:val="en-US" w:eastAsia="zh-CN"/>
            </w:rPr>
            <w:t>服务内容</w:t>
          </w:r>
          <w:r>
            <w:tab/>
          </w:r>
          <w:r>
            <w:fldChar w:fldCharType="begin"/>
          </w:r>
          <w:r>
            <w:instrText xml:space="preserve"> PAGEREF _Toc17143 \h </w:instrText>
          </w:r>
          <w:r>
            <w:fldChar w:fldCharType="separate"/>
          </w:r>
          <w:r>
            <w:t>1</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_Toc2327 </w:instrText>
          </w:r>
          <w:r>
            <w:rPr>
              <w:rFonts w:hint="eastAsia" w:ascii="仿宋" w:hAnsi="仿宋" w:eastAsia="仿宋" w:cs="仿宋"/>
              <w:szCs w:val="32"/>
              <w:highlight w:val="none"/>
            </w:rPr>
            <w:fldChar w:fldCharType="separate"/>
          </w:r>
          <w:r>
            <w:rPr>
              <w:rFonts w:hint="eastAsia"/>
              <w:lang w:val="en-US" w:eastAsia="zh-CN"/>
            </w:rPr>
            <w:t xml:space="preserve">（三） </w:t>
          </w:r>
          <w:r>
            <w:rPr>
              <w:rFonts w:hint="eastAsia"/>
              <w:highlight w:val="none"/>
              <w:lang w:val="en-US" w:eastAsia="zh-CN"/>
            </w:rPr>
            <w:t>专用资格要求</w:t>
          </w:r>
          <w:r>
            <w:tab/>
          </w:r>
          <w:r>
            <w:fldChar w:fldCharType="begin"/>
          </w:r>
          <w:r>
            <w:instrText xml:space="preserve"> PAGEREF _Toc2327 \h </w:instrText>
          </w:r>
          <w:r>
            <w:fldChar w:fldCharType="separate"/>
          </w:r>
          <w:r>
            <w:t>2</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_Toc26081 </w:instrText>
          </w:r>
          <w:r>
            <w:rPr>
              <w:rFonts w:hint="eastAsia" w:ascii="仿宋" w:hAnsi="仿宋" w:eastAsia="仿宋" w:cs="仿宋"/>
              <w:szCs w:val="32"/>
              <w:highlight w:val="none"/>
            </w:rPr>
            <w:fldChar w:fldCharType="separate"/>
          </w:r>
          <w:r>
            <w:rPr>
              <w:rFonts w:hint="eastAsia"/>
              <w:highlight w:val="none"/>
              <w:lang w:val="en-US" w:eastAsia="zh-CN"/>
            </w:rPr>
            <w:t>（四）</w:t>
          </w:r>
          <w:r>
            <w:rPr>
              <w:rFonts w:hint="eastAsia" w:ascii="Arial" w:hAnsi="Arial"/>
              <w:highlight w:val="none"/>
              <w:lang w:val="en-US" w:eastAsia="zh-CN"/>
            </w:rPr>
            <w:t>技术指标要求</w:t>
          </w:r>
          <w:r>
            <w:tab/>
          </w:r>
          <w:r>
            <w:fldChar w:fldCharType="begin"/>
          </w:r>
          <w:r>
            <w:instrText xml:space="preserve"> PAGEREF _Toc26081 \h </w:instrText>
          </w:r>
          <w:r>
            <w:fldChar w:fldCharType="separate"/>
          </w:r>
          <w:r>
            <w:t>2</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_Toc3062 </w:instrText>
          </w:r>
          <w:r>
            <w:rPr>
              <w:rFonts w:hint="eastAsia" w:ascii="仿宋" w:hAnsi="仿宋" w:eastAsia="仿宋" w:cs="仿宋"/>
              <w:szCs w:val="32"/>
              <w:highlight w:val="none"/>
            </w:rPr>
            <w:fldChar w:fldCharType="separate"/>
          </w:r>
          <w:r>
            <w:rPr>
              <w:rFonts w:hint="default" w:ascii="Arial" w:hAnsi="Arial"/>
              <w:highlight w:val="none"/>
              <w:lang w:val="en-US" w:eastAsia="zh-CN"/>
            </w:rPr>
            <w:t>（</w:t>
          </w:r>
          <w:r>
            <w:rPr>
              <w:rFonts w:hint="eastAsia"/>
              <w:highlight w:val="none"/>
              <w:lang w:val="en-US" w:eastAsia="zh-CN"/>
            </w:rPr>
            <w:t>五</w:t>
          </w:r>
          <w:r>
            <w:rPr>
              <w:rFonts w:hint="default" w:ascii="Arial" w:hAnsi="Arial"/>
              <w:highlight w:val="none"/>
              <w:lang w:val="en-US" w:eastAsia="zh-CN"/>
            </w:rPr>
            <w:t>）项目实施地点</w:t>
          </w:r>
          <w:r>
            <w:tab/>
          </w:r>
          <w:r>
            <w:fldChar w:fldCharType="begin"/>
          </w:r>
          <w:r>
            <w:instrText xml:space="preserve"> PAGEREF _Toc3062 \h </w:instrText>
          </w:r>
          <w:r>
            <w:fldChar w:fldCharType="separate"/>
          </w:r>
          <w:r>
            <w:t>2</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_Toc18063 </w:instrText>
          </w:r>
          <w:r>
            <w:rPr>
              <w:rFonts w:hint="eastAsia" w:ascii="仿宋" w:hAnsi="仿宋" w:eastAsia="仿宋" w:cs="仿宋"/>
              <w:szCs w:val="32"/>
              <w:highlight w:val="none"/>
            </w:rPr>
            <w:fldChar w:fldCharType="separate"/>
          </w:r>
          <w:r>
            <w:rPr>
              <w:rFonts w:hint="eastAsia" w:ascii="Arial" w:hAnsi="Arial"/>
              <w:highlight w:val="none"/>
              <w:lang w:val="en-US" w:eastAsia="zh-CN"/>
            </w:rPr>
            <w:t>（</w:t>
          </w:r>
          <w:r>
            <w:rPr>
              <w:rFonts w:hint="eastAsia"/>
              <w:highlight w:val="none"/>
              <w:lang w:val="en-US" w:eastAsia="zh-CN"/>
            </w:rPr>
            <w:t>六</w:t>
          </w:r>
          <w:r>
            <w:rPr>
              <w:rFonts w:hint="eastAsia" w:ascii="Arial" w:hAnsi="Arial"/>
              <w:highlight w:val="none"/>
              <w:lang w:val="en-US" w:eastAsia="zh-CN"/>
            </w:rPr>
            <w:t>）交付物及时间要求</w:t>
          </w:r>
          <w:r>
            <w:tab/>
          </w:r>
          <w:r>
            <w:fldChar w:fldCharType="begin"/>
          </w:r>
          <w:r>
            <w:instrText xml:space="preserve"> PAGEREF _Toc18063 \h </w:instrText>
          </w:r>
          <w:r>
            <w:fldChar w:fldCharType="separate"/>
          </w:r>
          <w:r>
            <w:t>2</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_Toc10668 </w:instrText>
          </w:r>
          <w:r>
            <w:rPr>
              <w:rFonts w:hint="eastAsia" w:ascii="仿宋" w:hAnsi="仿宋" w:eastAsia="仿宋" w:cs="仿宋"/>
              <w:szCs w:val="32"/>
              <w:highlight w:val="none"/>
            </w:rPr>
            <w:fldChar w:fldCharType="separate"/>
          </w:r>
          <w:r>
            <w:rPr>
              <w:rFonts w:hint="eastAsia" w:ascii="Arial" w:hAnsi="Arial"/>
              <w:highlight w:val="none"/>
              <w:lang w:val="en-US" w:eastAsia="zh-CN"/>
            </w:rPr>
            <w:t>（</w:t>
          </w:r>
          <w:r>
            <w:rPr>
              <w:rFonts w:hint="eastAsia"/>
              <w:highlight w:val="none"/>
              <w:lang w:val="en-US" w:eastAsia="zh-CN"/>
            </w:rPr>
            <w:t>七</w:t>
          </w:r>
          <w:r>
            <w:rPr>
              <w:rFonts w:hint="eastAsia" w:ascii="Arial" w:hAnsi="Arial"/>
              <w:highlight w:val="none"/>
              <w:lang w:val="en-US" w:eastAsia="zh-CN"/>
            </w:rPr>
            <w:t>）其它要求</w:t>
          </w:r>
          <w:r>
            <w:tab/>
          </w:r>
          <w:r>
            <w:fldChar w:fldCharType="begin"/>
          </w:r>
          <w:r>
            <w:instrText xml:space="preserve"> PAGEREF _Toc10668 \h </w:instrText>
          </w:r>
          <w:r>
            <w:fldChar w:fldCharType="separate"/>
          </w:r>
          <w:r>
            <w:t>3</w:t>
          </w:r>
          <w:r>
            <w:fldChar w:fldCharType="end"/>
          </w:r>
          <w:r>
            <w:rPr>
              <w:rFonts w:hint="eastAsia" w:ascii="仿宋" w:hAnsi="仿宋" w:eastAsia="仿宋" w:cs="仿宋"/>
              <w:color w:val="auto"/>
              <w:szCs w:val="32"/>
              <w:highlight w:val="none"/>
            </w:rPr>
            <w:fldChar w:fldCharType="end"/>
          </w:r>
        </w:p>
        <w:p>
          <w:pPr>
            <w:pStyle w:val="11"/>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_Toc15178 </w:instrText>
          </w:r>
          <w:r>
            <w:rPr>
              <w:rFonts w:hint="eastAsia" w:ascii="仿宋" w:hAnsi="仿宋" w:eastAsia="仿宋" w:cs="仿宋"/>
              <w:szCs w:val="32"/>
              <w:highlight w:val="none"/>
            </w:rPr>
            <w:fldChar w:fldCharType="separate"/>
          </w:r>
          <w:r>
            <w:rPr>
              <w:rFonts w:hint="eastAsia" w:ascii="黑体" w:hAnsi="黑体" w:eastAsia="黑体" w:cs="黑体"/>
              <w:szCs w:val="32"/>
              <w:lang w:val="en-US" w:eastAsia="zh-CN"/>
            </w:rPr>
            <w:t xml:space="preserve">三、 </w:t>
          </w:r>
          <w:r>
            <w:rPr>
              <w:rFonts w:hint="eastAsia" w:ascii="黑体" w:hAnsi="黑体" w:eastAsia="黑体" w:cs="黑体"/>
              <w:szCs w:val="32"/>
              <w:highlight w:val="none"/>
              <w:lang w:val="en-US" w:eastAsia="zh-CN"/>
            </w:rPr>
            <w:t>类似项目业绩要求</w:t>
          </w:r>
          <w:r>
            <w:tab/>
          </w:r>
          <w:r>
            <w:fldChar w:fldCharType="begin"/>
          </w:r>
          <w:r>
            <w:instrText xml:space="preserve"> PAGEREF _Toc15178 \h </w:instrText>
          </w:r>
          <w:r>
            <w:fldChar w:fldCharType="separate"/>
          </w:r>
          <w:r>
            <w:t>3</w:t>
          </w:r>
          <w:r>
            <w:fldChar w:fldCharType="end"/>
          </w:r>
          <w:r>
            <w:rPr>
              <w:rFonts w:hint="eastAsia" w:ascii="仿宋" w:hAnsi="仿宋" w:eastAsia="仿宋" w:cs="仿宋"/>
              <w:color w:val="auto"/>
              <w:szCs w:val="32"/>
              <w:highlight w:val="none"/>
            </w:rPr>
            <w:fldChar w:fldCharType="end"/>
          </w:r>
        </w:p>
        <w:p>
          <w:pPr>
            <w:pStyle w:val="11"/>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_Toc14979 </w:instrText>
          </w:r>
          <w:r>
            <w:rPr>
              <w:rFonts w:hint="eastAsia" w:ascii="仿宋" w:hAnsi="仿宋" w:eastAsia="仿宋" w:cs="仿宋"/>
              <w:szCs w:val="32"/>
              <w:highlight w:val="none"/>
            </w:rPr>
            <w:fldChar w:fldCharType="separate"/>
          </w:r>
          <w:r>
            <w:rPr>
              <w:rFonts w:hint="eastAsia" w:ascii="黑体" w:hAnsi="黑体" w:eastAsia="黑体" w:cs="黑体"/>
              <w:szCs w:val="32"/>
              <w:lang w:val="en-US" w:eastAsia="zh-CN"/>
            </w:rPr>
            <w:t xml:space="preserve">四、 </w:t>
          </w:r>
          <w:r>
            <w:rPr>
              <w:rFonts w:hint="eastAsia" w:ascii="黑体" w:hAnsi="黑体" w:eastAsia="黑体" w:cs="黑体"/>
              <w:szCs w:val="32"/>
              <w:highlight w:val="none"/>
              <w:lang w:val="en-US" w:eastAsia="zh-CN"/>
            </w:rPr>
            <w:t>团队能力</w:t>
          </w:r>
          <w:r>
            <w:tab/>
          </w:r>
          <w:r>
            <w:fldChar w:fldCharType="begin"/>
          </w:r>
          <w:r>
            <w:instrText xml:space="preserve"> PAGEREF _Toc14979 \h </w:instrText>
          </w:r>
          <w:r>
            <w:fldChar w:fldCharType="separate"/>
          </w:r>
          <w:r>
            <w:t>3</w:t>
          </w:r>
          <w:r>
            <w:fldChar w:fldCharType="end"/>
          </w:r>
          <w:r>
            <w:rPr>
              <w:rFonts w:hint="eastAsia" w:ascii="仿宋" w:hAnsi="仿宋" w:eastAsia="仿宋" w:cs="仿宋"/>
              <w:color w:val="auto"/>
              <w:szCs w:val="32"/>
              <w:highlight w:val="none"/>
            </w:rPr>
            <w:fldChar w:fldCharType="end"/>
          </w:r>
        </w:p>
        <w:p>
          <w:pPr>
            <w:pStyle w:val="11"/>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_Toc12753 </w:instrText>
          </w:r>
          <w:r>
            <w:rPr>
              <w:rFonts w:hint="eastAsia" w:ascii="仿宋" w:hAnsi="仿宋" w:eastAsia="仿宋" w:cs="仿宋"/>
              <w:szCs w:val="32"/>
              <w:highlight w:val="none"/>
            </w:rPr>
            <w:fldChar w:fldCharType="separate"/>
          </w:r>
          <w:r>
            <w:rPr>
              <w:rFonts w:hint="eastAsia" w:ascii="黑体" w:hAnsi="黑体" w:eastAsia="黑体" w:cs="黑体"/>
              <w:szCs w:val="32"/>
              <w:lang w:val="en-US" w:eastAsia="zh-CN"/>
            </w:rPr>
            <w:t xml:space="preserve">五、 </w:t>
          </w:r>
          <w:r>
            <w:rPr>
              <w:rFonts w:hint="eastAsia" w:ascii="黑体" w:hAnsi="黑体" w:eastAsia="黑体" w:cs="黑体"/>
              <w:szCs w:val="32"/>
              <w:highlight w:val="none"/>
              <w:lang w:val="en-US" w:eastAsia="zh-CN"/>
            </w:rPr>
            <w:t>项目保证</w:t>
          </w:r>
          <w:r>
            <w:tab/>
          </w:r>
          <w:r>
            <w:fldChar w:fldCharType="begin"/>
          </w:r>
          <w:r>
            <w:instrText xml:space="preserve"> PAGEREF _Toc12753 \h </w:instrText>
          </w:r>
          <w:r>
            <w:fldChar w:fldCharType="separate"/>
          </w:r>
          <w:r>
            <w:t>4</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_Toc31085 </w:instrText>
          </w:r>
          <w:r>
            <w:rPr>
              <w:rFonts w:hint="eastAsia" w:ascii="仿宋" w:hAnsi="仿宋" w:eastAsia="仿宋" w:cs="仿宋"/>
              <w:szCs w:val="32"/>
              <w:highlight w:val="none"/>
            </w:rPr>
            <w:fldChar w:fldCharType="separate"/>
          </w:r>
          <w:r>
            <w:rPr>
              <w:rFonts w:hint="eastAsia"/>
              <w:highlight w:val="none"/>
              <w:lang w:val="en-US" w:eastAsia="zh-CN"/>
            </w:rPr>
            <w:t>（一）实施保证</w:t>
          </w:r>
          <w:r>
            <w:tab/>
          </w:r>
          <w:r>
            <w:fldChar w:fldCharType="begin"/>
          </w:r>
          <w:r>
            <w:instrText xml:space="preserve"> PAGEREF _Toc31085 \h </w:instrText>
          </w:r>
          <w:r>
            <w:fldChar w:fldCharType="separate"/>
          </w:r>
          <w:r>
            <w:t>4</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_Toc13490 </w:instrText>
          </w:r>
          <w:r>
            <w:rPr>
              <w:rFonts w:hint="eastAsia" w:ascii="仿宋" w:hAnsi="仿宋" w:eastAsia="仿宋" w:cs="仿宋"/>
              <w:szCs w:val="32"/>
              <w:highlight w:val="none"/>
            </w:rPr>
            <w:fldChar w:fldCharType="separate"/>
          </w:r>
          <w:r>
            <w:rPr>
              <w:rFonts w:hint="eastAsia" w:ascii="Arial" w:hAnsi="Arial"/>
              <w:highlight w:val="none"/>
              <w:lang w:val="en-US" w:eastAsia="zh-CN"/>
            </w:rPr>
            <w:t>（二）质量保证</w:t>
          </w:r>
          <w:r>
            <w:tab/>
          </w:r>
          <w:r>
            <w:fldChar w:fldCharType="begin"/>
          </w:r>
          <w:r>
            <w:instrText xml:space="preserve"> PAGEREF _Toc13490 \h </w:instrText>
          </w:r>
          <w:r>
            <w:fldChar w:fldCharType="separate"/>
          </w:r>
          <w:r>
            <w:t>5</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_Toc15491 </w:instrText>
          </w:r>
          <w:r>
            <w:rPr>
              <w:rFonts w:hint="eastAsia" w:ascii="仿宋" w:hAnsi="仿宋" w:eastAsia="仿宋" w:cs="仿宋"/>
              <w:szCs w:val="32"/>
              <w:highlight w:val="none"/>
            </w:rPr>
            <w:fldChar w:fldCharType="separate"/>
          </w:r>
          <w:r>
            <w:rPr>
              <w:rFonts w:hint="eastAsia"/>
              <w:highlight w:val="none"/>
              <w:lang w:val="en-US" w:eastAsia="zh-CN"/>
            </w:rPr>
            <w:t>（三）保密及知识产权保证</w:t>
          </w:r>
          <w:r>
            <w:tab/>
          </w:r>
          <w:r>
            <w:fldChar w:fldCharType="begin"/>
          </w:r>
          <w:r>
            <w:instrText xml:space="preserve"> PAGEREF _Toc15491 \h </w:instrText>
          </w:r>
          <w:r>
            <w:fldChar w:fldCharType="separate"/>
          </w:r>
          <w:r>
            <w:t>5</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_Toc26724 </w:instrText>
          </w:r>
          <w:r>
            <w:rPr>
              <w:rFonts w:hint="eastAsia" w:ascii="仿宋" w:hAnsi="仿宋" w:eastAsia="仿宋" w:cs="仿宋"/>
              <w:szCs w:val="32"/>
              <w:highlight w:val="none"/>
            </w:rPr>
            <w:fldChar w:fldCharType="separate"/>
          </w:r>
          <w:r>
            <w:rPr>
              <w:rFonts w:hint="eastAsia"/>
              <w:highlight w:val="none"/>
              <w:lang w:val="en-US" w:eastAsia="zh-CN"/>
            </w:rPr>
            <w:t>（四）培训保证</w:t>
          </w:r>
          <w:r>
            <w:tab/>
          </w:r>
          <w:r>
            <w:fldChar w:fldCharType="begin"/>
          </w:r>
          <w:r>
            <w:instrText xml:space="preserve"> PAGEREF _Toc26724 \h </w:instrText>
          </w:r>
          <w:r>
            <w:fldChar w:fldCharType="separate"/>
          </w:r>
          <w:r>
            <w:t>5</w:t>
          </w:r>
          <w:r>
            <w:fldChar w:fldCharType="end"/>
          </w:r>
          <w:r>
            <w:rPr>
              <w:rFonts w:hint="eastAsia" w:ascii="仿宋" w:hAnsi="仿宋" w:eastAsia="仿宋" w:cs="仿宋"/>
              <w:color w:val="auto"/>
              <w:szCs w:val="32"/>
              <w:highlight w:val="none"/>
            </w:rPr>
            <w:fldChar w:fldCharType="end"/>
          </w:r>
        </w:p>
        <w:p>
          <w:pPr>
            <w:pStyle w:val="12"/>
            <w:tabs>
              <w:tab w:val="right" w:leader="dot" w:pos="8336"/>
            </w:tabs>
          </w:pPr>
          <w:r>
            <w:rPr>
              <w:rFonts w:hint="eastAsia" w:ascii="仿宋" w:hAnsi="仿宋" w:eastAsia="仿宋" w:cs="仿宋"/>
              <w:color w:val="auto"/>
              <w:szCs w:val="32"/>
              <w:highlight w:val="none"/>
            </w:rPr>
            <w:fldChar w:fldCharType="begin"/>
          </w:r>
          <w:r>
            <w:rPr>
              <w:rFonts w:hint="eastAsia" w:ascii="仿宋" w:hAnsi="仿宋" w:eastAsia="仿宋" w:cs="仿宋"/>
              <w:szCs w:val="32"/>
              <w:highlight w:val="none"/>
            </w:rPr>
            <w:instrText xml:space="preserve"> HYPERLINK \l _Toc2609 </w:instrText>
          </w:r>
          <w:r>
            <w:rPr>
              <w:rFonts w:hint="eastAsia" w:ascii="仿宋" w:hAnsi="仿宋" w:eastAsia="仿宋" w:cs="仿宋"/>
              <w:szCs w:val="32"/>
              <w:highlight w:val="none"/>
            </w:rPr>
            <w:fldChar w:fldCharType="separate"/>
          </w:r>
          <w:r>
            <w:rPr>
              <w:rFonts w:hint="eastAsia"/>
              <w:highlight w:val="none"/>
              <w:lang w:val="en-US" w:eastAsia="zh-CN"/>
            </w:rPr>
            <w:t>（五）服务保证</w:t>
          </w:r>
          <w:r>
            <w:tab/>
          </w:r>
          <w:r>
            <w:fldChar w:fldCharType="begin"/>
          </w:r>
          <w:r>
            <w:instrText xml:space="preserve"> PAGEREF _Toc2609 \h </w:instrText>
          </w:r>
          <w:r>
            <w:fldChar w:fldCharType="separate"/>
          </w:r>
          <w:r>
            <w:t>6</w:t>
          </w:r>
          <w:r>
            <w:fldChar w:fldCharType="end"/>
          </w:r>
          <w:r>
            <w:rPr>
              <w:rFonts w:hint="eastAsia" w:ascii="仿宋" w:hAnsi="仿宋" w:eastAsia="仿宋" w:cs="仿宋"/>
              <w:color w:val="auto"/>
              <w:szCs w:val="32"/>
              <w:highlight w:val="none"/>
            </w:rPr>
            <w:fldChar w:fldCharType="end"/>
          </w:r>
        </w:p>
        <w:p>
          <w:pPr>
            <w:pStyle w:val="7"/>
            <w:ind w:left="0" w:leftChars="0" w:firstLine="0" w:firstLineChars="0"/>
            <w:rPr>
              <w:color w:val="auto"/>
              <w:highlight w:val="none"/>
            </w:rPr>
            <w:sectPr>
              <w:headerReference r:id="rId7" w:type="default"/>
              <w:footerReference r:id="rId8" w:type="default"/>
              <w:pgSz w:w="11906" w:h="16839"/>
              <w:pgMar w:top="400" w:right="1785" w:bottom="1152" w:left="1785" w:header="0" w:footer="987" w:gutter="0"/>
              <w:pgBorders>
                <w:top w:val="none" w:sz="0" w:space="0"/>
                <w:left w:val="none" w:sz="0" w:space="0"/>
                <w:bottom w:val="none" w:sz="0" w:space="0"/>
                <w:right w:val="none" w:sz="0" w:space="0"/>
              </w:pgBorders>
              <w:pgNumType w:fmt="decimal" w:start="1"/>
              <w:cols w:space="720" w:num="1"/>
            </w:sectPr>
          </w:pPr>
          <w:r>
            <w:rPr>
              <w:rFonts w:hint="eastAsia" w:ascii="仿宋" w:hAnsi="仿宋" w:eastAsia="仿宋" w:cs="仿宋"/>
              <w:color w:val="auto"/>
              <w:szCs w:val="32"/>
              <w:highlight w:val="none"/>
            </w:rPr>
            <w:fldChar w:fldCharType="end"/>
          </w:r>
        </w:p>
      </w:sdtContent>
    </w:sdt>
    <w:p>
      <w:pPr>
        <w:pStyle w:val="2"/>
        <w:bidi w:val="0"/>
        <w:rPr>
          <w:rFonts w:hint="eastAsia" w:ascii="黑体" w:hAnsi="黑体" w:eastAsia="黑体" w:cs="黑体"/>
          <w:color w:val="auto"/>
          <w:sz w:val="32"/>
          <w:szCs w:val="32"/>
          <w:highlight w:val="none"/>
        </w:rPr>
      </w:pPr>
      <w:bookmarkStart w:id="29" w:name="_Toc408936467"/>
      <w:r>
        <w:rPr>
          <w:rFonts w:hint="eastAsia" w:ascii="黑体" w:hAnsi="黑体" w:eastAsia="黑体" w:cs="黑体"/>
          <w:color w:val="auto"/>
          <w:sz w:val="32"/>
          <w:szCs w:val="32"/>
          <w:highlight w:val="none"/>
          <w:lang w:val="en-US" w:eastAsia="zh-CN"/>
        </w:rPr>
        <w:t xml:space="preserve"> </w:t>
      </w:r>
      <w:bookmarkStart w:id="30" w:name="_Toc31856"/>
      <w:r>
        <w:rPr>
          <w:rFonts w:hint="eastAsia" w:ascii="黑体" w:hAnsi="黑体" w:eastAsia="黑体" w:cs="黑体"/>
          <w:color w:val="auto"/>
          <w:sz w:val="32"/>
          <w:szCs w:val="32"/>
          <w:highlight w:val="none"/>
        </w:rPr>
        <w:t>项目</w:t>
      </w:r>
      <w:r>
        <w:rPr>
          <w:rFonts w:hint="eastAsia" w:ascii="黑体" w:hAnsi="黑体" w:eastAsia="黑体" w:cs="黑体"/>
          <w:color w:val="auto"/>
          <w:sz w:val="32"/>
          <w:szCs w:val="32"/>
          <w:highlight w:val="none"/>
          <w:lang w:val="en-US" w:eastAsia="zh-CN"/>
        </w:rPr>
        <w:t>背景</w:t>
      </w:r>
      <w:bookmarkEnd w:id="30"/>
    </w:p>
    <w:p>
      <w:pPr>
        <w:bidi w:val="0"/>
        <w:ind w:left="0" w:leftChars="0" w:firstLine="620" w:firstLineChars="200"/>
        <w:jc w:val="both"/>
        <w:rPr>
          <w:rFonts w:hint="eastAsia" w:ascii="仿宋" w:hAnsi="仿宋" w:cs="仿宋"/>
          <w:color w:val="auto"/>
          <w:highlight w:val="none"/>
          <w:lang w:val="en-US" w:eastAsia="zh-CN"/>
        </w:rPr>
      </w:pPr>
      <w:r>
        <w:rPr>
          <w:rFonts w:hint="eastAsia" w:ascii="仿宋" w:hAnsi="仿宋" w:cs="仿宋"/>
          <w:color w:val="auto"/>
          <w:highlight w:val="none"/>
          <w:lang w:val="en-US" w:eastAsia="zh-CN"/>
        </w:rPr>
        <w:t>为规范知识产权全生命周期管理，提升技术创新、成果转化与风险防控能力构建高效合规的管理体系，增强核心竞争力与市场竞争优势，助力企业高质量发展。现对知识产权管理体系再认证及年审认证服务实施采购。</w:t>
      </w:r>
    </w:p>
    <w:p>
      <w:pPr>
        <w:bidi w:val="0"/>
        <w:jc w:val="both"/>
        <w:rPr>
          <w:rFonts w:hint="eastAsia" w:ascii="仿宋" w:hAnsi="仿宋" w:cs="仿宋"/>
          <w:color w:val="auto"/>
          <w:highlight w:val="none"/>
          <w:lang w:val="en-US" w:eastAsia="zh-CN"/>
        </w:rPr>
      </w:pPr>
    </w:p>
    <w:bookmarkEnd w:id="29"/>
    <w:p>
      <w:pPr>
        <w:pStyle w:val="2"/>
        <w:bidi w:val="0"/>
        <w:rPr>
          <w:rFonts w:hint="eastAsia" w:ascii="黑体" w:hAnsi="黑体" w:eastAsia="黑体" w:cs="黑体"/>
          <w:color w:val="auto"/>
          <w:sz w:val="32"/>
          <w:szCs w:val="32"/>
          <w:highlight w:val="none"/>
          <w:lang w:val="en-US" w:eastAsia="zh-CN"/>
        </w:rPr>
      </w:pPr>
      <w:bookmarkStart w:id="31" w:name="_Toc27041"/>
      <w:r>
        <w:rPr>
          <w:rFonts w:hint="eastAsia" w:ascii="黑体" w:hAnsi="黑体" w:eastAsia="黑体" w:cs="黑体"/>
          <w:color w:val="auto"/>
          <w:sz w:val="32"/>
          <w:szCs w:val="32"/>
          <w:highlight w:val="none"/>
          <w:lang w:val="en-US" w:eastAsia="zh-CN"/>
        </w:rPr>
        <w:t>服务要求</w:t>
      </w:r>
      <w:bookmarkEnd w:id="31"/>
    </w:p>
    <w:p>
      <w:pPr>
        <w:pStyle w:val="3"/>
        <w:bidi w:val="0"/>
        <w:rPr>
          <w:rFonts w:hint="eastAsia"/>
          <w:color w:val="auto"/>
          <w:highlight w:val="none"/>
          <w:lang w:val="en-US" w:eastAsia="zh-CN"/>
        </w:rPr>
      </w:pPr>
      <w:bookmarkStart w:id="32" w:name="_Toc9999"/>
      <w:r>
        <w:rPr>
          <w:rFonts w:hint="eastAsia"/>
          <w:color w:val="auto"/>
          <w:highlight w:val="none"/>
          <w:lang w:val="en-US" w:eastAsia="zh-CN"/>
        </w:rPr>
        <w:t>（一）服务目标</w:t>
      </w:r>
      <w:bookmarkEnd w:id="32"/>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20" w:firstLineChars="200"/>
        <w:jc w:val="both"/>
        <w:textAlignment w:val="auto"/>
        <w:outlineLvl w:val="9"/>
        <w:rPr>
          <w:rFonts w:hint="eastAsia"/>
          <w:color w:val="auto"/>
          <w:highlight w:val="none"/>
          <w:lang w:val="en-US" w:eastAsia="zh-CN"/>
        </w:rPr>
      </w:pPr>
      <w:r>
        <w:rPr>
          <w:rFonts w:hint="eastAsia"/>
          <w:color w:val="auto"/>
          <w:highlight w:val="none"/>
          <w:lang w:val="en-US" w:eastAsia="zh-CN"/>
        </w:rPr>
        <w:t>基于采购人情况，协助采购人顺利完成知识产权管理体系再认证（2026年），并获得证书，完成资质有效期内的每年度监督检查及变更，维护和保障该资质证书的有效性。</w:t>
      </w:r>
    </w:p>
    <w:p>
      <w:pPr>
        <w:pStyle w:val="3"/>
        <w:numPr>
          <w:ilvl w:val="0"/>
          <w:numId w:val="3"/>
        </w:numPr>
        <w:bidi w:val="0"/>
        <w:rPr>
          <w:rFonts w:hint="eastAsia" w:ascii="Arial" w:hAnsi="Arial"/>
          <w:color w:val="auto"/>
          <w:highlight w:val="none"/>
          <w:lang w:val="en-US" w:eastAsia="zh-CN"/>
        </w:rPr>
      </w:pPr>
      <w:bookmarkStart w:id="33" w:name="_Toc17143"/>
      <w:r>
        <w:rPr>
          <w:rFonts w:hint="eastAsia" w:ascii="Arial" w:hAnsi="Arial"/>
          <w:color w:val="auto"/>
          <w:highlight w:val="none"/>
          <w:lang w:val="en-US" w:eastAsia="zh-CN"/>
        </w:rPr>
        <w:t>服务内容</w:t>
      </w:r>
      <w:bookmarkEnd w:id="33"/>
    </w:p>
    <w:p>
      <w:pPr>
        <w:numPr>
          <w:ilvl w:val="0"/>
          <w:numId w:val="4"/>
        </w:numPr>
        <w:bidi w:val="0"/>
        <w:ind w:left="0" w:leftChars="0" w:firstLine="620" w:firstLineChars="200"/>
        <w:rPr>
          <w:rFonts w:hint="eastAsia"/>
          <w:color w:val="auto"/>
          <w:highlight w:val="none"/>
          <w:lang w:val="en-US" w:eastAsia="zh-CN"/>
        </w:rPr>
      </w:pPr>
      <w:r>
        <w:rPr>
          <w:rFonts w:hint="eastAsia"/>
          <w:color w:val="auto"/>
          <w:highlight w:val="none"/>
          <w:lang w:val="en-US" w:eastAsia="zh-CN"/>
        </w:rPr>
        <w:t>再认证审核服务：在采购人知识产权管理体系认证证书（覆盖人数为</w:t>
      </w:r>
      <w:r>
        <w:rPr>
          <w:rFonts w:hint="eastAsia" w:ascii="仿宋" w:hAnsi="仿宋" w:eastAsia="仿宋" w:cs="仿宋"/>
          <w:color w:val="auto"/>
          <w:highlight w:val="none"/>
          <w:lang w:val="en-US" w:eastAsia="zh-CN"/>
        </w:rPr>
        <w:t>250</w:t>
      </w:r>
      <w:r>
        <w:rPr>
          <w:rFonts w:hint="eastAsia"/>
          <w:color w:val="auto"/>
          <w:highlight w:val="none"/>
          <w:lang w:val="en-US" w:eastAsia="zh-CN"/>
        </w:rPr>
        <w:t>人以内）有效期届满前，完成再认证全流程合格评定，发放证书，</w:t>
      </w:r>
      <w:r>
        <w:rPr>
          <w:rFonts w:hint="eastAsia"/>
          <w:color w:val="auto"/>
          <w:highlight w:val="none"/>
          <w:lang w:eastAsia="zh-CN"/>
        </w:rPr>
        <w:t>保障该资质证书的持续有效。</w:t>
      </w:r>
    </w:p>
    <w:p>
      <w:pPr>
        <w:numPr>
          <w:ilvl w:val="0"/>
          <w:numId w:val="4"/>
        </w:numPr>
        <w:bidi w:val="0"/>
        <w:ind w:left="0" w:leftChars="0" w:firstLine="620" w:firstLineChars="200"/>
        <w:rPr>
          <w:rFonts w:hint="eastAsia"/>
          <w:color w:val="auto"/>
          <w:highlight w:val="none"/>
          <w:lang w:val="en-US" w:eastAsia="zh-CN"/>
        </w:rPr>
      </w:pPr>
      <w:r>
        <w:rPr>
          <w:rFonts w:hint="eastAsia"/>
          <w:color w:val="auto"/>
          <w:highlight w:val="none"/>
          <w:lang w:val="en-US" w:eastAsia="zh-CN"/>
        </w:rPr>
        <w:t>年度监督审核服务：认证证书有效期内，按照政策规定及认证规则，按期开展各年度监督审核，确保采购人顺利通过年审，</w:t>
      </w:r>
      <w:r>
        <w:rPr>
          <w:rFonts w:hint="eastAsia"/>
          <w:color w:val="auto"/>
          <w:highlight w:val="none"/>
          <w:lang w:eastAsia="zh-CN"/>
        </w:rPr>
        <w:t>持续保障该资质证书依规存续、合规有效。</w:t>
      </w:r>
    </w:p>
    <w:p>
      <w:pPr>
        <w:numPr>
          <w:ilvl w:val="0"/>
          <w:numId w:val="4"/>
        </w:numPr>
        <w:bidi w:val="0"/>
        <w:ind w:left="0" w:leftChars="0" w:firstLine="620" w:firstLineChars="200"/>
        <w:rPr>
          <w:rFonts w:hint="eastAsia"/>
          <w:color w:val="auto"/>
          <w:highlight w:val="none"/>
          <w:lang w:val="en-US" w:eastAsia="zh-CN"/>
        </w:rPr>
      </w:pPr>
      <w:r>
        <w:rPr>
          <w:rFonts w:hint="eastAsia"/>
          <w:color w:val="auto"/>
          <w:highlight w:val="none"/>
          <w:lang w:val="en-US" w:eastAsia="zh-CN"/>
        </w:rPr>
        <w:t>证书维护：对审核通过的采购人，依法出具合规有效的知识产权管理体系认证证书，明确认证范围、有效期、认证依据等核心信息，规范核发认证标志，同时提供证书有效性公开查询渠道。服务期内，为采购人提供相关的事项变更和办理服务，维持证书在有效期内持续有效。</w:t>
      </w:r>
    </w:p>
    <w:p>
      <w:pPr>
        <w:bidi w:val="0"/>
        <w:ind w:left="0" w:leftChars="0" w:firstLine="620" w:firstLineChars="200"/>
        <w:rPr>
          <w:rFonts w:hint="eastAsia"/>
          <w:color w:val="auto"/>
          <w:highlight w:val="none"/>
        </w:rPr>
      </w:pPr>
      <w:r>
        <w:rPr>
          <w:rFonts w:hint="eastAsia"/>
          <w:color w:val="auto"/>
          <w:highlight w:val="none"/>
          <w:lang w:val="en-US" w:eastAsia="zh-CN"/>
        </w:rPr>
        <w:t>报价包含但不限于认证申请受理、现场审核、年度监督审核、证书出具、档案管理、认证人员服务费、差旅费、交通费、住宿费等认证全流程工作涉及内容、售后服务等所有费用</w:t>
      </w:r>
      <w:r>
        <w:rPr>
          <w:rFonts w:hint="eastAsia"/>
          <w:color w:val="auto"/>
          <w:highlight w:val="none"/>
        </w:rPr>
        <w:t>，</w:t>
      </w:r>
      <w:r>
        <w:rPr>
          <w:rFonts w:hint="eastAsia"/>
          <w:color w:val="auto"/>
          <w:highlight w:val="none"/>
          <w:lang w:eastAsia="zh-CN"/>
        </w:rPr>
        <w:t>采购人</w:t>
      </w:r>
      <w:r>
        <w:rPr>
          <w:rFonts w:hint="eastAsia"/>
          <w:color w:val="auto"/>
          <w:highlight w:val="none"/>
        </w:rPr>
        <w:t>不再额外支付其他费用</w:t>
      </w:r>
      <w:r>
        <w:rPr>
          <w:rFonts w:hint="eastAsia"/>
          <w:color w:val="auto"/>
          <w:highlight w:val="none"/>
          <w:lang w:eastAsia="zh-CN"/>
        </w:rPr>
        <w:t>。</w:t>
      </w:r>
    </w:p>
    <w:p>
      <w:pPr>
        <w:pStyle w:val="3"/>
        <w:numPr>
          <w:ilvl w:val="0"/>
          <w:numId w:val="3"/>
        </w:numPr>
        <w:bidi w:val="0"/>
        <w:ind w:left="0" w:leftChars="0" w:firstLine="643" w:firstLineChars="200"/>
        <w:rPr>
          <w:rFonts w:hint="eastAsia"/>
          <w:color w:val="auto"/>
          <w:highlight w:val="none"/>
          <w:lang w:val="en-US" w:eastAsia="zh-CN"/>
        </w:rPr>
      </w:pPr>
      <w:bookmarkStart w:id="34" w:name="_Toc2327"/>
      <w:r>
        <w:rPr>
          <w:rFonts w:hint="eastAsia"/>
          <w:color w:val="auto"/>
          <w:highlight w:val="none"/>
          <w:lang w:val="en-US" w:eastAsia="zh-CN"/>
        </w:rPr>
        <w:t>专用资格要求</w:t>
      </w:r>
      <w:bookmarkEnd w:id="34"/>
    </w:p>
    <w:p>
      <w:pPr>
        <w:bidi w:val="0"/>
        <w:ind w:left="0" w:leftChars="0" w:firstLine="620" w:firstLineChars="200"/>
        <w:rPr>
          <w:rFonts w:hint="default"/>
          <w:color w:val="auto"/>
          <w:highlight w:val="none"/>
          <w:lang w:val="en-US" w:eastAsia="zh-CN"/>
        </w:rPr>
      </w:pPr>
      <w:r>
        <w:rPr>
          <w:rFonts w:hint="default"/>
          <w:color w:val="auto"/>
          <w:highlight w:val="none"/>
          <w:lang w:val="en-US" w:eastAsia="zh-CN"/>
        </w:rPr>
        <w:t>具有中国国家认证认可监督管理委员会颁发的知识产权管理体系认证领域的《认证机构批准书》</w:t>
      </w:r>
      <w:r>
        <w:rPr>
          <w:rFonts w:hint="eastAsia"/>
          <w:color w:val="auto"/>
          <w:highlight w:val="none"/>
          <w:lang w:val="en-US" w:eastAsia="zh-CN"/>
        </w:rPr>
        <w:t>。【</w:t>
      </w:r>
      <w:r>
        <w:rPr>
          <w:rFonts w:hint="default"/>
          <w:color w:val="auto"/>
          <w:highlight w:val="none"/>
          <w:lang w:val="en-US" w:eastAsia="zh-CN"/>
        </w:rPr>
        <w:t>应提供有效期内的《认证机构批准书》</w:t>
      </w:r>
      <w:r>
        <w:rPr>
          <w:rFonts w:hint="eastAsia"/>
          <w:color w:val="auto"/>
          <w:highlight w:val="none"/>
          <w:lang w:val="en-US" w:eastAsia="zh-CN"/>
        </w:rPr>
        <w:t>扫描件</w:t>
      </w:r>
      <w:r>
        <w:rPr>
          <w:rFonts w:hint="default"/>
          <w:color w:val="auto"/>
          <w:highlight w:val="none"/>
          <w:lang w:val="en-US" w:eastAsia="zh-CN"/>
        </w:rPr>
        <w:t>及国家市场监督管理总局-全国认证认可信息公告服务平台（http://cx.cnca.cn）的从业机构名录查询截图。</w:t>
      </w:r>
      <w:r>
        <w:rPr>
          <w:rFonts w:hint="eastAsia"/>
          <w:color w:val="auto"/>
          <w:highlight w:val="none"/>
          <w:lang w:val="en-US" w:eastAsia="zh-CN"/>
        </w:rPr>
        <w:t>】</w:t>
      </w:r>
    </w:p>
    <w:p>
      <w:pPr>
        <w:pStyle w:val="3"/>
        <w:bidi w:val="0"/>
        <w:rPr>
          <w:rFonts w:hint="eastAsia" w:ascii="Arial" w:hAnsi="Arial"/>
          <w:color w:val="auto"/>
          <w:highlight w:val="none"/>
          <w:lang w:val="en-US" w:eastAsia="zh-CN"/>
        </w:rPr>
      </w:pPr>
      <w:bookmarkStart w:id="35" w:name="_Toc26081"/>
      <w:r>
        <w:rPr>
          <w:rFonts w:hint="eastAsia"/>
          <w:color w:val="auto"/>
          <w:highlight w:val="none"/>
          <w:lang w:val="en-US" w:eastAsia="zh-CN"/>
        </w:rPr>
        <w:t>（四）</w:t>
      </w:r>
      <w:r>
        <w:rPr>
          <w:rFonts w:hint="eastAsia" w:ascii="Arial" w:hAnsi="Arial"/>
          <w:color w:val="auto"/>
          <w:highlight w:val="none"/>
          <w:lang w:val="en-US" w:eastAsia="zh-CN"/>
        </w:rPr>
        <w:t>技术指标要求</w:t>
      </w:r>
      <w:bookmarkEnd w:id="35"/>
    </w:p>
    <w:p>
      <w:pPr>
        <w:bidi w:val="0"/>
        <w:ind w:left="0" w:leftChars="0" w:firstLine="620" w:firstLineChars="200"/>
        <w:rPr>
          <w:rFonts w:hint="eastAsia" w:ascii="仿宋" w:hAnsi="仿宋" w:cs="仿宋"/>
          <w:color w:val="auto"/>
          <w:highlight w:val="none"/>
          <w:lang w:val="en-US" w:eastAsia="zh-CN"/>
        </w:rPr>
      </w:pPr>
      <w:r>
        <w:rPr>
          <w:rFonts w:hint="eastAsia" w:ascii="仿宋" w:hAnsi="仿宋" w:eastAsia="仿宋" w:cs="仿宋"/>
          <w:color w:val="auto"/>
          <w:highlight w:val="none"/>
          <w:lang w:val="en-US" w:eastAsia="zh-CN"/>
        </w:rPr>
        <w:t>满足</w:t>
      </w:r>
      <w:r>
        <w:rPr>
          <w:rFonts w:hint="eastAsia" w:ascii="仿宋" w:hAnsi="仿宋" w:cs="仿宋"/>
          <w:color w:val="auto"/>
          <w:highlight w:val="none"/>
          <w:lang w:val="en-US" w:eastAsia="zh-CN"/>
        </w:rPr>
        <w:t>知识产权管理体系认证的最新国家标准要求。</w:t>
      </w:r>
    </w:p>
    <w:p>
      <w:pPr>
        <w:pStyle w:val="3"/>
        <w:bidi w:val="0"/>
        <w:rPr>
          <w:rFonts w:hint="default" w:ascii="Arial" w:hAnsi="Arial"/>
          <w:color w:val="auto"/>
          <w:highlight w:val="none"/>
          <w:lang w:val="en-US" w:eastAsia="zh-CN"/>
        </w:rPr>
      </w:pPr>
      <w:bookmarkStart w:id="36" w:name="_Toc3062"/>
      <w:r>
        <w:rPr>
          <w:rFonts w:hint="default" w:ascii="Arial" w:hAnsi="Arial"/>
          <w:color w:val="auto"/>
          <w:highlight w:val="none"/>
          <w:lang w:val="en-US" w:eastAsia="zh-CN"/>
        </w:rPr>
        <w:t>（</w:t>
      </w:r>
      <w:r>
        <w:rPr>
          <w:rFonts w:hint="eastAsia"/>
          <w:color w:val="auto"/>
          <w:highlight w:val="none"/>
          <w:lang w:val="en-US" w:eastAsia="zh-CN"/>
        </w:rPr>
        <w:t>五</w:t>
      </w:r>
      <w:r>
        <w:rPr>
          <w:rFonts w:hint="default" w:ascii="Arial" w:hAnsi="Arial"/>
          <w:color w:val="auto"/>
          <w:highlight w:val="none"/>
          <w:lang w:val="en-US" w:eastAsia="zh-CN"/>
        </w:rPr>
        <w:t>）项目实施地点</w:t>
      </w:r>
      <w:bookmarkEnd w:id="36"/>
    </w:p>
    <w:p>
      <w:pPr>
        <w:bidi w:val="0"/>
        <w:ind w:left="0" w:leftChars="0" w:firstLine="620" w:firstLineChars="200"/>
        <w:rPr>
          <w:rFonts w:hint="default" w:ascii="仿宋" w:hAnsi="仿宋" w:cs="仿宋"/>
          <w:color w:val="auto"/>
          <w:highlight w:val="none"/>
          <w:lang w:val="en-US" w:eastAsia="zh-CN"/>
        </w:rPr>
      </w:pPr>
      <w:r>
        <w:rPr>
          <w:rFonts w:hint="default" w:ascii="仿宋" w:hAnsi="仿宋" w:cs="仿宋"/>
          <w:color w:val="auto"/>
          <w:highlight w:val="none"/>
          <w:lang w:val="en-US" w:eastAsia="zh-CN"/>
        </w:rPr>
        <w:t>广东省广州市。</w:t>
      </w:r>
    </w:p>
    <w:p>
      <w:pPr>
        <w:pStyle w:val="3"/>
        <w:bidi w:val="0"/>
        <w:rPr>
          <w:rFonts w:hint="eastAsia" w:ascii="Arial" w:hAnsi="Arial"/>
          <w:color w:val="auto"/>
          <w:highlight w:val="none"/>
          <w:lang w:val="en-US" w:eastAsia="zh-CN"/>
        </w:rPr>
      </w:pPr>
      <w:bookmarkStart w:id="37" w:name="_Toc18063"/>
      <w:r>
        <w:rPr>
          <w:rFonts w:hint="eastAsia" w:ascii="Arial" w:hAnsi="Arial"/>
          <w:color w:val="auto"/>
          <w:highlight w:val="none"/>
          <w:lang w:val="en-US" w:eastAsia="zh-CN"/>
        </w:rPr>
        <w:t>（</w:t>
      </w:r>
      <w:r>
        <w:rPr>
          <w:rFonts w:hint="eastAsia"/>
          <w:color w:val="auto"/>
          <w:highlight w:val="none"/>
          <w:lang w:val="en-US" w:eastAsia="zh-CN"/>
        </w:rPr>
        <w:t>六</w:t>
      </w:r>
      <w:r>
        <w:rPr>
          <w:rFonts w:hint="eastAsia" w:ascii="Arial" w:hAnsi="Arial"/>
          <w:color w:val="auto"/>
          <w:highlight w:val="none"/>
          <w:lang w:val="en-US" w:eastAsia="zh-CN"/>
        </w:rPr>
        <w:t>）交付物及时间要求</w:t>
      </w:r>
      <w:bookmarkEnd w:id="37"/>
    </w:p>
    <w:p>
      <w:pPr>
        <w:numPr>
          <w:ilvl w:val="0"/>
          <w:numId w:val="0"/>
        </w:numPr>
        <w:tabs>
          <w:tab w:val="left" w:pos="1240"/>
        </w:tabs>
        <w:spacing w:beforeLines="0" w:afterLines="0"/>
        <w:ind w:leftChars="100" w:firstLine="310" w:firstLineChars="100"/>
        <w:rPr>
          <w:rFonts w:hint="eastAsia" w:ascii="仿宋" w:hAnsi="仿宋" w:cs="仿宋"/>
          <w:color w:val="auto"/>
          <w:highlight w:val="none"/>
          <w:u w:val="single"/>
          <w:lang w:val="en-US" w:eastAsia="zh-CN"/>
        </w:rPr>
      </w:pPr>
      <w:r>
        <w:rPr>
          <w:rFonts w:hint="eastAsia" w:ascii="仿宋" w:hAnsi="仿宋" w:cs="仿宋"/>
          <w:color w:val="auto"/>
          <w:highlight w:val="none"/>
          <w:u w:val="single"/>
          <w:lang w:val="en-US" w:eastAsia="zh-CN"/>
        </w:rPr>
        <w:t>1、2026年10月30日前，完成知识产权管理体系再认证现场审核及资质取证工作。交付物： 知识产权管理体系评审资料（2026年）一套，审核报告1份及全国认证认可信息公共服务平台（http://cx.cnca.cn）认证通过截图1份，知识产权管理体系认证证书纸质版一份。交付地点：广州市。</w:t>
      </w:r>
    </w:p>
    <w:p>
      <w:pPr>
        <w:numPr>
          <w:ilvl w:val="0"/>
          <w:numId w:val="0"/>
        </w:numPr>
        <w:tabs>
          <w:tab w:val="left" w:pos="1240"/>
        </w:tabs>
        <w:spacing w:beforeLines="0" w:afterLines="0"/>
        <w:ind w:leftChars="100" w:firstLine="310" w:firstLineChars="100"/>
        <w:rPr>
          <w:rFonts w:hint="eastAsia" w:ascii="仿宋" w:hAnsi="仿宋" w:cs="仿宋"/>
          <w:color w:val="auto"/>
          <w:highlight w:val="none"/>
          <w:u w:val="single"/>
          <w:lang w:val="en-US" w:eastAsia="zh-CN"/>
        </w:rPr>
      </w:pPr>
      <w:r>
        <w:rPr>
          <w:rFonts w:hint="eastAsia" w:ascii="仿宋" w:hAnsi="仿宋" w:cs="仿宋"/>
          <w:color w:val="auto"/>
          <w:highlight w:val="none"/>
          <w:u w:val="single"/>
          <w:lang w:val="en-US" w:eastAsia="zh-CN"/>
        </w:rPr>
        <w:t>3、2027年10月15日前，完成交付物： 知识产权管理体系认证评审资料一套（2027年），审核报告1份及全国认证认可信息公共服务平台（http://cx.cnca.cn）年审通过截图1份，交付地点：广州市。</w:t>
      </w:r>
    </w:p>
    <w:p>
      <w:pPr>
        <w:numPr>
          <w:ilvl w:val="0"/>
          <w:numId w:val="0"/>
        </w:numPr>
        <w:tabs>
          <w:tab w:val="left" w:pos="1240"/>
        </w:tabs>
        <w:spacing w:beforeLines="0" w:afterLines="0"/>
        <w:ind w:leftChars="100" w:firstLine="310" w:firstLineChars="100"/>
        <w:rPr>
          <w:rFonts w:hint="eastAsia" w:ascii="仿宋" w:hAnsi="仿宋" w:cs="仿宋"/>
          <w:color w:val="auto"/>
          <w:highlight w:val="none"/>
          <w:u w:val="single"/>
          <w:lang w:val="en-US" w:eastAsia="zh-CN"/>
        </w:rPr>
      </w:pPr>
      <w:r>
        <w:rPr>
          <w:rFonts w:hint="eastAsia" w:ascii="仿宋" w:hAnsi="仿宋" w:cs="仿宋"/>
          <w:color w:val="auto"/>
          <w:highlight w:val="none"/>
          <w:u w:val="single"/>
          <w:lang w:val="en-US" w:eastAsia="zh-CN"/>
        </w:rPr>
        <w:t>4、2028年10月15日前，完成交付物： 知识产权管理体系认证评审资料一套（2028年），审核报告1份及全国认证认可信息公共服务平台（http://cx.cnca.cn）年审通过截图1份，交付地点：广州市。</w:t>
      </w:r>
    </w:p>
    <w:p>
      <w:pPr>
        <w:pStyle w:val="3"/>
        <w:bidi w:val="0"/>
        <w:rPr>
          <w:rFonts w:hint="eastAsia" w:ascii="Arial" w:hAnsi="Arial"/>
          <w:color w:val="auto"/>
          <w:highlight w:val="none"/>
          <w:lang w:val="en-US" w:eastAsia="zh-CN"/>
        </w:rPr>
      </w:pPr>
      <w:bookmarkStart w:id="38" w:name="_Toc10668"/>
      <w:r>
        <w:rPr>
          <w:rFonts w:hint="eastAsia" w:ascii="Arial" w:hAnsi="Arial"/>
          <w:color w:val="auto"/>
          <w:highlight w:val="none"/>
          <w:lang w:val="en-US" w:eastAsia="zh-CN"/>
        </w:rPr>
        <w:t>（</w:t>
      </w:r>
      <w:r>
        <w:rPr>
          <w:rFonts w:hint="eastAsia"/>
          <w:color w:val="auto"/>
          <w:highlight w:val="none"/>
          <w:lang w:val="en-US" w:eastAsia="zh-CN"/>
        </w:rPr>
        <w:t>七</w:t>
      </w:r>
      <w:r>
        <w:rPr>
          <w:rFonts w:hint="eastAsia" w:ascii="Arial" w:hAnsi="Arial"/>
          <w:color w:val="auto"/>
          <w:highlight w:val="none"/>
          <w:lang w:val="en-US" w:eastAsia="zh-CN"/>
        </w:rPr>
        <w:t>）其它要求</w:t>
      </w:r>
      <w:bookmarkEnd w:id="38"/>
    </w:p>
    <w:p>
      <w:pPr>
        <w:bidi w:val="0"/>
        <w:ind w:left="0" w:leftChars="0" w:firstLine="620" w:firstLineChars="200"/>
        <w:rPr>
          <w:rFonts w:hint="eastAsia"/>
          <w:color w:val="auto"/>
          <w:highlight w:val="none"/>
          <w:lang w:val="en-US" w:eastAsia="zh-CN"/>
        </w:rPr>
      </w:pPr>
      <w:r>
        <w:rPr>
          <w:rFonts w:hint="eastAsia"/>
          <w:color w:val="auto"/>
          <w:highlight w:val="none"/>
          <w:lang w:val="en-US" w:eastAsia="zh-CN"/>
        </w:rPr>
        <w:t>供应商针对本章节提出的要求提供详细服务工作方案进行应答描述，方案中需包含（但不限于）以下章节：总体服务思路、服务目标及重点、详细服务内容、服务工作计划、预期成果及交付物。</w:t>
      </w:r>
    </w:p>
    <w:p>
      <w:pPr>
        <w:pStyle w:val="2"/>
        <w:bidi w:val="0"/>
        <w:rPr>
          <w:rFonts w:hint="eastAsia" w:ascii="黑体" w:hAnsi="黑体" w:eastAsia="黑体" w:cs="黑体"/>
          <w:color w:val="auto"/>
          <w:sz w:val="32"/>
          <w:szCs w:val="32"/>
          <w:highlight w:val="none"/>
          <w:lang w:val="en-US" w:eastAsia="zh-CN"/>
        </w:rPr>
      </w:pPr>
      <w:bookmarkStart w:id="39" w:name="_Toc15178"/>
      <w:r>
        <w:rPr>
          <w:rFonts w:hint="eastAsia" w:ascii="黑体" w:hAnsi="黑体" w:eastAsia="黑体" w:cs="黑体"/>
          <w:color w:val="auto"/>
          <w:sz w:val="32"/>
          <w:szCs w:val="32"/>
          <w:highlight w:val="none"/>
          <w:lang w:val="en-US" w:eastAsia="zh-CN"/>
        </w:rPr>
        <w:t>类似项目业绩要求</w:t>
      </w:r>
      <w:bookmarkEnd w:id="39"/>
    </w:p>
    <w:p>
      <w:pPr>
        <w:bidi w:val="0"/>
        <w:ind w:left="0" w:leftChars="0" w:firstLine="620" w:firstLineChars="200"/>
        <w:rPr>
          <w:rFonts w:hint="eastAsia" w:ascii="仿宋" w:hAnsi="仿宋" w:cs="仿宋"/>
          <w:color w:val="auto"/>
          <w:highlight w:val="none"/>
          <w:u w:val="none"/>
          <w:lang w:val="en-US" w:eastAsia="zh-CN"/>
        </w:rPr>
      </w:pPr>
      <w:r>
        <w:rPr>
          <w:rFonts w:hint="eastAsia" w:ascii="仿宋" w:hAnsi="仿宋" w:cs="仿宋"/>
          <w:color w:val="auto"/>
          <w:highlight w:val="none"/>
          <w:u w:val="none"/>
          <w:lang w:val="en-US" w:eastAsia="zh-CN"/>
        </w:rPr>
        <w:t>供应商须提供2023年至今至少5个知识产权管理体系认证服务项目业绩</w:t>
      </w:r>
      <w:r>
        <w:rPr>
          <w:rFonts w:hint="eastAsia" w:ascii="仿宋" w:hAnsi="仿宋" w:cs="仿宋"/>
          <w:color w:val="auto"/>
          <w:highlight w:val="none"/>
          <w:u w:val="none"/>
          <w:lang w:eastAsia="zh-CN"/>
        </w:rPr>
        <w:t>（</w:t>
      </w:r>
      <w:r>
        <w:rPr>
          <w:rFonts w:hint="eastAsia" w:ascii="仿宋" w:hAnsi="仿宋" w:cs="仿宋"/>
          <w:color w:val="auto"/>
          <w:highlight w:val="none"/>
          <w:u w:val="none"/>
          <w:lang w:val="en-US" w:eastAsia="zh-CN"/>
        </w:rPr>
        <w:t>提供</w:t>
      </w:r>
      <w:r>
        <w:rPr>
          <w:rFonts w:hint="eastAsia" w:ascii="仿宋" w:hAnsi="仿宋" w:cs="仿宋"/>
          <w:color w:val="auto"/>
          <w:highlight w:val="none"/>
          <w:u w:val="none"/>
          <w:lang w:eastAsia="zh-CN"/>
        </w:rPr>
        <w:t>合同证明文件：关键页内容包括但不限于合同名称、合同双方、合同金额、服务内容、签字盖章）。</w:t>
      </w:r>
    </w:p>
    <w:p>
      <w:pPr>
        <w:pStyle w:val="2"/>
        <w:bidi w:val="0"/>
        <w:rPr>
          <w:rFonts w:hint="eastAsia" w:ascii="黑体" w:hAnsi="黑体" w:eastAsia="黑体" w:cs="黑体"/>
          <w:color w:val="auto"/>
          <w:sz w:val="32"/>
          <w:szCs w:val="32"/>
          <w:highlight w:val="none"/>
          <w:lang w:val="en-US" w:eastAsia="zh-CN"/>
        </w:rPr>
      </w:pPr>
      <w:bookmarkStart w:id="40" w:name="_Toc14979"/>
      <w:r>
        <w:rPr>
          <w:rFonts w:hint="eastAsia" w:ascii="黑体" w:hAnsi="黑体" w:eastAsia="黑体" w:cs="黑体"/>
          <w:color w:val="auto"/>
          <w:sz w:val="32"/>
          <w:szCs w:val="32"/>
          <w:highlight w:val="none"/>
          <w:lang w:val="en-US" w:eastAsia="zh-CN"/>
        </w:rPr>
        <w:t>团队能力</w:t>
      </w:r>
      <w:bookmarkEnd w:id="40"/>
    </w:p>
    <w:p>
      <w:pPr>
        <w:bidi w:val="0"/>
        <w:ind w:left="0" w:leftChars="0" w:firstLine="620" w:firstLineChars="200"/>
        <w:rPr>
          <w:rFonts w:hint="eastAsia" w:ascii="仿宋" w:hAnsi="仿宋" w:cs="仿宋"/>
          <w:color w:val="auto"/>
          <w:highlight w:val="none"/>
          <w:u w:val="none"/>
          <w:lang w:val="en-US" w:eastAsia="zh-CN"/>
        </w:rPr>
      </w:pPr>
      <w:r>
        <w:rPr>
          <w:rFonts w:hint="eastAsia" w:ascii="仿宋" w:hAnsi="仿宋" w:cs="仿宋"/>
          <w:color w:val="auto"/>
          <w:highlight w:val="none"/>
          <w:u w:val="none"/>
          <w:lang w:val="en-US" w:eastAsia="zh-CN"/>
        </w:rPr>
        <w:t>项目团队组成、负责人及项目组成员具体要求如下，供应商应提供本单位项目团队所有人员有关介绍及证明材料，证明材料包括但不限于人员的身份证明、社保证明、教育背景相关证明材料、参与项目履历及职业资质等：</w:t>
      </w:r>
    </w:p>
    <w:tbl>
      <w:tblPr>
        <w:tblStyle w:val="17"/>
        <w:tblW w:w="99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7"/>
        <w:gridCol w:w="1097"/>
        <w:gridCol w:w="791"/>
        <w:gridCol w:w="1256"/>
        <w:gridCol w:w="3509"/>
        <w:gridCol w:w="26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jc w:val="center"/>
        </w:trPr>
        <w:tc>
          <w:tcPr>
            <w:tcW w:w="677" w:type="dxa"/>
            <w:shd w:val="clear" w:color="auto" w:fill="D7D7D7" w:themeFill="background1" w:themeFillShade="D8"/>
            <w:vAlign w:val="center"/>
          </w:tcPr>
          <w:p>
            <w:pPr>
              <w:pStyle w:val="18"/>
              <w:spacing w:line="240" w:lineRule="auto"/>
              <w:ind w:left="0" w:leftChars="0" w:right="0" w:rightChars="0" w:firstLine="0" w:firstLineChars="0"/>
              <w:jc w:val="center"/>
              <w:rPr>
                <w:color w:val="auto"/>
                <w:highlight w:val="none"/>
              </w:rPr>
            </w:pPr>
            <w:r>
              <w:rPr>
                <w:b/>
                <w:bCs/>
                <w:color w:val="auto"/>
                <w:spacing w:val="-11"/>
                <w:highlight w:val="none"/>
              </w:rPr>
              <w:t>序号</w:t>
            </w:r>
          </w:p>
        </w:tc>
        <w:tc>
          <w:tcPr>
            <w:tcW w:w="1097" w:type="dxa"/>
            <w:shd w:val="clear" w:color="auto" w:fill="D7D7D7" w:themeFill="background1" w:themeFillShade="D8"/>
            <w:vAlign w:val="center"/>
          </w:tcPr>
          <w:p>
            <w:pPr>
              <w:pStyle w:val="18"/>
              <w:spacing w:line="240" w:lineRule="auto"/>
              <w:ind w:left="0" w:leftChars="0" w:right="0" w:rightChars="0" w:firstLine="0" w:firstLineChars="0"/>
              <w:jc w:val="center"/>
              <w:rPr>
                <w:color w:val="auto"/>
                <w:highlight w:val="none"/>
              </w:rPr>
            </w:pPr>
            <w:r>
              <w:rPr>
                <w:b/>
                <w:bCs/>
                <w:color w:val="auto"/>
                <w:spacing w:val="-16"/>
                <w:highlight w:val="none"/>
              </w:rPr>
              <w:t>团队角</w:t>
            </w:r>
            <w:r>
              <w:rPr>
                <w:b/>
                <w:bCs/>
                <w:color w:val="auto"/>
                <w:spacing w:val="-3"/>
                <w:highlight w:val="none"/>
              </w:rPr>
              <w:t>色</w:t>
            </w:r>
          </w:p>
        </w:tc>
        <w:tc>
          <w:tcPr>
            <w:tcW w:w="791" w:type="dxa"/>
            <w:shd w:val="clear" w:color="auto" w:fill="D7D7D7" w:themeFill="background1" w:themeFillShade="D8"/>
            <w:vAlign w:val="center"/>
          </w:tcPr>
          <w:p>
            <w:pPr>
              <w:pStyle w:val="18"/>
              <w:spacing w:line="240" w:lineRule="auto"/>
              <w:ind w:left="0" w:leftChars="0" w:right="0" w:rightChars="0" w:firstLine="0" w:firstLineChars="0"/>
              <w:jc w:val="center"/>
              <w:rPr>
                <w:color w:val="auto"/>
                <w:highlight w:val="none"/>
              </w:rPr>
            </w:pPr>
            <w:r>
              <w:rPr>
                <w:b/>
                <w:bCs/>
                <w:color w:val="auto"/>
                <w:spacing w:val="-13"/>
                <w:highlight w:val="none"/>
              </w:rPr>
              <w:t>人数</w:t>
            </w:r>
          </w:p>
        </w:tc>
        <w:tc>
          <w:tcPr>
            <w:tcW w:w="1256" w:type="dxa"/>
            <w:shd w:val="clear" w:color="auto" w:fill="D7D7D7" w:themeFill="background1" w:themeFillShade="D8"/>
            <w:vAlign w:val="center"/>
          </w:tcPr>
          <w:p>
            <w:pPr>
              <w:pStyle w:val="18"/>
              <w:spacing w:line="240" w:lineRule="auto"/>
              <w:ind w:left="0" w:leftChars="0" w:right="0" w:rightChars="0" w:firstLine="0" w:firstLineChars="0"/>
              <w:jc w:val="center"/>
              <w:rPr>
                <w:color w:val="auto"/>
                <w:highlight w:val="none"/>
              </w:rPr>
            </w:pPr>
            <w:r>
              <w:rPr>
                <w:b/>
                <w:bCs/>
                <w:color w:val="auto"/>
                <w:spacing w:val="-6"/>
                <w:highlight w:val="none"/>
              </w:rPr>
              <w:t>教育背景</w:t>
            </w:r>
          </w:p>
        </w:tc>
        <w:tc>
          <w:tcPr>
            <w:tcW w:w="3509" w:type="dxa"/>
            <w:shd w:val="clear" w:color="auto" w:fill="D7D7D7" w:themeFill="background1" w:themeFillShade="D8"/>
            <w:vAlign w:val="center"/>
          </w:tcPr>
          <w:p>
            <w:pPr>
              <w:pStyle w:val="18"/>
              <w:spacing w:line="240" w:lineRule="auto"/>
              <w:ind w:left="0" w:leftChars="0" w:right="0" w:rightChars="0" w:firstLine="0" w:firstLineChars="0"/>
              <w:jc w:val="center"/>
              <w:rPr>
                <w:color w:val="auto"/>
                <w:highlight w:val="none"/>
              </w:rPr>
            </w:pPr>
            <w:r>
              <w:rPr>
                <w:b/>
                <w:bCs/>
                <w:color w:val="auto"/>
                <w:spacing w:val="-6"/>
                <w:highlight w:val="none"/>
              </w:rPr>
              <w:t>经验要求</w:t>
            </w:r>
          </w:p>
        </w:tc>
        <w:tc>
          <w:tcPr>
            <w:tcW w:w="2600" w:type="dxa"/>
            <w:shd w:val="clear" w:color="auto" w:fill="D7D7D7" w:themeFill="background1" w:themeFillShade="D8"/>
            <w:vAlign w:val="center"/>
          </w:tcPr>
          <w:p>
            <w:pPr>
              <w:pStyle w:val="18"/>
              <w:spacing w:line="240" w:lineRule="auto"/>
              <w:ind w:left="0" w:leftChars="0" w:right="0" w:rightChars="0" w:firstLine="0" w:firstLineChars="0"/>
              <w:jc w:val="center"/>
              <w:rPr>
                <w:color w:val="auto"/>
                <w:highlight w:val="none"/>
              </w:rPr>
            </w:pPr>
            <w:r>
              <w:rPr>
                <w:b/>
                <w:bCs/>
                <w:color w:val="auto"/>
                <w:spacing w:val="-9"/>
                <w:highlight w:val="none"/>
              </w:rPr>
              <w:t>资质要求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5" w:hRule="atLeast"/>
          <w:jc w:val="center"/>
        </w:trPr>
        <w:tc>
          <w:tcPr>
            <w:tcW w:w="677" w:type="dxa"/>
            <w:vAlign w:val="top"/>
          </w:tcPr>
          <w:p>
            <w:pPr>
              <w:spacing w:line="353" w:lineRule="auto"/>
              <w:ind w:left="0" w:leftChars="0" w:right="0" w:rightChars="0" w:firstLine="0" w:firstLineChars="0"/>
              <w:jc w:val="center"/>
              <w:rPr>
                <w:rFonts w:ascii="Arial"/>
                <w:color w:val="auto"/>
                <w:sz w:val="21"/>
                <w:highlight w:val="none"/>
              </w:rPr>
            </w:pPr>
          </w:p>
          <w:p>
            <w:pPr>
              <w:spacing w:line="354" w:lineRule="auto"/>
              <w:ind w:left="0" w:leftChars="0" w:right="0" w:rightChars="0" w:firstLine="0" w:firstLineChars="0"/>
              <w:jc w:val="center"/>
              <w:rPr>
                <w:rFonts w:ascii="Arial"/>
                <w:color w:val="auto"/>
                <w:sz w:val="21"/>
                <w:highlight w:val="none"/>
              </w:rPr>
            </w:pPr>
          </w:p>
          <w:p>
            <w:pPr>
              <w:pStyle w:val="18"/>
              <w:spacing w:before="78" w:line="181" w:lineRule="auto"/>
              <w:ind w:left="0" w:leftChars="0" w:right="0" w:rightChars="0" w:firstLine="0" w:firstLineChars="0"/>
              <w:jc w:val="center"/>
              <w:rPr>
                <w:color w:val="auto"/>
                <w:highlight w:val="none"/>
              </w:rPr>
            </w:pPr>
            <w:r>
              <w:rPr>
                <w:color w:val="auto"/>
                <w:highlight w:val="none"/>
              </w:rPr>
              <w:t>1</w:t>
            </w:r>
          </w:p>
        </w:tc>
        <w:tc>
          <w:tcPr>
            <w:tcW w:w="1097" w:type="dxa"/>
            <w:vAlign w:val="top"/>
          </w:tcPr>
          <w:p>
            <w:pPr>
              <w:spacing w:line="255" w:lineRule="auto"/>
              <w:ind w:left="0" w:leftChars="0" w:right="0" w:rightChars="0" w:firstLine="0" w:firstLineChars="0"/>
              <w:jc w:val="center"/>
              <w:rPr>
                <w:rFonts w:ascii="Arial"/>
                <w:color w:val="auto"/>
                <w:sz w:val="21"/>
                <w:highlight w:val="none"/>
              </w:rPr>
            </w:pPr>
          </w:p>
          <w:p>
            <w:pPr>
              <w:spacing w:line="256" w:lineRule="auto"/>
              <w:ind w:left="0" w:leftChars="0" w:right="0" w:rightChars="0" w:firstLine="0" w:firstLineChars="0"/>
              <w:jc w:val="center"/>
              <w:rPr>
                <w:rFonts w:ascii="Arial"/>
                <w:color w:val="auto"/>
                <w:sz w:val="21"/>
                <w:highlight w:val="none"/>
              </w:rPr>
            </w:pPr>
          </w:p>
          <w:p>
            <w:pPr>
              <w:pStyle w:val="18"/>
              <w:spacing w:before="78" w:line="233" w:lineRule="auto"/>
              <w:ind w:left="0" w:leftChars="0" w:right="0" w:rightChars="0" w:firstLine="0" w:firstLineChars="0"/>
              <w:jc w:val="center"/>
              <w:rPr>
                <w:color w:val="auto"/>
                <w:highlight w:val="none"/>
              </w:rPr>
            </w:pPr>
            <w:r>
              <w:rPr>
                <w:color w:val="auto"/>
                <w:spacing w:val="-6"/>
                <w:highlight w:val="none"/>
              </w:rPr>
              <w:t>项目负</w:t>
            </w:r>
            <w:r>
              <w:rPr>
                <w:color w:val="auto"/>
                <w:spacing w:val="-9"/>
                <w:highlight w:val="none"/>
              </w:rPr>
              <w:t>责人</w:t>
            </w:r>
          </w:p>
        </w:tc>
        <w:tc>
          <w:tcPr>
            <w:tcW w:w="791" w:type="dxa"/>
            <w:vAlign w:val="top"/>
          </w:tcPr>
          <w:p>
            <w:pPr>
              <w:spacing w:line="333" w:lineRule="auto"/>
              <w:ind w:left="0" w:leftChars="0" w:right="0" w:rightChars="0" w:firstLine="0" w:firstLineChars="0"/>
              <w:jc w:val="center"/>
              <w:rPr>
                <w:rFonts w:ascii="Arial"/>
                <w:color w:val="auto"/>
                <w:sz w:val="21"/>
                <w:highlight w:val="none"/>
              </w:rPr>
            </w:pPr>
          </w:p>
          <w:p>
            <w:pPr>
              <w:spacing w:line="334" w:lineRule="auto"/>
              <w:ind w:left="0" w:leftChars="0" w:right="0" w:rightChars="0" w:firstLine="0" w:firstLineChars="0"/>
              <w:jc w:val="center"/>
              <w:rPr>
                <w:rFonts w:ascii="Arial"/>
                <w:color w:val="auto"/>
                <w:sz w:val="21"/>
                <w:highlight w:val="none"/>
              </w:rPr>
            </w:pPr>
          </w:p>
          <w:p>
            <w:pPr>
              <w:pStyle w:val="18"/>
              <w:spacing w:before="78" w:line="227" w:lineRule="auto"/>
              <w:ind w:left="0" w:leftChars="0" w:right="0" w:rightChars="0" w:firstLine="0" w:firstLineChars="0"/>
              <w:jc w:val="center"/>
              <w:rPr>
                <w:color w:val="auto"/>
                <w:highlight w:val="none"/>
              </w:rPr>
            </w:pPr>
            <w:r>
              <w:rPr>
                <w:color w:val="auto"/>
                <w:spacing w:val="-14"/>
                <w:highlight w:val="none"/>
              </w:rPr>
              <w:t>1</w:t>
            </w:r>
            <w:r>
              <w:rPr>
                <w:color w:val="auto"/>
                <w:spacing w:val="-40"/>
                <w:highlight w:val="none"/>
              </w:rPr>
              <w:t xml:space="preserve"> </w:t>
            </w:r>
            <w:r>
              <w:rPr>
                <w:color w:val="auto"/>
                <w:spacing w:val="-14"/>
                <w:highlight w:val="none"/>
              </w:rPr>
              <w:t>人</w:t>
            </w:r>
          </w:p>
        </w:tc>
        <w:tc>
          <w:tcPr>
            <w:tcW w:w="1256" w:type="dxa"/>
            <w:vAlign w:val="top"/>
          </w:tcPr>
          <w:p>
            <w:pPr>
              <w:spacing w:line="256" w:lineRule="auto"/>
              <w:ind w:left="0" w:leftChars="0" w:right="0" w:rightChars="0" w:firstLine="0" w:firstLineChars="0"/>
              <w:jc w:val="center"/>
              <w:rPr>
                <w:rFonts w:ascii="Arial"/>
                <w:color w:val="auto"/>
                <w:sz w:val="21"/>
                <w:highlight w:val="none"/>
              </w:rPr>
            </w:pPr>
          </w:p>
          <w:p>
            <w:pPr>
              <w:spacing w:line="256" w:lineRule="auto"/>
              <w:ind w:left="0" w:leftChars="0" w:right="0" w:rightChars="0" w:firstLine="0" w:firstLineChars="0"/>
              <w:jc w:val="center"/>
              <w:rPr>
                <w:rFonts w:ascii="Arial"/>
                <w:color w:val="auto"/>
                <w:sz w:val="21"/>
                <w:highlight w:val="none"/>
              </w:rPr>
            </w:pPr>
          </w:p>
          <w:p>
            <w:pPr>
              <w:pStyle w:val="18"/>
              <w:spacing w:before="78" w:line="231" w:lineRule="auto"/>
              <w:ind w:left="0" w:leftChars="0" w:right="0" w:rightChars="0" w:firstLine="0" w:firstLineChars="0"/>
              <w:jc w:val="center"/>
              <w:rPr>
                <w:color w:val="auto"/>
                <w:highlight w:val="none"/>
              </w:rPr>
            </w:pPr>
            <w:r>
              <w:rPr>
                <w:color w:val="auto"/>
                <w:spacing w:val="-5"/>
                <w:highlight w:val="none"/>
              </w:rPr>
              <w:t>不低于大学</w:t>
            </w:r>
            <w:r>
              <w:rPr>
                <w:color w:val="auto"/>
                <w:spacing w:val="2"/>
                <w:highlight w:val="none"/>
              </w:rPr>
              <w:t xml:space="preserve"> </w:t>
            </w:r>
            <w:r>
              <w:rPr>
                <w:color w:val="auto"/>
                <w:spacing w:val="-5"/>
                <w:highlight w:val="none"/>
              </w:rPr>
              <w:t>本科学历</w:t>
            </w:r>
          </w:p>
        </w:tc>
        <w:tc>
          <w:tcPr>
            <w:tcW w:w="3509" w:type="dxa"/>
            <w:vAlign w:val="center"/>
          </w:tcPr>
          <w:p>
            <w:pPr>
              <w:pStyle w:val="18"/>
              <w:spacing w:before="24" w:line="220" w:lineRule="auto"/>
              <w:ind w:left="0" w:leftChars="0" w:right="0" w:rightChars="0" w:firstLine="0" w:firstLineChars="0"/>
              <w:jc w:val="left"/>
              <w:rPr>
                <w:color w:val="auto"/>
                <w:highlight w:val="none"/>
              </w:rPr>
            </w:pPr>
            <w:r>
              <w:rPr>
                <w:rFonts w:hint="eastAsia"/>
                <w:color w:val="auto"/>
                <w:spacing w:val="-9"/>
                <w:highlight w:val="none"/>
                <w:lang w:val="en-US" w:eastAsia="zh-CN"/>
              </w:rPr>
              <w:t>2023年至今，</w:t>
            </w:r>
            <w:r>
              <w:rPr>
                <w:color w:val="auto"/>
                <w:spacing w:val="-9"/>
                <w:highlight w:val="none"/>
              </w:rPr>
              <w:t>具有至少</w:t>
            </w:r>
            <w:r>
              <w:rPr>
                <w:rFonts w:hint="eastAsia"/>
                <w:color w:val="auto"/>
                <w:spacing w:val="-6"/>
                <w:highlight w:val="none"/>
                <w:lang w:val="en-US" w:eastAsia="zh-CN"/>
              </w:rPr>
              <w:t>3个知识产权管理体系认证服务</w:t>
            </w:r>
            <w:r>
              <w:rPr>
                <w:rFonts w:hint="eastAsia"/>
                <w:color w:val="auto"/>
                <w:spacing w:val="-2"/>
                <w:highlight w:val="none"/>
              </w:rPr>
              <w:t>项目业绩</w:t>
            </w:r>
            <w:r>
              <w:rPr>
                <w:color w:val="auto"/>
                <w:spacing w:val="-6"/>
                <w:highlight w:val="none"/>
              </w:rPr>
              <w:t>。</w:t>
            </w:r>
          </w:p>
        </w:tc>
        <w:tc>
          <w:tcPr>
            <w:tcW w:w="2600" w:type="dxa"/>
            <w:vAlign w:val="center"/>
          </w:tcPr>
          <w:p>
            <w:pPr>
              <w:pStyle w:val="18"/>
              <w:spacing w:before="78" w:line="235" w:lineRule="auto"/>
              <w:ind w:left="0" w:leftChars="0" w:right="0" w:rightChars="0" w:firstLine="0" w:firstLineChars="0"/>
              <w:jc w:val="left"/>
              <w:rPr>
                <w:rFonts w:hint="eastAsia" w:eastAsia="仿宋"/>
                <w:color w:val="auto"/>
                <w:highlight w:val="none"/>
                <w:lang w:eastAsia="zh-CN"/>
              </w:rPr>
            </w:pPr>
            <w:r>
              <w:rPr>
                <w:rFonts w:hint="eastAsia"/>
                <w:color w:val="auto"/>
                <w:highlight w:val="none"/>
              </w:rPr>
              <w:t>具备注册专业为知识产权管理体系的国家注册审核员证书</w:t>
            </w:r>
            <w:r>
              <w:rPr>
                <w:rFonts w:hint="eastAsia"/>
                <w:color w:val="auto"/>
                <w:highlight w:val="none"/>
                <w:lang w:eastAsia="zh-CN"/>
              </w:rPr>
              <w:t>（</w:t>
            </w:r>
            <w:r>
              <w:rPr>
                <w:rFonts w:hint="eastAsia"/>
                <w:color w:val="auto"/>
                <w:highlight w:val="none"/>
              </w:rPr>
              <w:t>有效期内</w:t>
            </w:r>
            <w:r>
              <w:rPr>
                <w:rFonts w:hint="eastAsia"/>
                <w:color w:val="auto"/>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7" w:hRule="atLeast"/>
          <w:jc w:val="center"/>
        </w:trPr>
        <w:tc>
          <w:tcPr>
            <w:tcW w:w="677" w:type="dxa"/>
            <w:vAlign w:val="top"/>
          </w:tcPr>
          <w:p>
            <w:pPr>
              <w:spacing w:line="359" w:lineRule="auto"/>
              <w:ind w:left="0" w:leftChars="0" w:right="0" w:rightChars="0" w:firstLine="0" w:firstLineChars="0"/>
              <w:jc w:val="center"/>
              <w:rPr>
                <w:rFonts w:ascii="Arial"/>
                <w:color w:val="auto"/>
                <w:sz w:val="21"/>
                <w:highlight w:val="none"/>
              </w:rPr>
            </w:pPr>
          </w:p>
          <w:p>
            <w:pPr>
              <w:spacing w:line="360" w:lineRule="auto"/>
              <w:ind w:left="0" w:leftChars="0" w:right="0" w:rightChars="0" w:firstLine="0" w:firstLineChars="0"/>
              <w:jc w:val="center"/>
              <w:rPr>
                <w:rFonts w:ascii="Arial"/>
                <w:color w:val="auto"/>
                <w:sz w:val="21"/>
                <w:highlight w:val="none"/>
              </w:rPr>
            </w:pPr>
          </w:p>
          <w:p>
            <w:pPr>
              <w:pStyle w:val="18"/>
              <w:spacing w:before="78" w:line="180" w:lineRule="auto"/>
              <w:ind w:left="0" w:leftChars="0" w:right="0" w:rightChars="0" w:firstLine="0" w:firstLineChars="0"/>
              <w:jc w:val="center"/>
              <w:rPr>
                <w:color w:val="auto"/>
                <w:highlight w:val="none"/>
              </w:rPr>
            </w:pPr>
            <w:r>
              <w:rPr>
                <w:color w:val="auto"/>
                <w:highlight w:val="none"/>
              </w:rPr>
              <w:t>2</w:t>
            </w:r>
          </w:p>
        </w:tc>
        <w:tc>
          <w:tcPr>
            <w:tcW w:w="1097" w:type="dxa"/>
            <w:vAlign w:val="top"/>
          </w:tcPr>
          <w:p>
            <w:pPr>
              <w:spacing w:line="261" w:lineRule="auto"/>
              <w:ind w:left="0" w:leftChars="0" w:right="0" w:rightChars="0" w:firstLine="0" w:firstLineChars="0"/>
              <w:jc w:val="center"/>
              <w:rPr>
                <w:rFonts w:ascii="Arial"/>
                <w:color w:val="auto"/>
                <w:sz w:val="21"/>
                <w:highlight w:val="none"/>
              </w:rPr>
            </w:pPr>
          </w:p>
          <w:p>
            <w:pPr>
              <w:spacing w:line="261" w:lineRule="auto"/>
              <w:ind w:left="0" w:leftChars="0" w:right="0" w:rightChars="0" w:firstLine="0" w:firstLineChars="0"/>
              <w:jc w:val="center"/>
              <w:rPr>
                <w:rFonts w:ascii="Arial"/>
                <w:color w:val="auto"/>
                <w:sz w:val="21"/>
                <w:highlight w:val="none"/>
              </w:rPr>
            </w:pPr>
          </w:p>
          <w:p>
            <w:pPr>
              <w:pStyle w:val="18"/>
              <w:spacing w:before="78" w:line="232" w:lineRule="auto"/>
              <w:ind w:left="0" w:leftChars="0" w:right="0" w:rightChars="0" w:firstLine="0" w:firstLineChars="0"/>
              <w:jc w:val="center"/>
              <w:rPr>
                <w:color w:val="auto"/>
                <w:highlight w:val="none"/>
              </w:rPr>
            </w:pPr>
            <w:r>
              <w:rPr>
                <w:color w:val="auto"/>
                <w:spacing w:val="-6"/>
                <w:highlight w:val="none"/>
              </w:rPr>
              <w:t>项目组</w:t>
            </w:r>
            <w:r>
              <w:rPr>
                <w:color w:val="auto"/>
                <w:spacing w:val="-10"/>
                <w:highlight w:val="none"/>
              </w:rPr>
              <w:t>成员</w:t>
            </w:r>
          </w:p>
        </w:tc>
        <w:tc>
          <w:tcPr>
            <w:tcW w:w="791" w:type="dxa"/>
            <w:vAlign w:val="top"/>
          </w:tcPr>
          <w:p>
            <w:pPr>
              <w:pStyle w:val="18"/>
              <w:spacing w:before="78" w:line="233" w:lineRule="auto"/>
              <w:ind w:left="0" w:leftChars="0" w:right="0" w:rightChars="0" w:firstLine="0" w:firstLineChars="0"/>
              <w:jc w:val="center"/>
              <w:rPr>
                <w:color w:val="auto"/>
                <w:highlight w:val="none"/>
              </w:rPr>
            </w:pPr>
            <w:r>
              <w:rPr>
                <w:color w:val="auto"/>
                <w:spacing w:val="-8"/>
                <w:highlight w:val="none"/>
              </w:rPr>
              <w:t>不少于</w:t>
            </w:r>
            <w:r>
              <w:rPr>
                <w:color w:val="auto"/>
                <w:spacing w:val="1"/>
                <w:highlight w:val="none"/>
              </w:rPr>
              <w:t xml:space="preserve"> </w:t>
            </w:r>
            <w:r>
              <w:rPr>
                <w:color w:val="auto"/>
                <w:spacing w:val="-7"/>
                <w:highlight w:val="none"/>
              </w:rPr>
              <w:t>3</w:t>
            </w:r>
            <w:r>
              <w:rPr>
                <w:color w:val="auto"/>
                <w:spacing w:val="-41"/>
                <w:highlight w:val="none"/>
              </w:rPr>
              <w:t xml:space="preserve"> </w:t>
            </w:r>
            <w:r>
              <w:rPr>
                <w:color w:val="auto"/>
                <w:spacing w:val="-7"/>
                <w:highlight w:val="none"/>
              </w:rPr>
              <w:t>人</w:t>
            </w:r>
            <w:r>
              <w:rPr>
                <w:rFonts w:hint="eastAsia"/>
                <w:color w:val="auto"/>
                <w:spacing w:val="-7"/>
                <w:highlight w:val="none"/>
              </w:rPr>
              <w:t>（不含项目负责人）</w:t>
            </w:r>
          </w:p>
        </w:tc>
        <w:tc>
          <w:tcPr>
            <w:tcW w:w="1256" w:type="dxa"/>
            <w:vAlign w:val="center"/>
          </w:tcPr>
          <w:p>
            <w:pPr>
              <w:pStyle w:val="18"/>
              <w:spacing w:before="78" w:line="231" w:lineRule="auto"/>
              <w:ind w:left="0" w:leftChars="0" w:right="0" w:rightChars="0" w:firstLine="0" w:firstLineChars="0"/>
              <w:jc w:val="left"/>
              <w:rPr>
                <w:color w:val="auto"/>
                <w:highlight w:val="none"/>
              </w:rPr>
            </w:pPr>
            <w:r>
              <w:rPr>
                <w:color w:val="auto"/>
                <w:spacing w:val="-5"/>
                <w:highlight w:val="none"/>
              </w:rPr>
              <w:t>不低于大学</w:t>
            </w:r>
            <w:r>
              <w:rPr>
                <w:color w:val="auto"/>
                <w:spacing w:val="2"/>
                <w:highlight w:val="none"/>
              </w:rPr>
              <w:t xml:space="preserve"> </w:t>
            </w:r>
            <w:r>
              <w:rPr>
                <w:color w:val="auto"/>
                <w:spacing w:val="-5"/>
                <w:highlight w:val="none"/>
              </w:rPr>
              <w:t>本科学历</w:t>
            </w:r>
          </w:p>
        </w:tc>
        <w:tc>
          <w:tcPr>
            <w:tcW w:w="3509" w:type="dxa"/>
            <w:vAlign w:val="center"/>
          </w:tcPr>
          <w:p>
            <w:pPr>
              <w:pStyle w:val="18"/>
              <w:spacing w:before="24" w:line="220" w:lineRule="auto"/>
              <w:ind w:left="0" w:leftChars="0" w:right="0" w:rightChars="0" w:firstLine="0" w:firstLineChars="0"/>
              <w:jc w:val="left"/>
              <w:rPr>
                <w:color w:val="auto"/>
                <w:highlight w:val="none"/>
              </w:rPr>
            </w:pPr>
            <w:r>
              <w:rPr>
                <w:rFonts w:hint="eastAsia"/>
                <w:color w:val="auto"/>
                <w:spacing w:val="-10"/>
                <w:highlight w:val="none"/>
                <w:lang w:val="en-US" w:eastAsia="zh-CN"/>
              </w:rPr>
              <w:t>2023年至今，</w:t>
            </w:r>
            <w:r>
              <w:rPr>
                <w:color w:val="auto"/>
                <w:spacing w:val="-10"/>
                <w:highlight w:val="none"/>
              </w:rPr>
              <w:t>每人至少</w:t>
            </w:r>
            <w:r>
              <w:rPr>
                <w:rFonts w:hint="eastAsia"/>
                <w:color w:val="auto"/>
                <w:spacing w:val="-10"/>
                <w:highlight w:val="none"/>
              </w:rPr>
              <w:t>具有</w:t>
            </w:r>
            <w:r>
              <w:rPr>
                <w:rFonts w:hint="eastAsia"/>
                <w:color w:val="auto"/>
                <w:spacing w:val="-10"/>
                <w:highlight w:val="none"/>
                <w:lang w:val="en-US" w:eastAsia="zh-CN"/>
              </w:rPr>
              <w:t>1个知识产权管理体系</w:t>
            </w:r>
            <w:r>
              <w:rPr>
                <w:rFonts w:hint="eastAsia"/>
                <w:color w:val="auto"/>
                <w:spacing w:val="-10"/>
                <w:highlight w:val="none"/>
                <w:lang w:eastAsia="zh-CN"/>
              </w:rPr>
              <w:t>认证服务</w:t>
            </w:r>
            <w:r>
              <w:rPr>
                <w:rFonts w:hint="eastAsia"/>
                <w:color w:val="auto"/>
                <w:spacing w:val="-10"/>
                <w:highlight w:val="none"/>
              </w:rPr>
              <w:t>项目业绩。</w:t>
            </w:r>
          </w:p>
        </w:tc>
        <w:tc>
          <w:tcPr>
            <w:tcW w:w="2600" w:type="dxa"/>
            <w:vAlign w:val="center"/>
          </w:tcPr>
          <w:p>
            <w:pPr>
              <w:pStyle w:val="18"/>
              <w:spacing w:before="78" w:line="225" w:lineRule="auto"/>
              <w:ind w:left="0" w:leftChars="0" w:right="0" w:rightChars="0" w:firstLine="0" w:firstLineChars="0"/>
              <w:jc w:val="left"/>
              <w:rPr>
                <w:rFonts w:hint="eastAsia" w:eastAsia="仿宋"/>
                <w:color w:val="auto"/>
                <w:highlight w:val="none"/>
                <w:lang w:val="en-US" w:eastAsia="zh-CN"/>
              </w:rPr>
            </w:pPr>
            <w:r>
              <w:rPr>
                <w:rFonts w:hint="eastAsia"/>
                <w:color w:val="auto"/>
                <w:highlight w:val="none"/>
                <w:lang w:val="en-US" w:eastAsia="zh-CN"/>
              </w:rPr>
              <w:t>每人均须具备注册专业为知识产权管理体系的国家注册审核员证书</w:t>
            </w:r>
            <w:r>
              <w:rPr>
                <w:rFonts w:hint="eastAsia"/>
                <w:color w:val="auto"/>
                <w:highlight w:val="none"/>
                <w:lang w:eastAsia="zh-CN"/>
              </w:rPr>
              <w:t>（</w:t>
            </w:r>
            <w:r>
              <w:rPr>
                <w:rFonts w:hint="eastAsia"/>
                <w:color w:val="auto"/>
                <w:highlight w:val="none"/>
              </w:rPr>
              <w:t>有效期内</w:t>
            </w:r>
            <w:r>
              <w:rPr>
                <w:rFonts w:hint="eastAsia"/>
                <w:color w:val="auto"/>
                <w:highlight w:val="none"/>
                <w:lang w:eastAsia="zh-CN"/>
              </w:rPr>
              <w:t>）</w:t>
            </w:r>
          </w:p>
        </w:tc>
      </w:tr>
    </w:tbl>
    <w:p>
      <w:pPr>
        <w:pStyle w:val="2"/>
        <w:bidi w:val="0"/>
        <w:rPr>
          <w:rFonts w:hint="eastAsia" w:ascii="黑体" w:hAnsi="黑体" w:eastAsia="黑体" w:cs="黑体"/>
          <w:color w:val="auto"/>
          <w:sz w:val="32"/>
          <w:szCs w:val="32"/>
          <w:highlight w:val="none"/>
          <w:lang w:val="en-US" w:eastAsia="zh-CN"/>
        </w:rPr>
      </w:pPr>
      <w:bookmarkStart w:id="48" w:name="_GoBack"/>
      <w:bookmarkEnd w:id="48"/>
      <w:bookmarkStart w:id="41" w:name="_Toc12753"/>
      <w:bookmarkStart w:id="42" w:name="_Toc32236"/>
      <w:r>
        <w:rPr>
          <w:rFonts w:hint="eastAsia" w:ascii="黑体" w:hAnsi="黑体" w:eastAsia="黑体" w:cs="黑体"/>
          <w:color w:val="auto"/>
          <w:sz w:val="32"/>
          <w:szCs w:val="32"/>
          <w:highlight w:val="none"/>
          <w:lang w:val="en-US" w:eastAsia="zh-CN"/>
        </w:rPr>
        <w:t>项目保证</w:t>
      </w:r>
      <w:bookmarkEnd w:id="41"/>
    </w:p>
    <w:p>
      <w:pPr>
        <w:pStyle w:val="3"/>
        <w:bidi w:val="0"/>
        <w:rPr>
          <w:rFonts w:hint="default"/>
          <w:color w:val="auto"/>
          <w:highlight w:val="none"/>
          <w:lang w:val="en-US" w:eastAsia="zh-CN"/>
        </w:rPr>
      </w:pPr>
      <w:bookmarkStart w:id="43" w:name="_Toc31085"/>
      <w:r>
        <w:rPr>
          <w:rFonts w:hint="eastAsia"/>
          <w:color w:val="auto"/>
          <w:highlight w:val="none"/>
          <w:lang w:val="en-US" w:eastAsia="zh-CN"/>
        </w:rPr>
        <w:t>（一）实施保证</w:t>
      </w:r>
      <w:bookmarkEnd w:id="43"/>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1.项目过程中有明确的实施方案、项目进度计划及保密承诺。在要求服务周期内，完成合同约定的</w:t>
      </w:r>
      <w:r>
        <w:rPr>
          <w:rFonts w:hint="eastAsia" w:ascii="仿宋" w:hAnsi="仿宋" w:cs="仿宋"/>
          <w:color w:val="auto"/>
          <w:highlight w:val="none"/>
          <w:lang w:val="en-US" w:eastAsia="zh-CN"/>
        </w:rPr>
        <w:t>工作</w:t>
      </w:r>
      <w:r>
        <w:rPr>
          <w:rFonts w:hint="eastAsia" w:ascii="仿宋" w:hAnsi="仿宋" w:eastAsia="仿宋" w:cs="仿宋"/>
          <w:color w:val="auto"/>
          <w:highlight w:val="none"/>
          <w:lang w:val="en-US" w:eastAsia="zh-CN"/>
        </w:rPr>
        <w:t>任务，提交满足本技术约定的技术服务成果。</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r>
        <w:rPr>
          <w:rFonts w:hint="eastAsia" w:ascii="仿宋" w:hAnsi="仿宋" w:cs="仿宋"/>
          <w:color w:val="auto"/>
          <w:highlight w:val="none"/>
          <w:lang w:val="en-US" w:eastAsia="zh-CN"/>
        </w:rPr>
        <w:t>供应商</w:t>
      </w:r>
      <w:r>
        <w:rPr>
          <w:rFonts w:hint="eastAsia" w:ascii="仿宋" w:hAnsi="仿宋" w:eastAsia="仿宋" w:cs="仿宋"/>
          <w:color w:val="auto"/>
          <w:highlight w:val="none"/>
          <w:lang w:val="en-US" w:eastAsia="zh-CN"/>
        </w:rPr>
        <w:t>应按要求组织项目团队，项目团队应保持稳定，未经</w:t>
      </w:r>
      <w:r>
        <w:rPr>
          <w:rFonts w:hint="eastAsia" w:ascii="仿宋" w:hAnsi="仿宋" w:cs="仿宋"/>
          <w:color w:val="auto"/>
          <w:highlight w:val="none"/>
          <w:lang w:val="en-US" w:eastAsia="zh-CN"/>
        </w:rPr>
        <w:t>采购人</w:t>
      </w:r>
      <w:r>
        <w:rPr>
          <w:rFonts w:hint="eastAsia" w:ascii="仿宋" w:hAnsi="仿宋" w:eastAsia="仿宋" w:cs="仿宋"/>
          <w:color w:val="auto"/>
          <w:highlight w:val="none"/>
          <w:lang w:val="en-US" w:eastAsia="zh-CN"/>
        </w:rPr>
        <w:t>同意，不得更换项目经理和项目组成员。任何人员变更必须提前1个月，书面通知</w:t>
      </w:r>
      <w:r>
        <w:rPr>
          <w:rFonts w:hint="eastAsia" w:ascii="仿宋" w:hAnsi="仿宋" w:cs="仿宋"/>
          <w:color w:val="auto"/>
          <w:highlight w:val="none"/>
          <w:lang w:val="en-US" w:eastAsia="zh-CN"/>
        </w:rPr>
        <w:t>采购人</w:t>
      </w:r>
      <w:r>
        <w:rPr>
          <w:rFonts w:hint="eastAsia" w:ascii="仿宋" w:hAnsi="仿宋" w:eastAsia="仿宋" w:cs="仿宋"/>
          <w:color w:val="auto"/>
          <w:highlight w:val="none"/>
          <w:lang w:val="en-US" w:eastAsia="zh-CN"/>
        </w:rPr>
        <w:t>，经</w:t>
      </w:r>
      <w:r>
        <w:rPr>
          <w:rFonts w:hint="eastAsia" w:ascii="仿宋" w:hAnsi="仿宋" w:cs="仿宋"/>
          <w:color w:val="auto"/>
          <w:highlight w:val="none"/>
          <w:lang w:val="en-US" w:eastAsia="zh-CN"/>
        </w:rPr>
        <w:t>采购人</w:t>
      </w:r>
      <w:r>
        <w:rPr>
          <w:rFonts w:hint="eastAsia" w:ascii="仿宋" w:hAnsi="仿宋" w:eastAsia="仿宋" w:cs="仿宋"/>
          <w:color w:val="auto"/>
          <w:highlight w:val="none"/>
          <w:lang w:val="en-US" w:eastAsia="zh-CN"/>
        </w:rPr>
        <w:t>同意后方可变更。</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r>
        <w:rPr>
          <w:rFonts w:hint="eastAsia" w:ascii="仿宋" w:hAnsi="仿宋" w:cs="仿宋"/>
          <w:color w:val="auto"/>
          <w:highlight w:val="none"/>
          <w:lang w:val="en-US" w:eastAsia="zh-CN"/>
        </w:rPr>
        <w:t>供应商及其服务团队必须遵守采购人的管理要求。供应商须指定一名团队负责人与采购人对接，除现场审核外，</w:t>
      </w:r>
      <w:r>
        <w:rPr>
          <w:rFonts w:hint="eastAsia" w:ascii="仿宋" w:hAnsi="仿宋" w:eastAsia="仿宋" w:cs="仿宋"/>
          <w:color w:val="auto"/>
          <w:highlight w:val="none"/>
          <w:lang w:val="en-US" w:eastAsia="zh-CN"/>
        </w:rPr>
        <w:t>其他时间段，根据</w:t>
      </w:r>
      <w:r>
        <w:rPr>
          <w:rFonts w:hint="eastAsia" w:ascii="仿宋" w:hAnsi="仿宋" w:cs="仿宋"/>
          <w:color w:val="auto"/>
          <w:highlight w:val="none"/>
          <w:lang w:val="en-US" w:eastAsia="zh-CN"/>
        </w:rPr>
        <w:t>采购人</w:t>
      </w:r>
      <w:r>
        <w:rPr>
          <w:rFonts w:hint="eastAsia" w:ascii="仿宋" w:hAnsi="仿宋" w:eastAsia="仿宋" w:cs="仿宋"/>
          <w:color w:val="auto"/>
          <w:highlight w:val="none"/>
          <w:lang w:val="en-US" w:eastAsia="zh-CN"/>
        </w:rPr>
        <w:t>需求提供</w:t>
      </w:r>
      <w:r>
        <w:rPr>
          <w:rFonts w:hint="eastAsia" w:ascii="仿宋" w:hAnsi="仿宋" w:cs="仿宋"/>
          <w:color w:val="auto"/>
          <w:highlight w:val="none"/>
          <w:lang w:val="en-US" w:eastAsia="zh-CN"/>
        </w:rPr>
        <w:t>现场</w:t>
      </w:r>
      <w:r>
        <w:rPr>
          <w:rFonts w:hint="eastAsia" w:ascii="仿宋" w:hAnsi="仿宋" w:eastAsia="仿宋" w:cs="仿宋"/>
          <w:color w:val="auto"/>
          <w:highlight w:val="none"/>
          <w:lang w:val="en-US" w:eastAsia="zh-CN"/>
        </w:rPr>
        <w:t>支撑服务。</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default"/>
          <w:color w:val="auto"/>
          <w:highlight w:val="none"/>
          <w:lang w:val="en-US" w:eastAsia="zh-CN"/>
        </w:rPr>
      </w:pPr>
      <w:r>
        <w:rPr>
          <w:rFonts w:hint="eastAsia" w:ascii="仿宋" w:hAnsi="仿宋" w:eastAsia="仿宋" w:cs="仿宋"/>
          <w:color w:val="auto"/>
          <w:highlight w:val="none"/>
          <w:lang w:val="en-US" w:eastAsia="zh-CN"/>
        </w:rPr>
        <w:t>4.</w:t>
      </w:r>
      <w:r>
        <w:rPr>
          <w:rFonts w:hint="eastAsia" w:ascii="仿宋" w:hAnsi="仿宋" w:cs="仿宋"/>
          <w:color w:val="auto"/>
          <w:highlight w:val="none"/>
          <w:lang w:val="en-US" w:eastAsia="zh-CN"/>
        </w:rPr>
        <w:t>供应商</w:t>
      </w:r>
      <w:r>
        <w:rPr>
          <w:rFonts w:hint="eastAsia" w:ascii="仿宋" w:hAnsi="仿宋" w:eastAsia="仿宋" w:cs="仿宋"/>
          <w:color w:val="auto"/>
          <w:highlight w:val="none"/>
          <w:lang w:val="en-US" w:eastAsia="zh-CN"/>
        </w:rPr>
        <w:t>应承诺，项目实施评估的过程中产生的交通、住宿等差旅费用自理。</w:t>
      </w:r>
    </w:p>
    <w:p>
      <w:pPr>
        <w:pStyle w:val="3"/>
        <w:bidi w:val="0"/>
        <w:rPr>
          <w:rFonts w:hint="eastAsia" w:ascii="Arial" w:hAnsi="Arial"/>
          <w:color w:val="auto"/>
          <w:highlight w:val="none"/>
          <w:lang w:val="en-US" w:eastAsia="zh-CN"/>
        </w:rPr>
      </w:pPr>
      <w:bookmarkStart w:id="44" w:name="_Toc13490"/>
      <w:r>
        <w:rPr>
          <w:rFonts w:hint="eastAsia" w:ascii="Arial" w:hAnsi="Arial"/>
          <w:color w:val="auto"/>
          <w:highlight w:val="none"/>
          <w:lang w:val="en-US" w:eastAsia="zh-CN"/>
        </w:rPr>
        <w:t>（二）质量保证</w:t>
      </w:r>
      <w:bookmarkEnd w:id="44"/>
    </w:p>
    <w:p>
      <w:pPr>
        <w:bidi w:val="0"/>
        <w:ind w:left="0" w:leftChars="0" w:firstLine="620" w:firstLineChars="200"/>
        <w:rPr>
          <w:rFonts w:hint="default" w:ascii="仿宋" w:hAnsi="仿宋" w:cs="仿宋"/>
          <w:color w:val="auto"/>
          <w:highlight w:val="none"/>
          <w:u w:val="none"/>
          <w:lang w:val="en-US" w:eastAsia="zh-CN"/>
        </w:rPr>
      </w:pPr>
      <w:r>
        <w:rPr>
          <w:rFonts w:hint="eastAsia" w:ascii="仿宋" w:hAnsi="仿宋" w:cs="仿宋"/>
          <w:color w:val="auto"/>
          <w:highlight w:val="none"/>
          <w:u w:val="none"/>
          <w:lang w:val="en-US" w:eastAsia="zh-CN"/>
        </w:rPr>
        <w:t>为确保采购人在服务期内顺利取得知识产权管理体系证书，供应商须配备专业团队提供全程服务；本项目款项支付节点为：供应商协助采购人顺利取得知识产权管理体系证书、资质有效内各年度监督审核后，采购人依据约定按进度分期支付款项。</w:t>
      </w:r>
    </w:p>
    <w:p>
      <w:pPr>
        <w:pStyle w:val="3"/>
        <w:bidi w:val="0"/>
        <w:rPr>
          <w:rFonts w:hint="eastAsia"/>
          <w:color w:val="auto"/>
          <w:highlight w:val="none"/>
          <w:lang w:val="en-US" w:eastAsia="zh-CN"/>
        </w:rPr>
      </w:pPr>
      <w:bookmarkStart w:id="45" w:name="_Toc15491"/>
      <w:r>
        <w:rPr>
          <w:rFonts w:hint="eastAsia"/>
          <w:color w:val="auto"/>
          <w:highlight w:val="none"/>
          <w:lang w:val="en-US" w:eastAsia="zh-CN"/>
        </w:rPr>
        <w:t>（三）保密及知识产权保证</w:t>
      </w:r>
      <w:bookmarkEnd w:id="45"/>
    </w:p>
    <w:p>
      <w:pPr>
        <w:bidi w:val="0"/>
        <w:ind w:left="0" w:leftChars="0" w:firstLine="620" w:firstLineChars="200"/>
        <w:rPr>
          <w:rFonts w:hint="eastAsia" w:ascii="仿宋" w:hAnsi="仿宋" w:cs="仿宋"/>
          <w:color w:val="auto"/>
          <w:highlight w:val="none"/>
          <w:u w:val="none"/>
          <w:lang w:val="en-US" w:eastAsia="zh-CN"/>
        </w:rPr>
      </w:pPr>
      <w:r>
        <w:rPr>
          <w:rFonts w:hint="eastAsia" w:ascii="仿宋" w:hAnsi="仿宋" w:cs="仿宋"/>
          <w:color w:val="auto"/>
          <w:highlight w:val="none"/>
          <w:u w:val="none"/>
          <w:lang w:val="en-US" w:eastAsia="zh-CN"/>
        </w:rPr>
        <w:t>供应商应对在认证实施过程中获知的采购人相关秘密信息严格保密，妥善保管不得向第三方透露。违反保密约定，应向采购人支付合同价款金额10%的违约金，不足以弥补对方损失的，当另行赔偿。</w:t>
      </w:r>
    </w:p>
    <w:p>
      <w:pPr>
        <w:bidi w:val="0"/>
        <w:ind w:left="0" w:leftChars="0" w:firstLine="620" w:firstLineChars="200"/>
        <w:rPr>
          <w:rFonts w:hint="eastAsia" w:ascii="仿宋" w:hAnsi="仿宋" w:cs="仿宋"/>
          <w:color w:val="auto"/>
          <w:highlight w:val="none"/>
          <w:u w:val="none"/>
          <w:lang w:val="en-US" w:eastAsia="zh-CN"/>
        </w:rPr>
      </w:pPr>
      <w:r>
        <w:rPr>
          <w:rFonts w:hint="eastAsia" w:ascii="仿宋" w:hAnsi="仿宋" w:cs="仿宋"/>
          <w:color w:val="auto"/>
          <w:highlight w:val="none"/>
          <w:u w:val="none"/>
          <w:lang w:val="en-US" w:eastAsia="zh-CN"/>
        </w:rPr>
        <w:t>认证实施过程中产生的成果（包括但不限于相关文档）的知识产权归采购人所有。项目结束时，所有项目文档必须移交采购人，不得留存，不得向第三方泄露。否则，采购人有权依法追究其法律责任。</w:t>
      </w:r>
    </w:p>
    <w:p>
      <w:pPr>
        <w:pStyle w:val="3"/>
        <w:bidi w:val="0"/>
        <w:rPr>
          <w:rFonts w:hint="eastAsia"/>
          <w:color w:val="auto"/>
          <w:highlight w:val="none"/>
          <w:lang w:val="en-US" w:eastAsia="zh-CN"/>
        </w:rPr>
      </w:pPr>
      <w:bookmarkStart w:id="46" w:name="_Toc26724"/>
      <w:r>
        <w:rPr>
          <w:rFonts w:hint="eastAsia"/>
          <w:color w:val="auto"/>
          <w:highlight w:val="none"/>
          <w:lang w:val="en-US" w:eastAsia="zh-CN"/>
        </w:rPr>
        <w:t>（四）培训保证</w:t>
      </w:r>
      <w:bookmarkEnd w:id="46"/>
    </w:p>
    <w:p>
      <w:pPr>
        <w:bidi w:val="0"/>
        <w:ind w:left="0" w:leftChars="0" w:firstLine="620" w:firstLineChars="200"/>
        <w:rPr>
          <w:rFonts w:hint="eastAsia" w:ascii="仿宋" w:hAnsi="仿宋" w:cs="仿宋"/>
          <w:color w:val="auto"/>
          <w:highlight w:val="none"/>
          <w:u w:val="none"/>
          <w:lang w:val="en-US" w:eastAsia="zh-CN"/>
        </w:rPr>
      </w:pPr>
      <w:r>
        <w:rPr>
          <w:rFonts w:hint="eastAsia" w:ascii="仿宋" w:hAnsi="仿宋" w:cs="仿宋"/>
          <w:color w:val="auto"/>
          <w:highlight w:val="none"/>
          <w:u w:val="none"/>
          <w:lang w:val="en-US" w:eastAsia="zh-CN"/>
        </w:rPr>
        <w:t>供应商应结合差距分析、采购人实际情况、对应政策要求等，对采购人提供相关培训，培训地点由采购人指定，培训次数根据采购人的实际需求安排。</w:t>
      </w:r>
      <w:r>
        <w:rPr>
          <w:rFonts w:hint="eastAsia" w:ascii="仿宋" w:hAnsi="仿宋" w:cs="仿宋"/>
          <w:color w:val="auto"/>
          <w:highlight w:val="none"/>
          <w:u w:val="none"/>
          <w:lang w:eastAsia="zh-CN"/>
        </w:rPr>
        <w:t>培训所涉及费用不超出</w:t>
      </w:r>
      <w:r>
        <w:rPr>
          <w:rFonts w:hint="eastAsia" w:ascii="仿宋" w:hAnsi="仿宋" w:cs="仿宋"/>
          <w:color w:val="auto"/>
          <w:highlight w:val="none"/>
          <w:u w:val="none"/>
          <w:lang w:val="en-US" w:eastAsia="zh-CN"/>
        </w:rPr>
        <w:t>采购人</w:t>
      </w:r>
      <w:r>
        <w:rPr>
          <w:rFonts w:hint="eastAsia" w:ascii="仿宋" w:hAnsi="仿宋" w:cs="仿宋"/>
          <w:color w:val="auto"/>
          <w:highlight w:val="none"/>
          <w:u w:val="none"/>
          <w:lang w:eastAsia="zh-CN"/>
        </w:rPr>
        <w:t>内部相关制度标准。</w:t>
      </w:r>
    </w:p>
    <w:p>
      <w:pPr>
        <w:pStyle w:val="3"/>
        <w:bidi w:val="0"/>
        <w:rPr>
          <w:rFonts w:hint="eastAsia"/>
          <w:color w:val="auto"/>
          <w:highlight w:val="none"/>
          <w:lang w:val="en-US" w:eastAsia="zh-CN"/>
        </w:rPr>
      </w:pPr>
      <w:bookmarkStart w:id="47" w:name="_Toc2609"/>
      <w:r>
        <w:rPr>
          <w:rFonts w:hint="eastAsia"/>
          <w:color w:val="auto"/>
          <w:highlight w:val="none"/>
          <w:lang w:val="en-US" w:eastAsia="zh-CN"/>
        </w:rPr>
        <w:t>（五）服务保证</w:t>
      </w:r>
      <w:bookmarkEnd w:id="47"/>
    </w:p>
    <w:p>
      <w:pPr>
        <w:bidi w:val="0"/>
        <w:ind w:left="0" w:leftChars="0" w:firstLine="620" w:firstLineChars="200"/>
        <w:rPr>
          <w:rFonts w:hint="eastAsia" w:ascii="宋体" w:hAnsi="宋体" w:eastAsia="宋体" w:cs="宋体"/>
          <w:color w:val="auto"/>
          <w:sz w:val="31"/>
          <w:szCs w:val="31"/>
          <w:highlight w:val="none"/>
        </w:rPr>
      </w:pPr>
      <w:r>
        <w:rPr>
          <w:rFonts w:hint="eastAsia" w:ascii="仿宋" w:hAnsi="仿宋" w:cs="仿宋"/>
          <w:color w:val="auto"/>
          <w:highlight w:val="none"/>
          <w:u w:val="none"/>
          <w:lang w:val="en-US" w:eastAsia="zh-CN"/>
        </w:rPr>
        <w:t>供应商应承诺在服务期（含资质有效期）内应提供及时的现场和远程（包括但不限于电话、电邮、传真、即时通信等方式）认证服务，以解决项目中的问题和风险。针对采购人提出的咨询需求，供应商回复时间应在1个小时内进行回复。供应商有现场服务需求时，供应商应根据采购人要求提供现场服务。如在资质有效期内，供应商因服务质量导致采购人损失或拒不服务的，采购人有权依法追究其法律责任。</w:t>
      </w:r>
      <w:bookmarkEnd w:id="42"/>
    </w:p>
    <w:sectPr>
      <w:headerReference r:id="rId9" w:type="default"/>
      <w:footerReference r:id="rId10" w:type="default"/>
      <w:pgSz w:w="11906" w:h="16839"/>
      <w:pgMar w:top="1531" w:right="1441" w:bottom="1152" w:left="1785" w:header="0" w:footer="987" w:gutter="0"/>
      <w:pgBorders>
        <w:top w:val="none" w:sz="0" w:space="0"/>
        <w:left w:val="none" w:sz="0" w:space="0"/>
        <w:bottom w:val="none" w:sz="0" w:space="0"/>
        <w:right w:val="none" w:sz="0" w:space="0"/>
      </w:pgBorders>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20"/>
      </w:pPr>
      <w:r>
        <w:separator/>
      </w:r>
    </w:p>
  </w:endnote>
  <w:endnote w:type="continuationSeparator" w:id="1">
    <w:p>
      <w:pPr>
        <w:spacing w:line="240" w:lineRule="auto"/>
        <w:ind w:firstLine="6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10006"/>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right="8"/>
      <w:jc w:val="right"/>
      <w:rPr>
        <w:rFonts w:ascii="Calibri" w:hAnsi="Calibri" w:eastAsia="Calibri" w:cs="Calibri"/>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8231"/>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20"/>
      </w:pPr>
      <w:r>
        <w:separator/>
      </w:r>
    </w:p>
  </w:footnote>
  <w:footnote w:type="continuationSeparator" w:id="1">
    <w:p>
      <w:pPr>
        <w:spacing w:line="240" w:lineRule="auto"/>
        <w:ind w:firstLine="6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wordWrap w:val="0"/>
      <w:ind w:right="0" w:firstLine="0" w:firstLineChars="0"/>
      <w:jc w:val="right"/>
      <w:rPr>
        <w:rFonts w:hint="default" w:eastAsia="宋体"/>
        <w:lang w:val="en-US" w:eastAsia="zh-CN"/>
      </w:rPr>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546B3E"/>
    <w:multiLevelType w:val="multilevel"/>
    <w:tmpl w:val="3E546B3E"/>
    <w:lvl w:ilvl="0" w:tentative="0">
      <w:start w:val="1"/>
      <w:numFmt w:val="decimal"/>
      <w:lvlText w:val="%1"/>
      <w:lvlJc w:val="left"/>
      <w:pPr>
        <w:tabs>
          <w:tab w:val="left" w:pos="432"/>
        </w:tabs>
        <w:ind w:left="432" w:hanging="432"/>
      </w:pPr>
      <w:rPr>
        <w:rFonts w:hint="eastAsia"/>
      </w:rPr>
    </w:lvl>
    <w:lvl w:ilvl="1" w:tentative="0">
      <w:start w:val="1"/>
      <w:numFmt w:val="decimal"/>
      <w:pStyle w:val="20"/>
      <w:lvlText w:val="%1.%2"/>
      <w:lvlJc w:val="left"/>
      <w:pPr>
        <w:tabs>
          <w:tab w:val="left" w:pos="576"/>
        </w:tabs>
        <w:ind w:left="576" w:hanging="576"/>
      </w:pPr>
      <w:rPr>
        <w:rFonts w:hint="eastAsia"/>
        <w:lang w:val="sv-SE"/>
      </w:rPr>
    </w:lvl>
    <w:lvl w:ilvl="2" w:tentative="0">
      <w:start w:val="1"/>
      <w:numFmt w:val="decimal"/>
      <w:pStyle w:val="4"/>
      <w:lvlText w:val="%1.%2.%3"/>
      <w:lvlJc w:val="left"/>
      <w:pPr>
        <w:tabs>
          <w:tab w:val="left" w:pos="720"/>
        </w:tabs>
        <w:ind w:left="720" w:hanging="720"/>
      </w:pPr>
      <w:rPr>
        <w:rFonts w:hint="default" w:ascii="仿宋" w:hAnsi="仿宋" w:eastAsia="仿宋" w:cs="仿宋"/>
        <w:lang w:val="en-US"/>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ascii="Times New Roman" w:hAnsi="Times New Roman" w:cs="Times New Roman"/>
        <w:i w:val="0"/>
        <w:iCs w:val="0"/>
        <w:caps w:val="0"/>
        <w:smallCaps w:val="0"/>
        <w:strike w:val="0"/>
        <w:dstrike w:val="0"/>
        <w:vanish w:val="0"/>
        <w:spacing w:val="0"/>
        <w:position w:val="0"/>
        <w:u w:val="none"/>
        <w:vertAlign w:val="baselin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C60B945"/>
    <w:multiLevelType w:val="singleLevel"/>
    <w:tmpl w:val="4C60B945"/>
    <w:lvl w:ilvl="0" w:tentative="0">
      <w:start w:val="1"/>
      <w:numFmt w:val="decimal"/>
      <w:suff w:val="nothing"/>
      <w:lvlText w:val="%1、"/>
      <w:lvlJc w:val="left"/>
    </w:lvl>
  </w:abstractNum>
  <w:abstractNum w:abstractNumId="2">
    <w:nsid w:val="50C3003F"/>
    <w:multiLevelType w:val="singleLevel"/>
    <w:tmpl w:val="50C3003F"/>
    <w:lvl w:ilvl="0" w:tentative="0">
      <w:start w:val="2"/>
      <w:numFmt w:val="chineseCounting"/>
      <w:suff w:val="nothing"/>
      <w:lvlText w:val="（%1）"/>
      <w:lvlJc w:val="left"/>
      <w:rPr>
        <w:rFonts w:hint="eastAsia"/>
      </w:rPr>
    </w:lvl>
  </w:abstractNum>
  <w:abstractNum w:abstractNumId="3">
    <w:nsid w:val="62101F64"/>
    <w:multiLevelType w:val="singleLevel"/>
    <w:tmpl w:val="62101F64"/>
    <w:lvl w:ilvl="0" w:tentative="0">
      <w:start w:val="1"/>
      <w:numFmt w:val="chineseCounting"/>
      <w:pStyle w:val="2"/>
      <w:suff w:val="nothing"/>
      <w:lvlText w:val="%1、"/>
      <w:lvlJc w:val="left"/>
      <w:pPr>
        <w:ind w:left="0" w:firstLine="42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DMyY2E3ZmEwYjcyYzFmYTM4NzIwMTQ2NWUyYzA3MjMifQ=="/>
    <w:docVar w:name="KSO_WPS_MARK_KEY" w:val="38194119-05f1-4539-ad67-708a49f5f1e8"/>
  </w:docVars>
  <w:rsids>
    <w:rsidRoot w:val="00172A27"/>
    <w:rsid w:val="00247D20"/>
    <w:rsid w:val="002C61F7"/>
    <w:rsid w:val="003D693F"/>
    <w:rsid w:val="00401AFA"/>
    <w:rsid w:val="007E664A"/>
    <w:rsid w:val="00852A28"/>
    <w:rsid w:val="00920750"/>
    <w:rsid w:val="00987605"/>
    <w:rsid w:val="00CE6AEF"/>
    <w:rsid w:val="00D44EA4"/>
    <w:rsid w:val="01027FFA"/>
    <w:rsid w:val="01203731"/>
    <w:rsid w:val="01390BCC"/>
    <w:rsid w:val="014137F4"/>
    <w:rsid w:val="014F219D"/>
    <w:rsid w:val="01540449"/>
    <w:rsid w:val="015772A4"/>
    <w:rsid w:val="019547E9"/>
    <w:rsid w:val="01AC75F0"/>
    <w:rsid w:val="01FC450B"/>
    <w:rsid w:val="02344EA2"/>
    <w:rsid w:val="027927BE"/>
    <w:rsid w:val="02D811C6"/>
    <w:rsid w:val="02D84414"/>
    <w:rsid w:val="03030A3E"/>
    <w:rsid w:val="03340057"/>
    <w:rsid w:val="03694E16"/>
    <w:rsid w:val="03850470"/>
    <w:rsid w:val="04055D35"/>
    <w:rsid w:val="04133956"/>
    <w:rsid w:val="042A0CA0"/>
    <w:rsid w:val="042E253E"/>
    <w:rsid w:val="0433224A"/>
    <w:rsid w:val="04536448"/>
    <w:rsid w:val="04782329"/>
    <w:rsid w:val="047A5783"/>
    <w:rsid w:val="04AC7907"/>
    <w:rsid w:val="04C85A79"/>
    <w:rsid w:val="04C904B8"/>
    <w:rsid w:val="04D05CEB"/>
    <w:rsid w:val="04DF1A8A"/>
    <w:rsid w:val="04FC5D47"/>
    <w:rsid w:val="056C5A14"/>
    <w:rsid w:val="056E5FC0"/>
    <w:rsid w:val="059960DD"/>
    <w:rsid w:val="05D347E3"/>
    <w:rsid w:val="05D45367"/>
    <w:rsid w:val="06940F6E"/>
    <w:rsid w:val="069F7723"/>
    <w:rsid w:val="06AB60C8"/>
    <w:rsid w:val="06BC0264"/>
    <w:rsid w:val="06DC0977"/>
    <w:rsid w:val="06F2019A"/>
    <w:rsid w:val="071E0F8F"/>
    <w:rsid w:val="072B555C"/>
    <w:rsid w:val="07434552"/>
    <w:rsid w:val="074C3280"/>
    <w:rsid w:val="077A1F3E"/>
    <w:rsid w:val="079E7F01"/>
    <w:rsid w:val="07A32103"/>
    <w:rsid w:val="07A43BBF"/>
    <w:rsid w:val="07C9746E"/>
    <w:rsid w:val="07D01B5E"/>
    <w:rsid w:val="07E37AE3"/>
    <w:rsid w:val="07F75873"/>
    <w:rsid w:val="07F92E63"/>
    <w:rsid w:val="081F2360"/>
    <w:rsid w:val="082F0F7A"/>
    <w:rsid w:val="0870581B"/>
    <w:rsid w:val="08850B9A"/>
    <w:rsid w:val="08AE15FD"/>
    <w:rsid w:val="08D15B8E"/>
    <w:rsid w:val="093F6F9B"/>
    <w:rsid w:val="09544033"/>
    <w:rsid w:val="098E7661"/>
    <w:rsid w:val="09EA5159"/>
    <w:rsid w:val="09EF6D0E"/>
    <w:rsid w:val="0A204954"/>
    <w:rsid w:val="0A5D3257"/>
    <w:rsid w:val="0A7964DD"/>
    <w:rsid w:val="0A8F7F92"/>
    <w:rsid w:val="0AA01CBB"/>
    <w:rsid w:val="0AD41965"/>
    <w:rsid w:val="0AE53B72"/>
    <w:rsid w:val="0B001553"/>
    <w:rsid w:val="0B185CF6"/>
    <w:rsid w:val="0B3F14D4"/>
    <w:rsid w:val="0B4515C3"/>
    <w:rsid w:val="0B557C5F"/>
    <w:rsid w:val="0B5807E8"/>
    <w:rsid w:val="0B6D6647"/>
    <w:rsid w:val="0B792C38"/>
    <w:rsid w:val="0B7C0033"/>
    <w:rsid w:val="0B8909A2"/>
    <w:rsid w:val="0BCB31BB"/>
    <w:rsid w:val="0BFF2A12"/>
    <w:rsid w:val="0C1E4466"/>
    <w:rsid w:val="0C300E1D"/>
    <w:rsid w:val="0C436DA2"/>
    <w:rsid w:val="0C440996"/>
    <w:rsid w:val="0C7156BE"/>
    <w:rsid w:val="0C917B0E"/>
    <w:rsid w:val="0CF91AFC"/>
    <w:rsid w:val="0D0E5602"/>
    <w:rsid w:val="0D224C0A"/>
    <w:rsid w:val="0D3F3A0E"/>
    <w:rsid w:val="0D6D057B"/>
    <w:rsid w:val="0D86163D"/>
    <w:rsid w:val="0D8E7657"/>
    <w:rsid w:val="0DA815B3"/>
    <w:rsid w:val="0DB17179"/>
    <w:rsid w:val="0DBF375E"/>
    <w:rsid w:val="0DEE0F90"/>
    <w:rsid w:val="0E2E5401"/>
    <w:rsid w:val="0E364E11"/>
    <w:rsid w:val="0E4F7062"/>
    <w:rsid w:val="0E69584E"/>
    <w:rsid w:val="0E7C659C"/>
    <w:rsid w:val="0E925DBF"/>
    <w:rsid w:val="0E9D459F"/>
    <w:rsid w:val="0EA87391"/>
    <w:rsid w:val="0F2E7896"/>
    <w:rsid w:val="0F53597F"/>
    <w:rsid w:val="0F790EE4"/>
    <w:rsid w:val="0F8E47D8"/>
    <w:rsid w:val="0FA22032"/>
    <w:rsid w:val="0FBB0301"/>
    <w:rsid w:val="0FCF2544"/>
    <w:rsid w:val="104D6442"/>
    <w:rsid w:val="10854049"/>
    <w:rsid w:val="10B62239"/>
    <w:rsid w:val="10FA7593"/>
    <w:rsid w:val="11195331"/>
    <w:rsid w:val="11447845"/>
    <w:rsid w:val="115B4B8E"/>
    <w:rsid w:val="11733C86"/>
    <w:rsid w:val="117D4B05"/>
    <w:rsid w:val="11857FB0"/>
    <w:rsid w:val="11934328"/>
    <w:rsid w:val="11A71B81"/>
    <w:rsid w:val="11D55D94"/>
    <w:rsid w:val="11E60706"/>
    <w:rsid w:val="11FC011F"/>
    <w:rsid w:val="123818BC"/>
    <w:rsid w:val="124A70DD"/>
    <w:rsid w:val="127B3A10"/>
    <w:rsid w:val="12850115"/>
    <w:rsid w:val="12942106"/>
    <w:rsid w:val="12BB16C4"/>
    <w:rsid w:val="12C64289"/>
    <w:rsid w:val="13217712"/>
    <w:rsid w:val="133E02C4"/>
    <w:rsid w:val="13890704"/>
    <w:rsid w:val="139B74C4"/>
    <w:rsid w:val="13B32A60"/>
    <w:rsid w:val="1432477D"/>
    <w:rsid w:val="14406309"/>
    <w:rsid w:val="14641FAC"/>
    <w:rsid w:val="149B1AB8"/>
    <w:rsid w:val="149C34F4"/>
    <w:rsid w:val="14CB1356"/>
    <w:rsid w:val="1514752E"/>
    <w:rsid w:val="1527670E"/>
    <w:rsid w:val="15BC1A9A"/>
    <w:rsid w:val="15E770DE"/>
    <w:rsid w:val="15FC3366"/>
    <w:rsid w:val="160A26DF"/>
    <w:rsid w:val="16267214"/>
    <w:rsid w:val="16866209"/>
    <w:rsid w:val="168B7CC4"/>
    <w:rsid w:val="168C01E2"/>
    <w:rsid w:val="16A843D2"/>
    <w:rsid w:val="16AA74CA"/>
    <w:rsid w:val="16B75D0B"/>
    <w:rsid w:val="16E63CD6"/>
    <w:rsid w:val="16F86A83"/>
    <w:rsid w:val="173B7BF8"/>
    <w:rsid w:val="173C2D6C"/>
    <w:rsid w:val="175C6F6A"/>
    <w:rsid w:val="17A43AA7"/>
    <w:rsid w:val="17F453F5"/>
    <w:rsid w:val="18070053"/>
    <w:rsid w:val="181D21DA"/>
    <w:rsid w:val="186D3E1E"/>
    <w:rsid w:val="1878697E"/>
    <w:rsid w:val="18787DD4"/>
    <w:rsid w:val="187F6930"/>
    <w:rsid w:val="18952734"/>
    <w:rsid w:val="189D5A8C"/>
    <w:rsid w:val="18A1732B"/>
    <w:rsid w:val="18BC5F12"/>
    <w:rsid w:val="18D73485"/>
    <w:rsid w:val="18E05E1C"/>
    <w:rsid w:val="191C2E55"/>
    <w:rsid w:val="19434886"/>
    <w:rsid w:val="19443811"/>
    <w:rsid w:val="19690540"/>
    <w:rsid w:val="197C1B46"/>
    <w:rsid w:val="19856003"/>
    <w:rsid w:val="199C5D44"/>
    <w:rsid w:val="19A06CA1"/>
    <w:rsid w:val="19A91355"/>
    <w:rsid w:val="19D578FB"/>
    <w:rsid w:val="19EC2827"/>
    <w:rsid w:val="1A2024D1"/>
    <w:rsid w:val="1A791CC0"/>
    <w:rsid w:val="1AAC1FB7"/>
    <w:rsid w:val="1AC76DF0"/>
    <w:rsid w:val="1B3F5A90"/>
    <w:rsid w:val="1B593EEC"/>
    <w:rsid w:val="1B6D5BEA"/>
    <w:rsid w:val="1B7C5E2D"/>
    <w:rsid w:val="1B9A1C76"/>
    <w:rsid w:val="1BA87053"/>
    <w:rsid w:val="1BF956CF"/>
    <w:rsid w:val="1C181CB9"/>
    <w:rsid w:val="1C183DA8"/>
    <w:rsid w:val="1C2306AB"/>
    <w:rsid w:val="1C275D99"/>
    <w:rsid w:val="1C4E1577"/>
    <w:rsid w:val="1C6944AD"/>
    <w:rsid w:val="1C7A0B59"/>
    <w:rsid w:val="1CBA09BB"/>
    <w:rsid w:val="1CF23FF4"/>
    <w:rsid w:val="1D1E0D20"/>
    <w:rsid w:val="1D2B2800"/>
    <w:rsid w:val="1D596426"/>
    <w:rsid w:val="1D9A259A"/>
    <w:rsid w:val="1DC43B8D"/>
    <w:rsid w:val="1DD42131"/>
    <w:rsid w:val="1DDB32DF"/>
    <w:rsid w:val="1E4E4E69"/>
    <w:rsid w:val="1E4F670C"/>
    <w:rsid w:val="1E8B697F"/>
    <w:rsid w:val="1EC50C8E"/>
    <w:rsid w:val="1F014DCD"/>
    <w:rsid w:val="1F054F31"/>
    <w:rsid w:val="1F0979D8"/>
    <w:rsid w:val="1F291EF0"/>
    <w:rsid w:val="1F687B3E"/>
    <w:rsid w:val="1F7902E1"/>
    <w:rsid w:val="1FB33769"/>
    <w:rsid w:val="20000DDB"/>
    <w:rsid w:val="20140D2A"/>
    <w:rsid w:val="20174376"/>
    <w:rsid w:val="202F288D"/>
    <w:rsid w:val="204C7534"/>
    <w:rsid w:val="20511636"/>
    <w:rsid w:val="20590AA3"/>
    <w:rsid w:val="20631369"/>
    <w:rsid w:val="20686980"/>
    <w:rsid w:val="20B3409F"/>
    <w:rsid w:val="20B73AC6"/>
    <w:rsid w:val="20BC06E0"/>
    <w:rsid w:val="20BE2A44"/>
    <w:rsid w:val="20CC6F0F"/>
    <w:rsid w:val="20D67D8D"/>
    <w:rsid w:val="20D81D57"/>
    <w:rsid w:val="20DD111C"/>
    <w:rsid w:val="20F42EC8"/>
    <w:rsid w:val="20FD52B7"/>
    <w:rsid w:val="21004E0A"/>
    <w:rsid w:val="21090163"/>
    <w:rsid w:val="218C4835"/>
    <w:rsid w:val="219A0DBB"/>
    <w:rsid w:val="219A6826"/>
    <w:rsid w:val="21A63C04"/>
    <w:rsid w:val="21A86502"/>
    <w:rsid w:val="21DD5B8D"/>
    <w:rsid w:val="21DF42CB"/>
    <w:rsid w:val="21ED3348"/>
    <w:rsid w:val="22121299"/>
    <w:rsid w:val="22423D52"/>
    <w:rsid w:val="227A362E"/>
    <w:rsid w:val="22910410"/>
    <w:rsid w:val="22BA74DA"/>
    <w:rsid w:val="22C75BE0"/>
    <w:rsid w:val="22FD5AA5"/>
    <w:rsid w:val="23607DE2"/>
    <w:rsid w:val="23AB72AF"/>
    <w:rsid w:val="23AE001C"/>
    <w:rsid w:val="23B76899"/>
    <w:rsid w:val="23CF2DAA"/>
    <w:rsid w:val="23D700A4"/>
    <w:rsid w:val="23EA427B"/>
    <w:rsid w:val="23FE1AD5"/>
    <w:rsid w:val="23FE3883"/>
    <w:rsid w:val="241E7F1C"/>
    <w:rsid w:val="242A0D30"/>
    <w:rsid w:val="24333812"/>
    <w:rsid w:val="243A2760"/>
    <w:rsid w:val="25096983"/>
    <w:rsid w:val="250C6474"/>
    <w:rsid w:val="2560231B"/>
    <w:rsid w:val="25BA7C7E"/>
    <w:rsid w:val="25E92311"/>
    <w:rsid w:val="26050C44"/>
    <w:rsid w:val="262D66A1"/>
    <w:rsid w:val="26667E05"/>
    <w:rsid w:val="267A66BE"/>
    <w:rsid w:val="2698188A"/>
    <w:rsid w:val="26D6511A"/>
    <w:rsid w:val="26EF3720"/>
    <w:rsid w:val="26FD6402"/>
    <w:rsid w:val="27061C1A"/>
    <w:rsid w:val="272555CB"/>
    <w:rsid w:val="27297642"/>
    <w:rsid w:val="274C6FFB"/>
    <w:rsid w:val="276F4634"/>
    <w:rsid w:val="27787208"/>
    <w:rsid w:val="27822A1D"/>
    <w:rsid w:val="27C754C0"/>
    <w:rsid w:val="27D56FF1"/>
    <w:rsid w:val="27EE434B"/>
    <w:rsid w:val="27F82CDF"/>
    <w:rsid w:val="27FE4861"/>
    <w:rsid w:val="28041684"/>
    <w:rsid w:val="282D2989"/>
    <w:rsid w:val="28572169"/>
    <w:rsid w:val="288B76AF"/>
    <w:rsid w:val="28AD3ACA"/>
    <w:rsid w:val="28FB65E3"/>
    <w:rsid w:val="29A033D2"/>
    <w:rsid w:val="2A443FBA"/>
    <w:rsid w:val="2A6C7505"/>
    <w:rsid w:val="2A6F4B0F"/>
    <w:rsid w:val="2A704A83"/>
    <w:rsid w:val="2A742AF1"/>
    <w:rsid w:val="2A9070CE"/>
    <w:rsid w:val="2A9F38E6"/>
    <w:rsid w:val="2AA50EFC"/>
    <w:rsid w:val="2AA902C1"/>
    <w:rsid w:val="2ADC1961"/>
    <w:rsid w:val="2B0E6B17"/>
    <w:rsid w:val="2B2D4A4E"/>
    <w:rsid w:val="2B982D7B"/>
    <w:rsid w:val="2BB87E97"/>
    <w:rsid w:val="2BBA09D7"/>
    <w:rsid w:val="2BD17ACF"/>
    <w:rsid w:val="2BF437BD"/>
    <w:rsid w:val="2C0734F1"/>
    <w:rsid w:val="2C2440A3"/>
    <w:rsid w:val="2C266070"/>
    <w:rsid w:val="2C2C11A9"/>
    <w:rsid w:val="2C4E2ECE"/>
    <w:rsid w:val="2C840FE5"/>
    <w:rsid w:val="2CA156F3"/>
    <w:rsid w:val="2CD07D87"/>
    <w:rsid w:val="2CD755B9"/>
    <w:rsid w:val="2CFF2E66"/>
    <w:rsid w:val="2D3211F6"/>
    <w:rsid w:val="2D4300B2"/>
    <w:rsid w:val="2D4F2BC7"/>
    <w:rsid w:val="2D5704A8"/>
    <w:rsid w:val="2D960FD0"/>
    <w:rsid w:val="2DB41456"/>
    <w:rsid w:val="2DB456D4"/>
    <w:rsid w:val="2DD12008"/>
    <w:rsid w:val="2DFC2E49"/>
    <w:rsid w:val="2E00469C"/>
    <w:rsid w:val="2E045F3A"/>
    <w:rsid w:val="2E137B25"/>
    <w:rsid w:val="2E20089A"/>
    <w:rsid w:val="2E4F067C"/>
    <w:rsid w:val="2E717347"/>
    <w:rsid w:val="2EBD258D"/>
    <w:rsid w:val="2EEA15D4"/>
    <w:rsid w:val="2EFC4C5E"/>
    <w:rsid w:val="2F7540DC"/>
    <w:rsid w:val="2F7F1DB2"/>
    <w:rsid w:val="2F8310E0"/>
    <w:rsid w:val="2F944666"/>
    <w:rsid w:val="2FAD2601"/>
    <w:rsid w:val="2FC31E25"/>
    <w:rsid w:val="2FF5737A"/>
    <w:rsid w:val="302F3016"/>
    <w:rsid w:val="303037BD"/>
    <w:rsid w:val="303348B4"/>
    <w:rsid w:val="303F7AB7"/>
    <w:rsid w:val="30801AC4"/>
    <w:rsid w:val="30CC5C22"/>
    <w:rsid w:val="31146E29"/>
    <w:rsid w:val="31210BB1"/>
    <w:rsid w:val="312842D1"/>
    <w:rsid w:val="315A40C3"/>
    <w:rsid w:val="31666F0B"/>
    <w:rsid w:val="31675485"/>
    <w:rsid w:val="31872BDF"/>
    <w:rsid w:val="31D36F31"/>
    <w:rsid w:val="31EC7411"/>
    <w:rsid w:val="32081D71"/>
    <w:rsid w:val="321A4575"/>
    <w:rsid w:val="32267863"/>
    <w:rsid w:val="32290665"/>
    <w:rsid w:val="322E4D64"/>
    <w:rsid w:val="324C4353"/>
    <w:rsid w:val="328C5B95"/>
    <w:rsid w:val="329F26D5"/>
    <w:rsid w:val="32BD3403"/>
    <w:rsid w:val="32C72463"/>
    <w:rsid w:val="32CC29D1"/>
    <w:rsid w:val="32E16CA3"/>
    <w:rsid w:val="32FA5B5D"/>
    <w:rsid w:val="331D6BB7"/>
    <w:rsid w:val="33647114"/>
    <w:rsid w:val="33852A1B"/>
    <w:rsid w:val="339E298D"/>
    <w:rsid w:val="33B757FC"/>
    <w:rsid w:val="33C13C9E"/>
    <w:rsid w:val="340F388A"/>
    <w:rsid w:val="34270BD4"/>
    <w:rsid w:val="34452E08"/>
    <w:rsid w:val="344C23E9"/>
    <w:rsid w:val="34737FC2"/>
    <w:rsid w:val="347D07F4"/>
    <w:rsid w:val="347E456C"/>
    <w:rsid w:val="34873421"/>
    <w:rsid w:val="34992DC6"/>
    <w:rsid w:val="34DD1293"/>
    <w:rsid w:val="34F12F90"/>
    <w:rsid w:val="350157B8"/>
    <w:rsid w:val="350727B3"/>
    <w:rsid w:val="35215623"/>
    <w:rsid w:val="359A7184"/>
    <w:rsid w:val="360F7B72"/>
    <w:rsid w:val="36442EE1"/>
    <w:rsid w:val="365C2DD8"/>
    <w:rsid w:val="36C26992"/>
    <w:rsid w:val="36CF12FC"/>
    <w:rsid w:val="36E83F1F"/>
    <w:rsid w:val="36FE2349"/>
    <w:rsid w:val="370D6FB9"/>
    <w:rsid w:val="371A67CE"/>
    <w:rsid w:val="372B09DB"/>
    <w:rsid w:val="37313B18"/>
    <w:rsid w:val="373D426B"/>
    <w:rsid w:val="37411FAD"/>
    <w:rsid w:val="376C4DC8"/>
    <w:rsid w:val="376E4545"/>
    <w:rsid w:val="378873DB"/>
    <w:rsid w:val="379B66D8"/>
    <w:rsid w:val="37C671B5"/>
    <w:rsid w:val="37FD080B"/>
    <w:rsid w:val="380B1C8B"/>
    <w:rsid w:val="38351656"/>
    <w:rsid w:val="384C5822"/>
    <w:rsid w:val="38593326"/>
    <w:rsid w:val="388534E9"/>
    <w:rsid w:val="388D2FD0"/>
    <w:rsid w:val="38997BC6"/>
    <w:rsid w:val="38B642D4"/>
    <w:rsid w:val="38C2711D"/>
    <w:rsid w:val="38D96215"/>
    <w:rsid w:val="38E376CC"/>
    <w:rsid w:val="38EA7DB7"/>
    <w:rsid w:val="38F92413"/>
    <w:rsid w:val="391159AF"/>
    <w:rsid w:val="3914549F"/>
    <w:rsid w:val="392D7775"/>
    <w:rsid w:val="392E6561"/>
    <w:rsid w:val="393022D9"/>
    <w:rsid w:val="397865C9"/>
    <w:rsid w:val="39932868"/>
    <w:rsid w:val="39B522FA"/>
    <w:rsid w:val="39EE7A9E"/>
    <w:rsid w:val="39F74AB4"/>
    <w:rsid w:val="3A142996"/>
    <w:rsid w:val="3A445910"/>
    <w:rsid w:val="3A4F2C33"/>
    <w:rsid w:val="3A5C0EAC"/>
    <w:rsid w:val="3A833F1C"/>
    <w:rsid w:val="3A995C5C"/>
    <w:rsid w:val="3AAD7959"/>
    <w:rsid w:val="3ABE1B66"/>
    <w:rsid w:val="3ACD1DA9"/>
    <w:rsid w:val="3ACE7206"/>
    <w:rsid w:val="3AD15428"/>
    <w:rsid w:val="3AD44EE6"/>
    <w:rsid w:val="3AF42805"/>
    <w:rsid w:val="3B071680"/>
    <w:rsid w:val="3B5548DC"/>
    <w:rsid w:val="3B996735"/>
    <w:rsid w:val="3C1D79DA"/>
    <w:rsid w:val="3C1F090A"/>
    <w:rsid w:val="3C7C75E3"/>
    <w:rsid w:val="3CE00ED6"/>
    <w:rsid w:val="3CE84C78"/>
    <w:rsid w:val="3CEA3679"/>
    <w:rsid w:val="3D0311E8"/>
    <w:rsid w:val="3D0733E0"/>
    <w:rsid w:val="3D177D49"/>
    <w:rsid w:val="3D281519"/>
    <w:rsid w:val="3DA00CF0"/>
    <w:rsid w:val="3DD800EA"/>
    <w:rsid w:val="3DF86D8D"/>
    <w:rsid w:val="3E021D6A"/>
    <w:rsid w:val="3E03620E"/>
    <w:rsid w:val="3E0755D2"/>
    <w:rsid w:val="3E5B3170"/>
    <w:rsid w:val="3E5B755C"/>
    <w:rsid w:val="3E66679D"/>
    <w:rsid w:val="3E6F5704"/>
    <w:rsid w:val="3E96289E"/>
    <w:rsid w:val="3EB0073B"/>
    <w:rsid w:val="3EBE1F89"/>
    <w:rsid w:val="3EC62D97"/>
    <w:rsid w:val="3EE55BC4"/>
    <w:rsid w:val="3EF0450F"/>
    <w:rsid w:val="3F2D0D35"/>
    <w:rsid w:val="3F655964"/>
    <w:rsid w:val="3F7F7B16"/>
    <w:rsid w:val="3F84512C"/>
    <w:rsid w:val="3F890805"/>
    <w:rsid w:val="3F9B06C8"/>
    <w:rsid w:val="3FDF697D"/>
    <w:rsid w:val="3FE479C5"/>
    <w:rsid w:val="3FF73837"/>
    <w:rsid w:val="40277FDB"/>
    <w:rsid w:val="404448BC"/>
    <w:rsid w:val="406B52E0"/>
    <w:rsid w:val="40861B2C"/>
    <w:rsid w:val="40D14C74"/>
    <w:rsid w:val="40E86356"/>
    <w:rsid w:val="40F40090"/>
    <w:rsid w:val="410A1661"/>
    <w:rsid w:val="41214BFD"/>
    <w:rsid w:val="412E692E"/>
    <w:rsid w:val="41540B2E"/>
    <w:rsid w:val="415B3C6B"/>
    <w:rsid w:val="419E46C8"/>
    <w:rsid w:val="41EA1493"/>
    <w:rsid w:val="423001D3"/>
    <w:rsid w:val="423A7D24"/>
    <w:rsid w:val="423D15C3"/>
    <w:rsid w:val="426D634C"/>
    <w:rsid w:val="42733236"/>
    <w:rsid w:val="428A2618"/>
    <w:rsid w:val="429A07C3"/>
    <w:rsid w:val="42A94972"/>
    <w:rsid w:val="42AC04F6"/>
    <w:rsid w:val="42BC34B3"/>
    <w:rsid w:val="42CE66BF"/>
    <w:rsid w:val="42D261AF"/>
    <w:rsid w:val="42D77022"/>
    <w:rsid w:val="43311636"/>
    <w:rsid w:val="436A63E7"/>
    <w:rsid w:val="439416B6"/>
    <w:rsid w:val="43B6162D"/>
    <w:rsid w:val="43D30430"/>
    <w:rsid w:val="43E3619A"/>
    <w:rsid w:val="43F72EE5"/>
    <w:rsid w:val="440A3726"/>
    <w:rsid w:val="44727C49"/>
    <w:rsid w:val="447F4114"/>
    <w:rsid w:val="44E32005"/>
    <w:rsid w:val="44EA7A19"/>
    <w:rsid w:val="44EE4DF6"/>
    <w:rsid w:val="44F72251"/>
    <w:rsid w:val="45034D45"/>
    <w:rsid w:val="45140D01"/>
    <w:rsid w:val="45222D1F"/>
    <w:rsid w:val="45513D03"/>
    <w:rsid w:val="45877724"/>
    <w:rsid w:val="45BB63E7"/>
    <w:rsid w:val="45C53369"/>
    <w:rsid w:val="45CB432D"/>
    <w:rsid w:val="45E613A6"/>
    <w:rsid w:val="460C5E7C"/>
    <w:rsid w:val="46184820"/>
    <w:rsid w:val="462C3E28"/>
    <w:rsid w:val="46462801"/>
    <w:rsid w:val="46573036"/>
    <w:rsid w:val="467557CF"/>
    <w:rsid w:val="46795D28"/>
    <w:rsid w:val="46B81B60"/>
    <w:rsid w:val="46D149CF"/>
    <w:rsid w:val="46DA15C8"/>
    <w:rsid w:val="470B6689"/>
    <w:rsid w:val="47280B0F"/>
    <w:rsid w:val="473E3139"/>
    <w:rsid w:val="474E2C52"/>
    <w:rsid w:val="47541888"/>
    <w:rsid w:val="4774766C"/>
    <w:rsid w:val="47B6609F"/>
    <w:rsid w:val="47C84024"/>
    <w:rsid w:val="47CA56A6"/>
    <w:rsid w:val="47E90213"/>
    <w:rsid w:val="47F04B43"/>
    <w:rsid w:val="48840354"/>
    <w:rsid w:val="489A151D"/>
    <w:rsid w:val="48A979B2"/>
    <w:rsid w:val="48B50F85"/>
    <w:rsid w:val="48E52146"/>
    <w:rsid w:val="49351245"/>
    <w:rsid w:val="49372572"/>
    <w:rsid w:val="494342BF"/>
    <w:rsid w:val="49843268"/>
    <w:rsid w:val="4A06526A"/>
    <w:rsid w:val="4A11128D"/>
    <w:rsid w:val="4A1E00AD"/>
    <w:rsid w:val="4A1E7F2C"/>
    <w:rsid w:val="4A2319E6"/>
    <w:rsid w:val="4A3819C9"/>
    <w:rsid w:val="4A752E2C"/>
    <w:rsid w:val="4A9527F6"/>
    <w:rsid w:val="4A987961"/>
    <w:rsid w:val="4ABF0B0E"/>
    <w:rsid w:val="4B324D48"/>
    <w:rsid w:val="4B434868"/>
    <w:rsid w:val="4BAD1B8A"/>
    <w:rsid w:val="4BDC3BFA"/>
    <w:rsid w:val="4BE03F7C"/>
    <w:rsid w:val="4C295F64"/>
    <w:rsid w:val="4C59524B"/>
    <w:rsid w:val="4C772E5E"/>
    <w:rsid w:val="4C7A26AB"/>
    <w:rsid w:val="4C8F3CD5"/>
    <w:rsid w:val="4CC44379"/>
    <w:rsid w:val="4CFD6AC3"/>
    <w:rsid w:val="4D0677A3"/>
    <w:rsid w:val="4D143A43"/>
    <w:rsid w:val="4DAB41CC"/>
    <w:rsid w:val="4DC64B62"/>
    <w:rsid w:val="4DD51249"/>
    <w:rsid w:val="4DD70B1D"/>
    <w:rsid w:val="4DE54F9C"/>
    <w:rsid w:val="4DED2624"/>
    <w:rsid w:val="4E255D2C"/>
    <w:rsid w:val="4E2A3343"/>
    <w:rsid w:val="4E3171D2"/>
    <w:rsid w:val="4E4869FD"/>
    <w:rsid w:val="4E5E123E"/>
    <w:rsid w:val="4E790595"/>
    <w:rsid w:val="4E8D616E"/>
    <w:rsid w:val="4E9D0580"/>
    <w:rsid w:val="4EB82EA4"/>
    <w:rsid w:val="4ED4505D"/>
    <w:rsid w:val="4EDA0F2A"/>
    <w:rsid w:val="4EE3431C"/>
    <w:rsid w:val="4EEA4880"/>
    <w:rsid w:val="4F18763F"/>
    <w:rsid w:val="4F4915A7"/>
    <w:rsid w:val="4F552641"/>
    <w:rsid w:val="4F5C20BE"/>
    <w:rsid w:val="4F716D4F"/>
    <w:rsid w:val="4FCE2EBB"/>
    <w:rsid w:val="4FD07F1A"/>
    <w:rsid w:val="4FDA6871"/>
    <w:rsid w:val="4FF37764"/>
    <w:rsid w:val="50100A8E"/>
    <w:rsid w:val="502B6EFE"/>
    <w:rsid w:val="502D2C76"/>
    <w:rsid w:val="50371D47"/>
    <w:rsid w:val="5041117A"/>
    <w:rsid w:val="504A7CCC"/>
    <w:rsid w:val="508C2093"/>
    <w:rsid w:val="50C86E43"/>
    <w:rsid w:val="50F6750C"/>
    <w:rsid w:val="510A2FB8"/>
    <w:rsid w:val="513149E8"/>
    <w:rsid w:val="51533DD5"/>
    <w:rsid w:val="5164091A"/>
    <w:rsid w:val="51A47BE3"/>
    <w:rsid w:val="51BB0E1D"/>
    <w:rsid w:val="52132340"/>
    <w:rsid w:val="521E54EC"/>
    <w:rsid w:val="52406284"/>
    <w:rsid w:val="52522E68"/>
    <w:rsid w:val="525A3A70"/>
    <w:rsid w:val="526A01B2"/>
    <w:rsid w:val="529671F9"/>
    <w:rsid w:val="52AB3EAF"/>
    <w:rsid w:val="52B97E52"/>
    <w:rsid w:val="532758FD"/>
    <w:rsid w:val="53360094"/>
    <w:rsid w:val="53385317"/>
    <w:rsid w:val="53BD6A07"/>
    <w:rsid w:val="53C26965"/>
    <w:rsid w:val="540E12E8"/>
    <w:rsid w:val="543C3DD0"/>
    <w:rsid w:val="544C1A92"/>
    <w:rsid w:val="54662BFB"/>
    <w:rsid w:val="54CE136F"/>
    <w:rsid w:val="54F226E1"/>
    <w:rsid w:val="550A054A"/>
    <w:rsid w:val="55157EE3"/>
    <w:rsid w:val="554C0043"/>
    <w:rsid w:val="55570796"/>
    <w:rsid w:val="556C4241"/>
    <w:rsid w:val="558A0B6B"/>
    <w:rsid w:val="55B716EA"/>
    <w:rsid w:val="55E4027B"/>
    <w:rsid w:val="55FA0B6B"/>
    <w:rsid w:val="56242D6E"/>
    <w:rsid w:val="563067F8"/>
    <w:rsid w:val="563C00B7"/>
    <w:rsid w:val="563D3E2F"/>
    <w:rsid w:val="56494582"/>
    <w:rsid w:val="565F3DA6"/>
    <w:rsid w:val="56717F8A"/>
    <w:rsid w:val="5689523C"/>
    <w:rsid w:val="568E2E5F"/>
    <w:rsid w:val="569B74EF"/>
    <w:rsid w:val="56A2165C"/>
    <w:rsid w:val="56A808D9"/>
    <w:rsid w:val="56B20E9A"/>
    <w:rsid w:val="56BC50CD"/>
    <w:rsid w:val="56C02A96"/>
    <w:rsid w:val="571D3554"/>
    <w:rsid w:val="57283BC7"/>
    <w:rsid w:val="573B4357"/>
    <w:rsid w:val="578E4942"/>
    <w:rsid w:val="57995095"/>
    <w:rsid w:val="579964F2"/>
    <w:rsid w:val="57B63E99"/>
    <w:rsid w:val="57C739B1"/>
    <w:rsid w:val="580B5F93"/>
    <w:rsid w:val="5822677F"/>
    <w:rsid w:val="5839366A"/>
    <w:rsid w:val="58FE405D"/>
    <w:rsid w:val="59296011"/>
    <w:rsid w:val="59602944"/>
    <w:rsid w:val="5961385B"/>
    <w:rsid w:val="59837899"/>
    <w:rsid w:val="59A73D4C"/>
    <w:rsid w:val="59EA1BD8"/>
    <w:rsid w:val="5A07278A"/>
    <w:rsid w:val="5A355549"/>
    <w:rsid w:val="5A3B0686"/>
    <w:rsid w:val="5A43176B"/>
    <w:rsid w:val="5A4E3CC0"/>
    <w:rsid w:val="5A554C9A"/>
    <w:rsid w:val="5A557999"/>
    <w:rsid w:val="5AA12BDF"/>
    <w:rsid w:val="5B01367D"/>
    <w:rsid w:val="5B280C0A"/>
    <w:rsid w:val="5BBE32C2"/>
    <w:rsid w:val="5BE04140"/>
    <w:rsid w:val="5C007491"/>
    <w:rsid w:val="5C042BDD"/>
    <w:rsid w:val="5C0F5926"/>
    <w:rsid w:val="5C25755E"/>
    <w:rsid w:val="5C4001D5"/>
    <w:rsid w:val="5C8B76A2"/>
    <w:rsid w:val="5C9C18B0"/>
    <w:rsid w:val="5CD34BA6"/>
    <w:rsid w:val="5CFA0384"/>
    <w:rsid w:val="5D0C7BFE"/>
    <w:rsid w:val="5D2E468D"/>
    <w:rsid w:val="5D6C356E"/>
    <w:rsid w:val="5D795ADD"/>
    <w:rsid w:val="5DC235F7"/>
    <w:rsid w:val="5DCA795F"/>
    <w:rsid w:val="5DF43025"/>
    <w:rsid w:val="5DFD054E"/>
    <w:rsid w:val="5E1E7E28"/>
    <w:rsid w:val="5E2E7FBC"/>
    <w:rsid w:val="5E3C677A"/>
    <w:rsid w:val="5E48511F"/>
    <w:rsid w:val="5E6259DA"/>
    <w:rsid w:val="5E766E1C"/>
    <w:rsid w:val="5E92231A"/>
    <w:rsid w:val="5E950C90"/>
    <w:rsid w:val="5EA26F25"/>
    <w:rsid w:val="5EB40A82"/>
    <w:rsid w:val="5EBD3D5F"/>
    <w:rsid w:val="5EDB41E5"/>
    <w:rsid w:val="5F2F48BE"/>
    <w:rsid w:val="5F49114F"/>
    <w:rsid w:val="5F570658"/>
    <w:rsid w:val="5F5B1FAC"/>
    <w:rsid w:val="5F801F08"/>
    <w:rsid w:val="5F8D54E0"/>
    <w:rsid w:val="5FA3285F"/>
    <w:rsid w:val="5FAF18FA"/>
    <w:rsid w:val="60250735"/>
    <w:rsid w:val="603B13E0"/>
    <w:rsid w:val="60567563"/>
    <w:rsid w:val="606049A2"/>
    <w:rsid w:val="608F34D9"/>
    <w:rsid w:val="60C47564"/>
    <w:rsid w:val="60E026DB"/>
    <w:rsid w:val="60EA6B5E"/>
    <w:rsid w:val="60F8107F"/>
    <w:rsid w:val="61196C1F"/>
    <w:rsid w:val="614B64C5"/>
    <w:rsid w:val="61A46B11"/>
    <w:rsid w:val="61A66D2D"/>
    <w:rsid w:val="61C13B66"/>
    <w:rsid w:val="61EA4E6B"/>
    <w:rsid w:val="61EE5FDE"/>
    <w:rsid w:val="61FE0F9B"/>
    <w:rsid w:val="62157A0E"/>
    <w:rsid w:val="622D6B06"/>
    <w:rsid w:val="623460E6"/>
    <w:rsid w:val="62546789"/>
    <w:rsid w:val="625E13B5"/>
    <w:rsid w:val="62810954"/>
    <w:rsid w:val="62A80882"/>
    <w:rsid w:val="62D578C9"/>
    <w:rsid w:val="62DF24F6"/>
    <w:rsid w:val="62EF1C55"/>
    <w:rsid w:val="631B43BD"/>
    <w:rsid w:val="63213449"/>
    <w:rsid w:val="632717A7"/>
    <w:rsid w:val="63422A85"/>
    <w:rsid w:val="6381535B"/>
    <w:rsid w:val="63824E99"/>
    <w:rsid w:val="63AE3C76"/>
    <w:rsid w:val="63D336DD"/>
    <w:rsid w:val="63F70082"/>
    <w:rsid w:val="64387847"/>
    <w:rsid w:val="643E324C"/>
    <w:rsid w:val="644D348F"/>
    <w:rsid w:val="64A357A5"/>
    <w:rsid w:val="64BC23C3"/>
    <w:rsid w:val="64D92F75"/>
    <w:rsid w:val="64F0440B"/>
    <w:rsid w:val="64FF4855"/>
    <w:rsid w:val="65116EDB"/>
    <w:rsid w:val="65273CE0"/>
    <w:rsid w:val="6552718E"/>
    <w:rsid w:val="655A5E64"/>
    <w:rsid w:val="65626BBB"/>
    <w:rsid w:val="658764DB"/>
    <w:rsid w:val="658E3D60"/>
    <w:rsid w:val="65A04864"/>
    <w:rsid w:val="65A65DFB"/>
    <w:rsid w:val="65B94D9C"/>
    <w:rsid w:val="65CB6D62"/>
    <w:rsid w:val="65CE0600"/>
    <w:rsid w:val="65D61F4D"/>
    <w:rsid w:val="65EB7404"/>
    <w:rsid w:val="65F8742B"/>
    <w:rsid w:val="661B1DC2"/>
    <w:rsid w:val="666130C7"/>
    <w:rsid w:val="66664CDC"/>
    <w:rsid w:val="668A14B4"/>
    <w:rsid w:val="66E225B5"/>
    <w:rsid w:val="66ED0F5A"/>
    <w:rsid w:val="670D1E38"/>
    <w:rsid w:val="67310E46"/>
    <w:rsid w:val="67455295"/>
    <w:rsid w:val="67580891"/>
    <w:rsid w:val="67AC2BC3"/>
    <w:rsid w:val="67D55C76"/>
    <w:rsid w:val="67D8681C"/>
    <w:rsid w:val="684D0415"/>
    <w:rsid w:val="685A617B"/>
    <w:rsid w:val="689F6284"/>
    <w:rsid w:val="68BC0BE4"/>
    <w:rsid w:val="68CB6608"/>
    <w:rsid w:val="68EA008D"/>
    <w:rsid w:val="69206B35"/>
    <w:rsid w:val="69285FBC"/>
    <w:rsid w:val="692C5D69"/>
    <w:rsid w:val="693115D2"/>
    <w:rsid w:val="693D3A39"/>
    <w:rsid w:val="69513A22"/>
    <w:rsid w:val="69601EB7"/>
    <w:rsid w:val="69931944"/>
    <w:rsid w:val="69FB15E6"/>
    <w:rsid w:val="6A08311B"/>
    <w:rsid w:val="6A2372DE"/>
    <w:rsid w:val="6A9D12EA"/>
    <w:rsid w:val="6B1754B7"/>
    <w:rsid w:val="6B1C51D6"/>
    <w:rsid w:val="6B3E7FD6"/>
    <w:rsid w:val="6B5E209A"/>
    <w:rsid w:val="6B637A3C"/>
    <w:rsid w:val="6B824366"/>
    <w:rsid w:val="6BBE4C73"/>
    <w:rsid w:val="6BE91C61"/>
    <w:rsid w:val="6C0A4C21"/>
    <w:rsid w:val="6C382C77"/>
    <w:rsid w:val="6C3B606F"/>
    <w:rsid w:val="6C3F1694"/>
    <w:rsid w:val="6C71035C"/>
    <w:rsid w:val="6C8D2FC3"/>
    <w:rsid w:val="6CA1081C"/>
    <w:rsid w:val="6CC258F1"/>
    <w:rsid w:val="6CDF31BB"/>
    <w:rsid w:val="6CE10C19"/>
    <w:rsid w:val="6CE4695B"/>
    <w:rsid w:val="6CF750BF"/>
    <w:rsid w:val="6D3E606B"/>
    <w:rsid w:val="6D415F34"/>
    <w:rsid w:val="6D6D06FE"/>
    <w:rsid w:val="6DB91B96"/>
    <w:rsid w:val="6DC11E18"/>
    <w:rsid w:val="6DEA2991"/>
    <w:rsid w:val="6E0252EB"/>
    <w:rsid w:val="6E032E11"/>
    <w:rsid w:val="6E162A32"/>
    <w:rsid w:val="6E892F9B"/>
    <w:rsid w:val="6E9E237B"/>
    <w:rsid w:val="6EA15F8C"/>
    <w:rsid w:val="6EA73338"/>
    <w:rsid w:val="6EA77670"/>
    <w:rsid w:val="6EF0523A"/>
    <w:rsid w:val="6EFF0A6A"/>
    <w:rsid w:val="6F3E05E1"/>
    <w:rsid w:val="6F7B6E0E"/>
    <w:rsid w:val="6F9C4FC1"/>
    <w:rsid w:val="6FAC4C10"/>
    <w:rsid w:val="70054994"/>
    <w:rsid w:val="70476728"/>
    <w:rsid w:val="705160B5"/>
    <w:rsid w:val="70566C86"/>
    <w:rsid w:val="70A12E32"/>
    <w:rsid w:val="70B328CC"/>
    <w:rsid w:val="70C31037"/>
    <w:rsid w:val="70C66AA9"/>
    <w:rsid w:val="70CD6084"/>
    <w:rsid w:val="70DA42FD"/>
    <w:rsid w:val="70E45E01"/>
    <w:rsid w:val="711A05D6"/>
    <w:rsid w:val="712B1AC6"/>
    <w:rsid w:val="71344228"/>
    <w:rsid w:val="714F4CEB"/>
    <w:rsid w:val="71521AD4"/>
    <w:rsid w:val="71722787"/>
    <w:rsid w:val="718C7E8C"/>
    <w:rsid w:val="71A861A9"/>
    <w:rsid w:val="71CE6551"/>
    <w:rsid w:val="71D62D16"/>
    <w:rsid w:val="72001B41"/>
    <w:rsid w:val="720F447A"/>
    <w:rsid w:val="72115F01"/>
    <w:rsid w:val="721675B7"/>
    <w:rsid w:val="72310F6D"/>
    <w:rsid w:val="724063E2"/>
    <w:rsid w:val="724F0D1A"/>
    <w:rsid w:val="724F6C0E"/>
    <w:rsid w:val="7265020A"/>
    <w:rsid w:val="72A5405A"/>
    <w:rsid w:val="72AB139A"/>
    <w:rsid w:val="72C2329A"/>
    <w:rsid w:val="72CB65F3"/>
    <w:rsid w:val="72CE1C3F"/>
    <w:rsid w:val="72F84F0E"/>
    <w:rsid w:val="7318735E"/>
    <w:rsid w:val="732B18FE"/>
    <w:rsid w:val="7338355D"/>
    <w:rsid w:val="735C36EF"/>
    <w:rsid w:val="73634A7D"/>
    <w:rsid w:val="73A429A0"/>
    <w:rsid w:val="741140B9"/>
    <w:rsid w:val="741C19B0"/>
    <w:rsid w:val="74343D24"/>
    <w:rsid w:val="743B2F14"/>
    <w:rsid w:val="744523D5"/>
    <w:rsid w:val="744B5BA5"/>
    <w:rsid w:val="744D3038"/>
    <w:rsid w:val="745D496B"/>
    <w:rsid w:val="74B86703"/>
    <w:rsid w:val="74BF5CE3"/>
    <w:rsid w:val="74CE5F27"/>
    <w:rsid w:val="74DA2B1D"/>
    <w:rsid w:val="7530273D"/>
    <w:rsid w:val="75493D55"/>
    <w:rsid w:val="757231C6"/>
    <w:rsid w:val="75785F5F"/>
    <w:rsid w:val="757C2967"/>
    <w:rsid w:val="75986535"/>
    <w:rsid w:val="75B20C99"/>
    <w:rsid w:val="75C21E07"/>
    <w:rsid w:val="75C8506C"/>
    <w:rsid w:val="75D6277C"/>
    <w:rsid w:val="7639429B"/>
    <w:rsid w:val="766B0DAB"/>
    <w:rsid w:val="76807575"/>
    <w:rsid w:val="76CE3629"/>
    <w:rsid w:val="76D02922"/>
    <w:rsid w:val="76D161A2"/>
    <w:rsid w:val="76F91992"/>
    <w:rsid w:val="77044793"/>
    <w:rsid w:val="77075720"/>
    <w:rsid w:val="772462D2"/>
    <w:rsid w:val="7763329E"/>
    <w:rsid w:val="776A6F27"/>
    <w:rsid w:val="776C7C79"/>
    <w:rsid w:val="778929C4"/>
    <w:rsid w:val="77A1606E"/>
    <w:rsid w:val="77A411C1"/>
    <w:rsid w:val="77AC1CAC"/>
    <w:rsid w:val="77D85FDB"/>
    <w:rsid w:val="77EB15AF"/>
    <w:rsid w:val="78085BF3"/>
    <w:rsid w:val="78202F3D"/>
    <w:rsid w:val="78497472"/>
    <w:rsid w:val="78751BFD"/>
    <w:rsid w:val="78782095"/>
    <w:rsid w:val="78A4536A"/>
    <w:rsid w:val="78B673FD"/>
    <w:rsid w:val="78ED1A19"/>
    <w:rsid w:val="78ED60E7"/>
    <w:rsid w:val="78F30652"/>
    <w:rsid w:val="792F0F5E"/>
    <w:rsid w:val="797F60F9"/>
    <w:rsid w:val="799139C7"/>
    <w:rsid w:val="79AC25AE"/>
    <w:rsid w:val="79B55907"/>
    <w:rsid w:val="79BE083D"/>
    <w:rsid w:val="79D035BA"/>
    <w:rsid w:val="79E455F3"/>
    <w:rsid w:val="79F503F9"/>
    <w:rsid w:val="7A1832D9"/>
    <w:rsid w:val="7A41363F"/>
    <w:rsid w:val="7A5347AE"/>
    <w:rsid w:val="7A5C3751"/>
    <w:rsid w:val="7A6048AA"/>
    <w:rsid w:val="7A632F9E"/>
    <w:rsid w:val="7A633442"/>
    <w:rsid w:val="7AA65250"/>
    <w:rsid w:val="7AB20098"/>
    <w:rsid w:val="7AC2778B"/>
    <w:rsid w:val="7AE30252"/>
    <w:rsid w:val="7AE4072F"/>
    <w:rsid w:val="7B1D4B83"/>
    <w:rsid w:val="7B374B30"/>
    <w:rsid w:val="7B670E83"/>
    <w:rsid w:val="7BB8348D"/>
    <w:rsid w:val="7BBA5457"/>
    <w:rsid w:val="7BE136AF"/>
    <w:rsid w:val="7C0641F8"/>
    <w:rsid w:val="7C10151B"/>
    <w:rsid w:val="7C2D5C29"/>
    <w:rsid w:val="7C3A6597"/>
    <w:rsid w:val="7C402DF3"/>
    <w:rsid w:val="7C7E46D6"/>
    <w:rsid w:val="7C830F7C"/>
    <w:rsid w:val="7C8C5E13"/>
    <w:rsid w:val="7CA039F9"/>
    <w:rsid w:val="7CA468AE"/>
    <w:rsid w:val="7CB15751"/>
    <w:rsid w:val="7D9B5151"/>
    <w:rsid w:val="7DA22F08"/>
    <w:rsid w:val="7DAC2BAA"/>
    <w:rsid w:val="7DAD3841"/>
    <w:rsid w:val="7DB008BF"/>
    <w:rsid w:val="7DC10D1E"/>
    <w:rsid w:val="7E2D0162"/>
    <w:rsid w:val="7E3E411D"/>
    <w:rsid w:val="7E7B3E16"/>
    <w:rsid w:val="7E8A2092"/>
    <w:rsid w:val="7EAA1510"/>
    <w:rsid w:val="7ED72A0A"/>
    <w:rsid w:val="7EFE1AFE"/>
    <w:rsid w:val="7F354B67"/>
    <w:rsid w:val="7F48425D"/>
    <w:rsid w:val="7F947D6D"/>
    <w:rsid w:val="7FAE7080"/>
    <w:rsid w:val="7FE32D5D"/>
    <w:rsid w:val="7FEE222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autoSpaceDN/>
      <w:adjustRightInd w:val="0"/>
      <w:snapToGrid w:val="0"/>
      <w:spacing w:line="560" w:lineRule="exact"/>
      <w:ind w:firstLine="420" w:firstLineChars="200"/>
      <w:jc w:val="left"/>
      <w:textAlignment w:val="baseline"/>
    </w:pPr>
    <w:rPr>
      <w:rFonts w:ascii="Arial" w:hAnsi="Arial" w:eastAsia="仿宋" w:cs="Arial"/>
      <w:snapToGrid w:val="0"/>
      <w:color w:val="000000"/>
      <w:kern w:val="0"/>
      <w:sz w:val="31"/>
      <w:szCs w:val="21"/>
      <w:lang w:val="en-US" w:eastAsia="en-US" w:bidi="ar-SA"/>
    </w:rPr>
  </w:style>
  <w:style w:type="paragraph" w:styleId="2">
    <w:name w:val="heading 1"/>
    <w:basedOn w:val="1"/>
    <w:next w:val="1"/>
    <w:qFormat/>
    <w:uiPriority w:val="0"/>
    <w:pPr>
      <w:keepNext/>
      <w:keepLines/>
      <w:numPr>
        <w:ilvl w:val="0"/>
        <w:numId w:val="1"/>
      </w:numPr>
      <w:tabs>
        <w:tab w:val="left" w:pos="432"/>
      </w:tabs>
      <w:topLinePunct/>
      <w:adjustRightInd w:val="0"/>
      <w:snapToGrid w:val="0"/>
      <w:spacing w:before="150" w:beforeLines="150" w:line="480" w:lineRule="atLeast"/>
      <w:ind w:firstLineChars="0"/>
      <w:jc w:val="left"/>
      <w:textAlignment w:val="center"/>
      <w:outlineLvl w:val="0"/>
    </w:pPr>
    <w:rPr>
      <w:rFonts w:ascii="Arial" w:hAnsi="Arial" w:eastAsia="黑体"/>
      <w:b/>
      <w:bCs/>
      <w:sz w:val="32"/>
      <w:szCs w:val="28"/>
    </w:rPr>
  </w:style>
  <w:style w:type="paragraph" w:styleId="3">
    <w:name w:val="heading 2"/>
    <w:basedOn w:val="1"/>
    <w:next w:val="1"/>
    <w:qFormat/>
    <w:uiPriority w:val="0"/>
    <w:pPr>
      <w:keepNext/>
      <w:keepLines/>
      <w:spacing w:before="260" w:after="20" w:line="416" w:lineRule="atLeast"/>
      <w:outlineLvl w:val="1"/>
    </w:pPr>
    <w:rPr>
      <w:rFonts w:ascii="Arial" w:hAnsi="Arial" w:eastAsia="楷体"/>
      <w:b/>
      <w:bCs/>
      <w:sz w:val="32"/>
      <w:szCs w:val="32"/>
    </w:rPr>
  </w:style>
  <w:style w:type="paragraph" w:styleId="4">
    <w:name w:val="heading 3"/>
    <w:basedOn w:val="1"/>
    <w:next w:val="1"/>
    <w:qFormat/>
    <w:uiPriority w:val="0"/>
    <w:pPr>
      <w:keepNext/>
      <w:keepLines/>
      <w:numPr>
        <w:ilvl w:val="2"/>
        <w:numId w:val="2"/>
      </w:numPr>
      <w:topLinePunct/>
      <w:adjustRightInd w:val="0"/>
      <w:snapToGrid w:val="0"/>
      <w:spacing w:line="480" w:lineRule="atLeast"/>
      <w:ind w:firstLineChars="0"/>
      <w:jc w:val="left"/>
      <w:textAlignment w:val="center"/>
      <w:outlineLvl w:val="2"/>
    </w:pPr>
    <w:rPr>
      <w:b/>
      <w:bCs/>
      <w:szCs w:val="28"/>
      <w:lang w:val="sv-SE"/>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240" w:lineRule="auto"/>
      <w:ind w:firstLine="420"/>
    </w:pPr>
    <w:rPr>
      <w:sz w:val="21"/>
    </w:rPr>
  </w:style>
  <w:style w:type="paragraph" w:styleId="6">
    <w:name w:val="annotation text"/>
    <w:basedOn w:val="1"/>
    <w:qFormat/>
    <w:uiPriority w:val="0"/>
    <w:pPr>
      <w:jc w:val="left"/>
    </w:pPr>
  </w:style>
  <w:style w:type="paragraph" w:styleId="7">
    <w:name w:val="Body Text"/>
    <w:basedOn w:val="1"/>
    <w:next w:val="8"/>
    <w:semiHidden/>
    <w:qFormat/>
    <w:uiPriority w:val="0"/>
    <w:rPr>
      <w:rFonts w:ascii="Arial" w:hAnsi="Arial" w:eastAsia="Arial" w:cs="Arial"/>
      <w:sz w:val="21"/>
      <w:szCs w:val="21"/>
      <w:lang w:val="en-US" w:eastAsia="en-US" w:bidi="ar-SA"/>
    </w:rPr>
  </w:style>
  <w:style w:type="paragraph" w:styleId="8">
    <w:name w:val="Title"/>
    <w:basedOn w:val="1"/>
    <w:next w:val="1"/>
    <w:qFormat/>
    <w:uiPriority w:val="0"/>
    <w:pPr>
      <w:pageBreakBefore/>
      <w:widowControl/>
      <w:spacing w:line="360" w:lineRule="auto"/>
      <w:jc w:val="center"/>
      <w:outlineLvl w:val="0"/>
    </w:pPr>
    <w:rPr>
      <w:rFonts w:ascii="宋体" w:hAnsi="宋体"/>
      <w:b/>
      <w:kern w:val="0"/>
      <w:sz w:val="32"/>
      <w:szCs w:val="32"/>
    </w:rPr>
  </w:style>
  <w:style w:type="paragraph" w:styleId="9">
    <w:name w:val="footer"/>
    <w:basedOn w:val="1"/>
    <w:qFormat/>
    <w:uiPriority w:val="99"/>
    <w:pPr>
      <w:tabs>
        <w:tab w:val="center" w:pos="4153"/>
        <w:tab w:val="right" w:pos="8306"/>
      </w:tabs>
      <w:snapToGrid w:val="0"/>
      <w:spacing w:line="240" w:lineRule="atLeast"/>
      <w:jc w:val="left"/>
    </w:pPr>
    <w:rPr>
      <w:sz w:val="18"/>
      <w:szCs w:val="18"/>
    </w:rPr>
  </w:style>
  <w:style w:type="paragraph" w:styleId="10">
    <w:name w:val="header"/>
    <w:basedOn w:val="1"/>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99"/>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仿宋" w:hAnsi="仿宋" w:eastAsia="仿宋" w:cs="仿宋"/>
      <w:sz w:val="24"/>
      <w:szCs w:val="24"/>
      <w:lang w:val="en-US" w:eastAsia="en-US" w:bidi="ar-SA"/>
    </w:rPr>
  </w:style>
  <w:style w:type="paragraph" w:customStyle="1" w:styleId="19">
    <w:name w:val="GEDI正文样式"/>
    <w:basedOn w:val="1"/>
    <w:qFormat/>
    <w:uiPriority w:val="0"/>
    <w:pPr>
      <w:adjustRightInd w:val="0"/>
      <w:snapToGrid w:val="0"/>
      <w:spacing w:line="480" w:lineRule="atLeast"/>
      <w:ind w:firstLine="480"/>
    </w:pPr>
  </w:style>
  <w:style w:type="paragraph" w:customStyle="1" w:styleId="20">
    <w:name w:val="样式 标题 2h2Heading 2 HiddenHeading 2 CCBSheading 2第一章 标题 2H2...1"/>
    <w:basedOn w:val="3"/>
    <w:qFormat/>
    <w:uiPriority w:val="0"/>
    <w:pPr>
      <w:numPr>
        <w:ilvl w:val="1"/>
        <w:numId w:val="2"/>
      </w:numPr>
      <w:topLinePunct/>
      <w:adjustRightInd w:val="0"/>
      <w:snapToGrid w:val="0"/>
      <w:spacing w:before="0" w:after="50" w:afterLines="50" w:line="540" w:lineRule="atLeast"/>
      <w:ind w:left="578" w:hanging="578" w:firstLineChars="0"/>
      <w:jc w:val="left"/>
      <w:textAlignment w:val="center"/>
    </w:pPr>
    <w:rPr>
      <w:rFonts w:ascii="宋体" w:hAnsi="宋体" w:eastAsia="仿宋" w:cs="宋体"/>
      <w:sz w:val="32"/>
    </w:rPr>
  </w:style>
  <w:style w:type="paragraph" w:styleId="21">
    <w:name w:val="List Paragraph"/>
    <w:basedOn w:val="1"/>
    <w:qFormat/>
    <w:uiPriority w:val="34"/>
    <w:pPr>
      <w:ind w:firstLine="420"/>
    </w:pPr>
  </w:style>
  <w:style w:type="paragraph" w:customStyle="1" w:styleId="22">
    <w:name w:val="Fließtext"/>
    <w:basedOn w:val="1"/>
    <w:qFormat/>
    <w:uiPriority w:val="99"/>
    <w:pPr>
      <w:overflowPunct w:val="0"/>
      <w:autoSpaceDE w:val="0"/>
      <w:autoSpaceDN w:val="0"/>
      <w:adjustRightInd w:val="0"/>
      <w:textAlignment w:val="baseline"/>
    </w:pPr>
    <w:rPr>
      <w:rFonts w:ascii="Times New Roman" w:hAnsi="Times New Roman"/>
      <w:kern w:val="28"/>
    </w:rPr>
  </w:style>
  <w:style w:type="paragraph" w:customStyle="1" w:styleId="23">
    <w:name w:val="p0"/>
    <w:basedOn w:val="1"/>
    <w:qFormat/>
    <w:uiPriority w:val="0"/>
    <w:pPr>
      <w:widowControl/>
      <w:spacing w:line="360" w:lineRule="auto"/>
      <w:ind w:firstLine="0" w:firstLineChars="0"/>
    </w:pPr>
    <w:rPr>
      <w:kern w:val="0"/>
    </w:rPr>
  </w:style>
  <w:style w:type="paragraph" w:customStyle="1" w:styleId="24">
    <w:name w:val="WPSOffice手动目录 1"/>
    <w:qFormat/>
    <w:uiPriority w:val="0"/>
    <w:pPr>
      <w:ind w:leftChars="0"/>
    </w:pPr>
    <w:rPr>
      <w:rFonts w:ascii="Arial" w:hAnsi="Arial" w:eastAsia="Arial" w:cs="Arial"/>
      <w:sz w:val="20"/>
      <w:szCs w:val="20"/>
    </w:rPr>
  </w:style>
  <w:style w:type="paragraph" w:customStyle="1" w:styleId="25">
    <w:name w:val="WPSOffice手动目录 2"/>
    <w:qFormat/>
    <w:uiPriority w:val="0"/>
    <w:pPr>
      <w:ind w:leftChars="200"/>
    </w:pPr>
    <w:rPr>
      <w:rFonts w:ascii="Arial" w:hAnsi="Arial" w:eastAsia="Arial" w:cs="Arial"/>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2672</Words>
  <Characters>2783</Characters>
  <TotalTime>26</TotalTime>
  <ScaleCrop>false</ScaleCrop>
  <LinksUpToDate>false</LinksUpToDate>
  <CharactersWithSpaces>2818</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2024-06-03T09:59:00Z</dcterms:created>
  <dc:creator>段怡20:24:42</dc:creator>
  <cp:lastModifiedBy>陈可欣</cp:lastModifiedBy>
  <dcterms:modified xsi:type="dcterms:W3CDTF">2026-09-10T10:07:31Z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2024-08-22T11:59:30Z</vt:filetime>
  </property>
  <property fmtid="{D5CDD505-2E9C-101B-9397-08002B2CF9AE}" pid="4" name="KSOProductBuildVer">
    <vt:lpwstr>2052-11.8.2.12309</vt:lpwstr>
  </property>
  <property fmtid="{D5CDD505-2E9C-101B-9397-08002B2CF9AE}" pid="5" name="ICV">
    <vt:lpwstr>6FA3F38584B7426AAC565359E317F381</vt:lpwstr>
  </property>
  <property fmtid="{D5CDD505-2E9C-101B-9397-08002B2CF9AE}" pid="6" name="KSOTemplateDocerSaveRecord">
    <vt:lpwstr>eyJoZGlkIjoiZDMyY2E3ZmEwYjcyYzFmYTM4NzIwMTQ2NWUyYzA3MjMiLCJ1c2VySWQiOiI0OTIzODI0OTYifQ==</vt:lpwstr>
  </property>
</Properties>
</file>