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20E877">
      <w:pPr>
        <w:jc w:val="center"/>
        <w:rPr>
          <w:rFonts w:hint="eastAsia" w:ascii="黑体" w:hAnsi="黑体" w:eastAsia="黑体" w:cs="黑体"/>
          <w:color w:val="auto"/>
          <w:sz w:val="52"/>
          <w:szCs w:val="52"/>
          <w:highlight w:val="none"/>
          <w:lang w:val="zh-TW"/>
        </w:rPr>
      </w:pPr>
    </w:p>
    <w:p w14:paraId="170B4255">
      <w:pPr>
        <w:jc w:val="center"/>
        <w:rPr>
          <w:rFonts w:hint="eastAsia" w:ascii="黑体" w:hAnsi="黑体" w:eastAsia="黑体" w:cs="黑体"/>
          <w:color w:val="auto"/>
          <w:sz w:val="52"/>
          <w:szCs w:val="52"/>
          <w:highlight w:val="none"/>
        </w:rPr>
      </w:pPr>
      <w:r>
        <w:rPr>
          <w:rFonts w:hint="eastAsia" w:ascii="黑体" w:hAnsi="黑体" w:eastAsia="黑体" w:cs="黑体"/>
          <w:color w:val="auto"/>
          <w:sz w:val="52"/>
          <w:szCs w:val="52"/>
          <w:highlight w:val="none"/>
        </w:rPr>
        <w:t>佛山局生产指挥中心（试验研究所）铁芯电容器串联电抗铁芯电流在线监测装置研制及应用项目测试加工采购</w:t>
      </w:r>
      <w:r>
        <w:rPr>
          <w:rFonts w:hint="eastAsia" w:ascii="黑体" w:hAnsi="黑体" w:eastAsia="黑体" w:cs="黑体"/>
          <w:color w:val="auto"/>
          <w:sz w:val="52"/>
          <w:szCs w:val="52"/>
          <w:highlight w:val="none"/>
          <w:lang w:val="en-US" w:eastAsia="zh-CN"/>
        </w:rPr>
        <w:t>--</w:t>
      </w:r>
      <w:r>
        <w:rPr>
          <w:rFonts w:hint="eastAsia" w:ascii="黑体" w:hAnsi="黑体" w:eastAsia="黑体" w:cs="黑体"/>
          <w:color w:val="auto"/>
          <w:sz w:val="52"/>
          <w:szCs w:val="52"/>
          <w:highlight w:val="none"/>
        </w:rPr>
        <w:t>技术规范书</w:t>
      </w:r>
    </w:p>
    <w:p w14:paraId="057E2E13">
      <w:pPr>
        <w:pStyle w:val="3"/>
        <w:jc w:val="center"/>
        <w:rPr>
          <w:rFonts w:hint="eastAsia" w:ascii="黑体" w:hAnsi="黑体" w:eastAsia="黑体" w:cs="黑体"/>
          <w:color w:val="auto"/>
          <w:sz w:val="24"/>
          <w:szCs w:val="24"/>
          <w:highlight w:val="none"/>
        </w:rPr>
      </w:pPr>
    </w:p>
    <w:p w14:paraId="55023D91">
      <w:pPr>
        <w:framePr w:wrap="around" w:vAnchor="page" w:hAnchor="page" w:x="1740" w:y="11942"/>
        <w:jc w:val="center"/>
        <w:rPr>
          <w:rFonts w:ascii="黑体" w:hAnsi="黑体" w:eastAsia="黑体" w:cs="黑体"/>
          <w:color w:val="auto"/>
          <w:sz w:val="32"/>
          <w:szCs w:val="24"/>
          <w:highlight w:val="none"/>
        </w:rPr>
      </w:pPr>
    </w:p>
    <w:p w14:paraId="4F945EDC">
      <w:pPr>
        <w:framePr w:wrap="around" w:vAnchor="page" w:hAnchor="page" w:x="1740" w:y="11942"/>
        <w:jc w:val="center"/>
        <w:rPr>
          <w:rFonts w:ascii="黑体" w:hAnsi="黑体" w:eastAsia="黑体" w:cs="黑体"/>
          <w:color w:val="auto"/>
          <w:sz w:val="32"/>
          <w:szCs w:val="24"/>
          <w:highlight w:val="none"/>
        </w:rPr>
      </w:pPr>
      <w:r>
        <w:rPr>
          <w:rFonts w:hint="eastAsia" w:ascii="黑体" w:hAnsi="黑体" w:eastAsia="黑体" w:cs="黑体"/>
          <w:b/>
          <w:color w:val="auto"/>
          <w:spacing w:val="57"/>
          <w:sz w:val="36"/>
          <w:szCs w:val="36"/>
          <w:highlight w:val="none"/>
        </w:rPr>
        <w:t>广东电网有限责任公司佛山供电局</w:t>
      </w:r>
    </w:p>
    <w:p w14:paraId="4373D30B">
      <w:pPr>
        <w:framePr w:wrap="around" w:vAnchor="page" w:hAnchor="page" w:x="1740" w:y="11942"/>
        <w:jc w:val="center"/>
        <w:rPr>
          <w:rFonts w:ascii="黑体" w:hAnsi="黑体" w:eastAsia="黑体" w:cs="黑体"/>
          <w:color w:val="auto"/>
          <w:highlight w:val="none"/>
        </w:rPr>
        <w:sectPr>
          <w:headerReference r:id="rId3" w:type="default"/>
          <w:pgSz w:w="11906" w:h="16838"/>
          <w:pgMar w:top="1440" w:right="1800" w:bottom="1440" w:left="1800" w:header="851" w:footer="992" w:gutter="0"/>
          <w:cols w:space="720" w:num="1"/>
          <w:docGrid w:type="lines" w:linePitch="312" w:charSpace="0"/>
        </w:sectPr>
      </w:pPr>
      <w:r>
        <w:rPr>
          <w:rFonts w:hint="eastAsia" w:ascii="黑体" w:hAnsi="黑体" w:eastAsia="黑体" w:cs="黑体"/>
          <w:b/>
          <w:color w:val="auto"/>
          <w:spacing w:val="57"/>
          <w:sz w:val="36"/>
          <w:szCs w:val="36"/>
          <w:highlight w:val="none"/>
        </w:rPr>
        <w:t>二0二</w:t>
      </w:r>
      <w:r>
        <w:rPr>
          <w:rFonts w:hint="eastAsia" w:ascii="黑体" w:hAnsi="黑体" w:eastAsia="黑体" w:cs="黑体"/>
          <w:b/>
          <w:color w:val="auto"/>
          <w:sz w:val="36"/>
          <w:szCs w:val="36"/>
          <w:highlight w:val="none"/>
          <w:lang w:val="en-US" w:eastAsia="zh-CN"/>
        </w:rPr>
        <w:t>六年九月</w:t>
      </w:r>
    </w:p>
    <w:p w14:paraId="4DC4DD24">
      <w:pPr>
        <w:numPr>
          <w:ilvl w:val="0"/>
          <w:numId w:val="1"/>
        </w:numPr>
        <w:spacing w:line="360" w:lineRule="auto"/>
        <w:ind w:left="0" w:leftChars="0" w:firstLine="0" w:firstLineChars="0"/>
        <w:outlineLvl w:val="0"/>
        <w:rPr>
          <w:rFonts w:ascii="宋体" w:hAnsi="宋体" w:eastAsia="宋体" w:cs="宋体"/>
          <w:b/>
          <w:bCs/>
          <w:color w:val="auto"/>
          <w:kern w:val="0"/>
          <w:sz w:val="28"/>
          <w:szCs w:val="28"/>
          <w:highlight w:val="none"/>
          <w:lang w:val="zh-TW"/>
        </w:rPr>
      </w:pPr>
      <w:r>
        <w:rPr>
          <w:rFonts w:hint="eastAsia" w:ascii="宋体" w:hAnsi="宋体" w:eastAsia="宋体" w:cs="宋体"/>
          <w:b/>
          <w:bCs/>
          <w:color w:val="auto"/>
          <w:kern w:val="0"/>
          <w:sz w:val="28"/>
          <w:szCs w:val="28"/>
          <w:highlight w:val="none"/>
          <w:lang w:val="zh-TW"/>
        </w:rPr>
        <w:t>总则</w:t>
      </w:r>
    </w:p>
    <w:p w14:paraId="71F558A0">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1.1.本卷为</w:t>
      </w:r>
      <w:r>
        <w:rPr>
          <w:rFonts w:hint="eastAsia" w:ascii="宋体" w:hAnsi="宋体" w:eastAsia="宋体" w:cs="宋体"/>
          <w:color w:val="auto"/>
          <w:kern w:val="0"/>
          <w:sz w:val="28"/>
          <w:szCs w:val="28"/>
          <w:highlight w:val="none"/>
          <w:u w:val="none" w:color="auto"/>
          <w:lang w:val="zh-TW"/>
        </w:rPr>
        <w:t>佛山局生产指挥中心（试验研究所）热工仪表检定接线辅助装置的研制项目测试加工采购</w:t>
      </w:r>
      <w:r>
        <w:rPr>
          <w:rFonts w:hint="eastAsia" w:ascii="宋体" w:hAnsi="宋体" w:eastAsia="宋体" w:cs="宋体"/>
          <w:color w:val="auto"/>
          <w:kern w:val="0"/>
          <w:sz w:val="28"/>
          <w:szCs w:val="28"/>
          <w:highlight w:val="none"/>
          <w:lang w:val="zh-TW"/>
        </w:rPr>
        <w:t>文件。</w:t>
      </w:r>
    </w:p>
    <w:p w14:paraId="4B14C48E">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1.2.本卷所描述的各种功能、性能需求仅供投标方编制投标文件之用。投标方可以提出不同的建议方案，但是建议方案必须满足但不限于本标书所阐述的全部技术功能要求。</w:t>
      </w:r>
    </w:p>
    <w:p w14:paraId="47F035EC">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1.3.投标方在投标文件中，对本标书应逐项予以说明和答复，同时根据具体情况提出相关的建议，并附详细资料和说明。</w:t>
      </w:r>
    </w:p>
    <w:p w14:paraId="553319E7">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1.4.本标书仅描述基本的技术需求，并未对一切技术细节做出规定，也未充分引述有关标准和技术条文，投标方应根据需求目标提供进一步具体的可满足要求的功能和性能指标。</w:t>
      </w:r>
    </w:p>
    <w:p w14:paraId="0DC2E475">
      <w:pPr>
        <w:spacing w:line="360" w:lineRule="auto"/>
        <w:rPr>
          <w:rFonts w:ascii="宋体" w:hAnsi="宋体" w:eastAsia="宋体" w:cs="宋体"/>
          <w:color w:val="auto"/>
          <w:kern w:val="0"/>
          <w:sz w:val="28"/>
          <w:szCs w:val="28"/>
          <w:highlight w:val="none"/>
          <w:lang w:val="zh-TW"/>
        </w:rPr>
      </w:pPr>
      <w:r>
        <w:rPr>
          <w:rFonts w:hint="eastAsia" w:ascii="宋体" w:hAnsi="宋体" w:eastAsia="宋体" w:cs="宋体"/>
          <w:color w:val="auto"/>
          <w:kern w:val="0"/>
          <w:sz w:val="28"/>
          <w:szCs w:val="28"/>
          <w:highlight w:val="none"/>
          <w:lang w:val="zh-TW"/>
        </w:rPr>
        <w:t>1.5.投标技术文件要求文字精练、数据准确、表述及图示清晰明确，具有针对性。</w:t>
      </w:r>
    </w:p>
    <w:p w14:paraId="03AF7F5B">
      <w:pPr>
        <w:numPr>
          <w:ilvl w:val="0"/>
          <w:numId w:val="1"/>
        </w:numPr>
        <w:spacing w:line="360" w:lineRule="auto"/>
        <w:ind w:left="0" w:leftChars="0" w:firstLine="0" w:firstLineChars="0"/>
        <w:outlineLvl w:val="0"/>
        <w:rPr>
          <w:rFonts w:ascii="宋体" w:hAnsi="宋体" w:eastAsia="宋体" w:cs="宋体"/>
          <w:b/>
          <w:bCs/>
          <w:color w:val="auto"/>
          <w:kern w:val="0"/>
          <w:sz w:val="28"/>
          <w:szCs w:val="28"/>
          <w:highlight w:val="none"/>
          <w:lang w:val="zh-TW"/>
        </w:rPr>
      </w:pPr>
      <w:r>
        <w:rPr>
          <w:rFonts w:hint="eastAsia" w:ascii="宋体" w:hAnsi="宋体" w:eastAsia="宋体" w:cs="宋体"/>
          <w:b/>
          <w:bCs/>
          <w:color w:val="auto"/>
          <w:kern w:val="0"/>
          <w:sz w:val="28"/>
          <w:szCs w:val="28"/>
          <w:highlight w:val="none"/>
        </w:rPr>
        <w:t>技术服务</w:t>
      </w:r>
      <w:r>
        <w:rPr>
          <w:rFonts w:hint="eastAsia" w:ascii="宋体" w:hAnsi="宋体" w:eastAsia="宋体" w:cs="宋体"/>
          <w:b/>
          <w:bCs/>
          <w:color w:val="auto"/>
          <w:kern w:val="0"/>
          <w:sz w:val="28"/>
          <w:szCs w:val="28"/>
          <w:highlight w:val="none"/>
          <w:lang w:val="zh-TW"/>
        </w:rPr>
        <w:t>要求</w:t>
      </w:r>
    </w:p>
    <w:p w14:paraId="7A7EF001">
      <w:pPr>
        <w:spacing w:line="360" w:lineRule="auto"/>
        <w:outlineLvl w:val="1"/>
        <w:rPr>
          <w:rFonts w:ascii="黑体" w:hAnsi="黑体" w:eastAsia="黑体" w:cs="黑体"/>
          <w:color w:val="auto"/>
          <w:kern w:val="0"/>
          <w:sz w:val="28"/>
          <w:szCs w:val="28"/>
          <w:highlight w:val="none"/>
        </w:rPr>
      </w:pPr>
      <w:r>
        <w:rPr>
          <w:rFonts w:hint="eastAsia" w:ascii="黑体" w:hAnsi="黑体" w:eastAsia="黑体" w:cs="黑体"/>
          <w:color w:val="auto"/>
          <w:kern w:val="0"/>
          <w:sz w:val="28"/>
          <w:szCs w:val="28"/>
          <w:highlight w:val="none"/>
          <w:lang w:eastAsia="zh-CN"/>
        </w:rPr>
        <w:t>（</w:t>
      </w:r>
      <w:r>
        <w:rPr>
          <w:rFonts w:hint="eastAsia" w:ascii="黑体" w:hAnsi="黑体" w:eastAsia="黑体" w:cs="黑体"/>
          <w:color w:val="auto"/>
          <w:kern w:val="0"/>
          <w:sz w:val="28"/>
          <w:szCs w:val="28"/>
          <w:highlight w:val="none"/>
          <w:lang w:val="en-US" w:eastAsia="zh-CN"/>
        </w:rPr>
        <w:t>一</w:t>
      </w:r>
      <w:r>
        <w:rPr>
          <w:rFonts w:hint="eastAsia" w:ascii="黑体" w:hAnsi="黑体" w:eastAsia="黑体" w:cs="黑体"/>
          <w:color w:val="auto"/>
          <w:kern w:val="0"/>
          <w:sz w:val="28"/>
          <w:szCs w:val="28"/>
          <w:highlight w:val="none"/>
          <w:lang w:eastAsia="zh-CN"/>
        </w:rPr>
        <w:t>）</w:t>
      </w:r>
      <w:r>
        <w:rPr>
          <w:rFonts w:hint="eastAsia" w:ascii="黑体" w:hAnsi="黑体" w:eastAsia="黑体" w:cs="黑体"/>
          <w:color w:val="auto"/>
          <w:kern w:val="0"/>
          <w:sz w:val="28"/>
          <w:szCs w:val="28"/>
          <w:highlight w:val="none"/>
        </w:rPr>
        <w:t>总体要求及</w:t>
      </w:r>
      <w:r>
        <w:rPr>
          <w:rFonts w:ascii="黑体" w:hAnsi="黑体" w:eastAsia="黑体" w:cs="黑体"/>
          <w:color w:val="auto"/>
          <w:kern w:val="0"/>
          <w:sz w:val="28"/>
          <w:szCs w:val="28"/>
          <w:highlight w:val="none"/>
          <w:lang w:val="zh-TW" w:eastAsia="zh-TW"/>
        </w:rPr>
        <w:t>适用条件</w:t>
      </w:r>
    </w:p>
    <w:p w14:paraId="428C6264">
      <w:pPr>
        <w:spacing w:line="360" w:lineRule="auto"/>
        <w:ind w:firstLine="560" w:firstLineChars="200"/>
        <w:rPr>
          <w:rFonts w:ascii="宋体" w:hAnsi="宋体" w:eastAsia="宋体" w:cs="宋体"/>
          <w:color w:val="auto"/>
          <w:kern w:val="0"/>
          <w:sz w:val="28"/>
          <w:szCs w:val="28"/>
          <w:highlight w:val="none"/>
          <w:u w:val="none" w:color="auto"/>
          <w:lang w:val="zh-TW" w:eastAsia="zh-TW"/>
        </w:rPr>
      </w:pPr>
      <w:r>
        <w:rPr>
          <w:rFonts w:ascii="宋体" w:hAnsi="宋体" w:eastAsia="宋体" w:cs="宋体"/>
          <w:color w:val="auto"/>
          <w:kern w:val="0"/>
          <w:sz w:val="28"/>
          <w:szCs w:val="28"/>
          <w:highlight w:val="none"/>
          <w:lang w:val="zh-TW" w:eastAsia="zh-TW"/>
        </w:rPr>
        <w:t>本</w:t>
      </w:r>
      <w:r>
        <w:rPr>
          <w:rFonts w:hint="eastAsia" w:ascii="宋体" w:hAnsi="宋体" w:eastAsia="宋体" w:cs="宋体"/>
          <w:color w:val="auto"/>
          <w:kern w:val="0"/>
          <w:sz w:val="28"/>
          <w:szCs w:val="28"/>
          <w:highlight w:val="none"/>
          <w:lang w:val="zh-TW"/>
        </w:rPr>
        <w:t>节</w:t>
      </w:r>
      <w:r>
        <w:rPr>
          <w:rFonts w:ascii="宋体" w:hAnsi="宋体" w:eastAsia="宋体" w:cs="宋体"/>
          <w:color w:val="auto"/>
          <w:kern w:val="0"/>
          <w:sz w:val="28"/>
          <w:szCs w:val="28"/>
          <w:highlight w:val="none"/>
          <w:lang w:val="zh-TW" w:eastAsia="zh-TW"/>
        </w:rPr>
        <w:t>技术条件规定了</w:t>
      </w:r>
      <w:r>
        <w:rPr>
          <w:rFonts w:hint="eastAsia" w:ascii="宋体" w:hAnsi="宋体" w:eastAsia="宋体" w:cs="宋体"/>
          <w:color w:val="auto"/>
          <w:kern w:val="0"/>
          <w:sz w:val="28"/>
          <w:szCs w:val="28"/>
          <w:highlight w:val="none"/>
          <w:u w:val="none" w:color="auto"/>
          <w:lang w:val="zh-TW"/>
        </w:rPr>
        <w:t>佛山局生产指挥中心（试验研究所）铁芯电容器串联电抗铁芯电流在线监测装置研制及应用项目测试加工采购</w:t>
      </w:r>
      <w:r>
        <w:rPr>
          <w:rFonts w:ascii="宋体" w:hAnsi="宋体" w:eastAsia="宋体" w:cs="宋体"/>
          <w:color w:val="auto"/>
          <w:kern w:val="0"/>
          <w:sz w:val="28"/>
          <w:szCs w:val="28"/>
          <w:highlight w:val="none"/>
          <w:u w:val="none" w:color="auto"/>
          <w:lang w:val="zh-TW" w:eastAsia="zh-TW"/>
        </w:rPr>
        <w:t>的</w:t>
      </w:r>
      <w:r>
        <w:rPr>
          <w:rFonts w:hint="eastAsia" w:ascii="宋体" w:hAnsi="宋体" w:cs="宋体"/>
          <w:color w:val="auto"/>
          <w:kern w:val="0"/>
          <w:sz w:val="28"/>
          <w:szCs w:val="28"/>
          <w:highlight w:val="none"/>
          <w:u w:val="none" w:color="auto"/>
          <w:lang w:val="en-US" w:eastAsia="zh-CN"/>
        </w:rPr>
        <w:t>加工</w:t>
      </w:r>
      <w:r>
        <w:rPr>
          <w:rFonts w:hint="eastAsia" w:ascii="宋体" w:hAnsi="宋体" w:eastAsia="宋体" w:cs="宋体"/>
          <w:color w:val="auto"/>
          <w:kern w:val="0"/>
          <w:sz w:val="28"/>
          <w:szCs w:val="28"/>
          <w:highlight w:val="none"/>
          <w:u w:val="none" w:color="auto"/>
          <w:lang w:val="en-US" w:eastAsia="zh-CN"/>
        </w:rPr>
        <w:t>/调试/检验</w:t>
      </w:r>
      <w:r>
        <w:rPr>
          <w:rFonts w:ascii="宋体" w:hAnsi="宋体" w:eastAsia="宋体" w:cs="宋体"/>
          <w:color w:val="auto"/>
          <w:kern w:val="0"/>
          <w:sz w:val="28"/>
          <w:szCs w:val="28"/>
          <w:highlight w:val="none"/>
          <w:u w:val="none" w:color="auto"/>
          <w:lang w:val="zh-TW" w:eastAsia="zh-TW"/>
        </w:rPr>
        <w:t>要求</w:t>
      </w:r>
      <w:r>
        <w:rPr>
          <w:rFonts w:hint="eastAsia" w:ascii="宋体" w:hAnsi="宋体" w:eastAsia="宋体" w:cs="宋体"/>
          <w:color w:val="auto"/>
          <w:kern w:val="0"/>
          <w:sz w:val="28"/>
          <w:szCs w:val="28"/>
          <w:highlight w:val="none"/>
          <w:u w:val="none" w:color="auto"/>
          <w:lang w:val="en-US" w:eastAsia="zh-CN"/>
        </w:rPr>
        <w:t>等</w:t>
      </w:r>
      <w:r>
        <w:rPr>
          <w:rFonts w:ascii="宋体" w:hAnsi="宋体" w:eastAsia="宋体" w:cs="宋体"/>
          <w:color w:val="auto"/>
          <w:kern w:val="0"/>
          <w:sz w:val="28"/>
          <w:szCs w:val="28"/>
          <w:highlight w:val="none"/>
          <w:u w:val="none" w:color="auto"/>
          <w:lang w:val="zh-TW" w:eastAsia="zh-TW"/>
        </w:rPr>
        <w:t>。</w:t>
      </w:r>
    </w:p>
    <w:p w14:paraId="6C4E8959">
      <w:pPr>
        <w:numPr>
          <w:ilvl w:val="0"/>
          <w:numId w:val="2"/>
        </w:numPr>
        <w:spacing w:line="360" w:lineRule="auto"/>
        <w:ind w:firstLine="560" w:firstLineChars="200"/>
        <w:rPr>
          <w:rFonts w:hint="default" w:ascii="Times New Roman" w:hAnsi="Times New Roman" w:eastAsia="宋体"/>
          <w:color w:val="auto"/>
          <w:kern w:val="0"/>
          <w:sz w:val="28"/>
          <w:szCs w:val="28"/>
          <w:highlight w:val="none"/>
          <w:u w:val="none" w:color="auto"/>
          <w:lang w:val="en-US" w:eastAsia="zh-CN"/>
        </w:rPr>
      </w:pPr>
      <w:r>
        <w:rPr>
          <w:rFonts w:hint="default" w:ascii="Times New Roman" w:hAnsi="Times New Roman" w:eastAsia="宋体"/>
          <w:color w:val="auto"/>
          <w:kern w:val="0"/>
          <w:sz w:val="28"/>
          <w:szCs w:val="28"/>
          <w:highlight w:val="none"/>
          <w:u w:val="none" w:color="auto"/>
          <w:lang w:val="en-US" w:eastAsia="zh-CN"/>
        </w:rPr>
        <w:t>招标方根据招标方要求，协助采购方开展</w:t>
      </w:r>
      <w:r>
        <w:rPr>
          <w:rFonts w:hint="eastAsia" w:ascii="Times New Roman" w:hAnsi="Times New Roman" w:eastAsia="宋体"/>
          <w:color w:val="auto"/>
          <w:kern w:val="0"/>
          <w:sz w:val="28"/>
          <w:szCs w:val="28"/>
          <w:highlight w:val="none"/>
          <w:u w:val="none" w:color="auto"/>
          <w:lang w:val="en-US" w:eastAsia="zh-CN"/>
        </w:rPr>
        <w:t>提供</w:t>
      </w:r>
      <w:r>
        <w:rPr>
          <w:rFonts w:hint="eastAsia"/>
          <w:color w:val="auto"/>
          <w:kern w:val="0"/>
          <w:sz w:val="28"/>
          <w:szCs w:val="28"/>
          <w:highlight w:val="none"/>
          <w:u w:val="none" w:color="auto"/>
          <w:lang w:val="en-US" w:eastAsia="zh-CN"/>
        </w:rPr>
        <w:t>加工、测试</w:t>
      </w:r>
      <w:r>
        <w:rPr>
          <w:rFonts w:hint="eastAsia" w:ascii="Times New Roman" w:hAnsi="Times New Roman" w:eastAsia="宋体"/>
          <w:color w:val="auto"/>
          <w:kern w:val="0"/>
          <w:sz w:val="28"/>
          <w:szCs w:val="28"/>
          <w:highlight w:val="none"/>
          <w:u w:val="none" w:color="auto"/>
          <w:lang w:val="en-US" w:eastAsia="zh-CN"/>
        </w:rPr>
        <w:t>等服务</w:t>
      </w:r>
      <w:r>
        <w:rPr>
          <w:rFonts w:hint="default" w:ascii="Times New Roman" w:hAnsi="Times New Roman" w:eastAsia="宋体"/>
          <w:color w:val="auto"/>
          <w:kern w:val="0"/>
          <w:sz w:val="28"/>
          <w:szCs w:val="28"/>
          <w:highlight w:val="none"/>
          <w:u w:val="none" w:color="auto"/>
          <w:lang w:val="en-US" w:eastAsia="zh-CN"/>
        </w:rPr>
        <w:t>，实现预期功能与测试目标等</w:t>
      </w:r>
      <w:r>
        <w:rPr>
          <w:rFonts w:hint="eastAsia" w:ascii="Times New Roman" w:hAnsi="Times New Roman" w:eastAsia="宋体"/>
          <w:color w:val="auto"/>
          <w:kern w:val="0"/>
          <w:sz w:val="28"/>
          <w:szCs w:val="28"/>
          <w:highlight w:val="none"/>
          <w:u w:val="none" w:color="auto"/>
          <w:lang w:val="en-US" w:eastAsia="zh-CN"/>
        </w:rPr>
        <w:t>，详见附件1：佛山供电局</w:t>
      </w:r>
      <w:r>
        <w:rPr>
          <w:rFonts w:hint="eastAsia"/>
          <w:color w:val="auto"/>
          <w:kern w:val="0"/>
          <w:sz w:val="28"/>
          <w:szCs w:val="28"/>
          <w:highlight w:val="none"/>
          <w:u w:val="none" w:color="auto"/>
          <w:lang w:val="en-US" w:eastAsia="zh-CN"/>
        </w:rPr>
        <w:t>2026</w:t>
      </w:r>
      <w:r>
        <w:rPr>
          <w:rFonts w:hint="eastAsia" w:ascii="Times New Roman" w:hAnsi="Times New Roman" w:eastAsia="宋体"/>
          <w:color w:val="auto"/>
          <w:kern w:val="0"/>
          <w:sz w:val="28"/>
          <w:szCs w:val="28"/>
          <w:highlight w:val="none"/>
          <w:u w:val="none" w:color="auto"/>
          <w:lang w:val="en-US" w:eastAsia="zh-CN"/>
        </w:rPr>
        <w:t>年职工技术创新项目测试加工采购服务内容</w:t>
      </w:r>
      <w:r>
        <w:rPr>
          <w:rFonts w:hint="default" w:ascii="Times New Roman" w:hAnsi="Times New Roman" w:eastAsia="宋体"/>
          <w:color w:val="auto"/>
          <w:kern w:val="0"/>
          <w:sz w:val="28"/>
          <w:szCs w:val="28"/>
          <w:highlight w:val="none"/>
          <w:u w:val="none" w:color="auto"/>
          <w:lang w:val="en-US" w:eastAsia="zh-CN"/>
        </w:rPr>
        <w:t>。</w:t>
      </w:r>
    </w:p>
    <w:p w14:paraId="0DE486A9">
      <w:pPr>
        <w:spacing w:line="360" w:lineRule="auto"/>
        <w:ind w:firstLine="56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zh-TW" w:eastAsia="zh-CN"/>
        </w:rPr>
        <w:t>（</w:t>
      </w:r>
      <w:r>
        <w:rPr>
          <w:rFonts w:hint="eastAsia" w:ascii="宋体" w:hAnsi="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val="zh-TW" w:eastAsia="zh-CN"/>
        </w:rPr>
        <w:t>）</w:t>
      </w:r>
      <w:r>
        <w:rPr>
          <w:rFonts w:hint="eastAsia" w:ascii="宋体" w:hAnsi="宋体" w:eastAsia="宋体" w:cs="宋体"/>
          <w:color w:val="auto"/>
          <w:kern w:val="0"/>
          <w:sz w:val="28"/>
          <w:szCs w:val="28"/>
          <w:highlight w:val="none"/>
          <w:lang w:val="en-US" w:eastAsia="zh-CN"/>
        </w:rPr>
        <w:t>服务</w:t>
      </w:r>
      <w:r>
        <w:rPr>
          <w:rFonts w:hint="eastAsia" w:ascii="宋体" w:hAnsi="宋体" w:eastAsia="宋体" w:cs="宋体"/>
          <w:color w:val="auto"/>
          <w:kern w:val="0"/>
          <w:sz w:val="28"/>
          <w:szCs w:val="28"/>
          <w:highlight w:val="none"/>
          <w:lang w:val="zh-TW" w:eastAsia="zh-TW"/>
        </w:rPr>
        <w:t>进度</w:t>
      </w:r>
      <w:r>
        <w:rPr>
          <w:rFonts w:hint="eastAsia" w:ascii="宋体" w:hAnsi="宋体" w:eastAsia="宋体" w:cs="宋体"/>
          <w:color w:val="auto"/>
          <w:kern w:val="0"/>
          <w:sz w:val="28"/>
          <w:szCs w:val="28"/>
          <w:highlight w:val="none"/>
          <w:lang w:val="en-US" w:eastAsia="zh-CN"/>
        </w:rPr>
        <w:t>要求</w:t>
      </w:r>
      <w:r>
        <w:rPr>
          <w:rFonts w:hint="eastAsia" w:ascii="宋体" w:hAnsi="宋体" w:eastAsia="宋体" w:cs="宋体"/>
          <w:color w:val="auto"/>
          <w:kern w:val="0"/>
          <w:sz w:val="28"/>
          <w:szCs w:val="28"/>
          <w:highlight w:val="none"/>
          <w:lang w:val="zh-TW" w:eastAsia="zh-CN"/>
        </w:rPr>
        <w:t>：</w:t>
      </w:r>
      <w:r>
        <w:rPr>
          <w:rFonts w:hint="eastAsia" w:ascii="宋体" w:hAnsi="宋体" w:cs="宋体"/>
          <w:color w:val="auto"/>
          <w:kern w:val="0"/>
          <w:sz w:val="28"/>
          <w:szCs w:val="28"/>
          <w:highlight w:val="none"/>
          <w:lang w:eastAsia="zh-CN"/>
        </w:rPr>
        <w:t>中标通知书发布</w:t>
      </w:r>
      <w:r>
        <w:rPr>
          <w:rFonts w:hint="eastAsia" w:ascii="宋体" w:hAnsi="宋体" w:eastAsia="宋体" w:cs="宋体"/>
          <w:color w:val="auto"/>
          <w:kern w:val="0"/>
          <w:sz w:val="28"/>
          <w:szCs w:val="28"/>
          <w:highlight w:val="none"/>
        </w:rPr>
        <w:t>之日起至</w:t>
      </w:r>
      <w:r>
        <w:rPr>
          <w:rFonts w:hint="eastAsia" w:ascii="宋体" w:hAnsi="宋体" w:cs="宋体"/>
          <w:color w:val="auto"/>
          <w:kern w:val="0"/>
          <w:sz w:val="28"/>
          <w:szCs w:val="28"/>
          <w:highlight w:val="none"/>
          <w:lang w:eastAsia="zh-CN"/>
        </w:rPr>
        <w:t>2026</w:t>
      </w:r>
      <w:r>
        <w:rPr>
          <w:rFonts w:hint="eastAsia" w:ascii="宋体" w:hAnsi="宋体" w:eastAsia="宋体" w:cs="宋体"/>
          <w:color w:val="auto"/>
          <w:kern w:val="0"/>
          <w:sz w:val="28"/>
          <w:szCs w:val="28"/>
          <w:highlight w:val="none"/>
        </w:rPr>
        <w:t>年</w:t>
      </w:r>
      <w:r>
        <w:rPr>
          <w:rFonts w:hint="eastAsia" w:ascii="宋体" w:hAnsi="宋体" w:eastAsia="宋体" w:cs="宋体"/>
          <w:color w:val="auto"/>
          <w:kern w:val="0"/>
          <w:sz w:val="28"/>
          <w:szCs w:val="28"/>
          <w:highlight w:val="none"/>
          <w:lang w:val="en-US" w:eastAsia="zh-CN"/>
        </w:rPr>
        <w:t>12</w:t>
      </w:r>
      <w:r>
        <w:rPr>
          <w:rFonts w:hint="eastAsia" w:ascii="宋体" w:hAnsi="宋体" w:eastAsia="宋体" w:cs="宋体"/>
          <w:color w:val="auto"/>
          <w:kern w:val="0"/>
          <w:sz w:val="28"/>
          <w:szCs w:val="28"/>
          <w:highlight w:val="none"/>
        </w:rPr>
        <w:t>月</w:t>
      </w:r>
      <w:r>
        <w:rPr>
          <w:rFonts w:hint="eastAsia" w:ascii="宋体" w:hAnsi="宋体" w:cs="宋体"/>
          <w:color w:val="auto"/>
          <w:kern w:val="0"/>
          <w:sz w:val="28"/>
          <w:szCs w:val="28"/>
          <w:highlight w:val="none"/>
          <w:lang w:val="en-US" w:eastAsia="zh-CN"/>
        </w:rPr>
        <w:t>15</w:t>
      </w:r>
      <w:r>
        <w:rPr>
          <w:rFonts w:hint="eastAsia" w:ascii="宋体" w:hAnsi="宋体" w:eastAsia="宋体" w:cs="宋体"/>
          <w:color w:val="auto"/>
          <w:kern w:val="0"/>
          <w:sz w:val="28"/>
          <w:szCs w:val="28"/>
          <w:highlight w:val="none"/>
        </w:rPr>
        <w:t>日</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完成</w:t>
      </w:r>
      <w:r>
        <w:rPr>
          <w:rFonts w:hint="eastAsia" w:ascii="宋体" w:hAnsi="宋体" w:cs="宋体"/>
          <w:color w:val="auto"/>
          <w:kern w:val="0"/>
          <w:sz w:val="28"/>
          <w:szCs w:val="28"/>
          <w:highlight w:val="none"/>
          <w:lang w:val="en-US" w:eastAsia="zh-CN"/>
        </w:rPr>
        <w:t>项目</w:t>
      </w:r>
      <w:r>
        <w:rPr>
          <w:rFonts w:hint="eastAsia" w:ascii="宋体" w:hAnsi="宋体" w:eastAsia="宋体" w:cs="宋体"/>
          <w:color w:val="auto"/>
          <w:kern w:val="0"/>
          <w:sz w:val="28"/>
          <w:szCs w:val="28"/>
          <w:highlight w:val="none"/>
          <w:lang w:val="en-US" w:eastAsia="zh-CN"/>
        </w:rPr>
        <w:t>需要的加工、测试等服务以及交付物。</w:t>
      </w:r>
    </w:p>
    <w:p w14:paraId="6C5FD75E">
      <w:pPr>
        <w:numPr>
          <w:ilvl w:val="0"/>
          <w:numId w:val="1"/>
        </w:numPr>
        <w:spacing w:line="360" w:lineRule="auto"/>
        <w:ind w:left="0" w:leftChars="0" w:firstLine="0" w:firstLineChars="0"/>
        <w:outlineLvl w:val="0"/>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报价与结算要求</w:t>
      </w:r>
    </w:p>
    <w:p w14:paraId="3BA8C197">
      <w:pPr>
        <w:spacing w:line="360" w:lineRule="auto"/>
        <w:ind w:firstLine="560" w:firstLineChars="200"/>
        <w:rPr>
          <w:rFonts w:hint="eastAsia"/>
          <w:color w:val="auto"/>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Times New Roman" w:hAnsi="Times New Roman" w:eastAsia="宋体"/>
          <w:color w:val="auto"/>
          <w:kern w:val="0"/>
          <w:sz w:val="28"/>
          <w:szCs w:val="28"/>
          <w:highlight w:val="none"/>
          <w:lang w:val="en-US" w:eastAsia="zh-CN"/>
        </w:rPr>
        <w:t>职工技术创新项目技术服务</w:t>
      </w:r>
      <w:r>
        <w:rPr>
          <w:rFonts w:hint="eastAsia" w:ascii="宋体" w:hAnsi="宋体" w:eastAsia="宋体" w:cs="宋体"/>
          <w:color w:val="auto"/>
          <w:kern w:val="0"/>
          <w:sz w:val="28"/>
          <w:szCs w:val="28"/>
          <w:highlight w:val="none"/>
          <w:lang w:val="en-US" w:eastAsia="zh-CN"/>
        </w:rPr>
        <w:t>限价依据每个职创项目立项申请书，单项最高限价见</w:t>
      </w:r>
      <w:r>
        <w:rPr>
          <w:rFonts w:hint="eastAsia" w:ascii="宋体" w:hAnsi="宋体" w:cs="宋体"/>
          <w:color w:val="auto"/>
          <w:kern w:val="0"/>
          <w:sz w:val="28"/>
          <w:szCs w:val="28"/>
          <w:highlight w:val="none"/>
          <w:lang w:val="en-US" w:eastAsia="zh-CN"/>
        </w:rPr>
        <w:t>附件1</w:t>
      </w:r>
      <w:r>
        <w:rPr>
          <w:rFonts w:hint="eastAsia" w:ascii="宋体" w:hAnsi="宋体" w:eastAsia="宋体" w:cs="宋体"/>
          <w:color w:val="auto"/>
          <w:kern w:val="0"/>
          <w:sz w:val="28"/>
          <w:szCs w:val="28"/>
          <w:highlight w:val="none"/>
          <w:lang w:val="en-US" w:eastAsia="zh-CN"/>
        </w:rPr>
        <w:t>，供应商按</w:t>
      </w:r>
      <w:r>
        <w:rPr>
          <w:rFonts w:hint="eastAsia" w:ascii="宋体" w:hAnsi="宋体" w:cs="宋体"/>
          <w:color w:val="auto"/>
          <w:kern w:val="0"/>
          <w:sz w:val="28"/>
          <w:szCs w:val="28"/>
          <w:highlight w:val="none"/>
          <w:lang w:val="en-US" w:eastAsia="zh-CN"/>
        </w:rPr>
        <w:t>实际金额</w:t>
      </w:r>
      <w:r>
        <w:rPr>
          <w:rFonts w:hint="eastAsia" w:ascii="宋体" w:hAnsi="宋体" w:eastAsia="宋体" w:cs="宋体"/>
          <w:color w:val="auto"/>
          <w:kern w:val="0"/>
          <w:sz w:val="28"/>
          <w:szCs w:val="28"/>
          <w:highlight w:val="none"/>
          <w:lang w:val="en-US" w:eastAsia="zh-CN"/>
        </w:rPr>
        <w:t>报价。</w:t>
      </w:r>
    </w:p>
    <w:p w14:paraId="1F29C65F">
      <w:pPr>
        <w:spacing w:line="360" w:lineRule="auto"/>
        <w:ind w:firstLine="560" w:firstLineChars="200"/>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2.根据供应商提供的实际服务，并经甲方验收合格，据实结算。</w:t>
      </w:r>
    </w:p>
    <w:p w14:paraId="32F494C1">
      <w:pPr>
        <w:spacing w:line="360" w:lineRule="auto"/>
        <w:ind w:firstLine="560" w:firstLineChars="200"/>
        <w:rPr>
          <w:rFonts w:hint="default"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3.其他：投标人须配合项目驻点在使用方指定地点测试成品数据工作并承担相关费用。</w:t>
      </w:r>
      <w:bookmarkStart w:id="0" w:name="_GoBack"/>
      <w:bookmarkEnd w:id="0"/>
    </w:p>
    <w:p w14:paraId="32B2ACDA">
      <w:pPr>
        <w:pStyle w:val="11"/>
        <w:rPr>
          <w:rFonts w:hint="eastAsia"/>
          <w:color w:val="auto"/>
          <w:highlight w:val="none"/>
          <w:lang w:val="en-US" w:eastAsia="zh-CN"/>
        </w:rPr>
      </w:pPr>
    </w:p>
    <w:p w14:paraId="4CD1E7D2">
      <w:pPr>
        <w:numPr>
          <w:ilvl w:val="0"/>
          <w:numId w:val="1"/>
        </w:numPr>
        <w:spacing w:line="360" w:lineRule="auto"/>
        <w:ind w:left="0" w:leftChars="0" w:firstLine="0" w:firstLineChars="0"/>
        <w:outlineLvl w:val="0"/>
        <w:rPr>
          <w:rFonts w:hint="eastAsia" w:ascii="黑体" w:hAnsi="黑体" w:eastAsia="黑体" w:cs="黑体"/>
          <w:color w:val="auto"/>
          <w:kern w:val="0"/>
          <w:sz w:val="28"/>
          <w:szCs w:val="28"/>
          <w:highlight w:val="none"/>
          <w:lang w:val="zh-TW"/>
        </w:rPr>
      </w:pPr>
      <w:r>
        <w:rPr>
          <w:rFonts w:hint="eastAsia" w:ascii="黑体" w:hAnsi="黑体" w:eastAsia="黑体" w:cs="黑体"/>
          <w:color w:val="auto"/>
          <w:kern w:val="0"/>
          <w:sz w:val="28"/>
          <w:szCs w:val="28"/>
          <w:highlight w:val="none"/>
          <w:lang w:val="en-US" w:eastAsia="zh-CN"/>
        </w:rPr>
        <w:t>其他</w:t>
      </w:r>
      <w:r>
        <w:rPr>
          <w:rFonts w:hint="eastAsia" w:ascii="黑体" w:hAnsi="黑体" w:eastAsia="黑体" w:cs="黑体"/>
          <w:color w:val="auto"/>
          <w:kern w:val="0"/>
          <w:sz w:val="28"/>
          <w:szCs w:val="28"/>
          <w:highlight w:val="none"/>
          <w:lang w:val="zh-TW"/>
        </w:rPr>
        <w:t>要求</w:t>
      </w:r>
    </w:p>
    <w:p w14:paraId="5752021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firstLine="560" w:firstLineChars="200"/>
        <w:textAlignment w:val="auto"/>
        <w:rPr>
          <w:rFonts w:hint="eastAsia" w:ascii="Times New Roman" w:hAnsi="Times New Roman" w:eastAsia="宋体"/>
          <w:color w:val="auto"/>
          <w:kern w:val="0"/>
          <w:sz w:val="28"/>
          <w:szCs w:val="28"/>
          <w:highlight w:val="none"/>
          <w:lang w:val="zh-TW" w:eastAsia="zh-CN"/>
        </w:rPr>
        <w:sectPr>
          <w:headerReference r:id="rId4" w:type="default"/>
          <w:footerReference r:id="rId5" w:type="default"/>
          <w:pgSz w:w="11900" w:h="16840"/>
          <w:pgMar w:top="1440" w:right="1800" w:bottom="1440" w:left="1800" w:header="851" w:footer="992" w:gutter="0"/>
          <w:cols w:space="720" w:num="1"/>
        </w:sectPr>
      </w:pPr>
      <w:r>
        <w:rPr>
          <w:rFonts w:hint="eastAsia" w:ascii="Times New Roman" w:hAnsi="Times New Roman" w:eastAsia="宋体"/>
          <w:color w:val="auto"/>
          <w:kern w:val="0"/>
          <w:sz w:val="28"/>
          <w:szCs w:val="28"/>
          <w:highlight w:val="none"/>
          <w:lang w:val="zh-TW" w:eastAsia="zh-CN"/>
        </w:rPr>
        <w:t>未经</w:t>
      </w:r>
      <w:r>
        <w:rPr>
          <w:rFonts w:hint="eastAsia" w:ascii="Times New Roman" w:hAnsi="Times New Roman" w:eastAsia="宋体"/>
          <w:color w:val="auto"/>
          <w:kern w:val="0"/>
          <w:sz w:val="28"/>
          <w:szCs w:val="28"/>
          <w:highlight w:val="none"/>
          <w:lang w:val="en-US" w:eastAsia="zh-CN"/>
        </w:rPr>
        <w:t>采购方</w:t>
      </w:r>
      <w:r>
        <w:rPr>
          <w:rFonts w:hint="eastAsia" w:ascii="Times New Roman" w:hAnsi="Times New Roman" w:eastAsia="宋体"/>
          <w:color w:val="auto"/>
          <w:kern w:val="0"/>
          <w:sz w:val="28"/>
          <w:szCs w:val="28"/>
          <w:highlight w:val="none"/>
          <w:lang w:val="zh-TW" w:eastAsia="zh-CN"/>
        </w:rPr>
        <w:t>许可，</w:t>
      </w:r>
      <w:r>
        <w:rPr>
          <w:rFonts w:hint="eastAsia" w:ascii="Times New Roman" w:hAnsi="Times New Roman" w:eastAsia="宋体"/>
          <w:color w:val="auto"/>
          <w:kern w:val="0"/>
          <w:sz w:val="28"/>
          <w:szCs w:val="28"/>
          <w:highlight w:val="none"/>
          <w:lang w:val="en-US" w:eastAsia="zh-CN"/>
        </w:rPr>
        <w:t>供应商</w:t>
      </w:r>
      <w:r>
        <w:rPr>
          <w:rFonts w:hint="eastAsia" w:ascii="Times New Roman" w:hAnsi="Times New Roman" w:eastAsia="宋体"/>
          <w:color w:val="auto"/>
          <w:kern w:val="0"/>
          <w:sz w:val="28"/>
          <w:szCs w:val="28"/>
          <w:highlight w:val="none"/>
          <w:lang w:val="zh-TW" w:eastAsia="zh-CN"/>
        </w:rPr>
        <w:t>不得公开本</w:t>
      </w:r>
      <w:r>
        <w:rPr>
          <w:rFonts w:hint="eastAsia" w:ascii="Times New Roman" w:hAnsi="Times New Roman" w:eastAsia="宋体"/>
          <w:color w:val="auto"/>
          <w:kern w:val="0"/>
          <w:sz w:val="28"/>
          <w:szCs w:val="28"/>
          <w:highlight w:val="none"/>
          <w:lang w:val="en-US" w:eastAsia="zh-CN"/>
        </w:rPr>
        <w:t>项目</w:t>
      </w:r>
      <w:r>
        <w:rPr>
          <w:rFonts w:hint="eastAsia" w:ascii="Times New Roman" w:hAnsi="Times New Roman" w:eastAsia="宋体"/>
          <w:color w:val="auto"/>
          <w:kern w:val="0"/>
          <w:sz w:val="28"/>
          <w:szCs w:val="28"/>
          <w:highlight w:val="none"/>
          <w:lang w:val="zh-TW" w:eastAsia="zh-CN"/>
        </w:rPr>
        <w:t>下的研究开发成果，不得将本</w:t>
      </w:r>
      <w:r>
        <w:rPr>
          <w:rFonts w:hint="eastAsia" w:ascii="Times New Roman" w:hAnsi="Times New Roman" w:eastAsia="宋体"/>
          <w:color w:val="auto"/>
          <w:kern w:val="0"/>
          <w:sz w:val="28"/>
          <w:szCs w:val="28"/>
          <w:highlight w:val="none"/>
          <w:lang w:val="en-US" w:eastAsia="zh-CN"/>
        </w:rPr>
        <w:t>项目</w:t>
      </w:r>
      <w:r>
        <w:rPr>
          <w:rFonts w:hint="eastAsia" w:ascii="Times New Roman" w:hAnsi="Times New Roman" w:eastAsia="宋体"/>
          <w:color w:val="auto"/>
          <w:kern w:val="0"/>
          <w:sz w:val="28"/>
          <w:szCs w:val="28"/>
          <w:highlight w:val="none"/>
          <w:lang w:val="zh-TW" w:eastAsia="zh-CN"/>
        </w:rPr>
        <w:t>下的技术申请专利，不得向第三方许可、转让或泄露本合同项下的专有技术。</w:t>
      </w:r>
    </w:p>
    <w:p w14:paraId="140790F0">
      <w:pPr>
        <w:pStyle w:val="10"/>
        <w:ind w:left="0" w:leftChars="0" w:firstLine="0" w:firstLineChars="0"/>
        <w:rPr>
          <w:rFonts w:hint="eastAsia"/>
          <w:color w:val="auto"/>
          <w:highlight w:val="none"/>
          <w:lang w:val="zh-TW" w:eastAsia="zh-CN"/>
        </w:rPr>
      </w:pPr>
    </w:p>
    <w:p w14:paraId="3C6980EB">
      <w:pPr>
        <w:pStyle w:val="10"/>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eastAsia" w:ascii="黑体" w:hAnsi="黑体" w:eastAsia="黑体" w:cs="黑体"/>
          <w:color w:val="auto"/>
          <w:kern w:val="0"/>
          <w:sz w:val="28"/>
          <w:szCs w:val="28"/>
          <w:highlight w:val="none"/>
          <w:lang w:val="en-US" w:eastAsia="zh-CN"/>
        </w:rPr>
      </w:pPr>
      <w:r>
        <w:rPr>
          <w:rFonts w:hint="eastAsia" w:ascii="黑体" w:hAnsi="黑体" w:eastAsia="黑体" w:cs="黑体"/>
          <w:color w:val="auto"/>
          <w:kern w:val="0"/>
          <w:sz w:val="28"/>
          <w:szCs w:val="28"/>
          <w:highlight w:val="none"/>
          <w:lang w:val="en-US" w:eastAsia="zh-CN"/>
        </w:rPr>
        <w:t>附件1：佛山供电局2026年职工技术创新项目测试加工采购内容</w:t>
      </w:r>
    </w:p>
    <w:tbl>
      <w:tblPr>
        <w:tblStyle w:val="7"/>
        <w:tblpPr w:leftFromText="180" w:rightFromText="180" w:vertAnchor="text" w:tblpX="-112" w:tblpY="1"/>
        <w:tblOverlap w:val="never"/>
        <w:tblW w:w="94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1597"/>
        <w:gridCol w:w="6927"/>
      </w:tblGrid>
      <w:tr w14:paraId="5E49A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7" w:type="dxa"/>
            <w:gridSpan w:val="2"/>
            <w:vAlign w:val="center"/>
          </w:tcPr>
          <w:p w14:paraId="48F8AFD7">
            <w:pPr>
              <w:keepNext w:val="0"/>
              <w:keepLines w:val="0"/>
              <w:pageBreakBefore w:val="0"/>
              <w:kinsoku/>
              <w:wordWrap/>
              <w:overflowPunct/>
              <w:topLinePunct w:val="0"/>
              <w:bidi w:val="0"/>
              <w:adjustRightInd/>
              <w:snapToGrid/>
              <w:spacing w:line="240" w:lineRule="auto"/>
              <w:ind w:left="0" w:leftChars="0" w:firstLine="0" w:firstLineChars="0"/>
              <w:jc w:val="center"/>
              <w:textAlignment w:val="auto"/>
              <w:rPr>
                <w:rFonts w:hint="default" w:eastAsiaTheme="minorEastAsia"/>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采购服务依托职创项目</w:t>
            </w:r>
          </w:p>
        </w:tc>
        <w:tc>
          <w:tcPr>
            <w:tcW w:w="6927" w:type="dxa"/>
            <w:vAlign w:val="center"/>
          </w:tcPr>
          <w:p w14:paraId="4A7E3584">
            <w:pPr>
              <w:keepNext w:val="0"/>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ascii="黑体" w:hAnsi="黑体" w:eastAsia="黑体" w:cs="黑体"/>
                <w:b/>
                <w:bCs/>
                <w:color w:val="auto"/>
                <w:sz w:val="21"/>
                <w:szCs w:val="21"/>
                <w:highlight w:val="none"/>
                <w:lang w:val="en-US" w:eastAsia="zh-CN"/>
              </w:rPr>
            </w:pPr>
            <w:r>
              <w:rPr>
                <w:rFonts w:hint="eastAsia" w:ascii="黑体" w:hAnsi="黑体" w:eastAsia="黑体" w:cs="黑体"/>
                <w:b w:val="0"/>
                <w:bCs w:val="0"/>
                <w:color w:val="auto"/>
                <w:sz w:val="21"/>
                <w:szCs w:val="21"/>
                <w:highlight w:val="none"/>
                <w:lang w:val="en-US" w:eastAsia="zh-CN"/>
              </w:rPr>
              <w:t>铁芯电容器串联电抗铁芯电流在线监测装置研制及应用</w:t>
            </w:r>
          </w:p>
        </w:tc>
      </w:tr>
      <w:tr w14:paraId="146B8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7" w:type="dxa"/>
            <w:gridSpan w:val="2"/>
            <w:vAlign w:val="center"/>
          </w:tcPr>
          <w:p w14:paraId="31AC432E">
            <w:pPr>
              <w:keepNext w:val="0"/>
              <w:keepLines w:val="0"/>
              <w:pageBreakBefore w:val="0"/>
              <w:kinsoku/>
              <w:wordWrap/>
              <w:overflowPunct/>
              <w:topLinePunct w:val="0"/>
              <w:bidi w:val="0"/>
              <w:adjustRightInd/>
              <w:snapToGrid/>
              <w:spacing w:line="240" w:lineRule="auto"/>
              <w:ind w:left="0" w:leftChars="0" w:firstLine="0" w:firstLineChars="0"/>
              <w:jc w:val="center"/>
              <w:textAlignment w:val="auto"/>
              <w:rPr>
                <w:rFonts w:hint="default" w:eastAsiaTheme="minorEastAsia"/>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采购最高限价（万元）</w:t>
            </w:r>
          </w:p>
        </w:tc>
        <w:tc>
          <w:tcPr>
            <w:tcW w:w="6927" w:type="dxa"/>
            <w:vAlign w:val="center"/>
          </w:tcPr>
          <w:p w14:paraId="64610264">
            <w:pPr>
              <w:keepNext w:val="0"/>
              <w:keepLines w:val="0"/>
              <w:pageBreakBefore w:val="0"/>
              <w:kinsoku/>
              <w:wordWrap/>
              <w:overflowPunct/>
              <w:topLinePunct w:val="0"/>
              <w:bidi w:val="0"/>
              <w:adjustRightInd/>
              <w:snapToGrid/>
              <w:spacing w:line="240" w:lineRule="auto"/>
              <w:ind w:left="0" w:leftChars="0" w:firstLine="0" w:firstLineChars="0"/>
              <w:jc w:val="center"/>
              <w:textAlignment w:val="auto"/>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3.1</w:t>
            </w:r>
            <w:r>
              <w:rPr>
                <w:rFonts w:hint="eastAsia" w:ascii="微软雅黑" w:hAnsi="微软雅黑" w:eastAsia="微软雅黑" w:cs="微软雅黑"/>
                <w:color w:val="auto"/>
                <w:sz w:val="21"/>
                <w:szCs w:val="21"/>
                <w:highlight w:val="none"/>
                <w:vertAlign w:val="baseline"/>
                <w:lang w:val="en-US" w:eastAsia="zh-CN"/>
              </w:rPr>
              <w:t>万元</w:t>
            </w:r>
          </w:p>
        </w:tc>
      </w:tr>
      <w:tr w14:paraId="041C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 w:type="dxa"/>
            <w:vAlign w:val="center"/>
          </w:tcPr>
          <w:p w14:paraId="22373B3C">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概况</w:t>
            </w:r>
          </w:p>
        </w:tc>
        <w:tc>
          <w:tcPr>
            <w:tcW w:w="8524" w:type="dxa"/>
            <w:gridSpan w:val="2"/>
          </w:tcPr>
          <w:p w14:paraId="3842C9A3">
            <w:pPr>
              <w:keepNext w:val="0"/>
              <w:keepLines w:val="0"/>
              <w:pageBreakBefore w:val="0"/>
              <w:numPr>
                <w:ilvl w:val="0"/>
                <w:numId w:val="0"/>
              </w:numPr>
              <w:kinsoku/>
              <w:wordWrap/>
              <w:overflowPunct/>
              <w:topLinePunct w:val="0"/>
              <w:autoSpaceDE/>
              <w:autoSpaceDN/>
              <w:bidi w:val="0"/>
              <w:adjustRightInd/>
              <w:snapToGrid w:val="0"/>
              <w:spacing w:line="240" w:lineRule="auto"/>
              <w:ind w:leftChars="0" w:firstLine="420" w:firstLineChars="200"/>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近年电网迎峰度夏后期，铁芯电容器串联电抗设备故障频发，铁芯异常放电是故障核心诱因，当前行业无专用铁芯接地电流在线监测装置，设备运维仅依靠人工定期巡视和事后被动检修，存在极大技术短板。该运维模式无法实时捕捉电流异常波动，无法提前识别设备绝缘隐患，隐患预判率为零，仅能开展事后故障处置，人工巡检耗时费力、精准度低，极易造成设备停运、紧急抢修等问题，严重威胁电网运行安全，技术升级整改十分紧迫。</w:t>
            </w:r>
          </w:p>
          <w:p w14:paraId="221FBD8B">
            <w:pPr>
              <w:keepNext w:val="0"/>
              <w:keepLines w:val="0"/>
              <w:pageBreakBefore w:val="0"/>
              <w:numPr>
                <w:ilvl w:val="0"/>
                <w:numId w:val="0"/>
              </w:numPr>
              <w:kinsoku/>
              <w:wordWrap/>
              <w:overflowPunct/>
              <w:topLinePunct w:val="0"/>
              <w:autoSpaceDE/>
              <w:autoSpaceDN/>
              <w:bidi w:val="0"/>
              <w:adjustRightInd/>
              <w:snapToGrid w:val="0"/>
              <w:spacing w:line="240" w:lineRule="auto"/>
              <w:ind w:leftChars="0" w:firstLine="420" w:firstLineChars="200"/>
              <w:textAlignment w:val="auto"/>
              <w:rPr>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本项目针对性研发铁芯接地电流在线监测装置，通过设计高精度硬件采集模块保障现场检测精度，集成标准通信接口实现数据远程稳定传输，依托全天候数据采集分析电流变化特征，研判设备绝缘老化、电位异常等隐患，建立专属故障识别逻辑，实现设备隐患早发现、早预警，从源头压降设备故障，提升设备精益运维水平。</w:t>
            </w:r>
          </w:p>
        </w:tc>
      </w:tr>
      <w:tr w14:paraId="5EE43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8" w:hRule="atLeast"/>
        </w:trPr>
        <w:tc>
          <w:tcPr>
            <w:tcW w:w="930" w:type="dxa"/>
            <w:vAlign w:val="center"/>
          </w:tcPr>
          <w:p w14:paraId="1F2254D9">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采购服务内容</w:t>
            </w:r>
          </w:p>
        </w:tc>
        <w:tc>
          <w:tcPr>
            <w:tcW w:w="8524" w:type="dxa"/>
            <w:gridSpan w:val="2"/>
            <w:vAlign w:val="center"/>
          </w:tcPr>
          <w:p w14:paraId="4E97A08F">
            <w:pPr>
              <w:keepNext w:val="0"/>
              <w:keepLines w:val="0"/>
              <w:pageBreakBefore w:val="0"/>
              <w:numPr>
                <w:ilvl w:val="0"/>
                <w:numId w:val="0"/>
              </w:numPr>
              <w:kinsoku/>
              <w:wordWrap/>
              <w:overflowPunct/>
              <w:topLinePunct w:val="0"/>
              <w:autoSpaceDE/>
              <w:autoSpaceDN/>
              <w:bidi w:val="0"/>
              <w:adjustRightInd/>
              <w:snapToGrid w:val="0"/>
              <w:spacing w:line="240" w:lineRule="auto"/>
              <w:ind w:leftChars="0"/>
              <w:textAlignment w:val="auto"/>
              <w:rPr>
                <w:rFonts w:hint="eastAsia" w:ascii="微软雅黑" w:hAnsi="微软雅黑" w:eastAsia="微软雅黑" w:cs="微软雅黑"/>
                <w:color w:val="auto"/>
                <w:sz w:val="21"/>
                <w:szCs w:val="21"/>
                <w:highlight w:val="none"/>
                <w:vertAlign w:val="baseline"/>
                <w:lang w:val="zh-TW" w:eastAsia="zh-TW"/>
              </w:rPr>
            </w:pPr>
            <w:r>
              <w:rPr>
                <w:rFonts w:hint="eastAsia" w:ascii="黑体" w:hAnsi="黑体" w:eastAsia="黑体" w:cs="黑体"/>
                <w:b w:val="0"/>
                <w:bCs w:val="0"/>
                <w:color w:val="auto"/>
                <w:sz w:val="21"/>
                <w:szCs w:val="21"/>
                <w:highlight w:val="none"/>
                <w:lang w:val="en-US" w:eastAsia="zh-CN"/>
              </w:rPr>
              <w:t>铁</w:t>
            </w:r>
            <w:r>
              <w:rPr>
                <w:rFonts w:hint="eastAsia" w:ascii="微软雅黑" w:hAnsi="微软雅黑" w:eastAsia="微软雅黑" w:cs="微软雅黑"/>
                <w:color w:val="auto"/>
                <w:sz w:val="21"/>
                <w:szCs w:val="21"/>
                <w:highlight w:val="none"/>
                <w:vertAlign w:val="baseline"/>
                <w:lang w:val="en-US" w:eastAsia="zh-CN"/>
              </w:rPr>
              <w:t>芯电容器串联电抗铁芯电流在线监测装置研制及应用加工</w:t>
            </w:r>
            <w:r>
              <w:rPr>
                <w:rFonts w:hint="eastAsia" w:ascii="微软雅黑" w:hAnsi="微软雅黑" w:eastAsia="微软雅黑" w:cs="微软雅黑"/>
                <w:color w:val="auto"/>
                <w:sz w:val="21"/>
                <w:szCs w:val="21"/>
                <w:highlight w:val="none"/>
                <w:vertAlign w:val="baseline"/>
                <w:lang w:val="zh-TW" w:eastAsia="zh-TW"/>
              </w:rPr>
              <w:t>测试：要求对</w:t>
            </w:r>
            <w:r>
              <w:rPr>
                <w:rFonts w:hint="eastAsia" w:ascii="微软雅黑" w:hAnsi="微软雅黑" w:eastAsia="微软雅黑" w:cs="微软雅黑"/>
                <w:color w:val="auto"/>
                <w:sz w:val="21"/>
                <w:szCs w:val="21"/>
                <w:highlight w:val="none"/>
                <w:vertAlign w:val="baseline"/>
                <w:lang w:val="en-US" w:eastAsia="zh-CN"/>
              </w:rPr>
              <w:t>采购的材料开展加工、调试、测试以及安装</w:t>
            </w:r>
            <w:r>
              <w:rPr>
                <w:rFonts w:hint="eastAsia" w:ascii="微软雅黑" w:hAnsi="微软雅黑" w:eastAsia="微软雅黑" w:cs="微软雅黑"/>
                <w:color w:val="auto"/>
                <w:sz w:val="21"/>
                <w:szCs w:val="21"/>
                <w:highlight w:val="none"/>
                <w:vertAlign w:val="baseline"/>
                <w:lang w:val="zh-TW" w:eastAsia="zh-TW"/>
              </w:rPr>
              <w:t>服务</w:t>
            </w:r>
            <w:r>
              <w:rPr>
                <w:rFonts w:hint="eastAsia" w:ascii="微软雅黑" w:hAnsi="微软雅黑" w:eastAsia="微软雅黑" w:cs="微软雅黑"/>
                <w:color w:val="auto"/>
                <w:sz w:val="21"/>
                <w:szCs w:val="21"/>
                <w:highlight w:val="none"/>
                <w:vertAlign w:val="baseline"/>
                <w:lang w:val="zh-TW" w:eastAsia="zh-CN"/>
              </w:rPr>
              <w:t>。</w:t>
            </w:r>
          </w:p>
          <w:p w14:paraId="56F2B7B0">
            <w:pPr>
              <w:keepNext w:val="0"/>
              <w:keepLines w:val="0"/>
              <w:pageBreakBefore w:val="0"/>
              <w:numPr>
                <w:ilvl w:val="0"/>
                <w:numId w:val="0"/>
              </w:numPr>
              <w:kinsoku/>
              <w:wordWrap/>
              <w:overflowPunct/>
              <w:topLinePunct w:val="0"/>
              <w:autoSpaceDE/>
              <w:autoSpaceDN/>
              <w:bidi w:val="0"/>
              <w:adjustRightInd/>
              <w:snapToGrid w:val="0"/>
              <w:spacing w:line="240" w:lineRule="auto"/>
              <w:ind w:leftChars="0"/>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1、加工完成后的装置需严格满足以下技术性能指标要求：</w:t>
            </w:r>
          </w:p>
          <w:p w14:paraId="3405A5A3">
            <w:pPr>
              <w:keepNext w:val="0"/>
              <w:keepLines w:val="0"/>
              <w:pageBreakBefore w:val="0"/>
              <w:numPr>
                <w:ilvl w:val="0"/>
                <w:numId w:val="3"/>
              </w:numPr>
              <w:kinsoku/>
              <w:wordWrap/>
              <w:overflowPunct/>
              <w:topLinePunct w:val="0"/>
              <w:autoSpaceDE/>
              <w:autoSpaceDN/>
              <w:bidi w:val="0"/>
              <w:adjustRightInd/>
              <w:snapToGrid w:val="0"/>
              <w:spacing w:line="240" w:lineRule="auto"/>
              <w:ind w:left="425" w:leftChars="0" w:hanging="425" w:firstLineChars="0"/>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接地电流测量范围：50μA～50mA；测量精度：±1%（≥100uA）。</w:t>
            </w:r>
          </w:p>
          <w:p w14:paraId="076DA19E">
            <w:pPr>
              <w:keepNext w:val="0"/>
              <w:keepLines w:val="0"/>
              <w:pageBreakBefore w:val="0"/>
              <w:numPr>
                <w:ilvl w:val="0"/>
                <w:numId w:val="3"/>
              </w:numPr>
              <w:kinsoku/>
              <w:wordWrap/>
              <w:overflowPunct/>
              <w:topLinePunct w:val="0"/>
              <w:autoSpaceDE/>
              <w:autoSpaceDN/>
              <w:bidi w:val="0"/>
              <w:adjustRightInd/>
              <w:snapToGrid w:val="0"/>
              <w:spacing w:line="240" w:lineRule="auto"/>
              <w:ind w:left="425" w:leftChars="0" w:hanging="425" w:firstLineChars="0"/>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告警功能：具备越限告警、异常波动告警、稳态超限告警功能，告警阈值可根据现场运行需求灵活定制，适配不同工况设备运行标准。</w:t>
            </w:r>
          </w:p>
          <w:p w14:paraId="5FF0BAE6">
            <w:pPr>
              <w:keepNext w:val="0"/>
              <w:keepLines w:val="0"/>
              <w:pageBreakBefore w:val="0"/>
              <w:numPr>
                <w:ilvl w:val="0"/>
                <w:numId w:val="3"/>
              </w:numPr>
              <w:kinsoku/>
              <w:wordWrap/>
              <w:overflowPunct/>
              <w:topLinePunct w:val="0"/>
              <w:autoSpaceDE/>
              <w:autoSpaceDN/>
              <w:bidi w:val="0"/>
              <w:adjustRightInd/>
              <w:snapToGrid w:val="0"/>
              <w:spacing w:line="240" w:lineRule="auto"/>
              <w:ind w:left="425" w:leftChars="0" w:hanging="425" w:firstLineChars="0"/>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通信方式：采用隔离RS485、以太网通信，可扩展光纤通信，具备电气隔离、抗干扰能力强的特点。</w:t>
            </w:r>
          </w:p>
          <w:p w14:paraId="7A66EEB0">
            <w:pPr>
              <w:keepNext w:val="0"/>
              <w:keepLines w:val="0"/>
              <w:pageBreakBefore w:val="0"/>
              <w:numPr>
                <w:ilvl w:val="0"/>
                <w:numId w:val="3"/>
              </w:numPr>
              <w:kinsoku/>
              <w:wordWrap/>
              <w:overflowPunct/>
              <w:topLinePunct w:val="0"/>
              <w:autoSpaceDE/>
              <w:autoSpaceDN/>
              <w:bidi w:val="0"/>
              <w:adjustRightInd/>
              <w:snapToGrid w:val="0"/>
              <w:spacing w:line="240" w:lineRule="auto"/>
              <w:ind w:left="425" w:leftChars="0" w:hanging="425" w:firstLineChars="0"/>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数据功能：支持实时数据上传、异常录波、历史数据存储、趋势分析、事件记录。</w:t>
            </w:r>
          </w:p>
          <w:p w14:paraId="1B717FFA">
            <w:pPr>
              <w:keepNext w:val="0"/>
              <w:keepLines w:val="0"/>
              <w:pageBreakBefore w:val="0"/>
              <w:numPr>
                <w:ilvl w:val="0"/>
                <w:numId w:val="3"/>
              </w:numPr>
              <w:kinsoku/>
              <w:wordWrap/>
              <w:overflowPunct/>
              <w:topLinePunct w:val="0"/>
              <w:autoSpaceDE/>
              <w:autoSpaceDN/>
              <w:bidi w:val="0"/>
              <w:adjustRightInd/>
              <w:snapToGrid w:val="0"/>
              <w:spacing w:line="240" w:lineRule="auto"/>
              <w:ind w:left="425" w:leftChars="0" w:hanging="425" w:firstLineChars="0"/>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工作环境：适应变电站室内工况，温湿度适应性强，具备良好电磁兼容性能，可抵御电抗器强漏磁及现场电磁干扰，保证长期稳定运行。</w:t>
            </w:r>
          </w:p>
          <w:p w14:paraId="79679A70">
            <w:pPr>
              <w:keepNext w:val="0"/>
              <w:keepLines w:val="0"/>
              <w:pageBreakBefore w:val="0"/>
              <w:numPr>
                <w:ilvl w:val="0"/>
                <w:numId w:val="0"/>
              </w:numPr>
              <w:kinsoku/>
              <w:wordWrap/>
              <w:overflowPunct/>
              <w:topLinePunct w:val="0"/>
              <w:autoSpaceDE/>
              <w:autoSpaceDN/>
              <w:bidi w:val="0"/>
              <w:adjustRightInd/>
              <w:snapToGrid w:val="0"/>
              <w:spacing w:line="240" w:lineRule="auto"/>
              <w:ind w:leftChars="0"/>
              <w:textAlignment w:val="auto"/>
              <w:rPr>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2、 功能正常使用后</w:t>
            </w:r>
            <w:r>
              <w:rPr>
                <w:rFonts w:hint="eastAsia" w:ascii="微软雅黑" w:hAnsi="微软雅黑" w:eastAsia="微软雅黑" w:cs="微软雅黑"/>
                <w:color w:val="auto"/>
                <w:sz w:val="21"/>
                <w:szCs w:val="21"/>
                <w:highlight w:val="none"/>
                <w:vertAlign w:val="baseline"/>
                <w:lang w:val="zh-TW" w:eastAsia="zh-TW"/>
              </w:rPr>
              <w:t>提供</w:t>
            </w:r>
            <w:r>
              <w:rPr>
                <w:rFonts w:hint="eastAsia" w:ascii="微软雅黑" w:hAnsi="微软雅黑" w:eastAsia="微软雅黑" w:cs="微软雅黑"/>
                <w:color w:val="auto"/>
                <w:sz w:val="21"/>
                <w:szCs w:val="21"/>
                <w:highlight w:val="none"/>
                <w:vertAlign w:val="baseline"/>
                <w:lang w:val="en-US" w:eastAsia="zh-CN"/>
              </w:rPr>
              <w:t>具备相应资质的第三方测试</w:t>
            </w:r>
            <w:r>
              <w:rPr>
                <w:rFonts w:hint="eastAsia" w:ascii="微软雅黑" w:hAnsi="微软雅黑" w:eastAsia="微软雅黑" w:cs="微软雅黑"/>
                <w:color w:val="auto"/>
                <w:sz w:val="21"/>
                <w:szCs w:val="21"/>
                <w:highlight w:val="none"/>
                <w:vertAlign w:val="baseline"/>
                <w:lang w:val="zh-TW" w:eastAsia="zh-TW"/>
              </w:rPr>
              <w:t>报告</w:t>
            </w:r>
            <w:r>
              <w:rPr>
                <w:rFonts w:hint="eastAsia" w:ascii="微软雅黑" w:hAnsi="微软雅黑" w:eastAsia="微软雅黑" w:cs="微软雅黑"/>
                <w:color w:val="auto"/>
                <w:sz w:val="21"/>
                <w:szCs w:val="21"/>
                <w:highlight w:val="none"/>
                <w:vertAlign w:val="baseline"/>
                <w:lang w:val="zh-TW" w:eastAsia="zh-CN"/>
              </w:rPr>
              <w:t>。</w:t>
            </w:r>
          </w:p>
        </w:tc>
      </w:tr>
      <w:tr w14:paraId="52D9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vAlign w:val="center"/>
          </w:tcPr>
          <w:p w14:paraId="49708E7D">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交付物</w:t>
            </w:r>
          </w:p>
        </w:tc>
        <w:tc>
          <w:tcPr>
            <w:tcW w:w="8524" w:type="dxa"/>
            <w:gridSpan w:val="2"/>
          </w:tcPr>
          <w:p w14:paraId="72B579C9">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eastAsia" w:ascii="微软雅黑" w:hAnsi="微软雅黑" w:eastAsia="微软雅黑" w:cs="微软雅黑"/>
                <w:color w:val="auto"/>
                <w:kern w:val="2"/>
                <w:sz w:val="21"/>
                <w:szCs w:val="21"/>
                <w:highlight w:val="none"/>
                <w:u w:val="none" w:color="000000"/>
                <w:vertAlign w:val="baseline"/>
                <w:lang w:val="zh-TW" w:eastAsia="zh-CN" w:bidi="ar-SA"/>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1. 硬件装置：铁芯电容器串联电抗铁芯电流在线监测装置，壹套；使用说明书，壹</w:t>
            </w:r>
            <w:r>
              <w:rPr>
                <w:rFonts w:hint="eastAsia" w:ascii="微软雅黑" w:hAnsi="微软雅黑" w:eastAsia="微软雅黑" w:cs="微软雅黑"/>
                <w:color w:val="auto"/>
                <w:kern w:val="2"/>
                <w:sz w:val="21"/>
                <w:szCs w:val="21"/>
                <w:highlight w:val="none"/>
                <w:u w:val="none" w:color="000000"/>
                <w:vertAlign w:val="baseline"/>
                <w:lang w:val="zh-TW" w:eastAsia="zh-CN" w:bidi="ar-SA"/>
              </w:rPr>
              <w:t>份；</w:t>
            </w:r>
          </w:p>
          <w:p w14:paraId="3FB4DC8C">
            <w:pPr>
              <w:keepNext w:val="0"/>
              <w:keepLines w:val="0"/>
              <w:pageBreakBefore w:val="0"/>
              <w:kinsoku/>
              <w:wordWrap/>
              <w:overflowPunct/>
              <w:topLinePunct w:val="0"/>
              <w:autoSpaceDE/>
              <w:autoSpaceDN/>
              <w:bidi w:val="0"/>
              <w:adjustRightInd/>
              <w:snapToGrid w:val="0"/>
              <w:spacing w:line="240" w:lineRule="auto"/>
              <w:ind w:left="0" w:leftChars="0" w:firstLine="0" w:firstLineChars="0"/>
              <w:textAlignment w:val="auto"/>
              <w:rPr>
                <w:rFonts w:hint="default"/>
                <w:color w:val="auto"/>
                <w:sz w:val="21"/>
                <w:szCs w:val="21"/>
                <w:highlight w:val="none"/>
                <w:vertAlign w:val="baseline"/>
                <w:lang w:val="en-US"/>
              </w:rPr>
            </w:pPr>
            <w:r>
              <w:rPr>
                <w:rFonts w:hint="eastAsia" w:ascii="微软雅黑" w:hAnsi="微软雅黑" w:eastAsia="微软雅黑" w:cs="微软雅黑"/>
                <w:color w:val="auto"/>
                <w:kern w:val="2"/>
                <w:sz w:val="21"/>
                <w:szCs w:val="21"/>
                <w:highlight w:val="none"/>
                <w:u w:val="none" w:color="000000"/>
                <w:vertAlign w:val="baseline"/>
                <w:lang w:val="en-US" w:eastAsia="zh-CN" w:bidi="ar-SA"/>
              </w:rPr>
              <w:t xml:space="preserve">2. </w:t>
            </w:r>
            <w:r>
              <w:rPr>
                <w:rFonts w:hint="eastAsia" w:ascii="微软雅黑" w:hAnsi="微软雅黑" w:eastAsia="微软雅黑" w:cs="微软雅黑"/>
                <w:color w:val="auto"/>
                <w:kern w:val="2"/>
                <w:sz w:val="21"/>
                <w:szCs w:val="21"/>
                <w:highlight w:val="none"/>
                <w:u w:val="none" w:color="000000"/>
                <w:vertAlign w:val="baseline"/>
                <w:lang w:val="zh-TW" w:eastAsia="zh-CN" w:bidi="ar-SA"/>
              </w:rPr>
              <w:t>报告：</w:t>
            </w:r>
            <w:r>
              <w:rPr>
                <w:rFonts w:hint="eastAsia" w:ascii="微软雅黑" w:hAnsi="微软雅黑" w:eastAsia="微软雅黑" w:cs="微软雅黑"/>
                <w:color w:val="auto"/>
                <w:kern w:val="2"/>
                <w:sz w:val="21"/>
                <w:szCs w:val="21"/>
                <w:highlight w:val="none"/>
                <w:u w:val="none" w:color="000000"/>
                <w:vertAlign w:val="baseline"/>
                <w:lang w:val="en-US" w:eastAsia="zh-CN" w:bidi="ar-SA"/>
              </w:rPr>
              <w:t>具备</w:t>
            </w:r>
            <w:r>
              <w:rPr>
                <w:rFonts w:hint="eastAsia" w:ascii="微软雅黑" w:hAnsi="微软雅黑" w:eastAsia="微软雅黑" w:cs="微软雅黑"/>
                <w:color w:val="auto"/>
                <w:sz w:val="21"/>
                <w:szCs w:val="21"/>
                <w:highlight w:val="none"/>
                <w:vertAlign w:val="baseline"/>
                <w:lang w:val="en-US" w:eastAsia="zh-CN"/>
              </w:rPr>
              <w:t>相应</w:t>
            </w:r>
            <w:r>
              <w:rPr>
                <w:rFonts w:hint="eastAsia" w:ascii="微软雅黑" w:hAnsi="微软雅黑" w:eastAsia="微软雅黑" w:cs="微软雅黑"/>
                <w:color w:val="auto"/>
                <w:kern w:val="2"/>
                <w:sz w:val="21"/>
                <w:szCs w:val="21"/>
                <w:highlight w:val="none"/>
                <w:u w:val="none" w:color="000000"/>
                <w:vertAlign w:val="baseline"/>
                <w:lang w:val="en-US" w:eastAsia="zh-CN" w:bidi="ar-SA"/>
              </w:rPr>
              <w:t>资质的功能、性能测试相关</w:t>
            </w:r>
            <w:r>
              <w:rPr>
                <w:rFonts w:hint="eastAsia" w:ascii="微软雅黑" w:hAnsi="微软雅黑" w:eastAsia="微软雅黑" w:cs="微软雅黑"/>
                <w:color w:val="auto"/>
                <w:kern w:val="2"/>
                <w:sz w:val="21"/>
                <w:szCs w:val="21"/>
                <w:highlight w:val="none"/>
                <w:u w:val="none" w:color="000000"/>
                <w:vertAlign w:val="baseline"/>
                <w:lang w:val="zh-TW" w:eastAsia="zh-CN" w:bidi="ar-SA"/>
              </w:rPr>
              <w:t>报告，</w:t>
            </w:r>
            <w:r>
              <w:rPr>
                <w:rFonts w:hint="eastAsia" w:ascii="微软雅黑" w:hAnsi="微软雅黑" w:eastAsia="微软雅黑" w:cs="微软雅黑"/>
                <w:color w:val="auto"/>
                <w:kern w:val="2"/>
                <w:sz w:val="21"/>
                <w:szCs w:val="21"/>
                <w:highlight w:val="none"/>
                <w:u w:val="none" w:color="000000"/>
                <w:vertAlign w:val="baseline"/>
                <w:lang w:val="en-US" w:eastAsia="zh-CN" w:bidi="ar-SA"/>
              </w:rPr>
              <w:t>壹</w:t>
            </w:r>
            <w:r>
              <w:rPr>
                <w:rFonts w:hint="eastAsia" w:ascii="微软雅黑" w:hAnsi="微软雅黑" w:eastAsia="微软雅黑" w:cs="微软雅黑"/>
                <w:color w:val="auto"/>
                <w:kern w:val="2"/>
                <w:sz w:val="21"/>
                <w:szCs w:val="21"/>
                <w:highlight w:val="none"/>
                <w:u w:val="none" w:color="000000"/>
                <w:vertAlign w:val="baseline"/>
                <w:lang w:val="zh-TW" w:eastAsia="zh-CN" w:bidi="ar-SA"/>
              </w:rPr>
              <w:t>份。</w:t>
            </w:r>
          </w:p>
        </w:tc>
      </w:tr>
    </w:tbl>
    <w:p w14:paraId="6B4F9916">
      <w:pPr>
        <w:pStyle w:val="11"/>
        <w:rPr>
          <w:rFonts w:hint="eastAsia"/>
          <w:color w:val="auto"/>
          <w:highlight w:val="none"/>
          <w:lang w:eastAsia="zh-CN"/>
        </w:rPr>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pPr>
    </w:p>
    <w:p w14:paraId="13CFD44E">
      <w:pPr>
        <w:rPr>
          <w:color w:val="FF0000"/>
          <w:highlight w:val="yellow"/>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Helvetica Ne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24908">
    <w:pPr>
      <w:pStyle w:val="4"/>
      <w:tabs>
        <w:tab w:val="right" w:pos="8280"/>
        <w:tab w:val="clear" w:pos="8306"/>
      </w:tabs>
      <w:jc w:val="center"/>
    </w:pPr>
    <w:r>
      <w:rPr>
        <w:b/>
        <w:bCs/>
      </w:rPr>
      <w:fldChar w:fldCharType="begin"/>
    </w:r>
    <w:r>
      <w:rPr>
        <w:b/>
        <w:bCs/>
      </w:rPr>
      <w:instrText xml:space="preserve"> PAGE </w:instrText>
    </w:r>
    <w:r>
      <w:rPr>
        <w:b/>
        <w:bCs/>
      </w:rPr>
      <w:fldChar w:fldCharType="separate"/>
    </w:r>
    <w:r>
      <w:rPr>
        <w:b/>
        <w:bCs/>
      </w:rPr>
      <w:t>7</w:t>
    </w:r>
    <w:r>
      <w:rPr>
        <w:b/>
        <w:bCs/>
      </w:rPr>
      <w:fldChar w:fldCharType="end"/>
    </w:r>
    <w:r>
      <w:rPr>
        <w:lang w:val="zh-TW" w:eastAsia="zh-TW"/>
      </w:rPr>
      <w:t xml:space="preserve"> / </w:t>
    </w:r>
    <w:r>
      <w:rPr>
        <w:b/>
        <w:bCs/>
      </w:rPr>
      <w:fldChar w:fldCharType="begin"/>
    </w:r>
    <w:r>
      <w:rPr>
        <w:b/>
        <w:bCs/>
      </w:rPr>
      <w:instrText xml:space="preserve"> NUMPAGES </w:instrText>
    </w:r>
    <w:r>
      <w:rPr>
        <w:b/>
        <w:bCs/>
      </w:rPr>
      <w:fldChar w:fldCharType="separate"/>
    </w:r>
    <w:r>
      <w:rPr>
        <w:b/>
        <w:bCs/>
      </w:rPr>
      <w:t>8</w:t>
    </w:r>
    <w:r>
      <w:rPr>
        <w:b/>
        <w:bC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E1E64">
    <w:pPr>
      <w:pStyle w:val="4"/>
      <w:tabs>
        <w:tab w:val="right" w:pos="8280"/>
        <w:tab w:val="clear" w:pos="8306"/>
      </w:tabs>
      <w:jc w:val="center"/>
    </w:pPr>
    <w:r>
      <w:rPr>
        <w:b/>
        <w:bCs/>
      </w:rPr>
      <w:fldChar w:fldCharType="begin"/>
    </w:r>
    <w:r>
      <w:rPr>
        <w:b/>
        <w:bCs/>
      </w:rPr>
      <w:instrText xml:space="preserve"> PAGE </w:instrText>
    </w:r>
    <w:r>
      <w:rPr>
        <w:b/>
        <w:bCs/>
      </w:rPr>
      <w:fldChar w:fldCharType="separate"/>
    </w:r>
    <w:r>
      <w:rPr>
        <w:b/>
        <w:bCs/>
      </w:rPr>
      <w:t>7</w:t>
    </w:r>
    <w:r>
      <w:rPr>
        <w:b/>
        <w:bCs/>
      </w:rPr>
      <w:fldChar w:fldCharType="end"/>
    </w:r>
    <w:r>
      <w:rPr>
        <w:lang w:val="zh-TW" w:eastAsia="zh-TW"/>
      </w:rPr>
      <w:t xml:space="preserve"> / </w:t>
    </w:r>
    <w:r>
      <w:rPr>
        <w:b/>
        <w:bCs/>
      </w:rPr>
      <w:fldChar w:fldCharType="begin"/>
    </w:r>
    <w:r>
      <w:rPr>
        <w:b/>
        <w:bCs/>
      </w:rPr>
      <w:instrText xml:space="preserve"> NUMPAGES </w:instrText>
    </w:r>
    <w:r>
      <w:rPr>
        <w:b/>
        <w:bCs/>
      </w:rPr>
      <w:fldChar w:fldCharType="separate"/>
    </w:r>
    <w:r>
      <w:rPr>
        <w:b/>
        <w:bCs/>
      </w:rPr>
      <w:t>8</w:t>
    </w:r>
    <w:r>
      <w:rPr>
        <w:b/>
        <w:bCs/>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C32C8">
    <w:r>
      <w:pict>
        <v:shape id="_x0000_s4097" o:spid="_x0000_s4097" o:spt="75" type="#_x0000_t75" style="position:absolute;left:0pt;margin-left:-50pt;margin-top:25pt;height:76pt;width:100pt;z-index:-251657216;mso-width-relative:page;mso-height-relative:page;" filled="f" coordsize="21600,21600">
          <v:path/>
          <v:fill on="f" focussize="0,0"/>
          <v:stroke/>
          <v:imagedata r:id="rId1" o:title=""/>
          <o:lock v:ext="edit" aspectratio="t"/>
        </v:shape>
      </w:pict>
    </w:r>
    <w:r>
      <w:pict>
        <v:shape id="_x0000_s4098" o:spid="_x0000_s4098" o:spt="75" type="#_x0000_t75" style="position:absolute;left:0pt;margin-left:160pt;margin-top:25pt;height:76pt;width:100pt;z-index:-251657216;mso-width-relative:page;mso-height-relative:page;" filled="f" coordsize="21600,21600">
          <v:path/>
          <v:fill on="f" focussize="0,0"/>
          <v:stroke/>
          <v:imagedata r:id="rId1" o:title=""/>
          <o:lock v:ext="edit" aspectratio="t"/>
        </v:shape>
      </w:pict>
    </w:r>
    <w:r>
      <w:pict>
        <v:shape id="_x0000_s4099" o:spid="_x0000_s4099" o:spt="75" type="#_x0000_t75" style="position:absolute;left:0pt;margin-left:370pt;margin-top:25pt;height:76pt;width:100pt;z-index:-251657216;mso-width-relative:page;mso-height-relative:page;" filled="f" coordsize="21600,21600">
          <v:path/>
          <v:fill on="f" focussize="0,0"/>
          <v:stroke/>
          <v:imagedata r:id="rId1" o:title=""/>
          <o:lock v:ext="edit" aspectratio="t"/>
        </v:shape>
      </w:pict>
    </w:r>
    <w:r>
      <w:pict>
        <v:shape id="_x0000_s4100" o:spid="_x0000_s4100" o:spt="75" type="#_x0000_t75" style="position:absolute;left:0pt;margin-left:-50pt;margin-top:340pt;height:76pt;width:100pt;z-index:-251657216;mso-width-relative:page;mso-height-relative:page;" filled="f" coordsize="21600,21600">
          <v:path/>
          <v:fill on="f" focussize="0,0"/>
          <v:stroke/>
          <v:imagedata r:id="rId1" o:title=""/>
          <o:lock v:ext="edit" aspectratio="t"/>
        </v:shape>
      </w:pict>
    </w:r>
    <w:r>
      <w:pict>
        <v:shape id="_x0000_s4101" o:spid="_x0000_s4101" o:spt="75" type="#_x0000_t75" style="position:absolute;left:0pt;margin-left:160pt;margin-top:340pt;height:76pt;width:100pt;z-index:-251657216;mso-width-relative:page;mso-height-relative:page;" filled="f" coordsize="21600,21600">
          <v:path/>
          <v:fill on="f" focussize="0,0"/>
          <v:stroke/>
          <v:imagedata r:id="rId1" o:title=""/>
          <o:lock v:ext="edit" aspectratio="t"/>
        </v:shape>
      </w:pict>
    </w:r>
    <w:r>
      <w:pict>
        <v:shape id="_x0000_s4102" o:spid="_x0000_s4102" o:spt="75" type="#_x0000_t75" style="position:absolute;left:0pt;margin-left:370pt;margin-top:340pt;height:76pt;width:100pt;z-index:-251657216;mso-width-relative:page;mso-height-relative:page;" filled="f" coordsize="21600,21600">
          <v:path/>
          <v:fill on="f" focussize="0,0"/>
          <v:stroke/>
          <v:imagedata r:id="rId1" o:title=""/>
          <o:lock v:ext="edit" aspectratio="t"/>
        </v:shape>
      </w:pict>
    </w:r>
    <w:r>
      <w:pict>
        <v:shape id="_x0000_s4103" o:spid="_x0000_s4103" o:spt="75" type="#_x0000_t75" style="position:absolute;left:0pt;margin-left:-50pt;margin-top:655pt;height:76pt;width:100pt;z-index:-251657216;mso-width-relative:page;mso-height-relative:page;" filled="f" coordsize="21600,21600">
          <v:path/>
          <v:fill on="f" focussize="0,0"/>
          <v:stroke/>
          <v:imagedata r:id="rId1" o:title=""/>
          <o:lock v:ext="edit" aspectratio="t"/>
        </v:shape>
      </w:pict>
    </w:r>
    <w:r>
      <w:pict>
        <v:shape id="_x0000_s4104" o:spid="_x0000_s4104" o:spt="75" type="#_x0000_t75" style="position:absolute;left:0pt;margin-left:160pt;margin-top:655pt;height:76pt;width:100pt;z-index:-251657216;mso-width-relative:page;mso-height-relative:page;" filled="f" coordsize="21600,21600">
          <v:path/>
          <v:fill on="f" focussize="0,0"/>
          <v:stroke/>
          <v:imagedata r:id="rId1" o:title=""/>
          <o:lock v:ext="edit" aspectratio="t"/>
        </v:shape>
      </w:pict>
    </w:r>
    <w:r>
      <w:pict>
        <v:shape id="_x0000_s4105" o:spid="_x0000_s4105" o:spt="75" type="#_x0000_t75" style="position:absolute;left:0pt;margin-left:370pt;margin-top:655pt;height:76pt;width:100pt;z-index:-251657216;mso-width-relative:page;mso-height-relative:page;" filled="f" coordsize="21600,21600">
          <v:path/>
          <v:fill on="f" focussize="0,0"/>
          <v:stroke/>
          <v:imagedata r:id="rId1" o:title=""/>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AB1D9">
    <w:pPr>
      <w:pStyle w:val="13"/>
      <w:framePr w:wrap="auto" w:vAnchor="margin" w:hAnchor="text" w:yAlign="inline"/>
    </w:pPr>
    <w:r>
      <w:pict>
        <v:shape id="_x0000_s4106" o:spid="_x0000_s4106" o:spt="75" type="#_x0000_t75" style="position:absolute;left:0pt;margin-left:-50pt;margin-top:25pt;height:76pt;width:100pt;z-index:-251657216;mso-width-relative:page;mso-height-relative:page;" filled="f" coordsize="21600,21600">
          <v:path/>
          <v:fill on="f" focussize="0,0"/>
          <v:stroke/>
          <v:imagedata r:id="rId1" o:title=""/>
          <o:lock v:ext="edit" aspectratio="t"/>
        </v:shape>
      </w:pict>
    </w:r>
    <w:r>
      <w:pict>
        <v:shape id="_x0000_s4107" o:spid="_x0000_s4107" o:spt="75" type="#_x0000_t75" style="position:absolute;left:0pt;margin-left:160pt;margin-top:25pt;height:76pt;width:100pt;z-index:-251657216;mso-width-relative:page;mso-height-relative:page;" filled="f" coordsize="21600,21600">
          <v:path/>
          <v:fill on="f" focussize="0,0"/>
          <v:stroke/>
          <v:imagedata r:id="rId1" o:title=""/>
          <o:lock v:ext="edit" aspectratio="t"/>
        </v:shape>
      </w:pict>
    </w:r>
    <w:r>
      <w:pict>
        <v:shape id="_x0000_s4108" o:spid="_x0000_s4108" o:spt="75" type="#_x0000_t75" style="position:absolute;left:0pt;margin-left:370pt;margin-top:25pt;height:76pt;width:100pt;z-index:-251657216;mso-width-relative:page;mso-height-relative:page;" filled="f" coordsize="21600,21600">
          <v:path/>
          <v:fill on="f" focussize="0,0"/>
          <v:stroke/>
          <v:imagedata r:id="rId1" o:title=""/>
          <o:lock v:ext="edit" aspectratio="t"/>
        </v:shape>
      </w:pict>
    </w:r>
    <w:r>
      <w:pict>
        <v:shape id="_x0000_s4109" o:spid="_x0000_s4109" o:spt="75" type="#_x0000_t75" style="position:absolute;left:0pt;margin-left:-50pt;margin-top:340pt;height:76pt;width:100pt;z-index:-251657216;mso-width-relative:page;mso-height-relative:page;" filled="f" coordsize="21600,21600">
          <v:path/>
          <v:fill on="f" focussize="0,0"/>
          <v:stroke/>
          <v:imagedata r:id="rId1" o:title=""/>
          <o:lock v:ext="edit" aspectratio="t"/>
        </v:shape>
      </w:pict>
    </w:r>
    <w:r>
      <w:pict>
        <v:shape id="_x0000_s4110" o:spid="_x0000_s4110" o:spt="75" type="#_x0000_t75" style="position:absolute;left:0pt;margin-left:160pt;margin-top:340pt;height:76pt;width:100pt;z-index:-251657216;mso-width-relative:page;mso-height-relative:page;" filled="f" coordsize="21600,21600">
          <v:path/>
          <v:fill on="f" focussize="0,0"/>
          <v:stroke/>
          <v:imagedata r:id="rId1" o:title=""/>
          <o:lock v:ext="edit" aspectratio="t"/>
        </v:shape>
      </w:pict>
    </w:r>
    <w:r>
      <w:pict>
        <v:shape id="_x0000_s4111" o:spid="_x0000_s4111" o:spt="75" type="#_x0000_t75" style="position:absolute;left:0pt;margin-left:370pt;margin-top:340pt;height:76pt;width:100pt;z-index:-251657216;mso-width-relative:page;mso-height-relative:page;" filled="f" coordsize="21600,21600">
          <v:path/>
          <v:fill on="f" focussize="0,0"/>
          <v:stroke/>
          <v:imagedata r:id="rId1" o:title=""/>
          <o:lock v:ext="edit" aspectratio="t"/>
        </v:shape>
      </w:pict>
    </w:r>
    <w:r>
      <w:pict>
        <v:shape id="_x0000_s4112" o:spid="_x0000_s4112" o:spt="75" type="#_x0000_t75" style="position:absolute;left:0pt;margin-left:-50pt;margin-top:655pt;height:76pt;width:100pt;z-index:-251657216;mso-width-relative:page;mso-height-relative:page;" filled="f" coordsize="21600,21600">
          <v:path/>
          <v:fill on="f" focussize="0,0"/>
          <v:stroke/>
          <v:imagedata r:id="rId1" o:title=""/>
          <o:lock v:ext="edit" aspectratio="t"/>
        </v:shape>
      </w:pict>
    </w:r>
    <w:r>
      <w:pict>
        <v:shape id="_x0000_s4113" o:spid="_x0000_s4113" o:spt="75" type="#_x0000_t75" style="position:absolute;left:0pt;margin-left:160pt;margin-top:655pt;height:76pt;width:100pt;z-index:-251657216;mso-width-relative:page;mso-height-relative:page;" filled="f" coordsize="21600,21600">
          <v:path/>
          <v:fill on="f" focussize="0,0"/>
          <v:stroke/>
          <v:imagedata r:id="rId1" o:title=""/>
          <o:lock v:ext="edit" aspectratio="t"/>
        </v:shape>
      </w:pict>
    </w:r>
    <w:r>
      <w:pict>
        <v:shape id="_x0000_s4114" o:spid="_x0000_s4114" o:spt="75" type="#_x0000_t75" style="position:absolute;left:0pt;margin-left:370pt;margin-top:655pt;height:76pt;width:100pt;z-index:-251657216;mso-width-relative:page;mso-height-relative:page;" filled="f" coordsize="21600,21600">
          <v:path/>
          <v:fill on="f" focussize="0,0"/>
          <v:stroke/>
          <v:imagedata r:id="rId1" o:title=""/>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2B744">
    <w:pPr>
      <w:pStyle w:val="13"/>
      <w:framePr w:wrap="auto" w:vAnchor="margin" w:hAnchor="text" w:yAlign="inline"/>
    </w:pPr>
    <w:r>
      <w:pict>
        <v:shape id="_x0000_s4142" o:spid="_x0000_s4142" o:spt="75" type="#_x0000_t75" style="position:absolute;left:0pt;margin-left:-50pt;margin-top:25pt;height:76pt;width:100pt;z-index:-251657216;mso-width-relative:page;mso-height-relative:page;" filled="f" coordsize="21600,21600">
          <v:path/>
          <v:fill on="f" focussize="0,0"/>
          <v:stroke/>
          <v:imagedata r:id="rId1" o:title=""/>
          <o:lock v:ext="edit" aspectratio="t"/>
        </v:shape>
      </w:pict>
    </w:r>
    <w:r>
      <w:pict>
        <v:shape id="_x0000_s4143" o:spid="_x0000_s4143" o:spt="75" type="#_x0000_t75" style="position:absolute;left:0pt;margin-left:160pt;margin-top:25pt;height:76pt;width:100pt;z-index:-251657216;mso-width-relative:page;mso-height-relative:page;" filled="f" coordsize="21600,21600">
          <v:path/>
          <v:fill on="f" focussize="0,0"/>
          <v:stroke/>
          <v:imagedata r:id="rId1" o:title=""/>
          <o:lock v:ext="edit" aspectratio="t"/>
        </v:shape>
      </w:pict>
    </w:r>
    <w:r>
      <w:pict>
        <v:shape id="_x0000_s4144" o:spid="_x0000_s4144" o:spt="75" type="#_x0000_t75" style="position:absolute;left:0pt;margin-left:370pt;margin-top:25pt;height:76pt;width:100pt;z-index:-251657216;mso-width-relative:page;mso-height-relative:page;" filled="f" coordsize="21600,21600">
          <v:path/>
          <v:fill on="f" focussize="0,0"/>
          <v:stroke/>
          <v:imagedata r:id="rId1" o:title=""/>
          <o:lock v:ext="edit" aspectratio="t"/>
        </v:shape>
      </w:pict>
    </w:r>
    <w:r>
      <w:pict>
        <v:shape id="_x0000_s4145" o:spid="_x0000_s4145" o:spt="75" type="#_x0000_t75" style="position:absolute;left:0pt;margin-left:-50pt;margin-top:340pt;height:76pt;width:100pt;z-index:-251657216;mso-width-relative:page;mso-height-relative:page;" filled="f" coordsize="21600,21600">
          <v:path/>
          <v:fill on="f" focussize="0,0"/>
          <v:stroke/>
          <v:imagedata r:id="rId1" o:title=""/>
          <o:lock v:ext="edit" aspectratio="t"/>
        </v:shape>
      </w:pict>
    </w:r>
    <w:r>
      <w:pict>
        <v:shape id="_x0000_s4146" o:spid="_x0000_s4146" o:spt="75" type="#_x0000_t75" style="position:absolute;left:0pt;margin-left:160pt;margin-top:340pt;height:76pt;width:100pt;z-index:-251657216;mso-width-relative:page;mso-height-relative:page;" filled="f" coordsize="21600,21600">
          <v:path/>
          <v:fill on="f" focussize="0,0"/>
          <v:stroke/>
          <v:imagedata r:id="rId1" o:title=""/>
          <o:lock v:ext="edit" aspectratio="t"/>
        </v:shape>
      </w:pict>
    </w:r>
    <w:r>
      <w:pict>
        <v:shape id="_x0000_s4147" o:spid="_x0000_s4147" o:spt="75" type="#_x0000_t75" style="position:absolute;left:0pt;margin-left:370pt;margin-top:340pt;height:76pt;width:100pt;z-index:-251657216;mso-width-relative:page;mso-height-relative:page;" filled="f" coordsize="21600,21600">
          <v:path/>
          <v:fill on="f" focussize="0,0"/>
          <v:stroke/>
          <v:imagedata r:id="rId1" o:title=""/>
          <o:lock v:ext="edit" aspectratio="t"/>
        </v:shape>
      </w:pict>
    </w:r>
    <w:r>
      <w:pict>
        <v:shape id="_x0000_s4148" o:spid="_x0000_s4148" o:spt="75" type="#_x0000_t75" style="position:absolute;left:0pt;margin-left:-50pt;margin-top:655pt;height:76pt;width:100pt;z-index:-251657216;mso-width-relative:page;mso-height-relative:page;" filled="f" coordsize="21600,21600">
          <v:path/>
          <v:fill on="f" focussize="0,0"/>
          <v:stroke/>
          <v:imagedata r:id="rId1" o:title=""/>
          <o:lock v:ext="edit" aspectratio="t"/>
        </v:shape>
      </w:pict>
    </w:r>
    <w:r>
      <w:pict>
        <v:shape id="_x0000_s4149" o:spid="_x0000_s4149" o:spt="75" type="#_x0000_t75" style="position:absolute;left:0pt;margin-left:160pt;margin-top:655pt;height:76pt;width:100pt;z-index:-251657216;mso-width-relative:page;mso-height-relative:page;" filled="f" coordsize="21600,21600">
          <v:path/>
          <v:fill on="f" focussize="0,0"/>
          <v:stroke/>
          <v:imagedata r:id="rId1" o:title=""/>
          <o:lock v:ext="edit" aspectratio="t"/>
        </v:shape>
      </w:pict>
    </w:r>
    <w:r>
      <w:pict>
        <v:shape id="_x0000_s4150" o:spid="_x0000_s4150" o:spt="75" type="#_x0000_t75" style="position:absolute;left:0pt;margin-left:370pt;margin-top:655pt;height:76pt;width:100pt;z-index:-251657216;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singleLevel"/>
    <w:tmpl w:val="B5E306ED"/>
    <w:lvl w:ilvl="0" w:tentative="0">
      <w:start w:val="1"/>
      <w:numFmt w:val="chineseCounting"/>
      <w:suff w:val="nothing"/>
      <w:lvlText w:val="%1、"/>
      <w:lvlJc w:val="left"/>
      <w:pPr>
        <w:tabs>
          <w:tab w:val="left" w:pos="0"/>
        </w:tabs>
      </w:pPr>
      <w:rPr>
        <w:rFonts w:hint="eastAsia"/>
      </w:rPr>
    </w:lvl>
  </w:abstractNum>
  <w:abstractNum w:abstractNumId="1">
    <w:nsid w:val="03D62ECE"/>
    <w:multiLevelType w:val="singleLevel"/>
    <w:tmpl w:val="03D62ECE"/>
    <w:lvl w:ilvl="0" w:tentative="0">
      <w:start w:val="1"/>
      <w:numFmt w:val="decimal"/>
      <w:suff w:val="nothing"/>
      <w:lvlText w:val="（%1）"/>
      <w:lvlJc w:val="left"/>
    </w:lvl>
  </w:abstractNum>
  <w:abstractNum w:abstractNumId="2">
    <w:nsid w:val="3B78A3B1"/>
    <w:multiLevelType w:val="singleLevel"/>
    <w:tmpl w:val="3B78A3B1"/>
    <w:lvl w:ilvl="0" w:tentative="0">
      <w:start w:val="1"/>
      <w:numFmt w:val="decimal"/>
      <w:lvlText w:val="(%1)"/>
      <w:lvlJc w:val="left"/>
      <w:pPr>
        <w:ind w:left="425" w:hanging="425"/>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E0BC1"/>
    <w:rsid w:val="06B828D5"/>
    <w:rsid w:val="17810613"/>
    <w:rsid w:val="19575C46"/>
    <w:rsid w:val="247F23B7"/>
    <w:rsid w:val="27CA0EA3"/>
    <w:rsid w:val="2AA83AE6"/>
    <w:rsid w:val="3112071B"/>
    <w:rsid w:val="3DA05C9F"/>
    <w:rsid w:val="3DFF1168"/>
    <w:rsid w:val="3E7D09E9"/>
    <w:rsid w:val="4A246562"/>
    <w:rsid w:val="5BB90E43"/>
    <w:rsid w:val="5BBA5DAF"/>
    <w:rsid w:val="5E7FC827"/>
    <w:rsid w:val="691E0A99"/>
    <w:rsid w:val="6BF76954"/>
    <w:rsid w:val="6FFFDCD9"/>
    <w:rsid w:val="7EBECF08"/>
    <w:rsid w:val="BFAFAF1F"/>
    <w:rsid w:val="E73E8662"/>
    <w:rsid w:val="F5D65AA4"/>
    <w:rsid w:val="FBAC5644"/>
    <w:rsid w:val="FFFF9751"/>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rPr>
      <w:rFonts w:ascii="Calibri" w:hAnsi="Calibri"/>
      <w:kern w:val="0"/>
      <w:sz w:val="20"/>
      <w:szCs w:val="20"/>
    </w:rPr>
  </w:style>
  <w:style w:type="paragraph" w:styleId="3">
    <w:name w:val="Plain Text"/>
    <w:basedOn w:val="1"/>
    <w:qFormat/>
    <w:uiPriority w:val="0"/>
    <w:rPr>
      <w:rFonts w:ascii="宋体" w:hAnsi="Courier New"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目录 21"/>
    <w:basedOn w:val="1"/>
    <w:next w:val="1"/>
    <w:qFormat/>
    <w:uiPriority w:val="0"/>
    <w:pPr>
      <w:spacing w:before="100" w:beforeAutospacing="1" w:after="100" w:afterAutospacing="1"/>
      <w:ind w:left="420" w:leftChars="200"/>
    </w:pPr>
  </w:style>
  <w:style w:type="paragraph" w:customStyle="1" w:styleId="10">
    <w:name w:val="图表目录1"/>
    <w:basedOn w:val="11"/>
    <w:next w:val="11"/>
    <w:qFormat/>
    <w:uiPriority w:val="0"/>
    <w:pPr>
      <w:ind w:left="200" w:leftChars="200" w:hanging="200" w:hangingChars="200"/>
    </w:pPr>
    <w:rPr>
      <w:rFonts w:ascii="Calibri" w:hAnsi="Calibri" w:eastAsia="宋体" w:cs="Times New Roman"/>
    </w:rPr>
  </w:style>
  <w:style w:type="paragraph" w:customStyle="1" w:styleId="11">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
    <w:name w:val="页眉与页脚"/>
    <w:qFormat/>
    <w:uiPriority w:val="0"/>
    <w:pPr>
      <w:framePr w:wrap="around" w:vAnchor="margin" w:hAnchor="text" w:y="1"/>
      <w:tabs>
        <w:tab w:val="right" w:pos="9020"/>
      </w:tabs>
    </w:pPr>
    <w:rPr>
      <w:rFonts w:ascii="Helvetica Neue" w:hAnsi="Helvetica Neue" w:eastAsia="宋体" w:cs="Arial Unicode MS"/>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4106"/>
    <customShpInfo spid="_x0000_s4107"/>
    <customShpInfo spid="_x0000_s4108"/>
    <customShpInfo spid="_x0000_s4109"/>
    <customShpInfo spid="_x0000_s4110"/>
    <customShpInfo spid="_x0000_s4111"/>
    <customShpInfo spid="_x0000_s4112"/>
    <customShpInfo spid="_x0000_s4113"/>
    <customShpInfo spid="_x0000_s4114"/>
    <customShpInfo spid="_x0000_s4142"/>
    <customShpInfo spid="_x0000_s4143"/>
    <customShpInfo spid="_x0000_s4144"/>
    <customShpInfo spid="_x0000_s4145"/>
    <customShpInfo spid="_x0000_s4146"/>
    <customShpInfo spid="_x0000_s4147"/>
    <customShpInfo spid="_x0000_s4148"/>
    <customShpInfo spid="_x0000_s4149"/>
    <customShpInfo spid="_x0000_s4150"/>
  </customShpExts>
</s:customData>
</file>

<file path=customXml/item2.xml><?xml version="1.0" encoding="utf-8"?>
<cp:coreProperties xmlns:cp="http://schemas.openxmlformats.org/package/2006/metadata/core-properties" xmlns:dc="http://purl.org/dc/elements/1.1/" xmlns:dcmitype="http://purl.org/dc/dcmitype/" xmlns:xsi="http://www.w3.org/2001/XMLSchema-instance" xmlns:dcterms="http://purl.org/dc/terms/">
  <dcterms:created xmlns:dcterms="http://purl.org/dc/terms/" xmlns:xsi="http://www.w3.org/2001/XMLSchema-instance" xsi:type="dcterms:W3CDTF">2025-10-14T04:26:00Z</dcterms:created>
  <dc:creator xmlns:dc="http://purl.org/dc/elements/1.1/">XXPX</dc:creator>
  <cp:lastModifiedBy xmlns:cp="http://schemas.openxmlformats.org/package/2006/metadata/core-properties">XXPX</cp:lastModifiedBy>
  <dcterms:modified xmlns:dcterms="http://purl.org/dc/terms/" xmlns:xsi="http://www.w3.org/2001/XMLSchema-instance" xsi:type="dcterms:W3CDTF">2025-10-14T04:27:10Z</dcterms:modified>
  <cp:revision xmlns:cp="http://schemas.openxmlformats.org/package/2006/metadata/core-properties">1</cp:revision>
</cp:coreProperties>
</file>

<file path=customXml/item3.xml><?xml version="1.0" encoding="utf-8"?>
<Properties xmlns="http://schemas.openxmlformats.org/officeDocument/2006/extended-properties" xmlns:vt="http://schemas.openxmlformats.org/officeDocument/2006/docPropsVTypes">
  <Template xmlns="http://schemas.openxmlformats.org/officeDocument/2006/extended-properties">Normal.dotm</Template>
  <Pages xmlns="http://schemas.openxmlformats.org/officeDocument/2006/extended-properties">9</Pages>
  <Words xmlns="http://schemas.openxmlformats.org/officeDocument/2006/extended-properties">0</Words>
  <Characters xmlns="http://schemas.openxmlformats.org/officeDocument/2006/extended-properties">0</Characters>
  <Lines xmlns="http://schemas.openxmlformats.org/officeDocument/2006/extended-properties">0</Lines>
  <Paragraphs xmlns="http://schemas.openxmlformats.org/officeDocument/2006/extended-properties">0</Paragraphs>
  <TotalTime xmlns="http://schemas.openxmlformats.org/officeDocument/2006/extended-properties">0</TotalTime>
  <ScaleCrop xmlns="http://schemas.openxmlformats.org/officeDocument/2006/extended-properties">false</ScaleCrop>
  <LinksUpToDate xmlns="http://schemas.openxmlformats.org/officeDocument/2006/extended-properties">false</LinksUpToDate>
  <CharactersWithSpaces xmlns="http://schemas.openxmlformats.org/officeDocument/2006/extended-properties">0</CharactersWithSpaces>
  <Application xmlns="http://schemas.openxmlformats.org/officeDocument/2006/extended-properties">WPS Office_11.8.2.12309_F1E327BC-269C-435d-A152-05C5408002CA</Application>
  <DocSecurity xmlns="http://schemas.openxmlformats.org/officeDocument/2006/extended-properties">0</DocSecurity>
</Properties>
</file>

<file path=customXml/item4.xml><?xml version="1.0" encoding="utf-8"?>
<Properties xmlns="http://schemas.openxmlformats.org/officeDocument/2006/custom-properties" xmlns:vt="http://schemas.openxmlformats.org/officeDocument/2006/docPropsVTypes">
  <property xmlns="http://schemas.openxmlformats.org/officeDocument/2006/custom-properties" name="KSOProductBuildVer" pid="2" fmtid="{D5CDD505-2E9C-101B-9397-08002B2CF9AE}">
    <vt:lpwstr xmlns:vt="http://schemas.openxmlformats.org/officeDocument/2006/docPropsVTypes">2052-11.8.2.12309</vt:lpwstr>
  </property>
  <property xmlns="http://schemas.openxmlformats.org/officeDocument/2006/custom-properties" name="ICV" pid="3" fmtid="{D5CDD505-2E9C-101B-9397-08002B2CF9AE}">
    <vt:lpwstr xmlns:vt="http://schemas.openxmlformats.org/officeDocument/2006/docPropsVTypes">09224D7546174FEA9EB1144FDDB8A50A</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0b15e2-f516-4d02-bb58-e4c8620bc4d5}">
  <ds:schemaRefs/>
</ds:datastoreItem>
</file>

<file path=customXml/itemProps3.xml><?xml version="1.0" encoding="utf-8"?>
<ds:datastoreItem xmlns:ds="http://schemas.openxmlformats.org/officeDocument/2006/customXml" ds:itemID="{623a4ce8-a908-4cf7-9b93-d90938e1de98}">
  <ds:schemaRefs/>
</ds:datastoreItem>
</file>

<file path=customXml/itemProps4.xml><?xml version="1.0" encoding="utf-8"?>
<ds:datastoreItem xmlns:ds="http://schemas.openxmlformats.org/officeDocument/2006/customXml" ds:itemID="{1fca3af1-507d-495a-993a-3e9c9e609e7c}">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Office_12.1.2.23582_F1E327BC-269C-435d-A152-05C5408002CA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2025-10-17T12:26:00Z</dcterms:created>
  <dc:creator>XXPX</dc:creator>
  <cp:lastModifiedBy>hezilan</cp:lastModifiedBy>
  <dcterms:modified xsi:type="dcterms:W3CDTF">2026-09-12T16:11:30Z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2052-12.1.2.23582</vt:lpwstr>
  </property>
  <property fmtid="{D5CDD505-2E9C-101B-9397-08002B2CF9AE}" pid="3" name="ICV">
    <vt:lpwstr>9927099DA71942ECAEDA7CCA242D05DA_13</vt:lpwstr>
  </property>
</Properties>
</file>