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beforeAutospacing="0" w:after="0" w:line="240" w:lineRule="auto"/>
        <w:jc w:val="center"/>
        <w:rPr>
          <w:rFonts w:hint="default" w:ascii="宋体" w:hAnsi="宋体" w:eastAsia="宋体" w:cs="宋体"/>
          <w:b/>
          <w:bCs/>
          <w:color w:val="333333"/>
          <w:sz w:val="23"/>
          <w:szCs w:val="23"/>
          <w:shd w:val="clear" w:color="auto" w:fill="FFFFFF"/>
          <w:lang w:val="en-US" w:eastAsia="zh-CN"/>
        </w:rPr>
      </w:pPr>
      <w:bookmarkStart w:id="2" w:name="_GoBack"/>
      <w:bookmarkStart w:id="0" w:name="OLE_LINK2"/>
      <w:r>
        <w:rPr>
          <w:rFonts w:hint="eastAsia" w:ascii="宋体" w:hAnsi="宋体" w:eastAsia="宋体"/>
          <w:b/>
          <w:sz w:val="36"/>
          <w:szCs w:val="36"/>
          <w:lang w:val="en-US" w:eastAsia="zh-CN"/>
        </w:rPr>
        <w:t>保底通信网光传输设备技术规范书</w:t>
      </w:r>
      <w:bookmarkEnd w:id="0"/>
    </w:p>
    <w:bookmarkEnd w:id="2"/>
    <w:p>
      <w:pPr>
        <w:spacing w:before="0" w:beforeAutospacing="0" w:after="0" w:line="240" w:lineRule="auto"/>
        <w:rPr>
          <w:rFonts w:hint="eastAsia" w:ascii="宋体" w:hAnsi="宋体" w:eastAsia="宋体" w:cs="宋体"/>
          <w:b/>
          <w:bCs/>
          <w:color w:val="333333"/>
          <w:sz w:val="23"/>
          <w:szCs w:val="23"/>
          <w:shd w:val="clear" w:color="auto" w:fill="FFFFFF"/>
        </w:rPr>
      </w:pPr>
    </w:p>
    <w:p>
      <w:pPr>
        <w:spacing w:before="0" w:beforeAutospacing="0" w:after="0"/>
        <w:rPr>
          <w:rFonts w:ascii="宋体" w:hAnsi="宋体" w:eastAsia="宋体"/>
        </w:rPr>
      </w:pPr>
      <w:r>
        <w:rPr>
          <w:rFonts w:hint="eastAsia" w:ascii="宋体" w:hAnsi="宋体" w:eastAsia="宋体"/>
          <w:b/>
          <w:sz w:val="28"/>
          <w:szCs w:val="28"/>
        </w:rPr>
        <w:t>一、4×STM-4/4×STM-1 光接口板</w:t>
      </w:r>
    </w:p>
    <w:p>
      <w:pPr>
        <w:spacing w:before="60" w:beforeAutospacing="0" w:after="60" w:line="440" w:lineRule="exact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</w:rPr>
        <w:t>单板型号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及模块配置</w:t>
      </w:r>
      <w:r>
        <w:rPr>
          <w:rFonts w:hint="eastAsia" w:ascii="宋体" w:hAnsi="宋体" w:eastAsia="宋体"/>
          <w:sz w:val="24"/>
          <w:szCs w:val="24"/>
        </w:rPr>
        <w:t>： SL41Q</w:t>
      </w:r>
      <w:r>
        <w:rPr>
          <w:rFonts w:hint="eastAsia" w:ascii="宋体" w:hAnsi="宋体" w:eastAsia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配置4个STM-4-15km光模块。</w:t>
      </w:r>
    </w:p>
    <w:p>
      <w:pPr>
        <w:spacing w:before="60" w:beforeAutospacing="0" w:after="60" w:line="440" w:lineRule="exac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适用设备：华为光传输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设备</w:t>
      </w:r>
    </w:p>
    <w:tbl>
      <w:tblPr>
        <w:tblStyle w:val="17"/>
        <w:tblW w:w="9322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1813"/>
        <w:gridCol w:w="671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96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b/>
                <w:bCs/>
                <w:color w:val="000000" w:themeColor="text1"/>
              </w:rPr>
            </w:pPr>
            <w:r>
              <w:rPr>
                <w:rFonts w:hint="eastAsia" w:ascii="宋体" w:hAnsi="宋体" w:eastAsia="宋体"/>
                <w:b/>
                <w:bCs/>
                <w:color w:val="000000" w:themeColor="text1"/>
              </w:rPr>
              <w:t>序号</w:t>
            </w:r>
          </w:p>
        </w:tc>
        <w:tc>
          <w:tcPr>
            <w:tcW w:w="18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b/>
                <w:bCs/>
                <w:color w:val="000000" w:themeColor="text1"/>
              </w:rPr>
            </w:pPr>
            <w:r>
              <w:rPr>
                <w:rFonts w:hint="eastAsia" w:ascii="宋体" w:hAnsi="宋体" w:eastAsia="宋体"/>
                <w:b/>
                <w:bCs/>
                <w:color w:val="000000" w:themeColor="text1"/>
              </w:rPr>
              <w:t>技</w:t>
            </w:r>
            <w:r>
              <w:rPr>
                <w:rFonts w:hint="eastAsia" w:ascii="宋体" w:hAnsi="宋体" w:eastAsia="宋体" w:cs="微软雅黑"/>
                <w:b/>
                <w:bCs/>
                <w:color w:val="000000" w:themeColor="text1"/>
              </w:rPr>
              <w:t>术</w:t>
            </w:r>
            <w:r>
              <w:rPr>
                <w:rFonts w:hint="eastAsia" w:ascii="宋体" w:hAnsi="宋体" w:eastAsia="宋体" w:cs="MS Mincho"/>
                <w:b/>
                <w:bCs/>
                <w:color w:val="000000" w:themeColor="text1"/>
              </w:rPr>
              <w:t>参数</w:t>
            </w:r>
            <w:r>
              <w:rPr>
                <w:rFonts w:hint="eastAsia" w:ascii="宋体" w:hAnsi="宋体" w:eastAsia="宋体" w:cs="微软雅黑"/>
                <w:b/>
                <w:bCs/>
                <w:color w:val="000000" w:themeColor="text1"/>
              </w:rPr>
              <w:t>项</w:t>
            </w:r>
          </w:p>
        </w:tc>
        <w:tc>
          <w:tcPr>
            <w:tcW w:w="67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b/>
                <w:bCs/>
                <w:color w:val="000000" w:themeColor="text1"/>
              </w:rPr>
            </w:pPr>
            <w:r>
              <w:rPr>
                <w:rFonts w:hint="eastAsia" w:ascii="宋体" w:hAnsi="宋体" w:eastAsia="宋体"/>
                <w:b/>
                <w:bCs/>
                <w:color w:val="000000" w:themeColor="text1"/>
              </w:rPr>
              <w:t>技</w:t>
            </w:r>
            <w:r>
              <w:rPr>
                <w:rFonts w:hint="eastAsia" w:ascii="宋体" w:hAnsi="宋体" w:eastAsia="宋体" w:cs="微软雅黑"/>
                <w:b/>
                <w:bCs/>
                <w:color w:val="000000" w:themeColor="text1"/>
              </w:rPr>
              <w:t>术</w:t>
            </w:r>
            <w:r>
              <w:rPr>
                <w:rFonts w:hint="eastAsia" w:ascii="宋体" w:hAnsi="宋体" w:eastAsia="宋体" w:cs="MS Mincho"/>
                <w:b/>
                <w:bCs/>
                <w:color w:val="000000" w:themeColor="text1"/>
              </w:rPr>
              <w:t>指</w:t>
            </w:r>
            <w:r>
              <w:rPr>
                <w:rFonts w:hint="eastAsia" w:ascii="宋体" w:hAnsi="宋体" w:eastAsia="宋体" w:cs="微软雅黑"/>
                <w:b/>
                <w:bCs/>
                <w:color w:val="000000" w:themeColor="text1"/>
              </w:rPr>
              <w:t>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96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</w:t>
            </w:r>
          </w:p>
        </w:tc>
        <w:tc>
          <w:tcPr>
            <w:tcW w:w="18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基本功能</w:t>
            </w:r>
          </w:p>
        </w:tc>
        <w:tc>
          <w:tcPr>
            <w:tcW w:w="67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left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支持接收和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发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送</w:t>
            </w:r>
            <w:r>
              <w:rPr>
                <w:rFonts w:hint="eastAsia" w:ascii="宋体" w:hAnsi="宋体" w:eastAsia="宋体"/>
                <w:color w:val="000000" w:themeColor="text1"/>
              </w:rPr>
              <w:t>4路STM-4光信号；支持接收和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发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送</w:t>
            </w:r>
            <w:r>
              <w:rPr>
                <w:rFonts w:hint="eastAsia" w:ascii="宋体" w:hAnsi="宋体" w:eastAsia="宋体"/>
                <w:color w:val="000000" w:themeColor="text1"/>
              </w:rPr>
              <w:t>4路STM-1光信号；支持接收和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发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送</w:t>
            </w:r>
            <w:r>
              <w:rPr>
                <w:rFonts w:hint="eastAsia" w:ascii="宋体" w:hAnsi="宋体" w:eastAsia="宋体"/>
                <w:color w:val="000000" w:themeColor="text1"/>
              </w:rPr>
              <w:t>4路STM-1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电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信号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96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2</w:t>
            </w:r>
          </w:p>
        </w:tc>
        <w:tc>
          <w:tcPr>
            <w:tcW w:w="18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 w:cs="微软雅黑"/>
                <w:color w:val="000000" w:themeColor="text1"/>
              </w:rPr>
              <w:t>业务处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理</w:t>
            </w:r>
          </w:p>
        </w:tc>
        <w:tc>
          <w:tcPr>
            <w:tcW w:w="67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left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支持VC-12、VC-3、VC-4、VC-4-4c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颗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粒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业务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96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3</w:t>
            </w:r>
          </w:p>
        </w:tc>
        <w:tc>
          <w:tcPr>
            <w:tcW w:w="18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接口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规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格</w:t>
            </w:r>
          </w:p>
        </w:tc>
        <w:tc>
          <w:tcPr>
            <w:tcW w:w="67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left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光接口：灰光接口，支持STM-1（S-1.1、L-1.1、L-1.2）和STM-4（S-4.1、L-4.1、L-4.2）</w:t>
            </w:r>
            <w:r>
              <w:rPr>
                <w:rFonts w:hint="eastAsia" w:ascii="宋体" w:hAnsi="宋体" w:eastAsia="宋体"/>
                <w:color w:val="000000" w:themeColor="text1"/>
              </w:rPr>
              <w:br w:type="textWrapping"/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电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接口：支持</w:t>
            </w:r>
            <w:r>
              <w:rPr>
                <w:rFonts w:hint="eastAsia" w:ascii="宋体" w:hAnsi="宋体" w:eastAsia="宋体"/>
                <w:color w:val="000000" w:themeColor="text1"/>
              </w:rPr>
              <w:t>STM-1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电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模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块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96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4</w:t>
            </w:r>
          </w:p>
        </w:tc>
        <w:tc>
          <w:tcPr>
            <w:tcW w:w="18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开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销处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理</w:t>
            </w:r>
          </w:p>
        </w:tc>
        <w:tc>
          <w:tcPr>
            <w:tcW w:w="67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left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支持STM-1/STM-4信号段开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销处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理；支持</w:t>
            </w:r>
            <w:r>
              <w:rPr>
                <w:rFonts w:hint="eastAsia" w:ascii="宋体" w:hAnsi="宋体" w:eastAsia="宋体"/>
                <w:color w:val="000000" w:themeColor="text1"/>
              </w:rPr>
              <w:t>J0/J1/C2字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节设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置和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查询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；支持</w:t>
            </w:r>
            <w:r>
              <w:rPr>
                <w:rFonts w:hint="eastAsia" w:ascii="宋体" w:hAnsi="宋体" w:eastAsia="宋体"/>
                <w:color w:val="000000" w:themeColor="text1"/>
              </w:rPr>
              <w:t>D1-D12和公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务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字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节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通道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96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5</w:t>
            </w:r>
          </w:p>
        </w:tc>
        <w:tc>
          <w:tcPr>
            <w:tcW w:w="18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保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护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功能</w:t>
            </w:r>
          </w:p>
        </w:tc>
        <w:tc>
          <w:tcPr>
            <w:tcW w:w="67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left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支持SDH SNCP保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护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；支持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线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性复用段保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护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；支持二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纤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双向复用段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环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保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96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6</w:t>
            </w:r>
          </w:p>
        </w:tc>
        <w:tc>
          <w:tcPr>
            <w:tcW w:w="18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ASON功能</w:t>
            </w:r>
          </w:p>
        </w:tc>
        <w:tc>
          <w:tcPr>
            <w:tcW w:w="67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left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支持SDH ASON（需配合TM65UXCL/TMK5UXCME/TMK5XCS交叉板）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96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7</w:t>
            </w:r>
          </w:p>
        </w:tc>
        <w:tc>
          <w:tcPr>
            <w:tcW w:w="18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 w:cs="微软雅黑"/>
                <w:color w:val="000000" w:themeColor="text1"/>
              </w:rPr>
              <w:t>时钟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功能</w:t>
            </w:r>
          </w:p>
        </w:tc>
        <w:tc>
          <w:tcPr>
            <w:tcW w:w="67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left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支持4路SDH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线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路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时钟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；支持</w:t>
            </w:r>
            <w:r>
              <w:rPr>
                <w:rFonts w:hint="eastAsia" w:ascii="宋体" w:hAnsi="宋体" w:eastAsia="宋体"/>
                <w:color w:val="000000" w:themeColor="text1"/>
              </w:rPr>
              <w:t>SDH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时钟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同步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96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8</w:t>
            </w:r>
          </w:p>
        </w:tc>
        <w:tc>
          <w:tcPr>
            <w:tcW w:w="18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 w:cs="微软雅黑"/>
                <w:color w:val="000000" w:themeColor="text1"/>
              </w:rPr>
              <w:t>环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回功能</w:t>
            </w:r>
          </w:p>
        </w:tc>
        <w:tc>
          <w:tcPr>
            <w:tcW w:w="67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left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支持VC-4/VC-3/VC-12通道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环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回；支持端口内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环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回和外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环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回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96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9</w:t>
            </w:r>
          </w:p>
        </w:tc>
        <w:tc>
          <w:tcPr>
            <w:tcW w:w="18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其他特性</w:t>
            </w:r>
          </w:p>
        </w:tc>
        <w:tc>
          <w:tcPr>
            <w:tcW w:w="67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left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支持ALS（符合ITU-T G.664）；支持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误码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越限</w:t>
            </w:r>
            <w:r>
              <w:rPr>
                <w:rFonts w:hint="eastAsia" w:ascii="宋体" w:hAnsi="宋体" w:eastAsia="宋体"/>
                <w:color w:val="000000" w:themeColor="text1"/>
              </w:rPr>
              <w:t>/劣化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门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限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设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置；支持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热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插拔；支持</w:t>
            </w:r>
            <w:r>
              <w:rPr>
                <w:rFonts w:hint="eastAsia" w:ascii="宋体" w:hAnsi="宋体" w:eastAsia="宋体"/>
                <w:color w:val="000000" w:themeColor="text1"/>
              </w:rPr>
              <w:t>CPLD/FPGA在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线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加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载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96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10</w:t>
            </w:r>
          </w:p>
        </w:tc>
        <w:tc>
          <w:tcPr>
            <w:tcW w:w="18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center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告警与性能</w:t>
            </w:r>
          </w:p>
        </w:tc>
        <w:tc>
          <w:tcPr>
            <w:tcW w:w="6713" w:type="dxa"/>
            <w:vAlign w:val="center"/>
          </w:tcPr>
          <w:p>
            <w:pPr>
              <w:adjustRightInd w:val="0"/>
              <w:snapToGrid w:val="0"/>
              <w:spacing w:before="0" w:beforeAutospacing="0" w:after="0" w:line="240" w:lineRule="auto"/>
              <w:jc w:val="left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提供丰富的告警和性能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监测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事件，便于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设备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的管理和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维护</w:t>
            </w:r>
          </w:p>
        </w:tc>
      </w:tr>
    </w:tbl>
    <w:p>
      <w:pPr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spacing w:before="0" w:beforeAutospacing="0" w:after="0" w:line="240" w:lineRule="auto"/>
        <w:rPr>
          <w:rFonts w:ascii="宋体" w:hAnsi="宋体" w:eastAsia="宋体"/>
        </w:rPr>
      </w:pPr>
      <w:r>
        <w:rPr>
          <w:rFonts w:ascii="宋体" w:hAnsi="宋体" w:eastAsia="宋体"/>
        </w:rPr>
        <w:br w:type="page"/>
      </w:r>
    </w:p>
    <w:p>
      <w:pPr>
        <w:spacing w:before="0" w:beforeAutospacing="0" w:after="0"/>
        <w:rPr>
          <w:rFonts w:ascii="宋体" w:hAnsi="宋体" w:eastAsia="宋体"/>
          <w:b/>
          <w:sz w:val="28"/>
          <w:szCs w:val="28"/>
        </w:rPr>
      </w:pPr>
      <w:bookmarkStart w:id="1" w:name="OLE_LINK1"/>
      <w:r>
        <w:rPr>
          <w:rFonts w:hint="eastAsia" w:ascii="宋体" w:hAnsi="宋体" w:eastAsia="宋体"/>
          <w:b/>
          <w:sz w:val="28"/>
          <w:szCs w:val="28"/>
        </w:rPr>
        <w:t>二、</w:t>
      </w:r>
      <w:bookmarkEnd w:id="1"/>
      <w:r>
        <w:rPr>
          <w:rFonts w:hint="eastAsia" w:ascii="宋体" w:hAnsi="宋体" w:eastAsia="宋体"/>
          <w:b/>
          <w:sz w:val="28"/>
          <w:szCs w:val="28"/>
        </w:rPr>
        <w:t>10路交换式以太网处理板</w:t>
      </w:r>
    </w:p>
    <w:p>
      <w:pPr>
        <w:spacing w:before="60" w:beforeAutospacing="0" w:after="60" w:line="440" w:lineRule="exact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</w:rPr>
        <w:t>单板型号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及模块配置</w:t>
      </w:r>
      <w:r>
        <w:rPr>
          <w:rFonts w:hint="eastAsia" w:ascii="宋体" w:hAnsi="宋体" w:eastAsia="宋体"/>
          <w:sz w:val="24"/>
          <w:szCs w:val="24"/>
        </w:rPr>
        <w:t>：EMS10</w:t>
      </w:r>
      <w:r>
        <w:rPr>
          <w:rFonts w:hint="eastAsia" w:ascii="宋体" w:hAnsi="宋体" w:eastAsia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配置6个千兆电模块，2个千兆光模块。</w:t>
      </w:r>
    </w:p>
    <w:p>
      <w:pPr>
        <w:spacing w:before="60" w:beforeAutospacing="0" w:after="60" w:line="440" w:lineRule="exact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</w:rPr>
        <w:t>适用设备：华为光传输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设备</w:t>
      </w:r>
    </w:p>
    <w:tbl>
      <w:tblPr>
        <w:tblStyle w:val="16"/>
        <w:tblW w:w="9250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1590"/>
        <w:gridCol w:w="6897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b/>
                <w:bCs/>
                <w:color w:val="000000" w:themeColor="text1"/>
              </w:rPr>
            </w:pPr>
            <w:r>
              <w:rPr>
                <w:rFonts w:hint="eastAsia" w:ascii="宋体" w:hAnsi="宋体" w:eastAsia="宋体"/>
                <w:b/>
                <w:bCs/>
                <w:color w:val="000000" w:themeColor="text1"/>
              </w:rPr>
              <w:t>序号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b/>
                <w:bCs/>
                <w:color w:val="000000" w:themeColor="text1"/>
              </w:rPr>
            </w:pPr>
            <w:r>
              <w:rPr>
                <w:rFonts w:hint="eastAsia" w:ascii="宋体" w:hAnsi="宋体" w:eastAsia="宋体"/>
                <w:b/>
                <w:bCs/>
                <w:color w:val="000000" w:themeColor="text1"/>
              </w:rPr>
              <w:t>技</w:t>
            </w:r>
            <w:r>
              <w:rPr>
                <w:rFonts w:hint="eastAsia" w:ascii="宋体" w:hAnsi="宋体" w:eastAsia="宋体" w:cs="微软雅黑"/>
                <w:b/>
                <w:bCs/>
                <w:color w:val="000000" w:themeColor="text1"/>
              </w:rPr>
              <w:t>术</w:t>
            </w:r>
            <w:r>
              <w:rPr>
                <w:rFonts w:hint="eastAsia" w:ascii="宋体" w:hAnsi="宋体" w:eastAsia="宋体" w:cs="MS Mincho"/>
                <w:b/>
                <w:bCs/>
                <w:color w:val="000000" w:themeColor="text1"/>
              </w:rPr>
              <w:t>参数</w:t>
            </w:r>
            <w:r>
              <w:rPr>
                <w:rFonts w:hint="eastAsia" w:ascii="宋体" w:hAnsi="宋体" w:eastAsia="宋体" w:cs="微软雅黑"/>
                <w:b/>
                <w:bCs/>
                <w:color w:val="000000" w:themeColor="text1"/>
              </w:rPr>
              <w:t>项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b/>
                <w:bCs/>
                <w:color w:val="000000" w:themeColor="text1"/>
              </w:rPr>
            </w:pPr>
            <w:r>
              <w:rPr>
                <w:rFonts w:hint="eastAsia" w:ascii="宋体" w:hAnsi="宋体" w:eastAsia="宋体"/>
                <w:b/>
                <w:bCs/>
                <w:color w:val="000000" w:themeColor="text1"/>
              </w:rPr>
              <w:t>技</w:t>
            </w:r>
            <w:r>
              <w:rPr>
                <w:rFonts w:hint="eastAsia" w:ascii="宋体" w:hAnsi="宋体" w:eastAsia="宋体" w:cs="微软雅黑"/>
                <w:b/>
                <w:bCs/>
                <w:color w:val="000000" w:themeColor="text1"/>
              </w:rPr>
              <w:t>术</w:t>
            </w:r>
            <w:r>
              <w:rPr>
                <w:rFonts w:hint="eastAsia" w:ascii="宋体" w:hAnsi="宋体" w:eastAsia="宋体" w:cs="MS Mincho"/>
                <w:b/>
                <w:bCs/>
                <w:color w:val="000000" w:themeColor="text1"/>
              </w:rPr>
              <w:t>指</w:t>
            </w:r>
            <w:r>
              <w:rPr>
                <w:rFonts w:hint="eastAsia" w:ascii="宋体" w:hAnsi="宋体" w:eastAsia="宋体" w:cs="微软雅黑"/>
                <w:b/>
                <w:bCs/>
                <w:color w:val="000000" w:themeColor="text1"/>
              </w:rPr>
              <w:t>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基本功能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支持接入10路以太网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业务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（最多</w:t>
            </w:r>
            <w:r>
              <w:rPr>
                <w:rFonts w:hint="eastAsia" w:ascii="宋体" w:hAnsi="宋体" w:eastAsia="宋体"/>
                <w:color w:val="000000" w:themeColor="text1"/>
              </w:rPr>
              <w:t>2路10GE + 最多10路GE/FE），封装映射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为</w:t>
            </w:r>
            <w:r>
              <w:rPr>
                <w:rFonts w:hint="eastAsia" w:ascii="宋体" w:hAnsi="宋体" w:eastAsia="宋体"/>
                <w:color w:val="000000" w:themeColor="text1"/>
              </w:rPr>
              <w:t>SDH信号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进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行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传输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2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端口能力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GE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电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口：最多</w:t>
            </w:r>
            <w:r>
              <w:rPr>
                <w:rFonts w:hint="eastAsia" w:ascii="宋体" w:hAnsi="宋体" w:eastAsia="宋体"/>
                <w:color w:val="000000" w:themeColor="text1"/>
              </w:rPr>
              <w:t>6路（非屏蔽网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线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）或</w:t>
            </w:r>
            <w:r>
              <w:rPr>
                <w:rFonts w:hint="eastAsia" w:ascii="宋体" w:hAnsi="宋体" w:eastAsia="宋体"/>
                <w:color w:val="000000" w:themeColor="text1"/>
              </w:rPr>
              <w:t>4路（屏蔽网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线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）</w:t>
            </w:r>
            <w:r>
              <w:rPr>
                <w:rFonts w:hint="eastAsia" w:ascii="宋体" w:hAnsi="宋体" w:eastAsia="宋体"/>
                <w:color w:val="000000" w:themeColor="text1"/>
              </w:rPr>
              <w:br w:type="textWrapping"/>
            </w:r>
            <w:r>
              <w:rPr>
                <w:rFonts w:hint="eastAsia" w:ascii="宋体" w:hAnsi="宋体" w:eastAsia="宋体"/>
                <w:color w:val="000000" w:themeColor="text1"/>
              </w:rPr>
              <w:t>GE光口/FE光口/10GE光口：根据光模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块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配置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3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接口工作模式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10GE：10GE全双工LAN</w:t>
            </w:r>
            <w:r>
              <w:rPr>
                <w:rFonts w:hint="eastAsia" w:ascii="宋体" w:hAnsi="宋体" w:eastAsia="宋体"/>
                <w:color w:val="000000" w:themeColor="text1"/>
              </w:rPr>
              <w:br w:type="textWrapping"/>
            </w:r>
            <w:r>
              <w:rPr>
                <w:rFonts w:hint="eastAsia" w:ascii="宋体" w:hAnsi="宋体" w:eastAsia="宋体"/>
                <w:color w:val="000000" w:themeColor="text1"/>
              </w:rPr>
              <w:t>GE：支持自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协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商、</w:t>
            </w:r>
            <w:r>
              <w:rPr>
                <w:rFonts w:hint="eastAsia" w:ascii="宋体" w:hAnsi="宋体" w:eastAsia="宋体"/>
                <w:color w:val="000000" w:themeColor="text1"/>
              </w:rPr>
              <w:t>1000M/100M/10M全双工</w:t>
            </w:r>
            <w:r>
              <w:rPr>
                <w:rFonts w:hint="eastAsia" w:ascii="宋体" w:hAnsi="宋体" w:eastAsia="宋体"/>
                <w:color w:val="000000" w:themeColor="text1"/>
              </w:rPr>
              <w:br w:type="textWrapping"/>
            </w:r>
            <w:r>
              <w:rPr>
                <w:rFonts w:hint="eastAsia" w:ascii="宋体" w:hAnsi="宋体" w:eastAsia="宋体"/>
                <w:color w:val="000000" w:themeColor="text1"/>
              </w:rPr>
              <w:t>FE：100M全双工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4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 w:cs="微软雅黑"/>
                <w:color w:val="000000" w:themeColor="text1"/>
              </w:rPr>
              <w:t>业务类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型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支持EPL（以太网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专线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）、</w:t>
            </w:r>
            <w:r>
              <w:rPr>
                <w:rFonts w:hint="eastAsia" w:ascii="宋体" w:hAnsi="宋体" w:eastAsia="宋体"/>
                <w:color w:val="000000" w:themeColor="text1"/>
              </w:rPr>
              <w:t>EVPL（以太网虚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拟专线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）、</w:t>
            </w:r>
            <w:r>
              <w:rPr>
                <w:rFonts w:hint="eastAsia" w:ascii="宋体" w:hAnsi="宋体" w:eastAsia="宋体"/>
                <w:color w:val="000000" w:themeColor="text1"/>
              </w:rPr>
              <w:t>EPLAN（以太网平面）、EVPLAN（以太网虚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拟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平面）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5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MAC地址表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MAC地址表大小16k，支持MAC地址自学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习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、老化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时间设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置、静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态</w:t>
            </w:r>
            <w:r>
              <w:rPr>
                <w:rFonts w:hint="eastAsia" w:ascii="宋体" w:hAnsi="宋体" w:eastAsia="宋体"/>
                <w:color w:val="000000" w:themeColor="text1"/>
              </w:rPr>
              <w:t>MAC配置；支持最多512个黑名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单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和</w:t>
            </w:r>
            <w:r>
              <w:rPr>
                <w:rFonts w:hint="eastAsia" w:ascii="宋体" w:hAnsi="宋体" w:eastAsia="宋体"/>
                <w:color w:val="000000" w:themeColor="text1"/>
              </w:rPr>
              <w:t>512个静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态</w:t>
            </w:r>
            <w:r>
              <w:rPr>
                <w:rFonts w:hint="eastAsia" w:ascii="宋体" w:hAnsi="宋体" w:eastAsia="宋体"/>
                <w:color w:val="000000" w:themeColor="text1"/>
              </w:rPr>
              <w:t>MAC地址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6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封装格式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支持HDLC、LAPS、GFP-F封装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7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VLAN技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术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支持4095个VLAN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标签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，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满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足</w:t>
            </w:r>
            <w:r>
              <w:rPr>
                <w:rFonts w:hint="eastAsia" w:ascii="宋体" w:hAnsi="宋体" w:eastAsia="宋体"/>
                <w:color w:val="000000" w:themeColor="text1"/>
              </w:rPr>
              <w:t>IEEE 802.1q/p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标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准；支持基于</w:t>
            </w:r>
            <w:r>
              <w:rPr>
                <w:rFonts w:hint="eastAsia" w:ascii="宋体" w:hAnsi="宋体" w:eastAsia="宋体"/>
                <w:color w:val="000000" w:themeColor="text1"/>
              </w:rPr>
              <w:t>PORT/VLAN/QinQ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标签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隔离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8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 w:cs="微软雅黑"/>
                <w:color w:val="000000" w:themeColor="text1"/>
              </w:rPr>
              <w:t>帧长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支持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支持1518Byte～9600Byte，支持最大9600Byte Jumbo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9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 w:cs="微软雅黑"/>
                <w:color w:val="000000" w:themeColor="text1"/>
              </w:rPr>
              <w:t>绑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定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带宽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128×VC-4 或 384×VC-3 或 1008×VC-12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10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背板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带宽</w:t>
            </w:r>
            <w:r>
              <w:rPr>
                <w:rFonts w:hint="eastAsia" w:ascii="宋体" w:hAnsi="宋体" w:eastAsia="宋体"/>
                <w:color w:val="000000" w:themeColor="text1"/>
              </w:rPr>
              <w:br w:type="textWrapping"/>
            </w:r>
            <w:r>
              <w:rPr>
                <w:rFonts w:hint="eastAsia" w:ascii="宋体" w:hAnsi="宋体" w:eastAsia="宋体"/>
                <w:color w:val="000000" w:themeColor="text1"/>
              </w:rPr>
              <w:t>（E6616）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配套TMK5SXCH：10Gbit/s</w:t>
            </w:r>
            <w:r>
              <w:rPr>
                <w:rFonts w:hint="eastAsia" w:ascii="宋体" w:hAnsi="宋体" w:eastAsia="宋体"/>
                <w:color w:val="000000" w:themeColor="text1"/>
              </w:rPr>
              <w:br w:type="textWrapping"/>
            </w:r>
            <w:r>
              <w:rPr>
                <w:rFonts w:hint="eastAsia" w:ascii="宋体" w:hAnsi="宋体" w:eastAsia="宋体"/>
                <w:color w:val="000000" w:themeColor="text1"/>
              </w:rPr>
              <w:t>配套TMK5UXCME/TMK5XCS Slot1~7/9/11~14：10Gbit/s</w:t>
            </w:r>
            <w:r>
              <w:rPr>
                <w:rFonts w:hint="eastAsia" w:ascii="宋体" w:hAnsi="宋体" w:eastAsia="宋体"/>
                <w:color w:val="000000" w:themeColor="text1"/>
              </w:rPr>
              <w:br w:type="textWrapping"/>
            </w:r>
            <w:r>
              <w:rPr>
                <w:rFonts w:hint="eastAsia" w:ascii="宋体" w:hAnsi="宋体" w:eastAsia="宋体"/>
                <w:color w:val="000000" w:themeColor="text1"/>
              </w:rPr>
              <w:t>配套TMK5UXCME/TMK5XCS Slot8/10：20Gbit/s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11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保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护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功能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支持SDH SNCP；支持DLAG静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态链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路聚合（</w:t>
            </w:r>
            <w:r>
              <w:rPr>
                <w:rFonts w:hint="eastAsia" w:ascii="宋体" w:hAnsi="宋体" w:eastAsia="宋体"/>
                <w:color w:val="000000" w:themeColor="text1"/>
              </w:rPr>
              <w:t>IEEE 802.3ad/802.1ax）；支持LAG手工/静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态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聚合；支持</w:t>
            </w:r>
            <w:r>
              <w:rPr>
                <w:rFonts w:hint="eastAsia" w:ascii="宋体" w:hAnsi="宋体" w:eastAsia="宋体"/>
                <w:color w:val="000000" w:themeColor="text1"/>
              </w:rPr>
              <w:t>LCAS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带宽动态调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整；支持</w:t>
            </w:r>
            <w:r>
              <w:rPr>
                <w:rFonts w:hint="eastAsia" w:ascii="宋体" w:hAnsi="宋体" w:eastAsia="宋体"/>
                <w:color w:val="000000" w:themeColor="text1"/>
              </w:rPr>
              <w:t>LPT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12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QoS功能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流分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类</w:t>
            </w:r>
            <w:r>
              <w:rPr>
                <w:rFonts w:hint="eastAsia" w:ascii="宋体" w:hAnsi="宋体" w:eastAsia="宋体"/>
                <w:color w:val="000000" w:themeColor="text1"/>
              </w:rPr>
              <w:t>1000条，支持PORT/PORT+VLAN/PORT+SVLAN/PORT+SVLAN+CVLAN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业务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流；支持</w:t>
            </w:r>
            <w:r>
              <w:rPr>
                <w:rFonts w:hint="eastAsia" w:ascii="宋体" w:hAnsi="宋体" w:eastAsia="宋体"/>
                <w:color w:val="000000" w:themeColor="text1"/>
              </w:rPr>
              <w:t>CoS分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类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；支持</w:t>
            </w:r>
            <w:r>
              <w:rPr>
                <w:rFonts w:hint="eastAsia" w:ascii="宋体" w:hAnsi="宋体" w:eastAsia="宋体"/>
                <w:color w:val="000000" w:themeColor="text1"/>
              </w:rPr>
              <w:t>CAR（64kbit/s粒度）；支持Shaping；支持SP/WRR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队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列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调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度；支持</w:t>
            </w:r>
            <w:r>
              <w:rPr>
                <w:rFonts w:hint="eastAsia" w:ascii="宋体" w:hAnsi="宋体" w:eastAsia="宋体"/>
                <w:color w:val="000000" w:themeColor="text1"/>
              </w:rPr>
              <w:t>RED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拥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塞避免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13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OAM功能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支持ITU-T Y.1731（LM/DM/CC/LB/LT）；支持IEEE 802.1ag（CC/LB/LT）；支持IEEE 802.3ah（OAM自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动发现</w:t>
            </w:r>
            <w:r>
              <w:rPr>
                <w:rFonts w:hint="eastAsia" w:ascii="宋体" w:hAnsi="宋体" w:eastAsia="宋体"/>
                <w:color w:val="000000" w:themeColor="text1"/>
              </w:rPr>
              <w:t>/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远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端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环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回</w:t>
            </w:r>
            <w:r>
              <w:rPr>
                <w:rFonts w:hint="eastAsia" w:ascii="宋体" w:hAnsi="宋体" w:eastAsia="宋体"/>
                <w:color w:val="000000" w:themeColor="text1"/>
              </w:rPr>
              <w:t>/故障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检测</w:t>
            </w:r>
            <w:r>
              <w:rPr>
                <w:rFonts w:hint="eastAsia" w:ascii="宋体" w:hAnsi="宋体" w:eastAsia="宋体"/>
                <w:color w:val="000000" w:themeColor="text1"/>
              </w:rPr>
              <w:t>/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链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路性能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监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控）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14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同步功能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支持物理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层时钟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同步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15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 w:cs="微软雅黑"/>
                <w:color w:val="000000" w:themeColor="text1"/>
              </w:rPr>
              <w:t>组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播功能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支持IGMP Snooping V1/V2，支持端口老化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时间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、快速离开、未知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组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播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报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文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丢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16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流量控制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支持IEEE 802.3x流控；支持基于端口和VCTRUNK的流量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监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17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 w:cs="微软雅黑"/>
                <w:color w:val="000000" w:themeColor="text1"/>
              </w:rPr>
              <w:t>环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回功能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支持以太网端口PHY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层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和</w:t>
            </w:r>
            <w:r>
              <w:rPr>
                <w:rFonts w:hint="eastAsia" w:ascii="宋体" w:hAnsi="宋体" w:eastAsia="宋体"/>
                <w:color w:val="000000" w:themeColor="text1"/>
              </w:rPr>
              <w:t>MAC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层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的内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环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回和外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环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回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18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center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其他特性</w:t>
            </w:r>
          </w:p>
        </w:tc>
        <w:tc>
          <w:tcPr>
            <w:tcW w:w="68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line="240" w:lineRule="auto"/>
              <w:jc w:val="left"/>
              <w:textAlignment w:val="auto"/>
              <w:rPr>
                <w:rFonts w:ascii="宋体" w:hAnsi="宋体" w:eastAsia="宋体"/>
                <w:color w:val="000000" w:themeColor="text1"/>
              </w:rPr>
            </w:pPr>
            <w:r>
              <w:rPr>
                <w:rFonts w:hint="eastAsia" w:ascii="宋体" w:hAnsi="宋体" w:eastAsia="宋体"/>
                <w:color w:val="000000" w:themeColor="text1"/>
              </w:rPr>
              <w:t>支持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热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插拔；支持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软</w:t>
            </w:r>
            <w:r>
              <w:rPr>
                <w:rFonts w:hint="eastAsia" w:ascii="宋体" w:hAnsi="宋体" w:eastAsia="宋体"/>
                <w:color w:val="000000" w:themeColor="text1"/>
              </w:rPr>
              <w:t>/硬复位；支持RMON性能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监测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；支持端口</w:t>
            </w:r>
            <w:r>
              <w:rPr>
                <w:rFonts w:hint="eastAsia" w:ascii="宋体" w:hAnsi="宋体" w:eastAsia="宋体" w:cs="微软雅黑"/>
                <w:color w:val="000000" w:themeColor="text1"/>
              </w:rPr>
              <w:t>镜</w:t>
            </w:r>
            <w:r>
              <w:rPr>
                <w:rFonts w:hint="eastAsia" w:ascii="宋体" w:hAnsi="宋体" w:eastAsia="宋体" w:cs="MS Mincho"/>
                <w:color w:val="000000" w:themeColor="text1"/>
              </w:rPr>
              <w:t>像</w:t>
            </w:r>
          </w:p>
        </w:tc>
      </w:tr>
    </w:tbl>
    <w:p>
      <w:pPr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rPr>
          <w:rFonts w:ascii="宋体" w:hAnsi="宋体" w:eastAsia="宋体"/>
        </w:rPr>
      </w:pPr>
      <w:r>
        <w:rPr>
          <w:rFonts w:ascii="宋体" w:hAnsi="宋体" w:eastAsia="宋体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240" w:lineRule="auto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三</w:t>
      </w:r>
      <w:r>
        <w:rPr>
          <w:rFonts w:hint="eastAsia" w:ascii="宋体" w:hAnsi="宋体" w:eastAsia="宋体"/>
          <w:b/>
          <w:sz w:val="28"/>
          <w:szCs w:val="28"/>
        </w:rPr>
        <w:t>、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-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48V直流通信电源</w:t>
      </w:r>
    </w:p>
    <w:tbl>
      <w:tblPr>
        <w:tblStyle w:val="13"/>
        <w:tblW w:w="95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1"/>
        <w:gridCol w:w="3580"/>
        <w:gridCol w:w="42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80" w:hRule="atLeast"/>
          <w:jc w:val="center"/>
        </w:trPr>
        <w:tc>
          <w:tcPr>
            <w:tcW w:w="168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项目</w:t>
            </w:r>
          </w:p>
        </w:tc>
        <w:tc>
          <w:tcPr>
            <w:tcW w:w="3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内容</w:t>
            </w:r>
          </w:p>
        </w:tc>
        <w:tc>
          <w:tcPr>
            <w:tcW w:w="4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" w:hRule="atLeast"/>
          <w:jc w:val="center"/>
        </w:trPr>
        <w:tc>
          <w:tcPr>
            <w:tcW w:w="168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规格</w:t>
            </w:r>
          </w:p>
        </w:tc>
        <w:tc>
          <w:tcPr>
            <w:tcW w:w="3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输出电压</w:t>
            </w:r>
          </w:p>
        </w:tc>
        <w:tc>
          <w:tcPr>
            <w:tcW w:w="4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DC48V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9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输出电流</w:t>
            </w:r>
          </w:p>
        </w:tc>
        <w:tc>
          <w:tcPr>
            <w:tcW w:w="4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63A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168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电流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输入</w:t>
            </w:r>
          </w:p>
        </w:tc>
        <w:tc>
          <w:tcPr>
            <w:tcW w:w="3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输入数量</w:t>
            </w:r>
          </w:p>
        </w:tc>
        <w:tc>
          <w:tcPr>
            <w:tcW w:w="4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2路63A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额定输入</w:t>
            </w:r>
          </w:p>
        </w:tc>
        <w:tc>
          <w:tcPr>
            <w:tcW w:w="4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D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C220V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8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输入欠压保护点</w:t>
            </w:r>
          </w:p>
        </w:tc>
        <w:tc>
          <w:tcPr>
            <w:tcW w:w="4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180V±2V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7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输入过压保护点</w:t>
            </w:r>
          </w:p>
        </w:tc>
        <w:tc>
          <w:tcPr>
            <w:tcW w:w="4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270V±2V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168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直流输出</w:t>
            </w: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输出数量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6路 20A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浮充电压调节范围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43V-56.7V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浮充输出电压出厂整定值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52.8V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0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均充电压调节范围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48V-57.6V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7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均充输出电压出厂整定值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56.4V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输出电压保护点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58V±1V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输出过流保护点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输出过流±5%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1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输出短路保护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源变化率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≤±0.1％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ind w:left="113" w:right="113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负载变化率（0%～100%）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≤±0.5％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温度系数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150PPm／℃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尖峰纹波电压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Vpp≤100mＶ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7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开关频率纹波电压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Vpp≤60mＶ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电话衡重噪声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≤１mＶ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电源转换效率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≥90％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0" w:hRule="atLeast"/>
          <w:jc w:val="center"/>
        </w:trPr>
        <w:tc>
          <w:tcPr>
            <w:tcW w:w="16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电池</w:t>
            </w: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电池充电流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1-5A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3" w:hRule="atLeast"/>
          <w:jc w:val="center"/>
        </w:trPr>
        <w:tc>
          <w:tcPr>
            <w:tcW w:w="168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工作环境</w:t>
            </w: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工作环境温度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0～55℃，高于45℃须降额使用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工作环境湿度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≤95％PH无结露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工作环境高度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≤2000m海拔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0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负载性质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阻性、容性、感性均可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0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噪音（1米）</w:t>
            </w:r>
          </w:p>
        </w:tc>
        <w:tc>
          <w:tcPr>
            <w:tcW w:w="4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≤65dB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3" w:hRule="atLeast"/>
          <w:jc w:val="center"/>
        </w:trPr>
        <w:tc>
          <w:tcPr>
            <w:tcW w:w="168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使用安全性</w:t>
            </w: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安全耐压  输入端对机壳、对输出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DC2500Ｖ一分钟无击穿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3" w:hRule="atLeast"/>
          <w:jc w:val="center"/>
        </w:trPr>
        <w:tc>
          <w:tcPr>
            <w:tcW w:w="168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58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安全耐压  输出端对机壳</w:t>
            </w:r>
          </w:p>
        </w:tc>
        <w:tc>
          <w:tcPr>
            <w:tcW w:w="4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DC500Ｖ一分钟无击穿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6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ind w:left="113" w:right="113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结构</w:t>
            </w:r>
          </w:p>
        </w:tc>
        <w:tc>
          <w:tcPr>
            <w:tcW w:w="3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机箱尺寸</w:t>
            </w:r>
          </w:p>
        </w:tc>
        <w:tc>
          <w:tcPr>
            <w:tcW w:w="4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4U 19英寸机架式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rPr>
          <w:rFonts w:ascii="宋体" w:hAnsi="宋体" w:eastAsia="宋体"/>
        </w:rPr>
      </w:pPr>
    </w:p>
    <w:p>
      <w:pPr>
        <w:rPr>
          <w:rFonts w:hint="eastAsia" w:ascii="宋体" w:hAnsi="宋体" w:eastAsia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974"/>
    <w:rsid w:val="003042EE"/>
    <w:rsid w:val="00895974"/>
    <w:rsid w:val="009622C8"/>
    <w:rsid w:val="00A22769"/>
    <w:rsid w:val="00A96273"/>
    <w:rsid w:val="00B1466C"/>
    <w:rsid w:val="00C034C6"/>
    <w:rsid w:val="00E6492E"/>
    <w:rsid w:val="00FE7B1C"/>
    <w:rsid w:val="05A3196B"/>
    <w:rsid w:val="05B253F0"/>
    <w:rsid w:val="54E55B46"/>
    <w:rsid w:val="67CC0901"/>
    <w:rsid w:val="75FA49E1"/>
    <w:rsid w:val="7990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00" w:beforeAutospacing="1" w:after="200" w:line="273" w:lineRule="auto"/>
    </w:pPr>
    <w:rPr>
      <w:rFonts w:ascii="Cambria" w:hAnsi="Cambria" w:eastAsia="MS Mincho" w:cs="Times New Roman"/>
      <w:kern w:val="0"/>
      <w:sz w:val="22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85858" w:themeColor="text1" w:themeTint="A6"/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85858" w:themeColor="text1" w:themeTint="A6"/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85858" w:themeColor="text1" w:themeTint="A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85858" w:themeColor="text1" w:themeTint="A6"/>
      <w:spacing w:val="15"/>
      <w:sz w:val="28"/>
      <w:szCs w:val="28"/>
    </w:rPr>
  </w:style>
  <w:style w:type="paragraph" w:styleId="12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4">
    <w:name w:val="Table Grid"/>
    <w:basedOn w:val="13"/>
    <w:qFormat/>
    <w:uiPriority w:val="99"/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">
    <w:name w:val="表格1"/>
    <w:basedOn w:val="13"/>
    <w:qFormat/>
    <w:uiPriority w:val="99"/>
    <w:pPr>
      <w:adjustRightInd w:val="0"/>
      <w:snapToGrid w:val="0"/>
      <w:jc w:val="center"/>
    </w:pPr>
    <w:rPr>
      <w:rFonts w:eastAsia="宋体"/>
      <w:color w:val="000000" w:themeColor="text1"/>
      <w:sz w:val="24"/>
    </w:rPr>
    <w:tblPr>
      <w:jc w:val="center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  <w:trPr>
      <w:jc w:val="center"/>
    </w:trPr>
    <w:tcPr>
      <w:vAlign w:val="center"/>
    </w:tcPr>
  </w:style>
  <w:style w:type="table" w:customStyle="1" w:styleId="17">
    <w:name w:val="表格1（文本居中显示，12号字体）"/>
    <w:basedOn w:val="13"/>
    <w:qFormat/>
    <w:uiPriority w:val="99"/>
    <w:pPr>
      <w:adjustRightInd w:val="0"/>
      <w:snapToGrid w:val="0"/>
      <w:jc w:val="center"/>
    </w:pPr>
    <w:rPr>
      <w:rFonts w:eastAsia="宋体"/>
      <w:color w:val="000000" w:themeColor="text1"/>
      <w:sz w:val="24"/>
    </w:rPr>
    <w:tblPr>
      <w:jc w:val="center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  <w:trPr>
      <w:jc w:val="center"/>
    </w:trPr>
    <w:tcPr>
      <w:vAlign w:val="center"/>
    </w:tcPr>
  </w:style>
  <w:style w:type="character" w:customStyle="1" w:styleId="18">
    <w:name w:val="标题 1 字符"/>
    <w:basedOn w:val="15"/>
    <w:link w:val="2"/>
    <w:qFormat/>
    <w:uiPriority w:val="9"/>
    <w:rPr>
      <w:rFonts w:asciiTheme="majorHAnsi" w:hAnsiTheme="majorHAnsi" w:eastAsiaTheme="majorEastAsia" w:cstheme="majorBidi"/>
      <w:color w:val="0F4761" w:themeColor="accent1" w:themeShade="BF"/>
      <w:sz w:val="48"/>
      <w:szCs w:val="48"/>
    </w:rPr>
  </w:style>
  <w:style w:type="character" w:customStyle="1" w:styleId="19">
    <w:name w:val="标题 2 字符"/>
    <w:basedOn w:val="15"/>
    <w:link w:val="3"/>
    <w:semiHidden/>
    <w:qFormat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customStyle="1" w:styleId="20">
    <w:name w:val="标题 3 字符"/>
    <w:basedOn w:val="15"/>
    <w:link w:val="4"/>
    <w:semiHidden/>
    <w:qFormat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customStyle="1" w:styleId="21">
    <w:name w:val="标题 4 字符"/>
    <w:basedOn w:val="15"/>
    <w:link w:val="5"/>
    <w:semiHidden/>
    <w:qFormat/>
    <w:uiPriority w:val="9"/>
    <w:rPr>
      <w:rFonts w:cstheme="majorBidi"/>
      <w:color w:val="0F4761" w:themeColor="accent1" w:themeShade="BF"/>
      <w:sz w:val="28"/>
      <w:szCs w:val="28"/>
    </w:rPr>
  </w:style>
  <w:style w:type="character" w:customStyle="1" w:styleId="22">
    <w:name w:val="标题 5 字符"/>
    <w:basedOn w:val="15"/>
    <w:link w:val="6"/>
    <w:semiHidden/>
    <w:qFormat/>
    <w:uiPriority w:val="9"/>
    <w:rPr>
      <w:rFonts w:cstheme="majorBidi"/>
      <w:color w:val="0F4761" w:themeColor="accent1" w:themeShade="BF"/>
      <w:sz w:val="24"/>
      <w:szCs w:val="24"/>
    </w:rPr>
  </w:style>
  <w:style w:type="character" w:customStyle="1" w:styleId="23">
    <w:name w:val="标题 6 字符"/>
    <w:basedOn w:val="15"/>
    <w:link w:val="7"/>
    <w:semiHidden/>
    <w:qFormat/>
    <w:uiPriority w:val="9"/>
    <w:rPr>
      <w:rFonts w:cstheme="majorBidi"/>
      <w:b/>
      <w:bCs/>
      <w:color w:val="0F4761" w:themeColor="accent1" w:themeShade="BF"/>
    </w:rPr>
  </w:style>
  <w:style w:type="character" w:customStyle="1" w:styleId="24">
    <w:name w:val="标题 7 字符"/>
    <w:basedOn w:val="15"/>
    <w:link w:val="8"/>
    <w:semiHidden/>
    <w:qFormat/>
    <w:uiPriority w:val="9"/>
    <w:rPr>
      <w:rFonts w:cstheme="majorBidi"/>
      <w:b/>
      <w:bCs/>
      <w:color w:val="585858" w:themeColor="text1" w:themeTint="A6"/>
    </w:rPr>
  </w:style>
  <w:style w:type="character" w:customStyle="1" w:styleId="25">
    <w:name w:val="标题 8 字符"/>
    <w:basedOn w:val="15"/>
    <w:link w:val="9"/>
    <w:semiHidden/>
    <w:qFormat/>
    <w:uiPriority w:val="9"/>
    <w:rPr>
      <w:rFonts w:cstheme="majorBidi"/>
      <w:color w:val="585858" w:themeColor="text1" w:themeTint="A6"/>
    </w:rPr>
  </w:style>
  <w:style w:type="character" w:customStyle="1" w:styleId="26">
    <w:name w:val="标题 9 字符"/>
    <w:basedOn w:val="15"/>
    <w:link w:val="10"/>
    <w:semiHidden/>
    <w:qFormat/>
    <w:uiPriority w:val="9"/>
    <w:rPr>
      <w:rFonts w:eastAsiaTheme="majorEastAsia" w:cstheme="majorBidi"/>
      <w:color w:val="585858" w:themeColor="text1" w:themeTint="A6"/>
    </w:rPr>
  </w:style>
  <w:style w:type="character" w:customStyle="1" w:styleId="27">
    <w:name w:val="标题 字符"/>
    <w:basedOn w:val="15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5"/>
    <w:link w:val="11"/>
    <w:qFormat/>
    <w:uiPriority w:val="11"/>
    <w:rPr>
      <w:rFonts w:asciiTheme="majorHAnsi" w:hAnsiTheme="majorHAnsi" w:eastAsiaTheme="majorEastAsia" w:cstheme="majorBidi"/>
      <w:color w:val="585858" w:themeColor="text1" w:themeTint="A6"/>
      <w:spacing w:val="15"/>
      <w:sz w:val="28"/>
      <w:szCs w:val="28"/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3F3F3F" w:themeColor="text1" w:themeTint="BF"/>
    </w:rPr>
  </w:style>
  <w:style w:type="character" w:customStyle="1" w:styleId="30">
    <w:name w:val="引用 字符"/>
    <w:basedOn w:val="15"/>
    <w:link w:val="29"/>
    <w:qFormat/>
    <w:uiPriority w:val="29"/>
    <w:rPr>
      <w:i/>
      <w:iCs/>
      <w:color w:val="3F3F3F" w:themeColor="text1" w:themeTint="BF"/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5"/>
    <w:qFormat/>
    <w:uiPriority w:val="21"/>
    <w:rPr>
      <w:i/>
      <w:iCs/>
      <w:color w:val="0F4761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34">
    <w:name w:val="明显引用 字符"/>
    <w:basedOn w:val="15"/>
    <w:link w:val="33"/>
    <w:qFormat/>
    <w:uiPriority w:val="30"/>
    <w:rPr>
      <w:i/>
      <w:iCs/>
      <w:color w:val="0F4761" w:themeColor="accent1" w:themeShade="BF"/>
    </w:rPr>
  </w:style>
  <w:style w:type="character" w:customStyle="1" w:styleId="35">
    <w:name w:val="Intense Reference"/>
    <w:basedOn w:val="15"/>
    <w:qFormat/>
    <w:uiPriority w:val="32"/>
    <w:rPr>
      <w:b/>
      <w:bCs/>
      <w:smallCaps/>
      <w:color w:val="0F4761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1020</Words>
  <Characters>1706</Characters>
  <Lines>13</Lines>
  <Paragraphs>3</Paragraphs>
  <TotalTime>16</TotalTime>
  <ScaleCrop>false</ScaleCrop>
  <LinksUpToDate>false</LinksUpToDate>
  <CharactersWithSpaces>1740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2026-08-18T02:02:00Z</dcterms:created>
  <dc:creator>User</dc:creator>
  <cp:lastModifiedBy>D2D41BAB9BD94ED0B4AAD705BDDB605E</cp:lastModifiedBy>
  <dcterms:modified xsi:type="dcterms:W3CDTF">2026-09-07T02:17:45Z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eyJoZGlkIjoiYmRmODk1ZmQ5NzM5MTBjYmFjNmE3OTQ2OTFjOTFmMzAiLCJ1c2VySWQiOiI1NTQ0MzYyNzkifQ==</vt:lpwstr>
  </property>
  <property fmtid="{D5CDD505-2E9C-101B-9397-08002B2CF9AE}" pid="3" name="KSOProductBuildVer">
    <vt:lpwstr>2052-11.8.2.12309</vt:lpwstr>
  </property>
  <property fmtid="{D5CDD505-2E9C-101B-9397-08002B2CF9AE}" pid="4" name="ICV">
    <vt:lpwstr>7A138CD54F694A5288BFDBD2E5E87C4A</vt:lpwstr>
  </property>
</Properties>
</file>