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865CCFC">
      <w:pPr>
        <w:spacing w:before="156" w:beforeLines="50"/>
        <w:jc w:val="center"/>
        <w:rPr>
          <w:rFonts w:ascii="宋体" w:hAnsi="宋体" w:cs="宋体"/>
          <w:b/>
          <w:sz w:val="36"/>
          <w:szCs w:val="36"/>
          <w:highlight w:val="none"/>
          <w:u w:val="single"/>
        </w:rPr>
      </w:pPr>
      <w:r>
        <w:rPr>
          <w:rFonts w:hint="eastAsia" w:ascii="宋体" w:hAnsi="宋体"/>
          <w:b/>
          <w:sz w:val="52"/>
          <w:highlight w:val="none"/>
        </w:rPr>
        <w:drawing>
          <wp:anchor distT="0" distB="0" distL="114300" distR="114300" simplePos="0" relativeHeight="251659264" behindDoc="1" locked="0" layoutInCell="1" allowOverlap="1">
            <wp:simplePos x="0" y="0"/>
            <wp:positionH relativeFrom="margin">
              <wp:posOffset>-1143635</wp:posOffset>
            </wp:positionH>
            <wp:positionV relativeFrom="margin">
              <wp:posOffset>-912495</wp:posOffset>
            </wp:positionV>
            <wp:extent cx="7983220" cy="2820670"/>
            <wp:effectExtent l="0" t="0" r="5080" b="0"/>
            <wp:wrapSquare wrapText="bothSides"/>
            <wp:docPr id="2" name="图片 1" descr="模板-3"/>
            <wp:cNvGraphicFramePr/>
            <a:graphic xmlns:a="http://schemas.openxmlformats.org/drawingml/2006/main">
              <a:graphicData uri="http://schemas.openxmlformats.org/drawingml/2006/picture">
                <pic:pic xmlns:pic="http://schemas.openxmlformats.org/drawingml/2006/picture">
                  <pic:nvPicPr>
                    <pic:cNvPr id="2" name="图片 1" descr="模板-3"/>
                    <pic:cNvPicPr/>
                  </pic:nvPicPr>
                  <pic:blipFill>
                    <a:blip r:embed="rId1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p>
    <w:p w14:paraId="13F9C62B">
      <w:pPr>
        <w:spacing w:before="156" w:beforeLines="50"/>
        <w:jc w:val="center"/>
        <w:rPr>
          <w:rFonts w:ascii="宋体" w:hAnsi="宋体" w:cs="宋体"/>
          <w:b/>
          <w:sz w:val="36"/>
          <w:szCs w:val="36"/>
          <w:highlight w:val="none"/>
        </w:rPr>
      </w:pPr>
      <w:r>
        <w:rPr>
          <w:rFonts w:hint="eastAsia" w:ascii="宋体" w:hAnsi="宋体" w:cs="宋体"/>
          <w:b/>
          <w:sz w:val="36"/>
          <w:szCs w:val="36"/>
          <w:highlight w:val="none"/>
        </w:rPr>
        <w:t>《</w:t>
      </w:r>
      <w:r>
        <w:rPr>
          <w:rFonts w:hint="eastAsia" w:ascii="宋体" w:hAnsi="宋体" w:cs="宋体"/>
          <w:b/>
          <w:bCs/>
          <w:sz w:val="36"/>
          <w:szCs w:val="36"/>
          <w:highlight w:val="none"/>
          <w:u w:val="single"/>
        </w:rPr>
        <w:t>研制一款具备防误功能的单电机三工位隔离接地开关操作摇</w:t>
      </w:r>
      <w:r>
        <w:rPr>
          <w:rFonts w:hint="eastAsia" w:ascii="宋体" w:hAnsi="宋体" w:cs="宋体"/>
          <w:b/>
          <w:bCs/>
          <w:sz w:val="36"/>
          <w:szCs w:val="36"/>
          <w:highlight w:val="none"/>
          <w:u w:val="single"/>
          <w:lang w:eastAsia="zh-CN"/>
        </w:rPr>
        <w:t>把</w:t>
      </w:r>
      <w:r>
        <w:rPr>
          <w:rFonts w:hint="eastAsia" w:ascii="宋体" w:hAnsi="宋体" w:cs="宋体"/>
          <w:b/>
          <w:sz w:val="36"/>
          <w:szCs w:val="36"/>
          <w:highlight w:val="none"/>
        </w:rPr>
        <w:t>》</w:t>
      </w:r>
    </w:p>
    <w:p w14:paraId="220A44F0">
      <w:pPr>
        <w:spacing w:before="156" w:beforeLines="50"/>
        <w:jc w:val="center"/>
        <w:rPr>
          <w:rFonts w:ascii="宋体" w:hAnsi="宋体" w:cs="宋体"/>
          <w:b/>
          <w:sz w:val="36"/>
          <w:szCs w:val="36"/>
          <w:highlight w:val="none"/>
        </w:rPr>
      </w:pPr>
      <w:r>
        <w:rPr>
          <w:rFonts w:hint="eastAsia" w:ascii="宋体" w:hAnsi="宋体" w:cs="宋体"/>
          <w:b/>
          <w:sz w:val="36"/>
          <w:szCs w:val="36"/>
          <w:highlight w:val="none"/>
        </w:rPr>
        <w:t>职工创新项目</w:t>
      </w:r>
    </w:p>
    <w:p w14:paraId="0A655ECC">
      <w:pPr>
        <w:spacing w:before="156" w:beforeLines="50"/>
        <w:jc w:val="center"/>
        <w:rPr>
          <w:rFonts w:ascii="宋体" w:hAnsi="宋体"/>
          <w:sz w:val="36"/>
          <w:szCs w:val="36"/>
          <w:highlight w:val="none"/>
        </w:rPr>
      </w:pPr>
    </w:p>
    <w:p w14:paraId="35ED5DDC">
      <w:pPr>
        <w:spacing w:before="156" w:beforeLines="50"/>
        <w:jc w:val="center"/>
        <w:rPr>
          <w:rFonts w:ascii="宋体" w:hAnsi="宋体"/>
          <w:sz w:val="36"/>
          <w:szCs w:val="36"/>
          <w:highlight w:val="none"/>
        </w:rPr>
      </w:pPr>
    </w:p>
    <w:p w14:paraId="05756DB6">
      <w:pPr>
        <w:spacing w:before="156" w:beforeLines="50"/>
        <w:jc w:val="center"/>
        <w:rPr>
          <w:rFonts w:ascii="宋体" w:hAnsi="宋体" w:cs="楷体"/>
          <w:b/>
          <w:bCs/>
          <w:sz w:val="36"/>
          <w:szCs w:val="36"/>
          <w:highlight w:val="none"/>
        </w:rPr>
      </w:pPr>
      <w:r>
        <w:rPr>
          <w:rFonts w:hint="eastAsia" w:ascii="宋体" w:hAnsi="宋体" w:cs="楷体"/>
          <w:b/>
          <w:bCs/>
          <w:sz w:val="36"/>
          <w:szCs w:val="36"/>
          <w:highlight w:val="none"/>
        </w:rPr>
        <w:t>材料采购技术条件书</w:t>
      </w:r>
    </w:p>
    <w:p w14:paraId="532FF479">
      <w:pPr>
        <w:spacing w:before="156" w:beforeLines="50"/>
        <w:jc w:val="center"/>
        <w:rPr>
          <w:rFonts w:hint="eastAsia" w:ascii="宋体" w:hAnsi="宋体" w:eastAsia="宋体" w:cs="楷体"/>
          <w:b/>
          <w:bCs/>
          <w:sz w:val="36"/>
          <w:szCs w:val="36"/>
          <w:highlight w:val="none"/>
          <w:lang w:eastAsia="zh-CN"/>
        </w:rPr>
      </w:pPr>
      <w:r>
        <w:rPr>
          <w:rFonts w:hint="eastAsia" w:ascii="宋体" w:hAnsi="宋体" w:cs="楷体"/>
          <w:b/>
          <w:bCs/>
          <w:sz w:val="36"/>
          <w:szCs w:val="36"/>
          <w:highlight w:val="none"/>
        </w:rPr>
        <w:t>编号：00020260</w:t>
      </w:r>
      <w:r>
        <w:rPr>
          <w:rFonts w:hint="eastAsia" w:ascii="宋体" w:hAnsi="宋体" w:cs="楷体"/>
          <w:b/>
          <w:bCs/>
          <w:sz w:val="36"/>
          <w:szCs w:val="36"/>
          <w:highlight w:val="none"/>
          <w:lang w:val="en-US" w:eastAsia="zh-CN"/>
        </w:rPr>
        <w:t>817</w:t>
      </w:r>
      <w:r>
        <w:rPr>
          <w:rFonts w:hint="eastAsia" w:ascii="宋体" w:hAnsi="宋体" w:cs="楷体"/>
          <w:b/>
          <w:bCs/>
          <w:sz w:val="36"/>
          <w:szCs w:val="36"/>
          <w:highlight w:val="none"/>
        </w:rPr>
        <w:t>000</w:t>
      </w:r>
      <w:r>
        <w:rPr>
          <w:rFonts w:hint="eastAsia" w:ascii="宋体" w:hAnsi="宋体" w:cs="楷体"/>
          <w:b/>
          <w:bCs/>
          <w:sz w:val="36"/>
          <w:szCs w:val="36"/>
          <w:highlight w:val="none"/>
          <w:lang w:val="en-US" w:eastAsia="zh-CN"/>
        </w:rPr>
        <w:t>1</w:t>
      </w:r>
    </w:p>
    <w:p w14:paraId="49E2660E">
      <w:pPr>
        <w:spacing w:before="156" w:beforeLines="50"/>
        <w:jc w:val="center"/>
        <w:rPr>
          <w:rFonts w:ascii="宋体" w:hAnsi="宋体" w:cs="宋体"/>
          <w:sz w:val="36"/>
          <w:szCs w:val="36"/>
          <w:highlight w:val="none"/>
        </w:rPr>
      </w:pPr>
    </w:p>
    <w:p w14:paraId="75768D5D">
      <w:pPr>
        <w:spacing w:before="156" w:beforeLines="50"/>
        <w:rPr>
          <w:rFonts w:ascii="宋体" w:hAnsi="宋体" w:cs="楷体"/>
          <w:sz w:val="36"/>
          <w:szCs w:val="36"/>
          <w:highlight w:val="none"/>
        </w:rPr>
      </w:pPr>
    </w:p>
    <w:p w14:paraId="72DB8437">
      <w:pPr>
        <w:spacing w:before="156" w:beforeLines="50"/>
        <w:jc w:val="center"/>
        <w:rPr>
          <w:rFonts w:ascii="宋体" w:hAnsi="宋体" w:cs="楷体"/>
          <w:sz w:val="36"/>
          <w:szCs w:val="36"/>
          <w:highlight w:val="none"/>
        </w:rPr>
      </w:pPr>
    </w:p>
    <w:p w14:paraId="289CD013">
      <w:pPr>
        <w:spacing w:before="156" w:beforeLines="50"/>
        <w:jc w:val="center"/>
        <w:rPr>
          <w:rFonts w:ascii="宋体" w:hAnsi="宋体" w:cs="楷体"/>
          <w:b/>
          <w:bCs/>
          <w:sz w:val="36"/>
          <w:szCs w:val="36"/>
          <w:highlight w:val="none"/>
          <w:u w:val="single"/>
        </w:rPr>
      </w:pPr>
      <w:r>
        <w:rPr>
          <w:rFonts w:hint="eastAsia" w:ascii="宋体" w:hAnsi="宋体" w:cs="楷体"/>
          <w:b/>
          <w:bCs/>
          <w:sz w:val="36"/>
          <w:szCs w:val="36"/>
          <w:highlight w:val="none"/>
          <w:u w:val="single"/>
        </w:rPr>
        <w:t>深圳供电局有限公司</w:t>
      </w:r>
    </w:p>
    <w:p w14:paraId="4B47F0DF">
      <w:pPr>
        <w:spacing w:before="156" w:beforeLines="50"/>
        <w:jc w:val="center"/>
        <w:rPr>
          <w:rFonts w:ascii="宋体" w:hAnsi="宋体" w:cs="楷体"/>
          <w:sz w:val="36"/>
          <w:szCs w:val="36"/>
          <w:highlight w:val="none"/>
        </w:rPr>
      </w:pPr>
      <w:r>
        <w:rPr>
          <w:rFonts w:hint="eastAsia" w:ascii="宋体" w:hAnsi="宋体" w:cs="楷体"/>
          <w:b/>
          <w:bCs/>
          <w:sz w:val="36"/>
          <w:szCs w:val="36"/>
          <w:highlight w:val="none"/>
          <w:u w:val="single"/>
        </w:rPr>
        <w:t>20</w:t>
      </w:r>
      <w:r>
        <w:rPr>
          <w:rFonts w:ascii="宋体" w:hAnsi="宋体" w:cs="楷体"/>
          <w:b/>
          <w:bCs/>
          <w:sz w:val="36"/>
          <w:szCs w:val="36"/>
          <w:highlight w:val="none"/>
          <w:u w:val="single"/>
        </w:rPr>
        <w:t>2</w:t>
      </w:r>
      <w:r>
        <w:rPr>
          <w:rFonts w:hint="eastAsia" w:ascii="宋体" w:hAnsi="宋体" w:cs="楷体"/>
          <w:b/>
          <w:bCs/>
          <w:sz w:val="36"/>
          <w:szCs w:val="36"/>
          <w:highlight w:val="none"/>
          <w:u w:val="single"/>
        </w:rPr>
        <w:t>6年</w:t>
      </w:r>
      <w:r>
        <w:rPr>
          <w:rFonts w:hint="eastAsia" w:ascii="宋体" w:hAnsi="宋体" w:cs="楷体"/>
          <w:b/>
          <w:bCs/>
          <w:sz w:val="36"/>
          <w:szCs w:val="36"/>
          <w:highlight w:val="none"/>
          <w:u w:val="single"/>
          <w:lang w:val="en-US" w:eastAsia="zh-CN"/>
        </w:rPr>
        <w:t>8</w:t>
      </w:r>
      <w:r>
        <w:rPr>
          <w:rFonts w:hint="eastAsia" w:ascii="宋体" w:hAnsi="宋体" w:cs="楷体"/>
          <w:b/>
          <w:bCs/>
          <w:sz w:val="36"/>
          <w:szCs w:val="36"/>
          <w:highlight w:val="none"/>
          <w:u w:val="single"/>
        </w:rPr>
        <w:t>月</w:t>
      </w:r>
      <w:r>
        <w:rPr>
          <w:rFonts w:hint="eastAsia" w:ascii="宋体" w:hAnsi="宋体" w:cs="楷体"/>
          <w:b/>
          <w:bCs/>
          <w:sz w:val="36"/>
          <w:szCs w:val="36"/>
          <w:highlight w:val="none"/>
          <w:u w:val="single"/>
          <w:lang w:val="en-US" w:eastAsia="zh-CN"/>
        </w:rPr>
        <w:t>17</w:t>
      </w:r>
      <w:r>
        <w:rPr>
          <w:rFonts w:hint="eastAsia" w:ascii="宋体" w:hAnsi="宋体" w:cs="楷体"/>
          <w:b/>
          <w:bCs/>
          <w:sz w:val="36"/>
          <w:szCs w:val="36"/>
          <w:highlight w:val="none"/>
          <w:u w:val="single"/>
        </w:rPr>
        <w:t>日</w:t>
      </w:r>
    </w:p>
    <w:p w14:paraId="10DAC234">
      <w:pPr>
        <w:spacing w:before="156" w:beforeLines="50"/>
        <w:jc w:val="center"/>
        <w:rPr>
          <w:rFonts w:ascii="宋体" w:hAnsi="宋体" w:cs="楷体"/>
          <w:sz w:val="36"/>
          <w:szCs w:val="36"/>
          <w:highlight w:val="none"/>
        </w:rPr>
      </w:pPr>
    </w:p>
    <w:p w14:paraId="79F0384B">
      <w:pPr>
        <w:widowControl/>
        <w:jc w:val="left"/>
        <w:rPr>
          <w:rFonts w:ascii="宋体" w:hAnsi="宋体"/>
          <w:sz w:val="36"/>
          <w:szCs w:val="36"/>
          <w:highlight w:val="none"/>
        </w:rPr>
      </w:pPr>
      <w:r>
        <w:rPr>
          <w:rFonts w:ascii="宋体" w:hAnsi="宋体"/>
          <w:sz w:val="36"/>
          <w:szCs w:val="36"/>
          <w:highlight w:val="none"/>
        </w:rPr>
        <w:br w:type="page"/>
      </w:r>
    </w:p>
    <w:p w14:paraId="6833F371">
      <w:pPr>
        <w:spacing w:before="312" w:beforeLines="100" w:line="560" w:lineRule="exact"/>
        <w:jc w:val="center"/>
        <w:rPr>
          <w:rFonts w:ascii="宋体" w:hAnsi="宋体"/>
          <w:bCs/>
          <w:sz w:val="36"/>
          <w:szCs w:val="36"/>
          <w:highlight w:val="none"/>
        </w:rPr>
      </w:pPr>
      <w:r>
        <w:rPr>
          <w:rFonts w:hint="eastAsia" w:ascii="宋体" w:hAnsi="宋体" w:cs="方正小标宋_GBK"/>
          <w:bCs/>
          <w:sz w:val="36"/>
          <w:szCs w:val="36"/>
          <w:highlight w:val="none"/>
        </w:rPr>
        <w:t>知识产权声明</w:t>
      </w:r>
    </w:p>
    <w:p w14:paraId="49FB5193">
      <w:pPr>
        <w:spacing w:line="560" w:lineRule="exact"/>
        <w:ind w:left="851"/>
        <w:jc w:val="center"/>
        <w:rPr>
          <w:rFonts w:ascii="宋体" w:hAnsi="宋体"/>
          <w:b/>
          <w:sz w:val="36"/>
          <w:szCs w:val="36"/>
          <w:highlight w:val="none"/>
        </w:rPr>
      </w:pPr>
    </w:p>
    <w:p w14:paraId="3B26F473">
      <w:pPr>
        <w:spacing w:line="560" w:lineRule="exact"/>
        <w:ind w:firstLine="720" w:firstLineChars="200"/>
        <w:rPr>
          <w:rFonts w:ascii="宋体" w:hAnsi="宋体"/>
          <w:sz w:val="36"/>
          <w:szCs w:val="36"/>
          <w:highlight w:val="none"/>
        </w:rPr>
      </w:pPr>
      <w:r>
        <w:rPr>
          <w:rFonts w:hint="eastAsia" w:ascii="宋体" w:hAnsi="宋体" w:cs="仿宋_GB2312"/>
          <w:sz w:val="36"/>
          <w:szCs w:val="36"/>
          <w:highlight w:val="none"/>
        </w:rPr>
        <w:t>本文件的知识产权属广东电网公司所有。对本文件的使用及处置应严格遵循广东电网公司有关规定或获取本文件的合同及约定的条件和要求。未经广东电网公司事先书面同意，不得对外披露、复制。</w:t>
      </w:r>
    </w:p>
    <w:p w14:paraId="13BB956B">
      <w:pPr>
        <w:spacing w:line="560" w:lineRule="exact"/>
        <w:ind w:left="851" w:firstLine="560"/>
        <w:rPr>
          <w:rFonts w:ascii="宋体" w:hAnsi="宋体"/>
          <w:sz w:val="36"/>
          <w:szCs w:val="36"/>
          <w:highlight w:val="none"/>
        </w:rPr>
      </w:pPr>
    </w:p>
    <w:p w14:paraId="4EF52DAF">
      <w:pPr>
        <w:spacing w:line="560" w:lineRule="exact"/>
        <w:ind w:left="851"/>
        <w:jc w:val="center"/>
        <w:rPr>
          <w:rFonts w:ascii="宋体" w:hAnsi="宋体" w:cs="Trebuchet MS"/>
          <w:sz w:val="36"/>
          <w:szCs w:val="36"/>
          <w:highlight w:val="none"/>
        </w:rPr>
      </w:pPr>
      <w:r>
        <w:rPr>
          <w:rFonts w:ascii="宋体" w:hAnsi="宋体" w:cs="Trebuchet MS"/>
          <w:sz w:val="36"/>
          <w:szCs w:val="36"/>
          <w:highlight w:val="none"/>
        </w:rPr>
        <w:t>Intellectual Property Rights Statement</w:t>
      </w:r>
    </w:p>
    <w:p w14:paraId="457969A0">
      <w:pPr>
        <w:spacing w:line="560" w:lineRule="exact"/>
        <w:ind w:left="851" w:firstLine="640"/>
        <w:rPr>
          <w:rFonts w:ascii="宋体" w:hAnsi="宋体"/>
          <w:sz w:val="36"/>
          <w:szCs w:val="36"/>
          <w:highlight w:val="none"/>
        </w:rPr>
      </w:pPr>
    </w:p>
    <w:p w14:paraId="60C8C6DA">
      <w:pPr>
        <w:spacing w:line="560" w:lineRule="exact"/>
        <w:ind w:firstLine="561"/>
        <w:rPr>
          <w:rFonts w:ascii="宋体" w:hAnsi="宋体"/>
          <w:sz w:val="36"/>
          <w:szCs w:val="36"/>
          <w:highlight w:val="none"/>
        </w:rPr>
      </w:pPr>
      <w:r>
        <w:rPr>
          <w:rFonts w:hint="eastAsia" w:ascii="宋体" w:hAnsi="宋体"/>
          <w:sz w:val="36"/>
          <w:szCs w:val="36"/>
          <w:highlight w:val="none"/>
        </w:rPr>
        <w:t>The intellectual property rights of this document belong to Guangdong Power Grid Company.The use and disposal of this document shall strictly comply with the relevant provisions of Guangdong Power Grid Company or the conditions and requirements of the contract and agreement for obtaining this document.Without the prior written consent of Guangdong Power Grid Company, it shall not be disclosed or duplicated.</w:t>
      </w:r>
    </w:p>
    <w:p w14:paraId="0E7F535C">
      <w:pPr>
        <w:spacing w:before="380" w:after="140" w:line="288" w:lineRule="auto"/>
        <w:outlineLvl w:val="0"/>
        <w:rPr>
          <w:rFonts w:ascii="宋体" w:hAnsi="宋体"/>
          <w:sz w:val="36"/>
          <w:szCs w:val="36"/>
          <w:highlight w:val="none"/>
        </w:rPr>
      </w:pPr>
      <w:r>
        <w:rPr>
          <w:rFonts w:ascii="宋体" w:hAnsi="宋体"/>
          <w:sz w:val="36"/>
          <w:szCs w:val="36"/>
          <w:highlight w:val="none"/>
        </w:rPr>
        <w:br w:type="page"/>
      </w:r>
      <w:bookmarkStart w:id="0" w:name="heading_0"/>
    </w:p>
    <w:p w14:paraId="5FCB5E7F">
      <w:pPr>
        <w:pStyle w:val="55"/>
        <w:tabs>
          <w:tab w:val="right" w:leader="dot" w:pos="8302"/>
        </w:tabs>
        <w:jc w:val="center"/>
        <w:rPr>
          <w:highlight w:val="none"/>
        </w:rPr>
      </w:pPr>
      <w:r>
        <w:rPr>
          <w:rFonts w:hint="eastAsia" w:ascii="宋体" w:hAnsi="宋体"/>
          <w:sz w:val="36"/>
          <w:szCs w:val="36"/>
          <w:highlight w:val="none"/>
        </w:rPr>
        <w:t>目录</w:t>
      </w:r>
      <w:r>
        <w:rPr>
          <w:rFonts w:ascii="宋体" w:hAnsi="宋体"/>
          <w:sz w:val="36"/>
          <w:szCs w:val="36"/>
          <w:highlight w:val="none"/>
        </w:rPr>
        <w:fldChar w:fldCharType="begin"/>
      </w:r>
      <w:r>
        <w:rPr>
          <w:rFonts w:ascii="宋体" w:hAnsi="宋体"/>
          <w:sz w:val="36"/>
          <w:szCs w:val="36"/>
          <w:highlight w:val="none"/>
        </w:rPr>
        <w:instrText xml:space="preserve"> TOC \o "1-3" \h \z \u </w:instrText>
      </w:r>
      <w:r>
        <w:rPr>
          <w:rFonts w:ascii="宋体" w:hAnsi="宋体"/>
          <w:sz w:val="36"/>
          <w:szCs w:val="36"/>
          <w:highlight w:val="none"/>
        </w:rPr>
        <w:fldChar w:fldCharType="separate"/>
      </w:r>
    </w:p>
    <w:p w14:paraId="1A707F6E">
      <w:pPr>
        <w:pStyle w:val="55"/>
        <w:tabs>
          <w:tab w:val="right" w:leader="dot" w:pos="8302"/>
        </w:tabs>
        <w:rPr>
          <w:rFonts w:eastAsiaTheme="minorEastAsia" w:cstheme="minorBidi"/>
          <w:b w:val="0"/>
          <w:bCs w:val="0"/>
          <w:i w:val="0"/>
          <w:iCs w:val="0"/>
          <w:sz w:val="22"/>
          <w:highlight w:val="none"/>
          <w14:ligatures w14:val="standardContextual"/>
        </w:rPr>
      </w:pPr>
      <w:r>
        <w:rPr>
          <w:highlight w:val="none"/>
        </w:rPr>
        <w:fldChar w:fldCharType="begin"/>
      </w:r>
      <w:r>
        <w:rPr>
          <w:highlight w:val="none"/>
        </w:rPr>
        <w:instrText xml:space="preserve"> HYPERLINK \l "_Toc237558179" </w:instrText>
      </w:r>
      <w:r>
        <w:rPr>
          <w:highlight w:val="none"/>
        </w:rPr>
        <w:fldChar w:fldCharType="separate"/>
      </w:r>
      <w:r>
        <w:rPr>
          <w:rStyle w:val="95"/>
          <w:b w:val="0"/>
          <w:highlight w:val="none"/>
        </w:rPr>
        <w:t>1 采购标的及清单</w:t>
      </w:r>
      <w:r>
        <w:rPr>
          <w:highlight w:val="none"/>
        </w:rPr>
        <w:tab/>
      </w:r>
      <w:r>
        <w:rPr>
          <w:highlight w:val="none"/>
        </w:rPr>
        <w:fldChar w:fldCharType="begin"/>
      </w:r>
      <w:r>
        <w:rPr>
          <w:highlight w:val="none"/>
        </w:rPr>
        <w:instrText xml:space="preserve"> PAGEREF _Toc237558179 \h </w:instrText>
      </w:r>
      <w:r>
        <w:rPr>
          <w:highlight w:val="none"/>
        </w:rPr>
        <w:fldChar w:fldCharType="separate"/>
      </w:r>
      <w:r>
        <w:rPr>
          <w:highlight w:val="none"/>
        </w:rPr>
        <w:t>4</w:t>
      </w:r>
      <w:r>
        <w:rPr>
          <w:highlight w:val="none"/>
        </w:rPr>
        <w:fldChar w:fldCharType="end"/>
      </w:r>
      <w:r>
        <w:rPr>
          <w:highlight w:val="none"/>
        </w:rPr>
        <w:fldChar w:fldCharType="end"/>
      </w:r>
    </w:p>
    <w:p w14:paraId="25A7587A">
      <w:pPr>
        <w:pStyle w:val="55"/>
        <w:tabs>
          <w:tab w:val="right" w:leader="dot" w:pos="8302"/>
        </w:tabs>
        <w:rPr>
          <w:rFonts w:hint="eastAsia" w:eastAsiaTheme="minorEastAsia" w:cstheme="minorBidi"/>
          <w:b w:val="0"/>
          <w:bCs w:val="0"/>
          <w:i w:val="0"/>
          <w:iCs w:val="0"/>
          <w:sz w:val="22"/>
          <w:highlight w:val="none"/>
          <w14:ligatures w14:val="standardContextual"/>
        </w:rPr>
      </w:pPr>
      <w:r>
        <w:rPr>
          <w:highlight w:val="none"/>
        </w:rPr>
        <w:fldChar w:fldCharType="begin"/>
      </w:r>
      <w:r>
        <w:rPr>
          <w:highlight w:val="none"/>
        </w:rPr>
        <w:instrText xml:space="preserve"> HYPERLINK \l "_Toc237558180" </w:instrText>
      </w:r>
      <w:r>
        <w:rPr>
          <w:highlight w:val="none"/>
        </w:rPr>
        <w:fldChar w:fldCharType="separate"/>
      </w:r>
      <w:r>
        <w:rPr>
          <w:rStyle w:val="95"/>
          <w:b w:val="0"/>
          <w:highlight w:val="none"/>
        </w:rPr>
        <w:t>2 材料技术要求</w:t>
      </w:r>
      <w:r>
        <w:rPr>
          <w:highlight w:val="none"/>
        </w:rPr>
        <w:tab/>
      </w:r>
      <w:r>
        <w:rPr>
          <w:highlight w:val="none"/>
        </w:rPr>
        <w:fldChar w:fldCharType="begin"/>
      </w:r>
      <w:r>
        <w:rPr>
          <w:highlight w:val="none"/>
        </w:rPr>
        <w:instrText xml:space="preserve"> PAGEREF _Toc237558180 \h </w:instrText>
      </w:r>
      <w:r>
        <w:rPr>
          <w:highlight w:val="none"/>
        </w:rPr>
        <w:fldChar w:fldCharType="separate"/>
      </w:r>
      <w:r>
        <w:rPr>
          <w:highlight w:val="none"/>
        </w:rPr>
        <w:t>5</w:t>
      </w:r>
      <w:r>
        <w:rPr>
          <w:highlight w:val="none"/>
        </w:rPr>
        <w:fldChar w:fldCharType="end"/>
      </w:r>
      <w:r>
        <w:rPr>
          <w:highlight w:val="none"/>
        </w:rPr>
        <w:fldChar w:fldCharType="end"/>
      </w:r>
    </w:p>
    <w:p w14:paraId="3D41D469">
      <w:pPr>
        <w:pStyle w:val="55"/>
        <w:tabs>
          <w:tab w:val="right" w:leader="dot" w:pos="8302"/>
        </w:tabs>
        <w:rPr>
          <w:rFonts w:eastAsiaTheme="minorEastAsia" w:cstheme="minorBidi"/>
          <w:b w:val="0"/>
          <w:bCs w:val="0"/>
          <w:i w:val="0"/>
          <w:iCs w:val="0"/>
          <w:sz w:val="22"/>
          <w:highlight w:val="none"/>
          <w14:ligatures w14:val="standardContextual"/>
        </w:rPr>
      </w:pPr>
      <w:r>
        <w:rPr>
          <w:highlight w:val="none"/>
        </w:rPr>
        <w:fldChar w:fldCharType="begin"/>
      </w:r>
      <w:r>
        <w:rPr>
          <w:highlight w:val="none"/>
        </w:rPr>
        <w:instrText xml:space="preserve"> HYPERLINK \l "_Toc237558190" </w:instrText>
      </w:r>
      <w:r>
        <w:rPr>
          <w:highlight w:val="none"/>
        </w:rPr>
        <w:fldChar w:fldCharType="separate"/>
      </w:r>
      <w:r>
        <w:rPr>
          <w:rStyle w:val="95"/>
          <w:b w:val="0"/>
          <w:highlight w:val="none"/>
        </w:rPr>
        <w:t>3 质量及检验要求</w:t>
      </w:r>
      <w:r>
        <w:rPr>
          <w:highlight w:val="none"/>
        </w:rPr>
        <w:tab/>
      </w:r>
      <w:r>
        <w:rPr>
          <w:highlight w:val="none"/>
        </w:rPr>
        <w:fldChar w:fldCharType="begin"/>
      </w:r>
      <w:r>
        <w:rPr>
          <w:highlight w:val="none"/>
        </w:rPr>
        <w:instrText xml:space="preserve"> PAGEREF _Toc237558190 \h </w:instrText>
      </w:r>
      <w:r>
        <w:rPr>
          <w:highlight w:val="none"/>
        </w:rPr>
        <w:fldChar w:fldCharType="separate"/>
      </w:r>
      <w:r>
        <w:rPr>
          <w:highlight w:val="none"/>
        </w:rPr>
        <w:t>7</w:t>
      </w:r>
      <w:r>
        <w:rPr>
          <w:highlight w:val="none"/>
        </w:rPr>
        <w:fldChar w:fldCharType="end"/>
      </w:r>
      <w:r>
        <w:rPr>
          <w:highlight w:val="none"/>
        </w:rPr>
        <w:fldChar w:fldCharType="end"/>
      </w:r>
    </w:p>
    <w:p w14:paraId="431808E7">
      <w:pPr>
        <w:pStyle w:val="55"/>
        <w:tabs>
          <w:tab w:val="right" w:leader="dot" w:pos="8302"/>
        </w:tabs>
        <w:rPr>
          <w:rFonts w:eastAsiaTheme="minorEastAsia" w:cstheme="minorBidi"/>
          <w:b w:val="0"/>
          <w:bCs w:val="0"/>
          <w:i w:val="0"/>
          <w:iCs w:val="0"/>
          <w:sz w:val="22"/>
          <w:highlight w:val="none"/>
          <w14:ligatures w14:val="standardContextual"/>
        </w:rPr>
      </w:pPr>
      <w:r>
        <w:rPr>
          <w:highlight w:val="none"/>
        </w:rPr>
        <w:fldChar w:fldCharType="begin"/>
      </w:r>
      <w:r>
        <w:rPr>
          <w:highlight w:val="none"/>
        </w:rPr>
        <w:instrText xml:space="preserve"> HYPERLINK \l "_Toc237558191" </w:instrText>
      </w:r>
      <w:r>
        <w:rPr>
          <w:highlight w:val="none"/>
        </w:rPr>
        <w:fldChar w:fldCharType="separate"/>
      </w:r>
      <w:r>
        <w:rPr>
          <w:rStyle w:val="95"/>
          <w:b w:val="0"/>
          <w:highlight w:val="none"/>
        </w:rPr>
        <w:t>4 包装及运输</w:t>
      </w:r>
      <w:r>
        <w:rPr>
          <w:highlight w:val="none"/>
        </w:rPr>
        <w:tab/>
      </w:r>
      <w:r>
        <w:rPr>
          <w:highlight w:val="none"/>
        </w:rPr>
        <w:fldChar w:fldCharType="begin"/>
      </w:r>
      <w:r>
        <w:rPr>
          <w:highlight w:val="none"/>
        </w:rPr>
        <w:instrText xml:space="preserve"> PAGEREF _Toc237558191 \h </w:instrText>
      </w:r>
      <w:r>
        <w:rPr>
          <w:highlight w:val="none"/>
        </w:rPr>
        <w:fldChar w:fldCharType="separate"/>
      </w:r>
      <w:r>
        <w:rPr>
          <w:highlight w:val="none"/>
        </w:rPr>
        <w:t>7</w:t>
      </w:r>
      <w:r>
        <w:rPr>
          <w:highlight w:val="none"/>
        </w:rPr>
        <w:fldChar w:fldCharType="end"/>
      </w:r>
      <w:r>
        <w:rPr>
          <w:highlight w:val="none"/>
        </w:rPr>
        <w:fldChar w:fldCharType="end"/>
      </w:r>
    </w:p>
    <w:p w14:paraId="143FC872">
      <w:pPr>
        <w:pStyle w:val="55"/>
        <w:tabs>
          <w:tab w:val="right" w:leader="dot" w:pos="8302"/>
        </w:tabs>
        <w:rPr>
          <w:rFonts w:eastAsiaTheme="minorEastAsia" w:cstheme="minorBidi"/>
          <w:b w:val="0"/>
          <w:bCs w:val="0"/>
          <w:i w:val="0"/>
          <w:iCs w:val="0"/>
          <w:sz w:val="22"/>
          <w:highlight w:val="none"/>
          <w14:ligatures w14:val="standardContextual"/>
        </w:rPr>
      </w:pPr>
      <w:r>
        <w:rPr>
          <w:highlight w:val="none"/>
        </w:rPr>
        <w:fldChar w:fldCharType="begin"/>
      </w:r>
      <w:r>
        <w:rPr>
          <w:highlight w:val="none"/>
        </w:rPr>
        <w:instrText xml:space="preserve"> HYPERLINK \l "_Toc237558192" </w:instrText>
      </w:r>
      <w:r>
        <w:rPr>
          <w:highlight w:val="none"/>
        </w:rPr>
        <w:fldChar w:fldCharType="separate"/>
      </w:r>
      <w:r>
        <w:rPr>
          <w:rStyle w:val="95"/>
          <w:b w:val="0"/>
          <w:highlight w:val="none"/>
        </w:rPr>
        <w:t>5 交付与验收</w:t>
      </w:r>
      <w:r>
        <w:rPr>
          <w:highlight w:val="none"/>
        </w:rPr>
        <w:tab/>
      </w:r>
      <w:r>
        <w:rPr>
          <w:highlight w:val="none"/>
        </w:rPr>
        <w:fldChar w:fldCharType="begin"/>
      </w:r>
      <w:r>
        <w:rPr>
          <w:highlight w:val="none"/>
        </w:rPr>
        <w:instrText xml:space="preserve"> PAGEREF _Toc237558192 \h </w:instrText>
      </w:r>
      <w:r>
        <w:rPr>
          <w:highlight w:val="none"/>
        </w:rPr>
        <w:fldChar w:fldCharType="separate"/>
      </w:r>
      <w:r>
        <w:rPr>
          <w:highlight w:val="none"/>
        </w:rPr>
        <w:t>7</w:t>
      </w:r>
      <w:r>
        <w:rPr>
          <w:highlight w:val="none"/>
        </w:rPr>
        <w:fldChar w:fldCharType="end"/>
      </w:r>
      <w:r>
        <w:rPr>
          <w:highlight w:val="none"/>
        </w:rPr>
        <w:fldChar w:fldCharType="end"/>
      </w:r>
    </w:p>
    <w:p w14:paraId="75DEDD05">
      <w:pPr>
        <w:pStyle w:val="55"/>
        <w:tabs>
          <w:tab w:val="right" w:leader="dot" w:pos="8302"/>
        </w:tabs>
        <w:rPr>
          <w:rFonts w:eastAsiaTheme="minorEastAsia" w:cstheme="minorBidi"/>
          <w:b w:val="0"/>
          <w:bCs w:val="0"/>
          <w:i w:val="0"/>
          <w:iCs w:val="0"/>
          <w:sz w:val="22"/>
          <w:highlight w:val="none"/>
          <w14:ligatures w14:val="standardContextual"/>
        </w:rPr>
      </w:pPr>
      <w:r>
        <w:rPr>
          <w:highlight w:val="none"/>
        </w:rPr>
        <w:fldChar w:fldCharType="begin"/>
      </w:r>
      <w:r>
        <w:rPr>
          <w:highlight w:val="none"/>
        </w:rPr>
        <w:instrText xml:space="preserve"> HYPERLINK \l "_Toc237558193" </w:instrText>
      </w:r>
      <w:r>
        <w:rPr>
          <w:highlight w:val="none"/>
        </w:rPr>
        <w:fldChar w:fldCharType="separate"/>
      </w:r>
      <w:r>
        <w:rPr>
          <w:rStyle w:val="95"/>
          <w:b w:val="0"/>
          <w:highlight w:val="none"/>
        </w:rPr>
        <w:t>6 质量保证及售后服务</w:t>
      </w:r>
      <w:r>
        <w:rPr>
          <w:highlight w:val="none"/>
        </w:rPr>
        <w:tab/>
      </w:r>
      <w:r>
        <w:rPr>
          <w:highlight w:val="none"/>
        </w:rPr>
        <w:fldChar w:fldCharType="begin"/>
      </w:r>
      <w:r>
        <w:rPr>
          <w:highlight w:val="none"/>
        </w:rPr>
        <w:instrText xml:space="preserve"> PAGEREF _Toc237558193 \h </w:instrText>
      </w:r>
      <w:r>
        <w:rPr>
          <w:highlight w:val="none"/>
        </w:rPr>
        <w:fldChar w:fldCharType="separate"/>
      </w:r>
      <w:r>
        <w:rPr>
          <w:highlight w:val="none"/>
        </w:rPr>
        <w:t>8</w:t>
      </w:r>
      <w:r>
        <w:rPr>
          <w:highlight w:val="none"/>
        </w:rPr>
        <w:fldChar w:fldCharType="end"/>
      </w:r>
      <w:r>
        <w:rPr>
          <w:highlight w:val="none"/>
        </w:rPr>
        <w:fldChar w:fldCharType="end"/>
      </w:r>
    </w:p>
    <w:p w14:paraId="7CD16FAA">
      <w:pPr>
        <w:pStyle w:val="55"/>
        <w:tabs>
          <w:tab w:val="right" w:leader="dot" w:pos="8302"/>
        </w:tabs>
        <w:rPr>
          <w:rFonts w:eastAsiaTheme="minorEastAsia" w:cstheme="minorBidi"/>
          <w:b w:val="0"/>
          <w:bCs w:val="0"/>
          <w:i w:val="0"/>
          <w:iCs w:val="0"/>
          <w:sz w:val="22"/>
          <w:highlight w:val="none"/>
          <w14:ligatures w14:val="standardContextual"/>
        </w:rPr>
      </w:pPr>
      <w:r>
        <w:rPr>
          <w:highlight w:val="none"/>
        </w:rPr>
        <w:fldChar w:fldCharType="begin"/>
      </w:r>
      <w:r>
        <w:rPr>
          <w:highlight w:val="none"/>
        </w:rPr>
        <w:instrText xml:space="preserve"> HYPERLINK \l "_Toc237558194" </w:instrText>
      </w:r>
      <w:r>
        <w:rPr>
          <w:highlight w:val="none"/>
        </w:rPr>
        <w:fldChar w:fldCharType="separate"/>
      </w:r>
      <w:r>
        <w:rPr>
          <w:rStyle w:val="95"/>
          <w:b w:val="0"/>
          <w:highlight w:val="none"/>
        </w:rPr>
        <w:t>7 其他要求量</w:t>
      </w:r>
      <w:r>
        <w:rPr>
          <w:highlight w:val="none"/>
        </w:rPr>
        <w:tab/>
      </w:r>
      <w:r>
        <w:rPr>
          <w:highlight w:val="none"/>
        </w:rPr>
        <w:fldChar w:fldCharType="begin"/>
      </w:r>
      <w:r>
        <w:rPr>
          <w:highlight w:val="none"/>
        </w:rPr>
        <w:instrText xml:space="preserve"> PAGEREF _Toc237558194 \h </w:instrText>
      </w:r>
      <w:r>
        <w:rPr>
          <w:highlight w:val="none"/>
        </w:rPr>
        <w:fldChar w:fldCharType="separate"/>
      </w:r>
      <w:r>
        <w:rPr>
          <w:highlight w:val="none"/>
        </w:rPr>
        <w:t>8</w:t>
      </w:r>
      <w:r>
        <w:rPr>
          <w:highlight w:val="none"/>
        </w:rPr>
        <w:fldChar w:fldCharType="end"/>
      </w:r>
      <w:r>
        <w:rPr>
          <w:highlight w:val="none"/>
        </w:rPr>
        <w:fldChar w:fldCharType="end"/>
      </w:r>
    </w:p>
    <w:p w14:paraId="4236EE6C">
      <w:pPr>
        <w:widowControl/>
        <w:jc w:val="left"/>
        <w:rPr>
          <w:rFonts w:ascii="宋体" w:hAnsi="宋体"/>
          <w:sz w:val="36"/>
          <w:szCs w:val="36"/>
          <w:highlight w:val="none"/>
        </w:rPr>
      </w:pPr>
      <w:r>
        <w:rPr>
          <w:rFonts w:ascii="宋体" w:hAnsi="宋体"/>
          <w:sz w:val="36"/>
          <w:szCs w:val="36"/>
          <w:highlight w:val="none"/>
        </w:rPr>
        <w:fldChar w:fldCharType="end"/>
      </w:r>
      <w:r>
        <w:rPr>
          <w:rFonts w:ascii="宋体" w:hAnsi="宋体"/>
          <w:sz w:val="36"/>
          <w:szCs w:val="36"/>
          <w:highlight w:val="none"/>
        </w:rPr>
        <w:br w:type="page"/>
      </w:r>
    </w:p>
    <w:p w14:paraId="6218DC60">
      <w:pPr>
        <w:pStyle w:val="80"/>
        <w:jc w:val="left"/>
        <w:rPr>
          <w:rFonts w:ascii="宋体" w:hAnsi="宋体"/>
          <w:sz w:val="24"/>
          <w:szCs w:val="24"/>
          <w:highlight w:val="none"/>
        </w:rPr>
      </w:pPr>
      <w:bookmarkStart w:id="1" w:name="_Toc237558179"/>
      <w:r>
        <w:rPr>
          <w:rFonts w:ascii="宋体" w:hAnsi="宋体"/>
          <w:sz w:val="24"/>
          <w:szCs w:val="24"/>
          <w:highlight w:val="none"/>
        </w:rPr>
        <w:t>1 采购标的及清单</w:t>
      </w:r>
      <w:bookmarkEnd w:id="0"/>
      <w:bookmarkEnd w:id="1"/>
    </w:p>
    <w:p w14:paraId="58C62840">
      <w:pPr>
        <w:spacing w:before="120" w:after="120" w:line="288" w:lineRule="auto"/>
        <w:ind w:firstLine="315" w:firstLineChars="150"/>
        <w:rPr>
          <w:rFonts w:ascii="宋体" w:hAnsi="宋体"/>
          <w:szCs w:val="21"/>
          <w:highlight w:val="none"/>
        </w:rPr>
      </w:pPr>
      <w:r>
        <w:rPr>
          <w:rFonts w:ascii="宋体" w:hAnsi="宋体" w:cs="Arial"/>
          <w:szCs w:val="21"/>
          <w:highlight w:val="none"/>
        </w:rPr>
        <w:t>本项目为深圳供电局</w:t>
      </w:r>
      <w:r>
        <w:rPr>
          <w:rFonts w:hint="eastAsia" w:ascii="宋体" w:hAnsi="宋体" w:cs="Arial"/>
          <w:szCs w:val="21"/>
          <w:highlight w:val="none"/>
        </w:rPr>
        <w:t>研制一款具备防误功能的单电机三工位隔离接地开关操作摇</w:t>
      </w:r>
      <w:r>
        <w:rPr>
          <w:rFonts w:ascii="宋体" w:hAnsi="宋体" w:cs="Arial"/>
          <w:szCs w:val="21"/>
          <w:highlight w:val="none"/>
        </w:rPr>
        <w:t>研制项目，采购研制所需的全部原材料及标准件，用于加工制作样机及成品。具体采购清单如下：</w:t>
      </w:r>
    </w:p>
    <w:tbl>
      <w:tblPr>
        <w:tblStyle w:val="84"/>
        <w:tblW w:w="0" w:type="auto"/>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CellMar>
          <w:top w:w="0" w:type="dxa"/>
          <w:left w:w="10" w:type="dxa"/>
          <w:bottom w:w="0" w:type="dxa"/>
          <w:right w:w="10" w:type="dxa"/>
        </w:tblCellMar>
      </w:tblPr>
      <w:tblGrid>
        <w:gridCol w:w="870"/>
        <w:gridCol w:w="1588"/>
        <w:gridCol w:w="1922"/>
        <w:gridCol w:w="900"/>
        <w:gridCol w:w="870"/>
        <w:gridCol w:w="2115"/>
      </w:tblGrid>
      <w:tr w14:paraId="2D69F692">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62A4CD27">
            <w:pPr>
              <w:spacing w:before="120" w:after="120" w:line="288" w:lineRule="auto"/>
              <w:jc w:val="center"/>
              <w:rPr>
                <w:rFonts w:ascii="宋体" w:hAnsi="宋体"/>
                <w:szCs w:val="21"/>
                <w:highlight w:val="none"/>
              </w:rPr>
            </w:pPr>
            <w:r>
              <w:rPr>
                <w:rFonts w:ascii="宋体" w:hAnsi="宋体" w:cs="Arial"/>
                <w:szCs w:val="21"/>
                <w:highlight w:val="none"/>
              </w:rPr>
              <w:t>序号</w:t>
            </w:r>
          </w:p>
        </w:tc>
        <w:tc>
          <w:tcPr>
            <w:tcW w:w="1588" w:type="dxa"/>
            <w:tcMar>
              <w:top w:w="60" w:type="dxa"/>
              <w:left w:w="120" w:type="dxa"/>
              <w:bottom w:w="30" w:type="dxa"/>
              <w:right w:w="120" w:type="dxa"/>
            </w:tcMar>
            <w:vAlign w:val="center"/>
          </w:tcPr>
          <w:p w14:paraId="5BB9A60D">
            <w:pPr>
              <w:spacing w:before="120" w:after="120" w:line="288" w:lineRule="auto"/>
              <w:jc w:val="center"/>
              <w:rPr>
                <w:rFonts w:ascii="宋体" w:hAnsi="宋体"/>
                <w:szCs w:val="21"/>
                <w:highlight w:val="none"/>
              </w:rPr>
            </w:pPr>
            <w:r>
              <w:rPr>
                <w:rFonts w:ascii="宋体" w:hAnsi="宋体" w:cs="Arial"/>
                <w:szCs w:val="21"/>
                <w:highlight w:val="none"/>
              </w:rPr>
              <w:t>材料名称</w:t>
            </w:r>
          </w:p>
        </w:tc>
        <w:tc>
          <w:tcPr>
            <w:tcW w:w="1922" w:type="dxa"/>
            <w:tcMar>
              <w:top w:w="60" w:type="dxa"/>
              <w:left w:w="120" w:type="dxa"/>
              <w:bottom w:w="30" w:type="dxa"/>
              <w:right w:w="120" w:type="dxa"/>
            </w:tcMar>
            <w:vAlign w:val="center"/>
          </w:tcPr>
          <w:p w14:paraId="6498B20B">
            <w:pPr>
              <w:spacing w:before="120" w:after="120" w:line="288" w:lineRule="auto"/>
              <w:jc w:val="center"/>
              <w:rPr>
                <w:rFonts w:ascii="宋体" w:hAnsi="宋体"/>
                <w:szCs w:val="21"/>
                <w:highlight w:val="none"/>
              </w:rPr>
            </w:pPr>
            <w:r>
              <w:rPr>
                <w:rFonts w:ascii="宋体" w:hAnsi="宋体" w:cs="Arial"/>
                <w:szCs w:val="21"/>
                <w:highlight w:val="none"/>
              </w:rPr>
              <w:t>规格/材质</w:t>
            </w:r>
          </w:p>
        </w:tc>
        <w:tc>
          <w:tcPr>
            <w:tcW w:w="900" w:type="dxa"/>
            <w:tcMar>
              <w:top w:w="60" w:type="dxa"/>
              <w:left w:w="120" w:type="dxa"/>
              <w:bottom w:w="30" w:type="dxa"/>
              <w:right w:w="120" w:type="dxa"/>
            </w:tcMar>
            <w:vAlign w:val="center"/>
          </w:tcPr>
          <w:p w14:paraId="5B3CA85F">
            <w:pPr>
              <w:spacing w:before="120" w:after="120" w:line="288" w:lineRule="auto"/>
              <w:jc w:val="center"/>
              <w:rPr>
                <w:rFonts w:ascii="宋体" w:hAnsi="宋体"/>
                <w:szCs w:val="21"/>
                <w:highlight w:val="none"/>
              </w:rPr>
            </w:pPr>
            <w:r>
              <w:rPr>
                <w:rFonts w:ascii="宋体" w:hAnsi="宋体" w:cs="Arial"/>
                <w:szCs w:val="21"/>
                <w:highlight w:val="none"/>
              </w:rPr>
              <w:t>单位</w:t>
            </w:r>
          </w:p>
        </w:tc>
        <w:tc>
          <w:tcPr>
            <w:tcW w:w="870" w:type="dxa"/>
            <w:tcMar>
              <w:top w:w="60" w:type="dxa"/>
              <w:left w:w="120" w:type="dxa"/>
              <w:bottom w:w="30" w:type="dxa"/>
              <w:right w:w="120" w:type="dxa"/>
            </w:tcMar>
            <w:vAlign w:val="center"/>
          </w:tcPr>
          <w:p w14:paraId="49AEBE52">
            <w:pPr>
              <w:spacing w:before="120" w:after="120" w:line="288" w:lineRule="auto"/>
              <w:jc w:val="center"/>
              <w:rPr>
                <w:rFonts w:ascii="宋体" w:hAnsi="宋体"/>
                <w:szCs w:val="21"/>
                <w:highlight w:val="none"/>
              </w:rPr>
            </w:pPr>
            <w:r>
              <w:rPr>
                <w:rFonts w:ascii="宋体" w:hAnsi="宋体" w:cs="Arial"/>
                <w:szCs w:val="21"/>
                <w:highlight w:val="none"/>
              </w:rPr>
              <w:t>数量</w:t>
            </w:r>
          </w:p>
        </w:tc>
        <w:tc>
          <w:tcPr>
            <w:tcW w:w="2115" w:type="dxa"/>
            <w:tcMar>
              <w:top w:w="60" w:type="dxa"/>
              <w:left w:w="120" w:type="dxa"/>
              <w:bottom w:w="30" w:type="dxa"/>
              <w:right w:w="120" w:type="dxa"/>
            </w:tcMar>
            <w:vAlign w:val="center"/>
          </w:tcPr>
          <w:p w14:paraId="3CB29237">
            <w:pPr>
              <w:spacing w:before="120" w:after="120" w:line="288" w:lineRule="auto"/>
              <w:jc w:val="center"/>
              <w:rPr>
                <w:rFonts w:ascii="宋体" w:hAnsi="宋体"/>
                <w:szCs w:val="21"/>
                <w:highlight w:val="none"/>
              </w:rPr>
            </w:pPr>
            <w:r>
              <w:rPr>
                <w:rFonts w:ascii="宋体" w:hAnsi="宋体" w:cs="Arial"/>
                <w:szCs w:val="21"/>
                <w:highlight w:val="none"/>
              </w:rPr>
              <w:t>用途</w:t>
            </w:r>
          </w:p>
        </w:tc>
      </w:tr>
      <w:tr w14:paraId="3374B7AE">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327F6E4B">
            <w:pPr>
              <w:spacing w:before="120" w:after="120" w:line="288" w:lineRule="auto"/>
              <w:jc w:val="center"/>
              <w:rPr>
                <w:rFonts w:ascii="宋体" w:hAnsi="宋体"/>
                <w:szCs w:val="21"/>
                <w:highlight w:val="none"/>
              </w:rPr>
            </w:pPr>
            <w:r>
              <w:rPr>
                <w:rFonts w:ascii="宋体" w:hAnsi="宋体" w:cs="Arial"/>
                <w:szCs w:val="21"/>
                <w:highlight w:val="none"/>
              </w:rPr>
              <w:t>1</w:t>
            </w:r>
          </w:p>
        </w:tc>
        <w:tc>
          <w:tcPr>
            <w:tcW w:w="1588" w:type="dxa"/>
            <w:tcMar>
              <w:top w:w="60" w:type="dxa"/>
              <w:left w:w="120" w:type="dxa"/>
              <w:bottom w:w="30" w:type="dxa"/>
              <w:right w:w="120" w:type="dxa"/>
            </w:tcMar>
            <w:vAlign w:val="center"/>
          </w:tcPr>
          <w:p w14:paraId="520779E3">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齿轮钢</w:t>
            </w:r>
          </w:p>
        </w:tc>
        <w:tc>
          <w:tcPr>
            <w:tcW w:w="1922" w:type="dxa"/>
            <w:tcMar>
              <w:top w:w="60" w:type="dxa"/>
              <w:left w:w="120" w:type="dxa"/>
              <w:bottom w:w="30" w:type="dxa"/>
              <w:right w:w="120" w:type="dxa"/>
            </w:tcMar>
            <w:vAlign w:val="center"/>
          </w:tcPr>
          <w:p w14:paraId="3D4BD4D6">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SKD11</w:t>
            </w:r>
          </w:p>
        </w:tc>
        <w:tc>
          <w:tcPr>
            <w:tcW w:w="900" w:type="dxa"/>
            <w:tcMar>
              <w:top w:w="60" w:type="dxa"/>
              <w:left w:w="120" w:type="dxa"/>
              <w:bottom w:w="30" w:type="dxa"/>
              <w:right w:w="120" w:type="dxa"/>
            </w:tcMar>
            <w:vAlign w:val="center"/>
          </w:tcPr>
          <w:p w14:paraId="2FCE03B7">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件</w:t>
            </w:r>
          </w:p>
        </w:tc>
        <w:tc>
          <w:tcPr>
            <w:tcW w:w="870" w:type="dxa"/>
            <w:tcMar>
              <w:top w:w="60" w:type="dxa"/>
              <w:left w:w="120" w:type="dxa"/>
              <w:bottom w:w="30" w:type="dxa"/>
              <w:right w:w="120" w:type="dxa"/>
            </w:tcMar>
            <w:vAlign w:val="center"/>
          </w:tcPr>
          <w:p w14:paraId="12C9E61F">
            <w:pPr>
              <w:spacing w:before="120" w:after="120" w:line="288" w:lineRule="auto"/>
              <w:jc w:val="center"/>
              <w:rPr>
                <w:rFonts w:hint="default" w:ascii="宋体" w:hAnsi="宋体" w:eastAsia="宋体"/>
                <w:szCs w:val="21"/>
                <w:highlight w:val="none"/>
                <w:lang w:val="en-US" w:eastAsia="zh-CN"/>
              </w:rPr>
            </w:pPr>
            <w:r>
              <w:rPr>
                <w:rFonts w:hint="eastAsia" w:ascii="宋体" w:hAnsi="宋体" w:cs="Arial"/>
                <w:szCs w:val="21"/>
                <w:highlight w:val="none"/>
                <w:lang w:val="en-US" w:eastAsia="zh-CN"/>
              </w:rPr>
              <w:t>18</w:t>
            </w:r>
          </w:p>
        </w:tc>
        <w:tc>
          <w:tcPr>
            <w:tcW w:w="2115" w:type="dxa"/>
            <w:tcMar>
              <w:top w:w="60" w:type="dxa"/>
              <w:left w:w="120" w:type="dxa"/>
              <w:bottom w:w="30" w:type="dxa"/>
              <w:right w:w="120" w:type="dxa"/>
            </w:tcMar>
            <w:vAlign w:val="center"/>
          </w:tcPr>
          <w:p w14:paraId="064138BA">
            <w:pPr>
              <w:spacing w:before="120" w:after="120" w:line="288" w:lineRule="auto"/>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齿轮加工</w:t>
            </w:r>
          </w:p>
        </w:tc>
      </w:tr>
      <w:tr w14:paraId="30780844">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5274059C">
            <w:pPr>
              <w:spacing w:before="120" w:after="120" w:line="288" w:lineRule="auto"/>
              <w:jc w:val="center"/>
              <w:rPr>
                <w:rFonts w:ascii="宋体" w:hAnsi="宋体"/>
                <w:szCs w:val="21"/>
                <w:highlight w:val="none"/>
              </w:rPr>
            </w:pPr>
            <w:r>
              <w:rPr>
                <w:rFonts w:ascii="宋体" w:hAnsi="宋体" w:cs="Arial"/>
                <w:szCs w:val="21"/>
                <w:highlight w:val="none"/>
              </w:rPr>
              <w:t>2</w:t>
            </w:r>
          </w:p>
        </w:tc>
        <w:tc>
          <w:tcPr>
            <w:tcW w:w="1588" w:type="dxa"/>
            <w:tcMar>
              <w:top w:w="60" w:type="dxa"/>
              <w:left w:w="120" w:type="dxa"/>
              <w:bottom w:w="30" w:type="dxa"/>
              <w:right w:w="120" w:type="dxa"/>
            </w:tcMar>
            <w:vAlign w:val="center"/>
          </w:tcPr>
          <w:p w14:paraId="7A699E35">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铝合金块</w:t>
            </w:r>
          </w:p>
        </w:tc>
        <w:tc>
          <w:tcPr>
            <w:tcW w:w="1922" w:type="dxa"/>
            <w:tcMar>
              <w:top w:w="60" w:type="dxa"/>
              <w:left w:w="120" w:type="dxa"/>
              <w:bottom w:w="30" w:type="dxa"/>
              <w:right w:w="120" w:type="dxa"/>
            </w:tcMar>
            <w:vAlign w:val="center"/>
          </w:tcPr>
          <w:p w14:paraId="4CA20333">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6061/420*170*25</w:t>
            </w:r>
          </w:p>
        </w:tc>
        <w:tc>
          <w:tcPr>
            <w:tcW w:w="900" w:type="dxa"/>
            <w:tcMar>
              <w:top w:w="60" w:type="dxa"/>
              <w:left w:w="120" w:type="dxa"/>
              <w:bottom w:w="30" w:type="dxa"/>
              <w:right w:w="120" w:type="dxa"/>
            </w:tcMar>
            <w:vAlign w:val="center"/>
          </w:tcPr>
          <w:p w14:paraId="583E3911">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件</w:t>
            </w:r>
          </w:p>
        </w:tc>
        <w:tc>
          <w:tcPr>
            <w:tcW w:w="870" w:type="dxa"/>
            <w:tcMar>
              <w:top w:w="60" w:type="dxa"/>
              <w:left w:w="120" w:type="dxa"/>
              <w:bottom w:w="30" w:type="dxa"/>
              <w:right w:w="120" w:type="dxa"/>
            </w:tcMar>
            <w:vAlign w:val="center"/>
          </w:tcPr>
          <w:p w14:paraId="6BCAEA8F">
            <w:pPr>
              <w:spacing w:before="120" w:after="120" w:line="288" w:lineRule="auto"/>
              <w:jc w:val="center"/>
              <w:rPr>
                <w:rFonts w:hint="default" w:ascii="宋体" w:hAnsi="宋体" w:eastAsia="宋体"/>
                <w:szCs w:val="21"/>
                <w:highlight w:val="none"/>
                <w:lang w:val="en-US" w:eastAsia="zh-CN"/>
              </w:rPr>
            </w:pPr>
            <w:r>
              <w:rPr>
                <w:rFonts w:hint="eastAsia" w:ascii="宋体" w:hAnsi="宋体" w:cs="Arial"/>
                <w:szCs w:val="21"/>
                <w:highlight w:val="none"/>
                <w:lang w:val="en-US" w:eastAsia="zh-CN"/>
              </w:rPr>
              <w:t>20</w:t>
            </w:r>
          </w:p>
        </w:tc>
        <w:tc>
          <w:tcPr>
            <w:tcW w:w="2115" w:type="dxa"/>
            <w:tcMar>
              <w:top w:w="60" w:type="dxa"/>
              <w:left w:w="120" w:type="dxa"/>
              <w:bottom w:w="30" w:type="dxa"/>
              <w:right w:w="120" w:type="dxa"/>
            </w:tcMar>
            <w:vAlign w:val="center"/>
          </w:tcPr>
          <w:p w14:paraId="45F3BCE1">
            <w:pPr>
              <w:spacing w:before="120" w:after="120" w:line="288" w:lineRule="auto"/>
              <w:jc w:val="center"/>
              <w:rPr>
                <w:rFonts w:ascii="宋体" w:hAnsi="宋体"/>
                <w:szCs w:val="21"/>
                <w:highlight w:val="none"/>
              </w:rPr>
            </w:pPr>
            <w:r>
              <w:rPr>
                <w:rFonts w:hint="eastAsia" w:ascii="宋体" w:hAnsi="宋体" w:cs="Arial"/>
                <w:szCs w:val="21"/>
                <w:highlight w:val="none"/>
                <w:lang w:val="en-US" w:eastAsia="zh-CN"/>
              </w:rPr>
              <w:t>零散部件加工</w:t>
            </w:r>
          </w:p>
        </w:tc>
      </w:tr>
      <w:tr w14:paraId="506130A5">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20F0B16E">
            <w:pPr>
              <w:spacing w:before="120" w:after="120" w:line="288" w:lineRule="auto"/>
              <w:jc w:val="center"/>
              <w:rPr>
                <w:rFonts w:ascii="宋体" w:hAnsi="宋体"/>
                <w:szCs w:val="21"/>
                <w:highlight w:val="none"/>
              </w:rPr>
            </w:pPr>
            <w:r>
              <w:rPr>
                <w:rFonts w:ascii="宋体" w:hAnsi="宋体" w:cs="Arial"/>
                <w:szCs w:val="21"/>
                <w:highlight w:val="none"/>
              </w:rPr>
              <w:t>3</w:t>
            </w:r>
          </w:p>
        </w:tc>
        <w:tc>
          <w:tcPr>
            <w:tcW w:w="1588" w:type="dxa"/>
            <w:tcMar>
              <w:top w:w="60" w:type="dxa"/>
              <w:left w:w="120" w:type="dxa"/>
              <w:bottom w:w="30" w:type="dxa"/>
              <w:right w:w="120" w:type="dxa"/>
            </w:tcMar>
            <w:vAlign w:val="center"/>
          </w:tcPr>
          <w:p w14:paraId="0453DFD4">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不锈钢块</w:t>
            </w:r>
          </w:p>
        </w:tc>
        <w:tc>
          <w:tcPr>
            <w:tcW w:w="1922" w:type="dxa"/>
            <w:tcMar>
              <w:top w:w="60" w:type="dxa"/>
              <w:left w:w="120" w:type="dxa"/>
              <w:bottom w:w="30" w:type="dxa"/>
              <w:right w:w="120" w:type="dxa"/>
            </w:tcMar>
            <w:vAlign w:val="center"/>
          </w:tcPr>
          <w:p w14:paraId="434C822E">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SUS304</w:t>
            </w:r>
          </w:p>
        </w:tc>
        <w:tc>
          <w:tcPr>
            <w:tcW w:w="900" w:type="dxa"/>
            <w:tcMar>
              <w:top w:w="60" w:type="dxa"/>
              <w:left w:w="120" w:type="dxa"/>
              <w:bottom w:w="30" w:type="dxa"/>
              <w:right w:w="120" w:type="dxa"/>
            </w:tcMar>
            <w:vAlign w:val="center"/>
          </w:tcPr>
          <w:p w14:paraId="43BB7943">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件</w:t>
            </w:r>
          </w:p>
        </w:tc>
        <w:tc>
          <w:tcPr>
            <w:tcW w:w="870" w:type="dxa"/>
            <w:tcMar>
              <w:top w:w="60" w:type="dxa"/>
              <w:left w:w="120" w:type="dxa"/>
              <w:bottom w:w="30" w:type="dxa"/>
              <w:right w:w="120" w:type="dxa"/>
            </w:tcMar>
            <w:vAlign w:val="center"/>
          </w:tcPr>
          <w:p w14:paraId="1EAC7AB4">
            <w:pPr>
              <w:spacing w:before="120" w:after="120" w:line="288" w:lineRule="auto"/>
              <w:jc w:val="center"/>
              <w:rPr>
                <w:rFonts w:hint="default" w:ascii="宋体" w:hAnsi="宋体" w:eastAsia="宋体"/>
                <w:szCs w:val="21"/>
                <w:highlight w:val="none"/>
                <w:lang w:val="en-US" w:eastAsia="zh-CN"/>
              </w:rPr>
            </w:pPr>
            <w:r>
              <w:rPr>
                <w:rFonts w:hint="eastAsia" w:ascii="宋体" w:hAnsi="宋体" w:cs="Arial"/>
                <w:szCs w:val="21"/>
                <w:highlight w:val="none"/>
                <w:lang w:val="en-US" w:eastAsia="zh-CN"/>
              </w:rPr>
              <w:t>30</w:t>
            </w:r>
          </w:p>
        </w:tc>
        <w:tc>
          <w:tcPr>
            <w:tcW w:w="2115" w:type="dxa"/>
            <w:tcMar>
              <w:top w:w="60" w:type="dxa"/>
              <w:left w:w="120" w:type="dxa"/>
              <w:bottom w:w="30" w:type="dxa"/>
              <w:right w:w="120" w:type="dxa"/>
            </w:tcMar>
            <w:vAlign w:val="center"/>
          </w:tcPr>
          <w:p w14:paraId="0C5A371F">
            <w:pPr>
              <w:spacing w:before="120" w:after="120" w:line="288" w:lineRule="auto"/>
              <w:jc w:val="center"/>
              <w:rPr>
                <w:rFonts w:hint="default" w:ascii="宋体" w:hAnsi="宋体" w:eastAsia="宋体"/>
                <w:szCs w:val="21"/>
                <w:highlight w:val="none"/>
                <w:lang w:val="en-US" w:eastAsia="zh-CN"/>
              </w:rPr>
            </w:pPr>
            <w:r>
              <w:rPr>
                <w:rFonts w:hint="eastAsia" w:ascii="宋体" w:hAnsi="宋体" w:cs="Arial"/>
                <w:szCs w:val="21"/>
                <w:highlight w:val="none"/>
                <w:lang w:val="en-US" w:eastAsia="zh-CN"/>
              </w:rPr>
              <w:t>外壳及固定部件加工</w:t>
            </w:r>
          </w:p>
        </w:tc>
      </w:tr>
      <w:tr w14:paraId="171690DD">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34B77E49">
            <w:pPr>
              <w:spacing w:before="120" w:after="120" w:line="288" w:lineRule="auto"/>
              <w:jc w:val="center"/>
              <w:rPr>
                <w:rFonts w:ascii="宋体" w:hAnsi="宋体"/>
                <w:szCs w:val="21"/>
                <w:highlight w:val="none"/>
              </w:rPr>
            </w:pPr>
            <w:r>
              <w:rPr>
                <w:rFonts w:ascii="宋体" w:hAnsi="宋体" w:cs="Arial"/>
                <w:szCs w:val="21"/>
                <w:highlight w:val="none"/>
              </w:rPr>
              <w:t>4</w:t>
            </w:r>
          </w:p>
        </w:tc>
        <w:tc>
          <w:tcPr>
            <w:tcW w:w="1588" w:type="dxa"/>
            <w:tcMar>
              <w:top w:w="60" w:type="dxa"/>
              <w:left w:w="120" w:type="dxa"/>
              <w:bottom w:w="30" w:type="dxa"/>
              <w:right w:w="120" w:type="dxa"/>
            </w:tcMar>
            <w:vAlign w:val="center"/>
          </w:tcPr>
          <w:p w14:paraId="738A41FB">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不锈钢棒材</w:t>
            </w:r>
          </w:p>
        </w:tc>
        <w:tc>
          <w:tcPr>
            <w:tcW w:w="1922" w:type="dxa"/>
            <w:tcMar>
              <w:top w:w="60" w:type="dxa"/>
              <w:left w:w="120" w:type="dxa"/>
              <w:bottom w:w="30" w:type="dxa"/>
              <w:right w:w="120" w:type="dxa"/>
            </w:tcMar>
            <w:vAlign w:val="center"/>
          </w:tcPr>
          <w:p w14:paraId="20F97711">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Φ32*150</w:t>
            </w:r>
          </w:p>
        </w:tc>
        <w:tc>
          <w:tcPr>
            <w:tcW w:w="900" w:type="dxa"/>
            <w:tcMar>
              <w:top w:w="60" w:type="dxa"/>
              <w:left w:w="120" w:type="dxa"/>
              <w:bottom w:w="30" w:type="dxa"/>
              <w:right w:w="120" w:type="dxa"/>
            </w:tcMar>
            <w:vAlign w:val="center"/>
          </w:tcPr>
          <w:p w14:paraId="1A0205B4">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件</w:t>
            </w:r>
          </w:p>
        </w:tc>
        <w:tc>
          <w:tcPr>
            <w:tcW w:w="870" w:type="dxa"/>
            <w:tcMar>
              <w:top w:w="60" w:type="dxa"/>
              <w:left w:w="120" w:type="dxa"/>
              <w:bottom w:w="30" w:type="dxa"/>
              <w:right w:w="120" w:type="dxa"/>
            </w:tcMar>
            <w:vAlign w:val="center"/>
          </w:tcPr>
          <w:p w14:paraId="0E6E710B">
            <w:pPr>
              <w:spacing w:before="120" w:after="120" w:line="288" w:lineRule="auto"/>
              <w:jc w:val="center"/>
              <w:rPr>
                <w:rFonts w:hint="eastAsia" w:ascii="宋体" w:hAnsi="宋体" w:eastAsia="宋体"/>
                <w:szCs w:val="21"/>
                <w:highlight w:val="none"/>
                <w:lang w:eastAsia="zh-CN"/>
              </w:rPr>
            </w:pPr>
            <w:r>
              <w:rPr>
                <w:rFonts w:hint="eastAsia" w:ascii="宋体" w:hAnsi="宋体" w:cs="Arial"/>
                <w:szCs w:val="21"/>
                <w:highlight w:val="none"/>
                <w:lang w:val="en-US" w:eastAsia="zh-CN"/>
              </w:rPr>
              <w:t>6</w:t>
            </w:r>
          </w:p>
        </w:tc>
        <w:tc>
          <w:tcPr>
            <w:tcW w:w="2115" w:type="dxa"/>
            <w:tcMar>
              <w:top w:w="60" w:type="dxa"/>
              <w:left w:w="120" w:type="dxa"/>
              <w:bottom w:w="30" w:type="dxa"/>
              <w:right w:w="120" w:type="dxa"/>
            </w:tcMar>
            <w:vAlign w:val="center"/>
          </w:tcPr>
          <w:p w14:paraId="11EFAED9">
            <w:pPr>
              <w:spacing w:before="120" w:after="120" w:line="288" w:lineRule="auto"/>
              <w:jc w:val="center"/>
              <w:rPr>
                <w:rFonts w:hint="default" w:ascii="宋体" w:hAnsi="宋体" w:eastAsia="宋体"/>
                <w:szCs w:val="21"/>
                <w:highlight w:val="none"/>
                <w:lang w:val="en-US" w:eastAsia="zh-CN"/>
              </w:rPr>
            </w:pPr>
            <w:r>
              <w:rPr>
                <w:rFonts w:hint="eastAsia" w:ascii="宋体" w:hAnsi="宋体" w:cs="Arial"/>
                <w:szCs w:val="21"/>
                <w:highlight w:val="none"/>
                <w:lang w:val="en-US" w:eastAsia="zh-CN"/>
              </w:rPr>
              <w:t>传动轴制作</w:t>
            </w:r>
          </w:p>
        </w:tc>
      </w:tr>
      <w:tr w14:paraId="0345A8E9">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6938178C">
            <w:pPr>
              <w:spacing w:before="120" w:after="120" w:line="288" w:lineRule="auto"/>
              <w:jc w:val="center"/>
              <w:rPr>
                <w:rFonts w:ascii="宋体" w:hAnsi="宋体"/>
                <w:szCs w:val="21"/>
                <w:highlight w:val="none"/>
              </w:rPr>
            </w:pPr>
            <w:r>
              <w:rPr>
                <w:rFonts w:ascii="宋体" w:hAnsi="宋体" w:cs="Arial"/>
                <w:szCs w:val="21"/>
                <w:highlight w:val="none"/>
              </w:rPr>
              <w:t>5</w:t>
            </w:r>
          </w:p>
        </w:tc>
        <w:tc>
          <w:tcPr>
            <w:tcW w:w="1588" w:type="dxa"/>
            <w:tcMar>
              <w:top w:w="60" w:type="dxa"/>
              <w:left w:w="120" w:type="dxa"/>
              <w:bottom w:w="30" w:type="dxa"/>
              <w:right w:w="120" w:type="dxa"/>
            </w:tcMar>
            <w:vAlign w:val="center"/>
          </w:tcPr>
          <w:p w14:paraId="4625B0A7">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黄铜棒材</w:t>
            </w:r>
          </w:p>
        </w:tc>
        <w:tc>
          <w:tcPr>
            <w:tcW w:w="1922" w:type="dxa"/>
            <w:tcMar>
              <w:top w:w="60" w:type="dxa"/>
              <w:left w:w="120" w:type="dxa"/>
              <w:bottom w:w="30" w:type="dxa"/>
              <w:right w:w="120" w:type="dxa"/>
            </w:tcMar>
            <w:vAlign w:val="center"/>
          </w:tcPr>
          <w:p w14:paraId="3FD949BE">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Φ30*40</w:t>
            </w:r>
          </w:p>
        </w:tc>
        <w:tc>
          <w:tcPr>
            <w:tcW w:w="900" w:type="dxa"/>
            <w:tcMar>
              <w:top w:w="60" w:type="dxa"/>
              <w:left w:w="120" w:type="dxa"/>
              <w:bottom w:w="30" w:type="dxa"/>
              <w:right w:w="120" w:type="dxa"/>
            </w:tcMar>
            <w:vAlign w:val="center"/>
          </w:tcPr>
          <w:p w14:paraId="7A1BC46B">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件</w:t>
            </w:r>
          </w:p>
        </w:tc>
        <w:tc>
          <w:tcPr>
            <w:tcW w:w="870" w:type="dxa"/>
            <w:tcMar>
              <w:top w:w="60" w:type="dxa"/>
              <w:left w:w="120" w:type="dxa"/>
              <w:bottom w:w="30" w:type="dxa"/>
              <w:right w:w="120" w:type="dxa"/>
            </w:tcMar>
            <w:vAlign w:val="center"/>
          </w:tcPr>
          <w:p w14:paraId="5A3D5C07">
            <w:pPr>
              <w:spacing w:before="120" w:after="120" w:line="288" w:lineRule="auto"/>
              <w:jc w:val="center"/>
              <w:rPr>
                <w:rFonts w:hint="default" w:ascii="宋体" w:hAnsi="宋体" w:eastAsia="宋体"/>
                <w:szCs w:val="21"/>
                <w:highlight w:val="none"/>
                <w:lang w:val="en-US" w:eastAsia="zh-CN"/>
              </w:rPr>
            </w:pPr>
            <w:r>
              <w:rPr>
                <w:rFonts w:hint="eastAsia" w:ascii="宋体" w:hAnsi="宋体" w:cs="Arial"/>
                <w:szCs w:val="21"/>
                <w:highlight w:val="none"/>
                <w:lang w:val="en-US" w:eastAsia="zh-CN"/>
              </w:rPr>
              <w:t>18</w:t>
            </w:r>
          </w:p>
        </w:tc>
        <w:tc>
          <w:tcPr>
            <w:tcW w:w="2115" w:type="dxa"/>
            <w:tcMar>
              <w:top w:w="60" w:type="dxa"/>
              <w:left w:w="120" w:type="dxa"/>
              <w:bottom w:w="30" w:type="dxa"/>
              <w:right w:w="120" w:type="dxa"/>
            </w:tcMar>
            <w:vAlign w:val="center"/>
          </w:tcPr>
          <w:p w14:paraId="7DD0B377">
            <w:pPr>
              <w:spacing w:before="120" w:after="120" w:line="288" w:lineRule="auto"/>
              <w:jc w:val="center"/>
              <w:rPr>
                <w:rFonts w:hint="default" w:ascii="宋体" w:hAnsi="宋体" w:eastAsia="宋体"/>
                <w:szCs w:val="21"/>
                <w:highlight w:val="none"/>
                <w:lang w:val="en-US" w:eastAsia="zh-CN"/>
              </w:rPr>
            </w:pPr>
            <w:r>
              <w:rPr>
                <w:rFonts w:hint="eastAsia" w:ascii="宋体" w:hAnsi="宋体" w:cs="Arial"/>
                <w:szCs w:val="21"/>
                <w:highlight w:val="none"/>
                <w:lang w:val="en-US" w:eastAsia="zh-CN"/>
              </w:rPr>
              <w:t>零散部件加工</w:t>
            </w:r>
          </w:p>
        </w:tc>
      </w:tr>
      <w:tr w14:paraId="7132B280">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78388E48">
            <w:pPr>
              <w:spacing w:before="120" w:after="120" w:line="288" w:lineRule="auto"/>
              <w:jc w:val="center"/>
              <w:rPr>
                <w:rFonts w:ascii="宋体" w:hAnsi="宋体"/>
                <w:szCs w:val="21"/>
                <w:highlight w:val="none"/>
              </w:rPr>
            </w:pPr>
            <w:r>
              <w:rPr>
                <w:rFonts w:ascii="宋体" w:hAnsi="宋体" w:cs="Arial"/>
                <w:szCs w:val="21"/>
                <w:highlight w:val="none"/>
              </w:rPr>
              <w:t>6</w:t>
            </w:r>
          </w:p>
        </w:tc>
        <w:tc>
          <w:tcPr>
            <w:tcW w:w="1588" w:type="dxa"/>
            <w:tcMar>
              <w:top w:w="60" w:type="dxa"/>
              <w:left w:w="120" w:type="dxa"/>
              <w:bottom w:w="30" w:type="dxa"/>
              <w:right w:w="120" w:type="dxa"/>
            </w:tcMar>
            <w:vAlign w:val="center"/>
          </w:tcPr>
          <w:p w14:paraId="02AE4AD6">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行星齿轮组</w:t>
            </w:r>
          </w:p>
        </w:tc>
        <w:tc>
          <w:tcPr>
            <w:tcW w:w="1922" w:type="dxa"/>
            <w:tcMar>
              <w:top w:w="60" w:type="dxa"/>
              <w:left w:w="120" w:type="dxa"/>
              <w:bottom w:w="30" w:type="dxa"/>
              <w:right w:w="120" w:type="dxa"/>
            </w:tcMar>
            <w:vAlign w:val="center"/>
          </w:tcPr>
          <w:p w14:paraId="161BC003">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900" w:type="dxa"/>
            <w:tcMar>
              <w:top w:w="60" w:type="dxa"/>
              <w:left w:w="120" w:type="dxa"/>
              <w:bottom w:w="30" w:type="dxa"/>
              <w:right w:w="120" w:type="dxa"/>
            </w:tcMar>
            <w:vAlign w:val="center"/>
          </w:tcPr>
          <w:p w14:paraId="7D64007C">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组</w:t>
            </w:r>
          </w:p>
        </w:tc>
        <w:tc>
          <w:tcPr>
            <w:tcW w:w="870" w:type="dxa"/>
            <w:tcMar>
              <w:top w:w="60" w:type="dxa"/>
              <w:left w:w="120" w:type="dxa"/>
              <w:bottom w:w="30" w:type="dxa"/>
              <w:right w:w="120" w:type="dxa"/>
            </w:tcMar>
            <w:vAlign w:val="center"/>
          </w:tcPr>
          <w:p w14:paraId="12DE55CC">
            <w:pPr>
              <w:spacing w:before="120" w:after="120" w:line="288" w:lineRule="auto"/>
              <w:jc w:val="center"/>
              <w:rPr>
                <w:rFonts w:ascii="宋体" w:hAnsi="宋体"/>
                <w:szCs w:val="21"/>
                <w:highlight w:val="none"/>
              </w:rPr>
            </w:pPr>
            <w:r>
              <w:rPr>
                <w:rFonts w:ascii="宋体" w:hAnsi="宋体" w:cs="Arial"/>
                <w:szCs w:val="21"/>
                <w:highlight w:val="none"/>
              </w:rPr>
              <w:t>30</w:t>
            </w:r>
          </w:p>
        </w:tc>
        <w:tc>
          <w:tcPr>
            <w:tcW w:w="2115" w:type="dxa"/>
            <w:tcMar>
              <w:top w:w="60" w:type="dxa"/>
              <w:left w:w="120" w:type="dxa"/>
              <w:bottom w:w="30" w:type="dxa"/>
              <w:right w:w="120" w:type="dxa"/>
            </w:tcMar>
            <w:vAlign w:val="center"/>
          </w:tcPr>
          <w:p w14:paraId="034294CB">
            <w:pPr>
              <w:spacing w:before="120" w:after="120" w:line="288" w:lineRule="auto"/>
              <w:jc w:val="center"/>
              <w:rPr>
                <w:rFonts w:ascii="宋体" w:hAnsi="宋体"/>
                <w:szCs w:val="21"/>
                <w:highlight w:val="none"/>
              </w:rPr>
            </w:pPr>
            <w:r>
              <w:rPr>
                <w:rFonts w:ascii="宋体" w:hAnsi="宋体" w:cs="Arial"/>
                <w:szCs w:val="21"/>
                <w:highlight w:val="none"/>
              </w:rPr>
              <w:t>内部紧固及定位</w:t>
            </w:r>
          </w:p>
        </w:tc>
      </w:tr>
      <w:tr w14:paraId="3CBC5BA4">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75B99331">
            <w:pPr>
              <w:spacing w:before="120" w:after="120" w:line="288" w:lineRule="auto"/>
              <w:jc w:val="center"/>
              <w:rPr>
                <w:rFonts w:ascii="宋体" w:hAnsi="宋体"/>
                <w:szCs w:val="21"/>
                <w:highlight w:val="none"/>
              </w:rPr>
            </w:pPr>
            <w:r>
              <w:rPr>
                <w:rFonts w:ascii="宋体" w:hAnsi="宋体" w:cs="Arial"/>
                <w:szCs w:val="21"/>
                <w:highlight w:val="none"/>
              </w:rPr>
              <w:t>7</w:t>
            </w:r>
          </w:p>
        </w:tc>
        <w:tc>
          <w:tcPr>
            <w:tcW w:w="1588" w:type="dxa"/>
            <w:tcMar>
              <w:top w:w="60" w:type="dxa"/>
              <w:left w:w="120" w:type="dxa"/>
              <w:bottom w:w="30" w:type="dxa"/>
              <w:right w:w="120" w:type="dxa"/>
            </w:tcMar>
            <w:vAlign w:val="center"/>
          </w:tcPr>
          <w:p w14:paraId="5446605C">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摇柄</w:t>
            </w:r>
          </w:p>
        </w:tc>
        <w:tc>
          <w:tcPr>
            <w:tcW w:w="1922" w:type="dxa"/>
            <w:tcMar>
              <w:top w:w="60" w:type="dxa"/>
              <w:left w:w="120" w:type="dxa"/>
              <w:bottom w:w="30" w:type="dxa"/>
              <w:right w:w="120" w:type="dxa"/>
            </w:tcMar>
            <w:vAlign w:val="center"/>
          </w:tcPr>
          <w:p w14:paraId="75048C14">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110滚珠摇柄</w:t>
            </w:r>
          </w:p>
        </w:tc>
        <w:tc>
          <w:tcPr>
            <w:tcW w:w="900" w:type="dxa"/>
            <w:tcMar>
              <w:top w:w="60" w:type="dxa"/>
              <w:left w:w="120" w:type="dxa"/>
              <w:bottom w:w="30" w:type="dxa"/>
              <w:right w:w="120" w:type="dxa"/>
            </w:tcMar>
            <w:vAlign w:val="center"/>
          </w:tcPr>
          <w:p w14:paraId="66605228">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件</w:t>
            </w:r>
          </w:p>
        </w:tc>
        <w:tc>
          <w:tcPr>
            <w:tcW w:w="870" w:type="dxa"/>
            <w:tcMar>
              <w:top w:w="60" w:type="dxa"/>
              <w:left w:w="120" w:type="dxa"/>
              <w:bottom w:w="30" w:type="dxa"/>
              <w:right w:w="120" w:type="dxa"/>
            </w:tcMar>
            <w:vAlign w:val="center"/>
          </w:tcPr>
          <w:p w14:paraId="4C7AB863">
            <w:pPr>
              <w:spacing w:before="120" w:after="120" w:line="288" w:lineRule="auto"/>
              <w:jc w:val="center"/>
              <w:rPr>
                <w:rFonts w:hint="eastAsia" w:ascii="宋体" w:hAnsi="宋体" w:eastAsia="宋体"/>
                <w:szCs w:val="21"/>
                <w:highlight w:val="none"/>
                <w:lang w:eastAsia="zh-CN"/>
              </w:rPr>
            </w:pPr>
            <w:r>
              <w:rPr>
                <w:rFonts w:hint="eastAsia" w:ascii="宋体" w:hAnsi="宋体" w:cs="Arial"/>
                <w:szCs w:val="21"/>
                <w:highlight w:val="none"/>
                <w:lang w:val="en-US" w:eastAsia="zh-CN"/>
              </w:rPr>
              <w:t>4</w:t>
            </w:r>
          </w:p>
        </w:tc>
        <w:tc>
          <w:tcPr>
            <w:tcW w:w="2115" w:type="dxa"/>
            <w:tcMar>
              <w:top w:w="60" w:type="dxa"/>
              <w:left w:w="120" w:type="dxa"/>
              <w:bottom w:w="30" w:type="dxa"/>
              <w:right w:w="120" w:type="dxa"/>
            </w:tcMar>
            <w:vAlign w:val="center"/>
          </w:tcPr>
          <w:p w14:paraId="73C0BA93">
            <w:pPr>
              <w:spacing w:before="120" w:after="120" w:line="288" w:lineRule="auto"/>
              <w:jc w:val="center"/>
              <w:rPr>
                <w:rFonts w:hint="default" w:ascii="宋体" w:hAnsi="宋体" w:eastAsia="宋体"/>
                <w:szCs w:val="21"/>
                <w:highlight w:val="none"/>
                <w:lang w:val="en-US" w:eastAsia="zh-CN"/>
              </w:rPr>
            </w:pPr>
            <w:r>
              <w:rPr>
                <w:rFonts w:hint="eastAsia" w:ascii="宋体" w:hAnsi="宋体" w:cs="Arial"/>
                <w:szCs w:val="21"/>
                <w:highlight w:val="none"/>
                <w:lang w:val="en-US" w:eastAsia="zh-CN"/>
              </w:rPr>
              <w:t>操作部件</w:t>
            </w:r>
          </w:p>
        </w:tc>
      </w:tr>
      <w:tr w14:paraId="6475F32D">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18F5FC80">
            <w:pPr>
              <w:spacing w:before="120" w:after="120" w:line="288" w:lineRule="auto"/>
              <w:jc w:val="center"/>
              <w:rPr>
                <w:rFonts w:hint="eastAsia" w:ascii="宋体" w:hAnsi="宋体" w:eastAsia="宋体"/>
                <w:szCs w:val="21"/>
                <w:highlight w:val="none"/>
                <w:lang w:eastAsia="zh-CN"/>
              </w:rPr>
            </w:pPr>
            <w:r>
              <w:rPr>
                <w:rFonts w:hint="eastAsia" w:ascii="宋体" w:hAnsi="宋体" w:cs="Arial"/>
                <w:szCs w:val="21"/>
                <w:highlight w:val="none"/>
                <w:lang w:val="en-US" w:eastAsia="zh-CN"/>
              </w:rPr>
              <w:t>8</w:t>
            </w:r>
          </w:p>
        </w:tc>
        <w:tc>
          <w:tcPr>
            <w:tcW w:w="1588" w:type="dxa"/>
            <w:tcMar>
              <w:top w:w="60" w:type="dxa"/>
              <w:left w:w="120" w:type="dxa"/>
              <w:bottom w:w="30" w:type="dxa"/>
              <w:right w:w="120" w:type="dxa"/>
            </w:tcMar>
            <w:vAlign w:val="center"/>
          </w:tcPr>
          <w:p w14:paraId="38A44C4E">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五防锁具</w:t>
            </w:r>
          </w:p>
        </w:tc>
        <w:tc>
          <w:tcPr>
            <w:tcW w:w="1922" w:type="dxa"/>
            <w:tcMar>
              <w:top w:w="60" w:type="dxa"/>
              <w:left w:w="120" w:type="dxa"/>
              <w:bottom w:w="30" w:type="dxa"/>
              <w:right w:w="120" w:type="dxa"/>
            </w:tcMar>
            <w:vAlign w:val="center"/>
          </w:tcPr>
          <w:p w14:paraId="4EEDA1FE">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适配共创五防</w:t>
            </w:r>
          </w:p>
        </w:tc>
        <w:tc>
          <w:tcPr>
            <w:tcW w:w="900" w:type="dxa"/>
            <w:tcMar>
              <w:top w:w="60" w:type="dxa"/>
              <w:left w:w="120" w:type="dxa"/>
              <w:bottom w:w="30" w:type="dxa"/>
              <w:right w:w="120" w:type="dxa"/>
            </w:tcMar>
            <w:vAlign w:val="center"/>
          </w:tcPr>
          <w:p w14:paraId="5C6908F4">
            <w:pPr>
              <w:keepNext w:val="0"/>
              <w:keepLines w:val="0"/>
              <w:widowControl/>
              <w:suppressLineNumbers w:val="0"/>
              <w:jc w:val="center"/>
              <w:textAlignment w:val="center"/>
              <w:rPr>
                <w:rFonts w:ascii="宋体" w:hAnsi="宋体"/>
                <w:szCs w:val="21"/>
                <w:highlight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870" w:type="dxa"/>
            <w:tcMar>
              <w:top w:w="60" w:type="dxa"/>
              <w:left w:w="120" w:type="dxa"/>
              <w:bottom w:w="30" w:type="dxa"/>
              <w:right w:w="120" w:type="dxa"/>
            </w:tcMar>
            <w:vAlign w:val="center"/>
          </w:tcPr>
          <w:p w14:paraId="5CB324E8">
            <w:pPr>
              <w:spacing w:before="120" w:after="120" w:line="288" w:lineRule="auto"/>
              <w:jc w:val="center"/>
              <w:rPr>
                <w:rFonts w:hint="eastAsia" w:ascii="宋体" w:hAnsi="宋体" w:eastAsia="宋体"/>
                <w:szCs w:val="21"/>
                <w:highlight w:val="none"/>
                <w:lang w:eastAsia="zh-CN"/>
              </w:rPr>
            </w:pPr>
            <w:r>
              <w:rPr>
                <w:rFonts w:hint="eastAsia" w:ascii="宋体" w:hAnsi="宋体" w:cs="Arial"/>
                <w:szCs w:val="21"/>
                <w:highlight w:val="none"/>
                <w:lang w:val="en-US" w:eastAsia="zh-CN"/>
              </w:rPr>
              <w:t>8</w:t>
            </w:r>
          </w:p>
        </w:tc>
        <w:tc>
          <w:tcPr>
            <w:tcW w:w="2115" w:type="dxa"/>
            <w:tcMar>
              <w:top w:w="60" w:type="dxa"/>
              <w:left w:w="120" w:type="dxa"/>
              <w:bottom w:w="30" w:type="dxa"/>
              <w:right w:w="120" w:type="dxa"/>
            </w:tcMar>
            <w:vAlign w:val="center"/>
          </w:tcPr>
          <w:p w14:paraId="493E81E1">
            <w:pPr>
              <w:spacing w:before="120" w:after="120" w:line="288" w:lineRule="auto"/>
              <w:jc w:val="center"/>
              <w:rPr>
                <w:rFonts w:ascii="宋体" w:hAnsi="宋体"/>
                <w:szCs w:val="21"/>
                <w:highlight w:val="none"/>
              </w:rPr>
            </w:pPr>
            <w:r>
              <w:rPr>
                <w:rFonts w:ascii="宋体" w:hAnsi="宋体" w:cs="Arial"/>
                <w:szCs w:val="21"/>
                <w:highlight w:val="none"/>
              </w:rPr>
              <w:t>防误插定位块加工</w:t>
            </w:r>
          </w:p>
        </w:tc>
      </w:tr>
      <w:tr w14:paraId="77D5912A">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0374E304">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bookmarkStart w:id="2" w:name="_Toc237558180"/>
            <w:bookmarkStart w:id="3" w:name="heading_1"/>
            <w:r>
              <w:rPr>
                <w:rFonts w:hint="eastAsia" w:ascii="宋体" w:hAnsi="宋体" w:eastAsia="宋体" w:cs="宋体"/>
                <w:i w:val="0"/>
                <w:iCs w:val="0"/>
                <w:color w:val="000000"/>
                <w:kern w:val="0"/>
                <w:sz w:val="22"/>
                <w:szCs w:val="22"/>
                <w:highlight w:val="none"/>
                <w:u w:val="none"/>
                <w:lang w:val="en-US" w:eastAsia="zh-CN" w:bidi="ar"/>
              </w:rPr>
              <w:t>9</w:t>
            </w:r>
          </w:p>
        </w:tc>
        <w:tc>
          <w:tcPr>
            <w:tcW w:w="1588" w:type="dxa"/>
            <w:tcMar>
              <w:top w:w="60" w:type="dxa"/>
              <w:left w:w="120" w:type="dxa"/>
              <w:bottom w:w="30" w:type="dxa"/>
              <w:right w:w="120" w:type="dxa"/>
            </w:tcMar>
            <w:vAlign w:val="center"/>
          </w:tcPr>
          <w:p w14:paraId="489ADDA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直线运动化工滚珠轴承</w:t>
            </w:r>
          </w:p>
        </w:tc>
        <w:tc>
          <w:tcPr>
            <w:tcW w:w="1922" w:type="dxa"/>
            <w:tcMar>
              <w:top w:w="60" w:type="dxa"/>
              <w:left w:w="120" w:type="dxa"/>
              <w:bottom w:w="30" w:type="dxa"/>
              <w:right w:w="120" w:type="dxa"/>
            </w:tcMar>
            <w:vAlign w:val="center"/>
          </w:tcPr>
          <w:p w14:paraId="152393B0">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内径32mm，304/316不锈钢，P5级高精度</w:t>
            </w:r>
          </w:p>
        </w:tc>
        <w:tc>
          <w:tcPr>
            <w:tcW w:w="900" w:type="dxa"/>
            <w:tcMar>
              <w:top w:w="60" w:type="dxa"/>
              <w:left w:w="120" w:type="dxa"/>
              <w:bottom w:w="30" w:type="dxa"/>
              <w:right w:w="120" w:type="dxa"/>
            </w:tcMar>
            <w:vAlign w:val="center"/>
          </w:tcPr>
          <w:p w14:paraId="30076662">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个</w:t>
            </w:r>
          </w:p>
        </w:tc>
        <w:tc>
          <w:tcPr>
            <w:tcW w:w="870" w:type="dxa"/>
            <w:tcMar>
              <w:top w:w="60" w:type="dxa"/>
              <w:left w:w="120" w:type="dxa"/>
              <w:bottom w:w="30" w:type="dxa"/>
              <w:right w:w="120" w:type="dxa"/>
            </w:tcMar>
            <w:vAlign w:val="center"/>
          </w:tcPr>
          <w:p w14:paraId="3BEE242E">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8</w:t>
            </w:r>
          </w:p>
        </w:tc>
        <w:tc>
          <w:tcPr>
            <w:tcW w:w="2115" w:type="dxa"/>
            <w:tcMar>
              <w:top w:w="60" w:type="dxa"/>
              <w:left w:w="120" w:type="dxa"/>
              <w:bottom w:w="30" w:type="dxa"/>
              <w:right w:w="120" w:type="dxa"/>
            </w:tcMar>
            <w:vAlign w:val="center"/>
          </w:tcPr>
          <w:p w14:paraId="381BD8B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内部紧固及定位</w:t>
            </w:r>
          </w:p>
        </w:tc>
      </w:tr>
      <w:tr w14:paraId="7D3ACD07">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2E04BB3D">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w:t>
            </w:r>
          </w:p>
        </w:tc>
        <w:tc>
          <w:tcPr>
            <w:tcW w:w="1588" w:type="dxa"/>
            <w:tcMar>
              <w:top w:w="60" w:type="dxa"/>
              <w:left w:w="120" w:type="dxa"/>
              <w:bottom w:w="30" w:type="dxa"/>
              <w:right w:w="120" w:type="dxa"/>
            </w:tcMar>
            <w:vAlign w:val="center"/>
          </w:tcPr>
          <w:p w14:paraId="2FEC1CA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不锈钢深沟球轴承</w:t>
            </w:r>
          </w:p>
        </w:tc>
        <w:tc>
          <w:tcPr>
            <w:tcW w:w="1922" w:type="dxa"/>
            <w:tcMar>
              <w:top w:w="60" w:type="dxa"/>
              <w:left w:w="120" w:type="dxa"/>
              <w:bottom w:w="30" w:type="dxa"/>
              <w:right w:w="120" w:type="dxa"/>
            </w:tcMar>
            <w:vAlign w:val="center"/>
          </w:tcPr>
          <w:p w14:paraId="0F562C1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内径32mm，304/316不锈钢，P5级高精度</w:t>
            </w:r>
          </w:p>
        </w:tc>
        <w:tc>
          <w:tcPr>
            <w:tcW w:w="900" w:type="dxa"/>
            <w:tcMar>
              <w:top w:w="60" w:type="dxa"/>
              <w:left w:w="120" w:type="dxa"/>
              <w:bottom w:w="30" w:type="dxa"/>
              <w:right w:w="120" w:type="dxa"/>
            </w:tcMar>
            <w:vAlign w:val="center"/>
          </w:tcPr>
          <w:p w14:paraId="14301AC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个</w:t>
            </w:r>
          </w:p>
        </w:tc>
        <w:tc>
          <w:tcPr>
            <w:tcW w:w="870" w:type="dxa"/>
            <w:tcMar>
              <w:top w:w="60" w:type="dxa"/>
              <w:left w:w="120" w:type="dxa"/>
              <w:bottom w:w="30" w:type="dxa"/>
              <w:right w:w="120" w:type="dxa"/>
            </w:tcMar>
            <w:vAlign w:val="center"/>
          </w:tcPr>
          <w:p w14:paraId="31778D32">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8</w:t>
            </w:r>
          </w:p>
        </w:tc>
        <w:tc>
          <w:tcPr>
            <w:tcW w:w="2115" w:type="dxa"/>
            <w:tcMar>
              <w:top w:w="60" w:type="dxa"/>
              <w:left w:w="120" w:type="dxa"/>
              <w:bottom w:w="30" w:type="dxa"/>
              <w:right w:w="120" w:type="dxa"/>
            </w:tcMar>
            <w:vAlign w:val="center"/>
          </w:tcPr>
          <w:p w14:paraId="300898BF">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内部紧固及定位</w:t>
            </w:r>
          </w:p>
        </w:tc>
      </w:tr>
      <w:tr w14:paraId="1B7FFF18">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6F1D5072">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11</w:t>
            </w:r>
          </w:p>
        </w:tc>
        <w:tc>
          <w:tcPr>
            <w:tcW w:w="1588" w:type="dxa"/>
            <w:tcMar>
              <w:top w:w="60" w:type="dxa"/>
              <w:left w:w="120" w:type="dxa"/>
              <w:bottom w:w="30" w:type="dxa"/>
              <w:right w:w="120" w:type="dxa"/>
            </w:tcMar>
            <w:vAlign w:val="center"/>
          </w:tcPr>
          <w:p w14:paraId="5F59BA96">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双向棘轮头</w:t>
            </w:r>
          </w:p>
        </w:tc>
        <w:tc>
          <w:tcPr>
            <w:tcW w:w="1922" w:type="dxa"/>
            <w:tcMar>
              <w:top w:w="60" w:type="dxa"/>
              <w:left w:w="120" w:type="dxa"/>
              <w:bottom w:w="30" w:type="dxa"/>
              <w:right w:w="120" w:type="dxa"/>
            </w:tcMar>
            <w:vAlign w:val="center"/>
          </w:tcPr>
          <w:p w14:paraId="669D8E8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9*12</w:t>
            </w:r>
          </w:p>
        </w:tc>
        <w:tc>
          <w:tcPr>
            <w:tcW w:w="900" w:type="dxa"/>
            <w:tcMar>
              <w:top w:w="60" w:type="dxa"/>
              <w:left w:w="120" w:type="dxa"/>
              <w:bottom w:w="30" w:type="dxa"/>
              <w:right w:w="120" w:type="dxa"/>
            </w:tcMar>
            <w:vAlign w:val="center"/>
          </w:tcPr>
          <w:p w14:paraId="5E47C504">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个</w:t>
            </w:r>
          </w:p>
        </w:tc>
        <w:tc>
          <w:tcPr>
            <w:tcW w:w="870" w:type="dxa"/>
            <w:tcMar>
              <w:top w:w="60" w:type="dxa"/>
              <w:left w:w="120" w:type="dxa"/>
              <w:bottom w:w="30" w:type="dxa"/>
              <w:right w:w="120" w:type="dxa"/>
            </w:tcMar>
            <w:vAlign w:val="center"/>
          </w:tcPr>
          <w:p w14:paraId="56F3A3C2">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8</w:t>
            </w:r>
          </w:p>
        </w:tc>
        <w:tc>
          <w:tcPr>
            <w:tcW w:w="2115" w:type="dxa"/>
            <w:tcMar>
              <w:top w:w="60" w:type="dxa"/>
              <w:left w:w="120" w:type="dxa"/>
              <w:bottom w:w="30" w:type="dxa"/>
              <w:right w:w="120" w:type="dxa"/>
            </w:tcMar>
            <w:vAlign w:val="center"/>
          </w:tcPr>
          <w:p w14:paraId="1A690B0E">
            <w:pPr>
              <w:keepNext w:val="0"/>
              <w:keepLines w:val="0"/>
              <w:widowControl/>
              <w:suppressLineNumbers w:val="0"/>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变向部件</w:t>
            </w:r>
          </w:p>
        </w:tc>
      </w:tr>
    </w:tbl>
    <w:p w14:paraId="6F30299E">
      <w:pPr>
        <w:pStyle w:val="80"/>
        <w:jc w:val="left"/>
        <w:rPr>
          <w:rFonts w:ascii="宋体" w:hAnsi="宋体"/>
          <w:sz w:val="24"/>
          <w:szCs w:val="24"/>
          <w:highlight w:val="none"/>
        </w:rPr>
      </w:pPr>
      <w:r>
        <w:rPr>
          <w:rFonts w:ascii="宋体" w:hAnsi="宋体"/>
          <w:sz w:val="24"/>
          <w:szCs w:val="24"/>
          <w:highlight w:val="none"/>
        </w:rPr>
        <w:t>2 材料技术要求</w:t>
      </w:r>
      <w:bookmarkEnd w:id="2"/>
      <w:bookmarkEnd w:id="3"/>
    </w:p>
    <w:p w14:paraId="36973D31">
      <w:pPr>
        <w:spacing w:before="320" w:after="120" w:line="288" w:lineRule="auto"/>
        <w:outlineLvl w:val="1"/>
        <w:rPr>
          <w:rFonts w:hint="eastAsia" w:ascii="宋体" w:hAnsi="宋体" w:eastAsia="宋体"/>
          <w:szCs w:val="21"/>
          <w:highlight w:val="none"/>
          <w:lang w:eastAsia="zh-CN"/>
        </w:rPr>
      </w:pPr>
      <w:bookmarkStart w:id="4" w:name="_Toc237558181"/>
      <w:bookmarkStart w:id="5" w:name="_Toc237557102"/>
      <w:bookmarkStart w:id="6" w:name="heading_2"/>
      <w:r>
        <w:rPr>
          <w:rFonts w:ascii="宋体" w:hAnsi="宋体" w:cs="Arial"/>
          <w:b/>
          <w:szCs w:val="21"/>
          <w:highlight w:val="none"/>
        </w:rPr>
        <w:t xml:space="preserve">2.1 </w:t>
      </w:r>
      <w:bookmarkEnd w:id="4"/>
      <w:bookmarkEnd w:id="5"/>
      <w:bookmarkEnd w:id="6"/>
      <w:r>
        <w:rPr>
          <w:rFonts w:hint="eastAsia" w:ascii="宋体" w:hAnsi="宋体" w:cs="Arial"/>
          <w:b/>
          <w:szCs w:val="21"/>
          <w:highlight w:val="none"/>
          <w:lang w:val="en-US" w:eastAsia="zh-CN"/>
        </w:rPr>
        <w:t>齿轮钢</w:t>
      </w:r>
    </w:p>
    <w:p w14:paraId="06CD7933">
      <w:pPr>
        <w:numPr>
          <w:ilvl w:val="0"/>
          <w:numId w:val="2"/>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采用优质合金齿轮钢，常用20CrMnTi/40Cr，材质成分符合国标，严禁使用普通碳钢替代。</w:t>
      </w:r>
    </w:p>
    <w:p w14:paraId="10C711B7">
      <w:pPr>
        <w:numPr>
          <w:ilvl w:val="0"/>
          <w:numId w:val="2"/>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需经过渗碳淬火+低温回火处理，齿面硬度HRC58～62，芯部韧性充足，具备高耐磨、抗冲击、抗疲劳特性。</w:t>
      </w:r>
    </w:p>
    <w:p w14:paraId="67C531DA">
      <w:pPr>
        <w:spacing w:before="320" w:after="120" w:line="288" w:lineRule="auto"/>
        <w:outlineLvl w:val="1"/>
        <w:rPr>
          <w:rFonts w:hint="eastAsia" w:ascii="宋体" w:hAnsi="宋体" w:cs="Arial"/>
          <w:b/>
          <w:szCs w:val="21"/>
          <w:highlight w:val="none"/>
        </w:rPr>
      </w:pPr>
      <w:r>
        <w:rPr>
          <w:rFonts w:hint="eastAsia" w:ascii="宋体" w:hAnsi="宋体" w:cs="Arial"/>
          <w:b/>
          <w:szCs w:val="21"/>
          <w:highlight w:val="none"/>
        </w:rPr>
        <w:t>2</w:t>
      </w:r>
      <w:r>
        <w:rPr>
          <w:rFonts w:hint="eastAsia" w:ascii="宋体" w:hAnsi="宋体" w:cs="Arial"/>
          <w:b/>
          <w:szCs w:val="21"/>
          <w:highlight w:val="none"/>
          <w:lang w:val="en-US" w:eastAsia="zh-CN"/>
        </w:rPr>
        <w:t>.2</w:t>
      </w:r>
      <w:r>
        <w:rPr>
          <w:rFonts w:hint="eastAsia" w:ascii="宋体" w:hAnsi="宋体" w:cs="Arial"/>
          <w:b/>
          <w:szCs w:val="21"/>
          <w:highlight w:val="none"/>
        </w:rPr>
        <w:t xml:space="preserve"> 铝合金块</w:t>
      </w:r>
    </w:p>
    <w:p w14:paraId="1DD1E065">
      <w:pPr>
        <w:numPr>
          <w:ilvl w:val="0"/>
          <w:numId w:val="3"/>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采用6061/6063航空工业铝合金，材质均匀、无杂质。</w:t>
      </w:r>
    </w:p>
    <w:p w14:paraId="08386524">
      <w:pPr>
        <w:numPr>
          <w:ilvl w:val="0"/>
          <w:numId w:val="3"/>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质轻、高强度、不易变形、韧性好、不易断裂。</w:t>
      </w:r>
    </w:p>
    <w:p w14:paraId="0F5E13FD">
      <w:pPr>
        <w:numPr>
          <w:ilvl w:val="0"/>
          <w:numId w:val="3"/>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表面阳极氧化处理，耐氧化、耐轻度腐蚀，不掉粉、不发白。</w:t>
      </w:r>
    </w:p>
    <w:p w14:paraId="7C967AA3">
      <w:pPr>
        <w:spacing w:before="320" w:after="120" w:line="288" w:lineRule="auto"/>
        <w:outlineLvl w:val="1"/>
        <w:rPr>
          <w:rFonts w:hint="eastAsia" w:ascii="宋体" w:hAnsi="宋体" w:cs="Arial"/>
          <w:b/>
          <w:szCs w:val="21"/>
          <w:highlight w:val="none"/>
        </w:rPr>
      </w:pPr>
      <w:r>
        <w:rPr>
          <w:rFonts w:hint="eastAsia" w:ascii="宋体" w:hAnsi="宋体" w:cs="Arial"/>
          <w:b/>
          <w:szCs w:val="21"/>
          <w:highlight w:val="none"/>
          <w:lang w:val="en-US" w:eastAsia="zh-CN"/>
        </w:rPr>
        <w:t>2.</w:t>
      </w:r>
      <w:r>
        <w:rPr>
          <w:rFonts w:hint="eastAsia" w:ascii="宋体" w:hAnsi="宋体" w:cs="Arial"/>
          <w:b/>
          <w:szCs w:val="21"/>
          <w:highlight w:val="none"/>
        </w:rPr>
        <w:t>3 不锈钢块</w:t>
      </w:r>
    </w:p>
    <w:p w14:paraId="5DDEB5BC">
      <w:pPr>
        <w:numPr>
          <w:ilvl w:val="0"/>
          <w:numId w:val="4"/>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采用304不锈钢，沿海重腐蚀区域采用316L不锈钢。</w:t>
      </w:r>
    </w:p>
    <w:p w14:paraId="591B2210">
      <w:pPr>
        <w:numPr>
          <w:ilvl w:val="0"/>
          <w:numId w:val="4"/>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耐腐蚀、不生锈、高强度、不变形、耐高低温、耐户外潮湿环境。</w:t>
      </w:r>
    </w:p>
    <w:p w14:paraId="49795BA9">
      <w:pPr>
        <w:numPr>
          <w:ilvl w:val="0"/>
          <w:numId w:val="4"/>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切割平整、打磨光滑、无毛刺、直角规整，孔径、厚度尺寸一致。</w:t>
      </w:r>
    </w:p>
    <w:p w14:paraId="5B80E278">
      <w:pPr>
        <w:numPr>
          <w:ilvl w:val="0"/>
          <w:numId w:val="4"/>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无锈斑、无划痕、无氧化皮、无发黑酸洗残留。</w:t>
      </w:r>
    </w:p>
    <w:p w14:paraId="4DFEE46D">
      <w:pPr>
        <w:spacing w:before="320" w:after="120" w:line="288" w:lineRule="auto"/>
        <w:outlineLvl w:val="1"/>
        <w:rPr>
          <w:rFonts w:hint="eastAsia" w:ascii="宋体" w:hAnsi="宋体" w:cs="Arial"/>
          <w:b/>
          <w:szCs w:val="21"/>
          <w:highlight w:val="none"/>
          <w:lang w:val="en-US" w:eastAsia="zh-CN"/>
        </w:rPr>
      </w:pPr>
      <w:r>
        <w:rPr>
          <w:rFonts w:hint="eastAsia" w:ascii="宋体" w:hAnsi="宋体" w:cs="Arial"/>
          <w:b/>
          <w:szCs w:val="21"/>
          <w:highlight w:val="none"/>
          <w:lang w:val="en-US" w:eastAsia="zh-CN"/>
        </w:rPr>
        <w:t>2.4 不锈钢棒材</w:t>
      </w:r>
    </w:p>
    <w:p w14:paraId="47551621">
      <w:pPr>
        <w:numPr>
          <w:ilvl w:val="0"/>
          <w:numId w:val="5"/>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304/316L实心不锈钢圆棒，整材无拼接、无补焊。</w:t>
      </w:r>
    </w:p>
    <w:p w14:paraId="74C8B242">
      <w:pPr>
        <w:numPr>
          <w:ilvl w:val="0"/>
          <w:numId w:val="5"/>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抗拉强度高、抗弯抗扭、不易弯曲变形、韧性优良、耐疲劳。</w:t>
      </w:r>
    </w:p>
    <w:p w14:paraId="2380FBBD">
      <w:pPr>
        <w:numPr>
          <w:ilvl w:val="0"/>
          <w:numId w:val="5"/>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外圆光洁、圆度均匀、直线度达标；</w:t>
      </w:r>
    </w:p>
    <w:p w14:paraId="2892FE28">
      <w:pPr>
        <w:numPr>
          <w:ilvl w:val="0"/>
          <w:numId w:val="5"/>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无弯曲、无椭圆、无裂纹、无砂眼；</w:t>
      </w:r>
    </w:p>
    <w:p w14:paraId="0B5DEA78">
      <w:pPr>
        <w:numPr>
          <w:ilvl w:val="0"/>
          <w:numId w:val="5"/>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端面平整垂直，无毛刺。</w:t>
      </w:r>
    </w:p>
    <w:p w14:paraId="250B819D">
      <w:pPr>
        <w:numPr>
          <w:ilvl w:val="0"/>
          <w:numId w:val="5"/>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通体不锈、耐潮湿、耐盐雾，长期户外使用不生锈、不点蚀。</w:t>
      </w:r>
    </w:p>
    <w:p w14:paraId="6EDC020B">
      <w:pPr>
        <w:spacing w:before="320" w:after="120" w:line="288" w:lineRule="auto"/>
        <w:outlineLvl w:val="1"/>
        <w:rPr>
          <w:rFonts w:hint="eastAsia" w:ascii="宋体" w:hAnsi="宋体" w:cs="Arial"/>
          <w:b/>
          <w:szCs w:val="21"/>
          <w:highlight w:val="none"/>
          <w:lang w:val="en-US" w:eastAsia="zh-CN"/>
        </w:rPr>
      </w:pPr>
      <w:r>
        <w:rPr>
          <w:rFonts w:hint="eastAsia" w:ascii="宋体" w:hAnsi="宋体" w:cs="Arial"/>
          <w:b/>
          <w:szCs w:val="21"/>
          <w:highlight w:val="none"/>
          <w:lang w:val="en-US" w:eastAsia="zh-CN"/>
        </w:rPr>
        <w:t>2.5 黄铜棒材</w:t>
      </w:r>
    </w:p>
    <w:p w14:paraId="5743751E">
      <w:pPr>
        <w:numPr>
          <w:ilvl w:val="0"/>
          <w:numId w:val="6"/>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采用H59/H62优质黄铜棒，铜锌配比合规。</w:t>
      </w:r>
    </w:p>
    <w:p w14:paraId="25643226">
      <w:pPr>
        <w:numPr>
          <w:ilvl w:val="0"/>
          <w:numId w:val="6"/>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导电性能优良、自润滑耐磨、不易氧化、不易锈蚀、塑性好。</w:t>
      </w:r>
    </w:p>
    <w:p w14:paraId="26234098">
      <w:pPr>
        <w:numPr>
          <w:ilvl w:val="0"/>
          <w:numId w:val="6"/>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表面光洁、尺寸均匀、无砂眼、无裂纹、无空心、无夹杂。</w:t>
      </w:r>
    </w:p>
    <w:p w14:paraId="2BA7A8D7">
      <w:pPr>
        <w:spacing w:before="320" w:after="120" w:line="288" w:lineRule="auto"/>
        <w:outlineLvl w:val="1"/>
        <w:rPr>
          <w:rFonts w:hint="eastAsia" w:ascii="宋体" w:hAnsi="宋体" w:cs="Arial"/>
          <w:b/>
          <w:szCs w:val="21"/>
          <w:highlight w:val="none"/>
          <w:lang w:val="en-US" w:eastAsia="zh-CN"/>
        </w:rPr>
      </w:pPr>
      <w:r>
        <w:rPr>
          <w:rFonts w:hint="eastAsia" w:ascii="宋体" w:hAnsi="宋体" w:cs="Arial"/>
          <w:b/>
          <w:szCs w:val="21"/>
          <w:highlight w:val="none"/>
          <w:lang w:val="en-US" w:eastAsia="zh-CN"/>
        </w:rPr>
        <w:t>2.6 行星齿轮组</w:t>
      </w:r>
    </w:p>
    <w:p w14:paraId="621F14EB">
      <w:pPr>
        <w:numPr>
          <w:ilvl w:val="0"/>
          <w:numId w:val="7"/>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太阳轮、行星轮、内齿圈全部采用合金齿轮钢，整体热处理。</w:t>
      </w:r>
    </w:p>
    <w:p w14:paraId="7EB330A2">
      <w:pPr>
        <w:numPr>
          <w:ilvl w:val="0"/>
          <w:numId w:val="7"/>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 xml:space="preserve"> 传动效率高、扭矩大、噪音低、回程间隙小；</w:t>
      </w:r>
    </w:p>
    <w:p w14:paraId="2F2067D6">
      <w:pPr>
        <w:numPr>
          <w:ilvl w:val="0"/>
          <w:numId w:val="7"/>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承载能力强、抗冲击、耐长期连续运转疲劳；</w:t>
      </w:r>
    </w:p>
    <w:p w14:paraId="450106CF">
      <w:pPr>
        <w:numPr>
          <w:ilvl w:val="0"/>
          <w:numId w:val="7"/>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齿轮啮合精准，无卡涩、无跳齿。</w:t>
      </w:r>
    </w:p>
    <w:p w14:paraId="66134220">
      <w:pPr>
        <w:numPr>
          <w:ilvl w:val="0"/>
          <w:numId w:val="7"/>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整套总成配合精密，轴承间隙合理，转动顺滑，无轴向窜动、无径向晃动。</w:t>
      </w:r>
    </w:p>
    <w:p w14:paraId="63B8FF79">
      <w:pPr>
        <w:spacing w:before="320" w:after="120" w:line="288" w:lineRule="auto"/>
        <w:outlineLvl w:val="1"/>
        <w:rPr>
          <w:rFonts w:hint="eastAsia" w:ascii="宋体" w:hAnsi="宋体" w:cs="Arial"/>
          <w:b/>
          <w:szCs w:val="21"/>
          <w:highlight w:val="none"/>
          <w:lang w:val="en-US" w:eastAsia="zh-CN"/>
        </w:rPr>
      </w:pPr>
      <w:r>
        <w:rPr>
          <w:rFonts w:hint="eastAsia" w:ascii="宋体" w:hAnsi="宋体" w:cs="Arial"/>
          <w:b/>
          <w:szCs w:val="21"/>
          <w:highlight w:val="none"/>
          <w:lang w:val="en-US" w:eastAsia="zh-CN"/>
        </w:rPr>
        <w:t>2.7 摇柄</w:t>
      </w:r>
    </w:p>
    <w:p w14:paraId="605EBD87">
      <w:pPr>
        <w:numPr>
          <w:ilvl w:val="0"/>
          <w:numId w:val="8"/>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主体高强度合金钢材/不锈钢，握柄防滑绝缘护套牢固耐磨。</w:t>
      </w:r>
    </w:p>
    <w:p w14:paraId="3FCDECA5">
      <w:pPr>
        <w:numPr>
          <w:ilvl w:val="0"/>
          <w:numId w:val="8"/>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整体刚性强、无弯曲变形、操作力矩传递可靠、不打滑、不脱扣。</w:t>
      </w:r>
    </w:p>
    <w:p w14:paraId="572BFF53">
      <w:pPr>
        <w:numPr>
          <w:ilvl w:val="0"/>
          <w:numId w:val="8"/>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表面防锈处理，无锈蚀、无裂纹、无变形，握持舒适、防滑耐用。</w:t>
      </w:r>
    </w:p>
    <w:p w14:paraId="437E881D">
      <w:pPr>
        <w:spacing w:before="320" w:after="120" w:line="288" w:lineRule="auto"/>
        <w:outlineLvl w:val="1"/>
        <w:rPr>
          <w:rFonts w:hint="eastAsia" w:ascii="宋体" w:hAnsi="宋体" w:cs="Arial"/>
          <w:b/>
          <w:szCs w:val="21"/>
          <w:highlight w:val="none"/>
          <w:lang w:val="en-US" w:eastAsia="zh-CN"/>
        </w:rPr>
      </w:pPr>
      <w:r>
        <w:rPr>
          <w:rFonts w:hint="eastAsia" w:ascii="宋体" w:hAnsi="宋体" w:cs="Arial"/>
          <w:b/>
          <w:szCs w:val="21"/>
          <w:highlight w:val="none"/>
          <w:lang w:val="en-US" w:eastAsia="zh-CN"/>
        </w:rPr>
        <w:t>2.8 五防锁具</w:t>
      </w:r>
    </w:p>
    <w:p w14:paraId="23C30883">
      <w:pPr>
        <w:numPr>
          <w:ilvl w:val="0"/>
          <w:numId w:val="9"/>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锁体不锈钢/高强度合金，锁芯铜合金，锁栓高强度防锈材质。</w:t>
      </w:r>
    </w:p>
    <w:p w14:paraId="322F5612">
      <w:pPr>
        <w:numPr>
          <w:ilvl w:val="0"/>
          <w:numId w:val="9"/>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闭锁可靠、解锁顺畅、无卡滞、无失灵；</w:t>
      </w:r>
    </w:p>
    <w:p w14:paraId="7211253C">
      <w:pPr>
        <w:numPr>
          <w:ilvl w:val="0"/>
          <w:numId w:val="9"/>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钥匙唯一对应、互锁逻辑准确，防误开、防误解锁；</w:t>
      </w:r>
    </w:p>
    <w:p w14:paraId="0EB17BCF">
      <w:pPr>
        <w:numPr>
          <w:ilvl w:val="0"/>
          <w:numId w:val="9"/>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具备防撬、防锈、防尘、防潮能力，适应户外箱体环境。</w:t>
      </w:r>
    </w:p>
    <w:p w14:paraId="11CD8022">
      <w:pPr>
        <w:numPr>
          <w:ilvl w:val="0"/>
          <w:numId w:val="9"/>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机械操作寿命长，长期反复闭锁解锁不卡顿、不失效。</w:t>
      </w:r>
    </w:p>
    <w:p w14:paraId="23A95838">
      <w:pPr>
        <w:spacing w:before="320" w:after="120" w:line="288" w:lineRule="auto"/>
        <w:outlineLvl w:val="1"/>
        <w:rPr>
          <w:rFonts w:hint="eastAsia" w:ascii="宋体" w:hAnsi="宋体" w:cs="Arial"/>
          <w:b/>
          <w:szCs w:val="21"/>
          <w:highlight w:val="none"/>
          <w:lang w:val="en-US" w:eastAsia="zh-CN"/>
        </w:rPr>
      </w:pPr>
      <w:r>
        <w:rPr>
          <w:rFonts w:hint="eastAsia" w:ascii="宋体" w:hAnsi="宋体" w:cs="Arial"/>
          <w:b/>
          <w:szCs w:val="21"/>
          <w:highlight w:val="none"/>
          <w:lang w:val="en-US" w:eastAsia="zh-CN"/>
        </w:rPr>
        <w:t>2.9 直线运动化工滚珠轴承（直线滑动轴承）</w:t>
      </w:r>
    </w:p>
    <w:p w14:paraId="0375BBD1">
      <w:pPr>
        <w:numPr>
          <w:ilvl w:val="0"/>
          <w:numId w:val="10"/>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高精度滚珠结构，保持架高强度工程材质，滚珠高碳轴承钢。</w:t>
      </w:r>
    </w:p>
    <w:p w14:paraId="23626D49">
      <w:pPr>
        <w:numPr>
          <w:ilvl w:val="0"/>
          <w:numId w:val="10"/>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直线运动顺滑、无卡顿、无阻滞、无异响；</w:t>
      </w:r>
    </w:p>
    <w:p w14:paraId="36500E1C">
      <w:pPr>
        <w:numPr>
          <w:ilvl w:val="0"/>
          <w:numId w:val="10"/>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精度高、磨损小、自润滑、耐粉尘；</w:t>
      </w:r>
    </w:p>
    <w:p w14:paraId="457AC2D4">
      <w:pPr>
        <w:numPr>
          <w:ilvl w:val="0"/>
          <w:numId w:val="10"/>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同心度、配合公差符合精密直线传动标准。</w:t>
      </w:r>
    </w:p>
    <w:p w14:paraId="2B8FC368">
      <w:pPr>
        <w:spacing w:before="320" w:after="120" w:line="288" w:lineRule="auto"/>
        <w:outlineLvl w:val="1"/>
        <w:rPr>
          <w:rFonts w:hint="eastAsia" w:ascii="宋体" w:hAnsi="宋体" w:cs="Arial"/>
          <w:b/>
          <w:szCs w:val="21"/>
          <w:highlight w:val="none"/>
          <w:lang w:val="en-US" w:eastAsia="zh-CN"/>
        </w:rPr>
      </w:pPr>
      <w:r>
        <w:rPr>
          <w:rFonts w:hint="eastAsia" w:ascii="宋体" w:hAnsi="宋体" w:cs="Arial"/>
          <w:b/>
          <w:szCs w:val="21"/>
          <w:highlight w:val="none"/>
          <w:lang w:val="en-US" w:eastAsia="zh-CN"/>
        </w:rPr>
        <w:t>2.10 不锈钢深沟球轴承（旋转支撑轴承）</w:t>
      </w:r>
    </w:p>
    <w:p w14:paraId="2E167A29">
      <w:pPr>
        <w:numPr>
          <w:ilvl w:val="0"/>
          <w:numId w:val="11"/>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全套不锈钢轴承材质，内外圈、钢球、保持架防锈材质。</w:t>
      </w:r>
    </w:p>
    <w:p w14:paraId="09E2E4E7">
      <w:pPr>
        <w:numPr>
          <w:ilvl w:val="0"/>
          <w:numId w:val="11"/>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防水、防潮、防锈、耐盐雾，适合户外潮湿箱体工况；</w:t>
      </w:r>
    </w:p>
    <w:p w14:paraId="499326C8">
      <w:pPr>
        <w:numPr>
          <w:ilvl w:val="0"/>
          <w:numId w:val="11"/>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转动灵活、间隙均匀、无卡滞、无异响、无旷量；</w:t>
      </w:r>
    </w:p>
    <w:p w14:paraId="26B8D9D3">
      <w:pPr>
        <w:numPr>
          <w:ilvl w:val="0"/>
          <w:numId w:val="11"/>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精度稳定、耐疲劳、耐长期低速高频转动。</w:t>
      </w:r>
    </w:p>
    <w:p w14:paraId="4020C1A8">
      <w:pPr>
        <w:numPr>
          <w:ilvl w:val="0"/>
          <w:numId w:val="11"/>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双面防尘密封结构，防灰尘、防潮气侵入，内部润滑脂饱满长效。</w:t>
      </w:r>
    </w:p>
    <w:p w14:paraId="35DCCE05">
      <w:pPr>
        <w:spacing w:before="320" w:after="120" w:line="288" w:lineRule="auto"/>
        <w:outlineLvl w:val="1"/>
        <w:rPr>
          <w:rFonts w:hint="eastAsia" w:ascii="宋体" w:hAnsi="宋体" w:cs="Arial"/>
          <w:b/>
          <w:szCs w:val="21"/>
          <w:highlight w:val="none"/>
          <w:lang w:val="en-US" w:eastAsia="zh-CN"/>
        </w:rPr>
      </w:pPr>
      <w:r>
        <w:rPr>
          <w:rFonts w:hint="eastAsia" w:ascii="宋体" w:hAnsi="宋体" w:cs="Arial"/>
          <w:b/>
          <w:szCs w:val="21"/>
          <w:highlight w:val="none"/>
          <w:lang w:val="en-US" w:eastAsia="zh-CN"/>
        </w:rPr>
        <w:t>2.11 双向棘轮头（双向机械棘轮扳手组件）</w:t>
      </w:r>
    </w:p>
    <w:p w14:paraId="7A1C880F">
      <w:pPr>
        <w:numPr>
          <w:ilvl w:val="0"/>
          <w:numId w:val="12"/>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整体高强度铬钒钢，整体淬火硬化处理。</w:t>
      </w:r>
    </w:p>
    <w:p w14:paraId="2ACD4D9B">
      <w:pPr>
        <w:numPr>
          <w:ilvl w:val="0"/>
          <w:numId w:val="12"/>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双向换向可靠、卡位精准、不跳齿、不打滑；</w:t>
      </w:r>
    </w:p>
    <w:p w14:paraId="3B569760">
      <w:pPr>
        <w:numPr>
          <w:ilvl w:val="0"/>
          <w:numId w:val="12"/>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棘轮咬合紧密、受力均匀、抗冲击、高扭矩不崩齿；</w:t>
      </w:r>
    </w:p>
    <w:p w14:paraId="4015641E">
      <w:pPr>
        <w:numPr>
          <w:ilvl w:val="0"/>
          <w:numId w:val="12"/>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切换档位清晰、操作顺畅。</w:t>
      </w:r>
    </w:p>
    <w:p w14:paraId="28029BF6">
      <w:pPr>
        <w:numPr>
          <w:ilvl w:val="0"/>
          <w:numId w:val="12"/>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反复换向、反复受力不疲劳、不磨损、不失效，满足设备检修频繁操作。</w:t>
      </w:r>
    </w:p>
    <w:p w14:paraId="48C0B3B1">
      <w:pPr>
        <w:spacing w:before="320" w:after="120" w:line="288" w:lineRule="auto"/>
        <w:outlineLvl w:val="1"/>
        <w:rPr>
          <w:rFonts w:hint="eastAsia" w:ascii="宋体" w:hAnsi="宋体" w:cs="Arial"/>
          <w:b/>
          <w:szCs w:val="21"/>
          <w:highlight w:val="none"/>
          <w:lang w:val="en-US" w:eastAsia="zh-CN"/>
        </w:rPr>
      </w:pPr>
      <w:r>
        <w:rPr>
          <w:rFonts w:hint="eastAsia" w:ascii="宋体" w:hAnsi="宋体" w:cs="Arial"/>
          <w:b/>
          <w:szCs w:val="21"/>
          <w:highlight w:val="none"/>
          <w:lang w:val="en-US" w:eastAsia="zh-CN"/>
        </w:rPr>
        <w:t>2.12通用验收总条款</w:t>
      </w:r>
    </w:p>
    <w:p w14:paraId="07F0BCF5">
      <w:pPr>
        <w:numPr>
          <w:ilvl w:val="0"/>
          <w:numId w:val="13"/>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所有金属构件无裂纹、无砂眼、无变形、无锈蚀、无加工缺陷；</w:t>
      </w:r>
    </w:p>
    <w:p w14:paraId="247CA57A">
      <w:pPr>
        <w:numPr>
          <w:ilvl w:val="0"/>
          <w:numId w:val="13"/>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所有传动、轴承、锁具类配件动作顺畅、配合精密、功能完好；</w:t>
      </w:r>
    </w:p>
    <w:p w14:paraId="013DDFE9">
      <w:pPr>
        <w:numPr>
          <w:ilvl w:val="0"/>
          <w:numId w:val="13"/>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户外使用件必须满足防潮、防尘、防锈、耐盐雾环境要求；</w:t>
      </w:r>
    </w:p>
    <w:p w14:paraId="3D44CC4C">
      <w:pPr>
        <w:numPr>
          <w:ilvl w:val="0"/>
          <w:numId w:val="13"/>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所有材料材质合规，严禁以次充好、以普通碳钢替代合金/不锈钢；</w:t>
      </w:r>
    </w:p>
    <w:p w14:paraId="475C8B44">
      <w:pPr>
        <w:numPr>
          <w:ilvl w:val="0"/>
          <w:numId w:val="13"/>
        </w:numPr>
        <w:spacing w:before="120" w:after="120" w:line="288" w:lineRule="auto"/>
        <w:jc w:val="left"/>
        <w:rPr>
          <w:rFonts w:hint="eastAsia" w:ascii="宋体" w:hAnsi="宋体" w:cs="Arial"/>
          <w:szCs w:val="21"/>
          <w:highlight w:val="none"/>
        </w:rPr>
      </w:pPr>
      <w:r>
        <w:rPr>
          <w:rFonts w:hint="eastAsia" w:ascii="宋体" w:hAnsi="宋体" w:cs="Arial"/>
          <w:szCs w:val="21"/>
          <w:highlight w:val="none"/>
        </w:rPr>
        <w:t>尺寸公差、外观质量、机械性能全部满足电力设备机械装配与长期运行要求。</w:t>
      </w:r>
    </w:p>
    <w:p w14:paraId="11273348">
      <w:pPr>
        <w:pStyle w:val="80"/>
        <w:jc w:val="left"/>
        <w:rPr>
          <w:rFonts w:ascii="宋体" w:hAnsi="宋体"/>
          <w:sz w:val="24"/>
          <w:szCs w:val="24"/>
          <w:highlight w:val="none"/>
        </w:rPr>
      </w:pPr>
      <w:bookmarkStart w:id="7" w:name="_Toc237558190"/>
      <w:bookmarkStart w:id="8" w:name="heading_11"/>
      <w:r>
        <w:rPr>
          <w:rFonts w:ascii="宋体" w:hAnsi="宋体"/>
          <w:sz w:val="24"/>
          <w:szCs w:val="24"/>
          <w:highlight w:val="none"/>
        </w:rPr>
        <w:t>3 质量及检验要求</w:t>
      </w:r>
      <w:bookmarkEnd w:id="7"/>
      <w:bookmarkEnd w:id="8"/>
    </w:p>
    <w:p w14:paraId="623E4215">
      <w:pPr>
        <w:numPr>
          <w:ilvl w:val="0"/>
          <w:numId w:val="14"/>
        </w:numPr>
        <w:spacing w:before="120" w:after="120" w:line="288" w:lineRule="auto"/>
        <w:jc w:val="left"/>
        <w:rPr>
          <w:rFonts w:ascii="宋体" w:hAnsi="宋体"/>
          <w:szCs w:val="21"/>
          <w:highlight w:val="none"/>
        </w:rPr>
      </w:pPr>
      <w:r>
        <w:rPr>
          <w:rFonts w:ascii="宋体" w:hAnsi="宋体" w:cs="Arial"/>
          <w:szCs w:val="21"/>
          <w:highlight w:val="none"/>
        </w:rPr>
        <w:t>所有材料应为全新、未使用过的合格产品，符合国家及行业相关标准；</w:t>
      </w:r>
    </w:p>
    <w:p w14:paraId="1F872A38">
      <w:pPr>
        <w:numPr>
          <w:ilvl w:val="0"/>
          <w:numId w:val="14"/>
        </w:numPr>
        <w:spacing w:before="120" w:after="120" w:line="288" w:lineRule="auto"/>
        <w:jc w:val="left"/>
        <w:rPr>
          <w:rFonts w:ascii="宋体" w:hAnsi="宋体"/>
          <w:szCs w:val="21"/>
          <w:highlight w:val="none"/>
        </w:rPr>
      </w:pPr>
      <w:r>
        <w:rPr>
          <w:rFonts w:ascii="宋体" w:hAnsi="宋体" w:cs="Arial"/>
          <w:szCs w:val="21"/>
          <w:highlight w:val="none"/>
        </w:rPr>
        <w:t>每批材料到货时应随附材质证明书、出厂检验报告或合格证；金属材料应提供化学成分及力学性能报告；</w:t>
      </w:r>
    </w:p>
    <w:p w14:paraId="126224C1">
      <w:pPr>
        <w:numPr>
          <w:ilvl w:val="0"/>
          <w:numId w:val="14"/>
        </w:numPr>
        <w:spacing w:before="120" w:after="120" w:line="288" w:lineRule="auto"/>
        <w:jc w:val="left"/>
        <w:rPr>
          <w:rFonts w:ascii="宋体" w:hAnsi="宋体"/>
          <w:szCs w:val="21"/>
          <w:highlight w:val="none"/>
        </w:rPr>
      </w:pPr>
      <w:r>
        <w:rPr>
          <w:rFonts w:ascii="宋体" w:hAnsi="宋体" w:cs="Arial"/>
          <w:szCs w:val="21"/>
          <w:highlight w:val="none"/>
        </w:rPr>
        <w:t>甲方有权对到货材料进行抽检，抽检项目包括外观检查、尺寸测量、材质核对等；必要时可送第三方检测机构进行材质化验，检测费用由供应商承担（如不合格）；</w:t>
      </w:r>
    </w:p>
    <w:p w14:paraId="4E243C74">
      <w:pPr>
        <w:numPr>
          <w:ilvl w:val="0"/>
          <w:numId w:val="14"/>
        </w:numPr>
        <w:spacing w:before="120" w:after="120" w:line="288" w:lineRule="auto"/>
        <w:jc w:val="left"/>
        <w:rPr>
          <w:rFonts w:ascii="宋体" w:hAnsi="宋体"/>
          <w:szCs w:val="21"/>
          <w:highlight w:val="none"/>
        </w:rPr>
      </w:pPr>
      <w:r>
        <w:rPr>
          <w:rFonts w:ascii="宋体" w:hAnsi="宋体" w:cs="Arial"/>
          <w:szCs w:val="21"/>
          <w:highlight w:val="none"/>
        </w:rPr>
        <w:t>材料包装应完好，标识清晰，标明材料名称、规格、材质、数量、生产厂家、生产日期及执行标准号。</w:t>
      </w:r>
    </w:p>
    <w:p w14:paraId="32976B9A">
      <w:pPr>
        <w:pStyle w:val="80"/>
        <w:jc w:val="left"/>
        <w:rPr>
          <w:rFonts w:ascii="宋体" w:hAnsi="宋体"/>
          <w:sz w:val="24"/>
          <w:szCs w:val="24"/>
          <w:highlight w:val="none"/>
        </w:rPr>
      </w:pPr>
      <w:bookmarkStart w:id="9" w:name="heading_12"/>
      <w:bookmarkStart w:id="10" w:name="_Toc237558191"/>
      <w:r>
        <w:rPr>
          <w:rFonts w:ascii="宋体" w:hAnsi="宋体"/>
          <w:sz w:val="24"/>
          <w:szCs w:val="24"/>
          <w:highlight w:val="none"/>
        </w:rPr>
        <w:t>4 包装及运输</w:t>
      </w:r>
      <w:bookmarkEnd w:id="9"/>
      <w:bookmarkEnd w:id="10"/>
    </w:p>
    <w:p w14:paraId="7FA18EA9">
      <w:pPr>
        <w:numPr>
          <w:ilvl w:val="0"/>
          <w:numId w:val="15"/>
        </w:numPr>
        <w:spacing w:before="120" w:after="120" w:line="288" w:lineRule="auto"/>
        <w:jc w:val="left"/>
        <w:rPr>
          <w:rFonts w:ascii="宋体" w:hAnsi="宋体"/>
          <w:szCs w:val="21"/>
          <w:highlight w:val="none"/>
        </w:rPr>
      </w:pPr>
      <w:r>
        <w:rPr>
          <w:rFonts w:ascii="宋体" w:hAnsi="宋体" w:cs="Arial"/>
          <w:szCs w:val="21"/>
          <w:highlight w:val="none"/>
        </w:rPr>
        <w:t>黄铜棒等金属材料应捆扎或装箱，端面防锈处理，防止运输中磕碰、变形、锈蚀；</w:t>
      </w:r>
    </w:p>
    <w:p w14:paraId="427FF22F">
      <w:pPr>
        <w:numPr>
          <w:ilvl w:val="0"/>
          <w:numId w:val="15"/>
        </w:numPr>
        <w:spacing w:before="120" w:after="120" w:line="288" w:lineRule="auto"/>
        <w:jc w:val="left"/>
        <w:rPr>
          <w:rFonts w:ascii="宋体" w:hAnsi="宋体"/>
          <w:szCs w:val="21"/>
          <w:highlight w:val="none"/>
        </w:rPr>
      </w:pPr>
      <w:r>
        <w:rPr>
          <w:rFonts w:ascii="宋体" w:hAnsi="宋体" w:cs="Arial"/>
          <w:szCs w:val="21"/>
          <w:highlight w:val="none"/>
        </w:rPr>
        <w:t>包装箱及电镀成品应单独包装，防止表面划伤；</w:t>
      </w:r>
    </w:p>
    <w:p w14:paraId="2CB9D025">
      <w:pPr>
        <w:numPr>
          <w:ilvl w:val="0"/>
          <w:numId w:val="15"/>
        </w:numPr>
        <w:spacing w:before="120" w:after="120" w:line="288" w:lineRule="auto"/>
        <w:jc w:val="left"/>
        <w:rPr>
          <w:rFonts w:ascii="宋体" w:hAnsi="宋体"/>
          <w:szCs w:val="21"/>
          <w:highlight w:val="none"/>
        </w:rPr>
      </w:pPr>
      <w:r>
        <w:rPr>
          <w:rFonts w:ascii="宋体" w:hAnsi="宋体" w:cs="Arial"/>
          <w:szCs w:val="21"/>
          <w:highlight w:val="none"/>
        </w:rPr>
        <w:t>随货提供装箱清单、材质证明、合格证等技术资料。</w:t>
      </w:r>
    </w:p>
    <w:p w14:paraId="72D5A878">
      <w:pPr>
        <w:pStyle w:val="80"/>
        <w:jc w:val="left"/>
        <w:rPr>
          <w:rFonts w:ascii="宋体" w:hAnsi="宋体"/>
          <w:sz w:val="24"/>
          <w:szCs w:val="24"/>
          <w:highlight w:val="none"/>
        </w:rPr>
      </w:pPr>
      <w:bookmarkStart w:id="11" w:name="_Toc237558192"/>
      <w:bookmarkStart w:id="12" w:name="heading_13"/>
      <w:r>
        <w:rPr>
          <w:rFonts w:ascii="宋体" w:hAnsi="宋体"/>
          <w:sz w:val="24"/>
          <w:szCs w:val="24"/>
          <w:highlight w:val="none"/>
        </w:rPr>
        <w:t>5 交付与验收</w:t>
      </w:r>
      <w:bookmarkEnd w:id="11"/>
      <w:bookmarkEnd w:id="12"/>
    </w:p>
    <w:p w14:paraId="12048329">
      <w:pPr>
        <w:numPr>
          <w:ilvl w:val="0"/>
          <w:numId w:val="16"/>
        </w:numPr>
        <w:spacing w:before="120" w:after="120" w:line="288" w:lineRule="auto"/>
        <w:jc w:val="left"/>
        <w:rPr>
          <w:rFonts w:ascii="宋体" w:hAnsi="宋体"/>
          <w:szCs w:val="21"/>
          <w:highlight w:val="none"/>
        </w:rPr>
      </w:pPr>
      <w:r>
        <w:rPr>
          <w:rFonts w:ascii="宋体" w:hAnsi="宋体" w:cs="Arial"/>
          <w:szCs w:val="21"/>
          <w:highlight w:val="none"/>
        </w:rPr>
        <w:t>交付地点：深圳供电局指定地点；</w:t>
      </w:r>
    </w:p>
    <w:p w14:paraId="610BBFF9">
      <w:pPr>
        <w:numPr>
          <w:ilvl w:val="0"/>
          <w:numId w:val="16"/>
        </w:numPr>
        <w:spacing w:before="120" w:after="120" w:line="288" w:lineRule="auto"/>
        <w:jc w:val="left"/>
        <w:rPr>
          <w:rFonts w:ascii="宋体" w:hAnsi="宋体"/>
          <w:szCs w:val="21"/>
          <w:highlight w:val="none"/>
        </w:rPr>
      </w:pPr>
      <w:r>
        <w:rPr>
          <w:rFonts w:ascii="宋体" w:hAnsi="宋体" w:cs="Arial"/>
          <w:szCs w:val="21"/>
          <w:highlight w:val="none"/>
        </w:rPr>
        <w:t>交付时间：合同签订后30日内完成全部材料交付；</w:t>
      </w:r>
    </w:p>
    <w:p w14:paraId="704BF9B2">
      <w:pPr>
        <w:numPr>
          <w:ilvl w:val="0"/>
          <w:numId w:val="16"/>
        </w:numPr>
        <w:spacing w:before="120" w:after="120" w:line="288" w:lineRule="auto"/>
        <w:jc w:val="left"/>
        <w:rPr>
          <w:rFonts w:ascii="宋体" w:hAnsi="宋体"/>
          <w:szCs w:val="21"/>
          <w:highlight w:val="none"/>
        </w:rPr>
      </w:pPr>
      <w:r>
        <w:rPr>
          <w:rFonts w:ascii="宋体" w:hAnsi="宋体" w:cs="Arial"/>
          <w:szCs w:val="21"/>
          <w:highlight w:val="none"/>
        </w:rPr>
        <w:t>验收按本规范书第2、3章要求执行，材料规格、数量、材质、质量证明文件齐全且抽检合格为验收合格；</w:t>
      </w:r>
    </w:p>
    <w:p w14:paraId="274D87BD">
      <w:pPr>
        <w:numPr>
          <w:ilvl w:val="0"/>
          <w:numId w:val="16"/>
        </w:numPr>
        <w:spacing w:before="120" w:after="120" w:line="288" w:lineRule="auto"/>
        <w:jc w:val="left"/>
        <w:rPr>
          <w:rFonts w:ascii="宋体" w:hAnsi="宋体"/>
          <w:szCs w:val="21"/>
          <w:highlight w:val="none"/>
        </w:rPr>
      </w:pPr>
      <w:r>
        <w:rPr>
          <w:rFonts w:ascii="宋体" w:hAnsi="宋体" w:cs="Arial"/>
          <w:szCs w:val="21"/>
          <w:highlight w:val="none"/>
        </w:rPr>
        <w:t>验收不合格的材料，供应商应在10日内免费更换合格产品，由此产生的一切费用由供应商承担。</w:t>
      </w:r>
    </w:p>
    <w:p w14:paraId="25F2CFB6">
      <w:pPr>
        <w:pStyle w:val="80"/>
        <w:jc w:val="left"/>
        <w:rPr>
          <w:rFonts w:ascii="宋体" w:hAnsi="宋体"/>
          <w:sz w:val="24"/>
          <w:szCs w:val="24"/>
          <w:highlight w:val="none"/>
        </w:rPr>
      </w:pPr>
      <w:bookmarkStart w:id="13" w:name="_Toc237558193"/>
      <w:bookmarkStart w:id="14" w:name="heading_14"/>
      <w:r>
        <w:rPr>
          <w:rFonts w:ascii="宋体" w:hAnsi="宋体"/>
          <w:sz w:val="24"/>
          <w:szCs w:val="24"/>
          <w:highlight w:val="none"/>
        </w:rPr>
        <w:t>6 质量保证及售后服务</w:t>
      </w:r>
      <w:bookmarkEnd w:id="13"/>
      <w:bookmarkEnd w:id="14"/>
    </w:p>
    <w:p w14:paraId="799569D5">
      <w:pPr>
        <w:numPr>
          <w:ilvl w:val="0"/>
          <w:numId w:val="17"/>
        </w:numPr>
        <w:spacing w:before="120" w:after="120" w:line="288" w:lineRule="auto"/>
        <w:jc w:val="left"/>
        <w:rPr>
          <w:rFonts w:ascii="宋体" w:hAnsi="宋体"/>
          <w:szCs w:val="21"/>
          <w:highlight w:val="none"/>
        </w:rPr>
      </w:pPr>
      <w:r>
        <w:rPr>
          <w:rFonts w:ascii="宋体" w:hAnsi="宋体" w:cs="Arial"/>
          <w:szCs w:val="21"/>
          <w:highlight w:val="none"/>
        </w:rPr>
        <w:t>供应商应保证所供材料符合本规范书要求及相关国家、行业标准，对材料质量负责；</w:t>
      </w:r>
    </w:p>
    <w:p w14:paraId="2D5A394C">
      <w:pPr>
        <w:numPr>
          <w:ilvl w:val="0"/>
          <w:numId w:val="17"/>
        </w:numPr>
        <w:spacing w:before="120" w:after="120" w:line="288" w:lineRule="auto"/>
        <w:jc w:val="left"/>
        <w:rPr>
          <w:rFonts w:ascii="宋体" w:hAnsi="宋体"/>
          <w:szCs w:val="21"/>
          <w:highlight w:val="none"/>
        </w:rPr>
      </w:pPr>
      <w:r>
        <w:rPr>
          <w:rFonts w:ascii="宋体" w:hAnsi="宋体" w:cs="Arial"/>
          <w:szCs w:val="21"/>
          <w:highlight w:val="none"/>
        </w:rPr>
        <w:t>因材料质量问题导致接头加工失败或性能不达标，供应商应免费补发合格材料，并承担相应损失；</w:t>
      </w:r>
    </w:p>
    <w:p w14:paraId="5B1ED491">
      <w:pPr>
        <w:numPr>
          <w:ilvl w:val="0"/>
          <w:numId w:val="17"/>
        </w:numPr>
        <w:spacing w:before="120" w:after="120" w:line="288" w:lineRule="auto"/>
        <w:jc w:val="left"/>
        <w:rPr>
          <w:rFonts w:ascii="宋体" w:hAnsi="宋体"/>
          <w:szCs w:val="21"/>
          <w:highlight w:val="none"/>
        </w:rPr>
      </w:pPr>
      <w:r>
        <w:rPr>
          <w:rFonts w:ascii="宋体" w:hAnsi="宋体" w:cs="Arial"/>
          <w:szCs w:val="21"/>
          <w:highlight w:val="none"/>
        </w:rPr>
        <w:t>金属材料及标准件质保期不少于2年；</w:t>
      </w:r>
    </w:p>
    <w:p w14:paraId="34AE22D6">
      <w:pPr>
        <w:numPr>
          <w:ilvl w:val="0"/>
          <w:numId w:val="17"/>
        </w:numPr>
        <w:spacing w:before="120" w:after="120" w:line="288" w:lineRule="auto"/>
        <w:jc w:val="left"/>
        <w:rPr>
          <w:rFonts w:ascii="宋体" w:hAnsi="宋体"/>
          <w:szCs w:val="21"/>
          <w:highlight w:val="none"/>
        </w:rPr>
      </w:pPr>
      <w:r>
        <w:rPr>
          <w:rFonts w:ascii="宋体" w:hAnsi="宋体" w:cs="Arial"/>
          <w:szCs w:val="21"/>
          <w:highlight w:val="none"/>
        </w:rPr>
        <w:t>接到质量问题反馈后，供应商应在24小时内响应，48小时内提出处理方案。</w:t>
      </w:r>
    </w:p>
    <w:p w14:paraId="27ED0059">
      <w:pPr>
        <w:spacing w:before="120" w:after="120" w:line="288" w:lineRule="auto"/>
        <w:jc w:val="left"/>
        <w:rPr>
          <w:rFonts w:ascii="宋体" w:hAnsi="宋体" w:cs="Arial"/>
          <w:szCs w:val="21"/>
          <w:highlight w:val="none"/>
        </w:rPr>
      </w:pPr>
    </w:p>
    <w:p w14:paraId="7630E8B9">
      <w:pPr>
        <w:pStyle w:val="80"/>
        <w:jc w:val="left"/>
        <w:rPr>
          <w:rFonts w:hint="eastAsia" w:ascii="宋体" w:hAnsi="宋体"/>
          <w:sz w:val="24"/>
          <w:szCs w:val="24"/>
          <w:highlight w:val="none"/>
        </w:rPr>
      </w:pPr>
      <w:bookmarkStart w:id="15" w:name="_Toc237558194"/>
      <w:r>
        <w:rPr>
          <w:rFonts w:hint="eastAsia" w:ascii="宋体" w:hAnsi="宋体"/>
          <w:sz w:val="24"/>
          <w:szCs w:val="24"/>
          <w:highlight w:val="none"/>
        </w:rPr>
        <w:t>7</w:t>
      </w:r>
      <w:r>
        <w:rPr>
          <w:rFonts w:ascii="宋体" w:hAnsi="宋体"/>
          <w:sz w:val="24"/>
          <w:szCs w:val="24"/>
          <w:highlight w:val="none"/>
        </w:rPr>
        <w:t xml:space="preserve"> 其他要求</w:t>
      </w:r>
      <w:bookmarkEnd w:id="15"/>
    </w:p>
    <w:tbl>
      <w:tblPr>
        <w:tblStyle w:val="84"/>
        <w:tblW w:w="8266" w:type="dxa"/>
        <w:jc w:val="center"/>
        <w:tblLayout w:type="autofit"/>
        <w:tblCellMar>
          <w:top w:w="0" w:type="dxa"/>
          <w:left w:w="108" w:type="dxa"/>
          <w:bottom w:w="0" w:type="dxa"/>
          <w:right w:w="108" w:type="dxa"/>
        </w:tblCellMar>
      </w:tblPr>
      <w:tblGrid>
        <w:gridCol w:w="648"/>
        <w:gridCol w:w="7618"/>
      </w:tblGrid>
      <w:tr w14:paraId="777ADFFD">
        <w:trPr>
          <w:trHeight w:val="660"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78937144">
            <w:pPr>
              <w:widowControl/>
              <w:spacing w:line="360" w:lineRule="auto"/>
              <w:jc w:val="center"/>
              <w:textAlignment w:val="center"/>
              <w:rPr>
                <w:rFonts w:ascii="宋体" w:hAnsi="宋体" w:cs="微软雅黑"/>
                <w:color w:val="000000"/>
                <w:szCs w:val="21"/>
                <w:highlight w:val="none"/>
              </w:rPr>
            </w:pPr>
            <w:r>
              <w:rPr>
                <w:rFonts w:hint="eastAsia" w:ascii="宋体" w:hAnsi="宋体" w:cs="微软雅黑"/>
                <w:color w:val="000000"/>
                <w:kern w:val="0"/>
                <w:szCs w:val="21"/>
                <w:highlight w:val="none"/>
                <w:lang w:bidi="ar"/>
              </w:rPr>
              <w:t>1</w:t>
            </w:r>
          </w:p>
        </w:tc>
        <w:tc>
          <w:tcPr>
            <w:tcW w:w="7618" w:type="dxa"/>
            <w:tcBorders>
              <w:top w:val="single" w:color="000000" w:sz="4" w:space="0"/>
              <w:left w:val="single" w:color="000000" w:sz="4" w:space="0"/>
              <w:bottom w:val="single" w:color="000000" w:sz="4" w:space="0"/>
              <w:right w:val="single" w:color="000000" w:sz="4" w:space="0"/>
            </w:tcBorders>
            <w:vAlign w:val="center"/>
          </w:tcPr>
          <w:p w14:paraId="54CD1645">
            <w:pPr>
              <w:widowControl/>
              <w:spacing w:line="360" w:lineRule="auto"/>
              <w:jc w:val="left"/>
              <w:textAlignment w:val="center"/>
              <w:rPr>
                <w:rFonts w:ascii="宋体" w:hAnsi="宋体" w:cs="微软雅黑"/>
                <w:color w:val="000000"/>
                <w:szCs w:val="21"/>
                <w:highlight w:val="none"/>
              </w:rPr>
            </w:pPr>
            <w:r>
              <w:rPr>
                <w:rFonts w:hint="eastAsia" w:ascii="宋体" w:hAnsi="宋体" w:cs="微软雅黑"/>
                <w:color w:val="000000"/>
                <w:kern w:val="0"/>
                <w:szCs w:val="21"/>
                <w:highlight w:val="none"/>
                <w:lang w:bidi="ar"/>
              </w:rPr>
              <w:t>需上传有效营业执照</w:t>
            </w:r>
          </w:p>
        </w:tc>
      </w:tr>
      <w:tr w14:paraId="5408D16A">
        <w:trPr>
          <w:trHeight w:val="422"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4CD91069">
            <w:pPr>
              <w:widowControl/>
              <w:spacing w:line="360" w:lineRule="auto"/>
              <w:jc w:val="center"/>
              <w:textAlignment w:val="center"/>
              <w:rPr>
                <w:rFonts w:ascii="宋体" w:hAnsi="宋体" w:cs="微软雅黑"/>
                <w:color w:val="000000"/>
                <w:szCs w:val="21"/>
                <w:highlight w:val="none"/>
              </w:rPr>
            </w:pPr>
            <w:r>
              <w:rPr>
                <w:rFonts w:hint="eastAsia" w:ascii="宋体" w:hAnsi="宋体" w:cs="微软雅黑"/>
                <w:color w:val="000000"/>
                <w:szCs w:val="21"/>
                <w:highlight w:val="none"/>
              </w:rPr>
              <w:t>2</w:t>
            </w:r>
          </w:p>
        </w:tc>
        <w:tc>
          <w:tcPr>
            <w:tcW w:w="7618" w:type="dxa"/>
            <w:tcBorders>
              <w:top w:val="single" w:color="000000" w:sz="4" w:space="0"/>
              <w:left w:val="single" w:color="000000" w:sz="4" w:space="0"/>
              <w:bottom w:val="single" w:color="000000" w:sz="4" w:space="0"/>
              <w:right w:val="single" w:color="000000" w:sz="4" w:space="0"/>
            </w:tcBorders>
            <w:vAlign w:val="center"/>
          </w:tcPr>
          <w:p w14:paraId="1ABF2ECA">
            <w:pPr>
              <w:widowControl/>
              <w:spacing w:line="360" w:lineRule="auto"/>
              <w:jc w:val="left"/>
              <w:textAlignment w:val="center"/>
              <w:rPr>
                <w:rFonts w:ascii="宋体" w:hAnsi="宋体" w:cs="微软雅黑"/>
                <w:color w:val="000000"/>
                <w:szCs w:val="21"/>
                <w:highlight w:val="none"/>
              </w:rPr>
            </w:pPr>
            <w:r>
              <w:rPr>
                <w:rFonts w:hint="eastAsia" w:ascii="宋体" w:hAnsi="宋体" w:cs="微软雅黑"/>
                <w:color w:val="000000"/>
                <w:szCs w:val="21"/>
                <w:highlight w:val="none"/>
              </w:rPr>
              <w:t>本项目报价低于</w:t>
            </w:r>
            <w:r>
              <w:rPr>
                <w:rFonts w:hint="eastAsia" w:ascii="宋体" w:hAnsi="宋体" w:cs="微软雅黑"/>
                <w:color w:val="000000"/>
                <w:szCs w:val="21"/>
                <w:highlight w:val="none"/>
                <w:lang w:val="en-US" w:eastAsia="zh-CN"/>
              </w:rPr>
              <w:t>8</w:t>
            </w:r>
            <w:r>
              <w:rPr>
                <w:rFonts w:hint="eastAsia" w:ascii="宋体" w:hAnsi="宋体" w:cs="微软雅黑"/>
                <w:color w:val="000000"/>
                <w:szCs w:val="21"/>
                <w:highlight w:val="none"/>
              </w:rPr>
              <w:t>5% （不含本身）的需附成本分析报告。成本分析报告需充分说明费用的组成、降低成本的合理措施及在其他项目中应用过的经验等，未提供成本分析报告或分析报告未能充分说明侧视为原则性不响应招标文件要求，作否决投标处理。</w:t>
            </w:r>
          </w:p>
        </w:tc>
      </w:tr>
    </w:tbl>
    <w:p w14:paraId="1C2905F5">
      <w:pPr>
        <w:spacing w:before="120" w:after="120" w:line="288" w:lineRule="auto"/>
        <w:jc w:val="left"/>
        <w:rPr>
          <w:rFonts w:hint="eastAsia" w:ascii="宋体" w:hAnsi="宋体"/>
          <w:szCs w:val="21"/>
          <w:highlight w:val="none"/>
        </w:rPr>
      </w:pPr>
      <w:bookmarkStart w:id="16" w:name="_GoBack"/>
      <w:bookmarkEnd w:id="16"/>
    </w:p>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汉仪大宋简">
    <w:altName w:val="方正书宋_GBK"/>
    <w:panose1 w:val="020B0604020202020204"/>
    <w:charset w:val="86"/>
    <w:family w:val="modern"/>
    <w:pitch w:val="default"/>
    <w:sig w:usb0="00000000" w:usb1="00000000" w:usb2="0000001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方正书宋_GBK"/>
    <w:panose1 w:val="020B0604020202020204"/>
    <w:charset w:val="86"/>
    <w:family w:val="auto"/>
    <w:pitch w:val="default"/>
    <w:sig w:usb0="00000000" w:usb1="00000000" w:usb2="00000010" w:usb3="00000000" w:csb0="00040000"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楷体_GB2312">
    <w:panose1 w:val="02010609030101010101"/>
    <w:charset w:val="86"/>
    <w:family w:val="modern"/>
    <w:pitch w:val="default"/>
    <w:sig w:usb0="00000001" w:usb1="080E0000" w:usb2="00000000" w:usb3="00000000" w:csb0="00040000" w:csb1="00000000"/>
  </w:font>
  <w:font w:name="ˎ̥">
    <w:altName w:val="思源黑体"/>
    <w:panose1 w:val="020B0604020202020204"/>
    <w:charset w:val="00"/>
    <w:family w:val="roman"/>
    <w:pitch w:val="default"/>
    <w:sig w:usb0="00000000" w:usb1="00000000" w:usb2="00000000" w:usb3="00000000" w:csb0="00040001" w:csb1="00000000"/>
  </w:font>
  <w:font w:name="思源黑体">
    <w:panose1 w:val="020B0500000000000000"/>
    <w:charset w:val="86"/>
    <w:family w:val="auto"/>
    <w:pitch w:val="default"/>
    <w:sig w:usb0="30000083" w:usb1="2BDF3C10" w:usb2="00000016" w:usb3="00000000" w:csb0="602E0107" w:csb1="00000000"/>
  </w:font>
  <w:font w:name="微软雅黑">
    <w:altName w:val="方正黑体_GBK"/>
    <w:panose1 w:val="020B0503020204020204"/>
    <w:charset w:val="86"/>
    <w:family w:val="swiss"/>
    <w:pitch w:val="default"/>
    <w:sig w:usb0="00000000" w:usb1="00000000" w:usb2="00000016" w:usb3="00000000" w:csb0="0004001F" w:csb1="00000000"/>
  </w:font>
  <w:font w:name="Plotter">
    <w:altName w:val="思源黑体"/>
    <w:panose1 w:val="020B0604020202020204"/>
    <w:charset w:val="00"/>
    <w:family w:val="roman"/>
    <w:pitch w:val="default"/>
    <w:sig w:usb0="00000000" w:usb1="00000000" w:usb2="00000000" w:usb3="00000000" w:csb0="00040001"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Verdana">
    <w:altName w:val="DejaVu Sans"/>
    <w:panose1 w:val="020B0604030504040204"/>
    <w:charset w:val="00"/>
    <w:family w:val="swiss"/>
    <w:pitch w:val="default"/>
    <w:sig w:usb0="00000000" w:usb1="00000000" w:usb2="00000010" w:usb3="00000000" w:csb0="2000019F"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Trebuchet MS">
    <w:altName w:val="DejaVu Sans"/>
    <w:panose1 w:val="020B0603020202020204"/>
    <w:charset w:val="00"/>
    <w:family w:val="swiss"/>
    <w:pitch w:val="default"/>
    <w:sig w:usb0="00000000"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5AFF0">
    <w:pPr>
      <w:pStyle w:val="5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5B846">
    <w:pPr>
      <w:pStyle w:val="5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90B00">
    <w:pPr>
      <w:pStyle w:val="5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05796">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A1845">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E407B">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E366B1"/>
    <w:multiLevelType w:val="multilevel"/>
    <w:tmpl w:val="9FE366B1"/>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AD6CADA9"/>
    <w:multiLevelType w:val="multilevel"/>
    <w:tmpl w:val="AD6CADA9"/>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B3F9B30D"/>
    <w:multiLevelType w:val="multilevel"/>
    <w:tmpl w:val="B3F9B30D"/>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B5EE5B8D"/>
    <w:multiLevelType w:val="multilevel"/>
    <w:tmpl w:val="B5EE5B8D"/>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CF1093D3"/>
    <w:multiLevelType w:val="multilevel"/>
    <w:tmpl w:val="CF1093D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E59607E1"/>
    <w:multiLevelType w:val="multilevel"/>
    <w:tmpl w:val="E59607E1"/>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7">
    <w:nsid w:val="0DFB7EB4"/>
    <w:multiLevelType w:val="multilevel"/>
    <w:tmpl w:val="0DFB7EB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0E9649D6"/>
    <w:multiLevelType w:val="multilevel"/>
    <w:tmpl w:val="0E9649D6"/>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15702EED"/>
    <w:multiLevelType w:val="multilevel"/>
    <w:tmpl w:val="15702EED"/>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CC3A3CA"/>
    <w:multiLevelType w:val="multilevel"/>
    <w:tmpl w:val="1CC3A3CA"/>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29CAF7E0"/>
    <w:multiLevelType w:val="multilevel"/>
    <w:tmpl w:val="29CAF7E0"/>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2C480EA0"/>
    <w:multiLevelType w:val="multilevel"/>
    <w:tmpl w:val="2C480EA0"/>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3085FF4E"/>
    <w:multiLevelType w:val="multilevel"/>
    <w:tmpl w:val="3085FF4E"/>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3BF60B96"/>
    <w:multiLevelType w:val="multilevel"/>
    <w:tmpl w:val="3BF60B96"/>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5FF83922"/>
    <w:multiLevelType w:val="multilevel"/>
    <w:tmpl w:val="5FF83922"/>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6A226BB0"/>
    <w:multiLevelType w:val="multilevel"/>
    <w:tmpl w:val="6A226BB0"/>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6"/>
  </w:num>
  <w:num w:numId="2">
    <w:abstractNumId w:val="14"/>
  </w:num>
  <w:num w:numId="3">
    <w:abstractNumId w:val="4"/>
  </w:num>
  <w:num w:numId="4">
    <w:abstractNumId w:val="1"/>
  </w:num>
  <w:num w:numId="5">
    <w:abstractNumId w:val="5"/>
  </w:num>
  <w:num w:numId="6">
    <w:abstractNumId w:val="0"/>
  </w:num>
  <w:num w:numId="7">
    <w:abstractNumId w:val="2"/>
  </w:num>
  <w:num w:numId="8">
    <w:abstractNumId w:val="3"/>
  </w:num>
  <w:num w:numId="9">
    <w:abstractNumId w:val="11"/>
  </w:num>
  <w:num w:numId="10">
    <w:abstractNumId w:val="12"/>
  </w:num>
  <w:num w:numId="11">
    <w:abstractNumId w:val="10"/>
  </w:num>
  <w:num w:numId="12">
    <w:abstractNumId w:val="13"/>
  </w:num>
  <w:num w:numId="13">
    <w:abstractNumId w:val="15"/>
  </w:num>
  <w:num w:numId="14">
    <w:abstractNumId w:val="16"/>
  </w:num>
  <w:num w:numId="15">
    <w:abstractNumId w:val="7"/>
  </w:num>
  <w:num w:numId="16">
    <w:abstractNumId w:val="9"/>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08AE"/>
    <w:rsid w:val="0002076C"/>
    <w:rsid w:val="00063E4A"/>
    <w:rsid w:val="00070451"/>
    <w:rsid w:val="00074322"/>
    <w:rsid w:val="00075FFE"/>
    <w:rsid w:val="000A6EC2"/>
    <w:rsid w:val="000A78BE"/>
    <w:rsid w:val="000B2F00"/>
    <w:rsid w:val="000B6D73"/>
    <w:rsid w:val="000C316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1682"/>
    <w:rsid w:val="00245266"/>
    <w:rsid w:val="0026557A"/>
    <w:rsid w:val="00276F1B"/>
    <w:rsid w:val="00284A4B"/>
    <w:rsid w:val="00285245"/>
    <w:rsid w:val="00293476"/>
    <w:rsid w:val="002954BF"/>
    <w:rsid w:val="002A3627"/>
    <w:rsid w:val="002A47CD"/>
    <w:rsid w:val="002A5281"/>
    <w:rsid w:val="002B7A90"/>
    <w:rsid w:val="002C033A"/>
    <w:rsid w:val="002C2304"/>
    <w:rsid w:val="002C45C0"/>
    <w:rsid w:val="002C56CC"/>
    <w:rsid w:val="002D05C4"/>
    <w:rsid w:val="002D6654"/>
    <w:rsid w:val="002F4663"/>
    <w:rsid w:val="002F555D"/>
    <w:rsid w:val="00310647"/>
    <w:rsid w:val="00314783"/>
    <w:rsid w:val="0033379C"/>
    <w:rsid w:val="00335F4E"/>
    <w:rsid w:val="00346009"/>
    <w:rsid w:val="00350C95"/>
    <w:rsid w:val="00362214"/>
    <w:rsid w:val="00372625"/>
    <w:rsid w:val="00382791"/>
    <w:rsid w:val="00392772"/>
    <w:rsid w:val="00396203"/>
    <w:rsid w:val="003B3344"/>
    <w:rsid w:val="003D1546"/>
    <w:rsid w:val="003D37BC"/>
    <w:rsid w:val="003E3C11"/>
    <w:rsid w:val="003E659A"/>
    <w:rsid w:val="003F6BA1"/>
    <w:rsid w:val="003F7D10"/>
    <w:rsid w:val="004029F9"/>
    <w:rsid w:val="0040310E"/>
    <w:rsid w:val="00440781"/>
    <w:rsid w:val="004535DE"/>
    <w:rsid w:val="00460F85"/>
    <w:rsid w:val="004636A7"/>
    <w:rsid w:val="004836A0"/>
    <w:rsid w:val="004A4E5B"/>
    <w:rsid w:val="004A54F2"/>
    <w:rsid w:val="004C1794"/>
    <w:rsid w:val="004D0E7F"/>
    <w:rsid w:val="004D3834"/>
    <w:rsid w:val="004E40B0"/>
    <w:rsid w:val="004F37F3"/>
    <w:rsid w:val="005004A2"/>
    <w:rsid w:val="005061EC"/>
    <w:rsid w:val="005161CA"/>
    <w:rsid w:val="00526BC5"/>
    <w:rsid w:val="00535AFF"/>
    <w:rsid w:val="00535FBB"/>
    <w:rsid w:val="0054220D"/>
    <w:rsid w:val="00563936"/>
    <w:rsid w:val="00567BFE"/>
    <w:rsid w:val="00584BAC"/>
    <w:rsid w:val="005904C0"/>
    <w:rsid w:val="00593AB3"/>
    <w:rsid w:val="005A193F"/>
    <w:rsid w:val="005C59D1"/>
    <w:rsid w:val="005D1978"/>
    <w:rsid w:val="005E3B91"/>
    <w:rsid w:val="00620098"/>
    <w:rsid w:val="00620E69"/>
    <w:rsid w:val="00621C75"/>
    <w:rsid w:val="0063134B"/>
    <w:rsid w:val="00631450"/>
    <w:rsid w:val="006323C8"/>
    <w:rsid w:val="00643A01"/>
    <w:rsid w:val="0065500D"/>
    <w:rsid w:val="00657053"/>
    <w:rsid w:val="00662A72"/>
    <w:rsid w:val="0067761F"/>
    <w:rsid w:val="00681DDC"/>
    <w:rsid w:val="006B1F93"/>
    <w:rsid w:val="006B773B"/>
    <w:rsid w:val="006D14D1"/>
    <w:rsid w:val="006D32C8"/>
    <w:rsid w:val="006E30EA"/>
    <w:rsid w:val="006F2CBC"/>
    <w:rsid w:val="006F5311"/>
    <w:rsid w:val="00701666"/>
    <w:rsid w:val="00744838"/>
    <w:rsid w:val="00747E1D"/>
    <w:rsid w:val="00753527"/>
    <w:rsid w:val="00755B8D"/>
    <w:rsid w:val="0075797A"/>
    <w:rsid w:val="00770085"/>
    <w:rsid w:val="00794408"/>
    <w:rsid w:val="007B2AF2"/>
    <w:rsid w:val="007D29B6"/>
    <w:rsid w:val="007D4587"/>
    <w:rsid w:val="007E2B86"/>
    <w:rsid w:val="007F5B5F"/>
    <w:rsid w:val="008005C6"/>
    <w:rsid w:val="00803823"/>
    <w:rsid w:val="008102A6"/>
    <w:rsid w:val="0081538D"/>
    <w:rsid w:val="00817700"/>
    <w:rsid w:val="00817FC2"/>
    <w:rsid w:val="00853551"/>
    <w:rsid w:val="00857F29"/>
    <w:rsid w:val="0086019E"/>
    <w:rsid w:val="008607BA"/>
    <w:rsid w:val="0086440B"/>
    <w:rsid w:val="00884D32"/>
    <w:rsid w:val="00895F8F"/>
    <w:rsid w:val="008B24DC"/>
    <w:rsid w:val="008B7D4D"/>
    <w:rsid w:val="008C4C4C"/>
    <w:rsid w:val="008D0729"/>
    <w:rsid w:val="008D74E0"/>
    <w:rsid w:val="008E22E8"/>
    <w:rsid w:val="008E5FC2"/>
    <w:rsid w:val="008F5F8B"/>
    <w:rsid w:val="0092350E"/>
    <w:rsid w:val="009375C7"/>
    <w:rsid w:val="009532DB"/>
    <w:rsid w:val="00963B1F"/>
    <w:rsid w:val="00976D5E"/>
    <w:rsid w:val="00976F03"/>
    <w:rsid w:val="0097796F"/>
    <w:rsid w:val="00997D30"/>
    <w:rsid w:val="009A1900"/>
    <w:rsid w:val="009C373D"/>
    <w:rsid w:val="009D2E61"/>
    <w:rsid w:val="009E468B"/>
    <w:rsid w:val="009F2BEC"/>
    <w:rsid w:val="00A033FB"/>
    <w:rsid w:val="00A27975"/>
    <w:rsid w:val="00A4425E"/>
    <w:rsid w:val="00A468C7"/>
    <w:rsid w:val="00A55096"/>
    <w:rsid w:val="00A71700"/>
    <w:rsid w:val="00A7616F"/>
    <w:rsid w:val="00A80B50"/>
    <w:rsid w:val="00AB034A"/>
    <w:rsid w:val="00AB298D"/>
    <w:rsid w:val="00AB31E8"/>
    <w:rsid w:val="00AC4AE9"/>
    <w:rsid w:val="00AD00E9"/>
    <w:rsid w:val="00AD1B01"/>
    <w:rsid w:val="00AE61F3"/>
    <w:rsid w:val="00AF4F10"/>
    <w:rsid w:val="00B038A3"/>
    <w:rsid w:val="00B3721F"/>
    <w:rsid w:val="00B54937"/>
    <w:rsid w:val="00B62C09"/>
    <w:rsid w:val="00B72795"/>
    <w:rsid w:val="00B82EBF"/>
    <w:rsid w:val="00B8491E"/>
    <w:rsid w:val="00B871EB"/>
    <w:rsid w:val="00B904B5"/>
    <w:rsid w:val="00BB0402"/>
    <w:rsid w:val="00BB2EEF"/>
    <w:rsid w:val="00BC7BAF"/>
    <w:rsid w:val="00BE7A33"/>
    <w:rsid w:val="00BF4DA5"/>
    <w:rsid w:val="00C02287"/>
    <w:rsid w:val="00C05C32"/>
    <w:rsid w:val="00C137AA"/>
    <w:rsid w:val="00C25124"/>
    <w:rsid w:val="00C36F77"/>
    <w:rsid w:val="00C4573C"/>
    <w:rsid w:val="00C60311"/>
    <w:rsid w:val="00C64E05"/>
    <w:rsid w:val="00C66B7A"/>
    <w:rsid w:val="00C8166D"/>
    <w:rsid w:val="00CA6A4E"/>
    <w:rsid w:val="00CC0312"/>
    <w:rsid w:val="00CD0787"/>
    <w:rsid w:val="00CD2806"/>
    <w:rsid w:val="00CF0BF9"/>
    <w:rsid w:val="00CF5C54"/>
    <w:rsid w:val="00CF7550"/>
    <w:rsid w:val="00D126AA"/>
    <w:rsid w:val="00D230F5"/>
    <w:rsid w:val="00D26F68"/>
    <w:rsid w:val="00D271FC"/>
    <w:rsid w:val="00D3461E"/>
    <w:rsid w:val="00D34F11"/>
    <w:rsid w:val="00D42A17"/>
    <w:rsid w:val="00D44319"/>
    <w:rsid w:val="00D734F8"/>
    <w:rsid w:val="00D82ED9"/>
    <w:rsid w:val="00D83FE4"/>
    <w:rsid w:val="00DA5C09"/>
    <w:rsid w:val="00DB7D81"/>
    <w:rsid w:val="00DD38DC"/>
    <w:rsid w:val="00DD3C93"/>
    <w:rsid w:val="00DD44E1"/>
    <w:rsid w:val="00DE19EA"/>
    <w:rsid w:val="00DE263A"/>
    <w:rsid w:val="00E0176F"/>
    <w:rsid w:val="00E109E5"/>
    <w:rsid w:val="00E20362"/>
    <w:rsid w:val="00E36D1D"/>
    <w:rsid w:val="00E72535"/>
    <w:rsid w:val="00EA47C9"/>
    <w:rsid w:val="00EB08FE"/>
    <w:rsid w:val="00EB1795"/>
    <w:rsid w:val="00EC3179"/>
    <w:rsid w:val="00EE0BB2"/>
    <w:rsid w:val="00EF6973"/>
    <w:rsid w:val="00F06654"/>
    <w:rsid w:val="00F1117F"/>
    <w:rsid w:val="00F1479F"/>
    <w:rsid w:val="00F24D4A"/>
    <w:rsid w:val="00F506B0"/>
    <w:rsid w:val="00F60AC2"/>
    <w:rsid w:val="00F81652"/>
    <w:rsid w:val="00F94BC9"/>
    <w:rsid w:val="00F964B9"/>
    <w:rsid w:val="00FA01A1"/>
    <w:rsid w:val="00FA7E93"/>
    <w:rsid w:val="00FB5778"/>
    <w:rsid w:val="00FB5E98"/>
    <w:rsid w:val="00FC4609"/>
    <w:rsid w:val="00FC5C10"/>
    <w:rsid w:val="00FE419E"/>
    <w:rsid w:val="00FE7083"/>
    <w:rsid w:val="033C7182"/>
    <w:rsid w:val="05BB165E"/>
    <w:rsid w:val="0BDE7A1C"/>
    <w:rsid w:val="0E4B0D79"/>
    <w:rsid w:val="12B667F9"/>
    <w:rsid w:val="12E36623"/>
    <w:rsid w:val="16BE6E11"/>
    <w:rsid w:val="17445F6B"/>
    <w:rsid w:val="1AFE7FBC"/>
    <w:rsid w:val="1D633D30"/>
    <w:rsid w:val="214D0B18"/>
    <w:rsid w:val="223157E9"/>
    <w:rsid w:val="2AB50609"/>
    <w:rsid w:val="326C4297"/>
    <w:rsid w:val="3B132789"/>
    <w:rsid w:val="3D100D91"/>
    <w:rsid w:val="3F7F6B1A"/>
    <w:rsid w:val="424F62F7"/>
    <w:rsid w:val="442E5432"/>
    <w:rsid w:val="4F730A4A"/>
    <w:rsid w:val="505435CD"/>
    <w:rsid w:val="53134CA6"/>
    <w:rsid w:val="5CCE0F99"/>
    <w:rsid w:val="66590B56"/>
    <w:rsid w:val="672B6C64"/>
    <w:rsid w:val="6740172B"/>
    <w:rsid w:val="6B91752B"/>
    <w:rsid w:val="6C187010"/>
    <w:rsid w:val="75BA5237"/>
    <w:rsid w:val="77D624CF"/>
    <w:rsid w:val="7AC562FE"/>
    <w:rsid w:val="7C726245"/>
    <w:rsid w:val="7FDE59D5"/>
    <w:rsid w:val="DE6B73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2"/>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1"/>
    <w:qFormat/>
    <w:uiPriority w:val="0"/>
    <w:pPr>
      <w:keepNext/>
      <w:keepLines/>
      <w:numPr>
        <w:ilvl w:val="1"/>
        <w:numId w:val="1"/>
      </w:numPr>
      <w:topLinePunct/>
      <w:outlineLvl w:val="1"/>
    </w:pPr>
    <w:rPr>
      <w:rFonts w:eastAsia="黑体"/>
    </w:rPr>
  </w:style>
  <w:style w:type="paragraph" w:styleId="4">
    <w:name w:val="heading 3"/>
    <w:basedOn w:val="1"/>
    <w:next w:val="1"/>
    <w:link w:val="172"/>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3"/>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1"/>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1"/>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6"/>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1"/>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0"/>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rFonts w:asciiTheme="minorHAnsi" w:hAnsiTheme="minorHAnsi" w:cstheme="minorHAnsi"/>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5"/>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5"/>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3"/>
    <w:qFormat/>
    <w:uiPriority w:val="0"/>
    <w:pPr>
      <w:shd w:val="clear" w:color="auto" w:fill="000080"/>
    </w:pPr>
  </w:style>
  <w:style w:type="paragraph" w:styleId="25">
    <w:name w:val="annotation text"/>
    <w:basedOn w:val="1"/>
    <w:link w:val="171"/>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6"/>
    <w:qFormat/>
    <w:uiPriority w:val="0"/>
  </w:style>
  <w:style w:type="paragraph" w:styleId="28">
    <w:name w:val="Body Text 3"/>
    <w:basedOn w:val="1"/>
    <w:link w:val="110"/>
    <w:qFormat/>
    <w:uiPriority w:val="0"/>
    <w:pPr>
      <w:spacing w:after="120"/>
    </w:pPr>
    <w:rPr>
      <w:sz w:val="16"/>
    </w:rPr>
  </w:style>
  <w:style w:type="paragraph" w:styleId="29">
    <w:name w:val="Closing"/>
    <w:basedOn w:val="1"/>
    <w:link w:val="11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4"/>
    <w:qFormat/>
    <w:uiPriority w:val="0"/>
    <w:pPr>
      <w:spacing w:after="120"/>
    </w:pPr>
  </w:style>
  <w:style w:type="paragraph" w:styleId="32">
    <w:name w:val="Body Text Indent"/>
    <w:basedOn w:val="1"/>
    <w:link w:val="120"/>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rFonts w:asciiTheme="minorHAnsi" w:hAnsiTheme="minorHAnsi" w:cstheme="minorHAnsi"/>
      <w:sz w:val="20"/>
    </w:rPr>
  </w:style>
  <w:style w:type="paragraph" w:styleId="41">
    <w:name w:val="toc 3"/>
    <w:basedOn w:val="1"/>
    <w:next w:val="1"/>
    <w:qFormat/>
    <w:uiPriority w:val="0"/>
    <w:pPr>
      <w:ind w:left="420"/>
      <w:jc w:val="left"/>
    </w:pPr>
    <w:rPr>
      <w:rFonts w:asciiTheme="minorHAnsi" w:hAnsiTheme="minorHAnsi" w:cstheme="minorHAnsi"/>
      <w:sz w:val="20"/>
    </w:rPr>
  </w:style>
  <w:style w:type="paragraph" w:styleId="42">
    <w:name w:val="Plain Text"/>
    <w:basedOn w:val="1"/>
    <w:link w:val="104"/>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rFonts w:asciiTheme="minorHAnsi" w:hAnsiTheme="minorHAnsi" w:cstheme="minorHAnsi"/>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5"/>
    <w:qFormat/>
    <w:uiPriority w:val="0"/>
  </w:style>
  <w:style w:type="paragraph" w:styleId="48">
    <w:name w:val="Body Text Indent 2"/>
    <w:basedOn w:val="1"/>
    <w:link w:val="13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1"/>
    <w:qFormat/>
    <w:uiPriority w:val="0"/>
    <w:rPr>
      <w:sz w:val="18"/>
    </w:rPr>
  </w:style>
  <w:style w:type="paragraph" w:styleId="51">
    <w:name w:val="footer"/>
    <w:basedOn w:val="1"/>
    <w:link w:val="166"/>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8"/>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5"/>
    <w:qFormat/>
    <w:uiPriority w:val="0"/>
    <w:pPr>
      <w:ind w:left="4320"/>
    </w:pPr>
  </w:style>
  <w:style w:type="paragraph" w:styleId="55">
    <w:name w:val="toc 1"/>
    <w:basedOn w:val="1"/>
    <w:next w:val="1"/>
    <w:qFormat/>
    <w:uiPriority w:val="39"/>
    <w:pPr>
      <w:spacing w:before="120"/>
      <w:jc w:val="left"/>
    </w:pPr>
    <w:rPr>
      <w:rFonts w:asciiTheme="minorHAnsi" w:hAnsiTheme="minorHAnsi" w:cstheme="minorHAnsi"/>
      <w:b/>
      <w:bCs/>
      <w:i/>
      <w:iCs/>
      <w:sz w:val="24"/>
      <w:szCs w:val="24"/>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rFonts w:asciiTheme="minorHAnsi" w:hAnsiTheme="minorHAnsi" w:cstheme="minorHAnsi"/>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5"/>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7"/>
    <w:qFormat/>
    <w:uiPriority w:val="0"/>
    <w:pPr>
      <w:snapToGrid w:val="0"/>
      <w:jc w:val="left"/>
    </w:pPr>
    <w:rPr>
      <w:sz w:val="18"/>
    </w:rPr>
  </w:style>
  <w:style w:type="paragraph" w:styleId="64">
    <w:name w:val="toc 6"/>
    <w:basedOn w:val="1"/>
    <w:next w:val="1"/>
    <w:qFormat/>
    <w:uiPriority w:val="0"/>
    <w:pPr>
      <w:ind w:left="1050"/>
      <w:jc w:val="left"/>
    </w:pPr>
    <w:rPr>
      <w:rFonts w:asciiTheme="minorHAnsi" w:hAnsiTheme="minorHAnsi" w:cstheme="minorHAnsi"/>
      <w:sz w:val="20"/>
    </w:rPr>
  </w:style>
  <w:style w:type="paragraph" w:styleId="65">
    <w:name w:val="List 5"/>
    <w:basedOn w:val="1"/>
    <w:qFormat/>
    <w:uiPriority w:val="0"/>
    <w:pPr>
      <w:ind w:left="2100" w:hanging="420"/>
    </w:pPr>
  </w:style>
  <w:style w:type="paragraph" w:styleId="66">
    <w:name w:val="Body Text Indent 3"/>
    <w:basedOn w:val="1"/>
    <w:link w:val="12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spacing w:before="120"/>
      <w:ind w:left="210"/>
      <w:jc w:val="left"/>
    </w:pPr>
    <w:rPr>
      <w:rFonts w:asciiTheme="minorHAnsi" w:hAnsiTheme="minorHAnsi" w:cstheme="minorHAnsi"/>
      <w:b/>
      <w:bCs/>
      <w:sz w:val="22"/>
      <w:szCs w:val="22"/>
    </w:rPr>
  </w:style>
  <w:style w:type="paragraph" w:styleId="71">
    <w:name w:val="toc 9"/>
    <w:basedOn w:val="1"/>
    <w:next w:val="1"/>
    <w:qFormat/>
    <w:uiPriority w:val="0"/>
    <w:pPr>
      <w:ind w:left="1680"/>
      <w:jc w:val="left"/>
    </w:pPr>
    <w:rPr>
      <w:rFonts w:asciiTheme="minorHAnsi" w:hAnsiTheme="minorHAnsi" w:cstheme="minorHAnsi"/>
      <w:sz w:val="20"/>
    </w:rPr>
  </w:style>
  <w:style w:type="paragraph" w:styleId="72">
    <w:name w:val="Body Text 2"/>
    <w:basedOn w:val="1"/>
    <w:link w:val="123"/>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8"/>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4"/>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4"/>
    <w:qFormat/>
    <w:uiPriority w:val="0"/>
    <w:pPr>
      <w:spacing w:before="240" w:after="60"/>
      <w:jc w:val="center"/>
      <w:outlineLvl w:val="0"/>
    </w:pPr>
    <w:rPr>
      <w:rFonts w:ascii="Arial" w:hAnsi="Arial"/>
      <w:b/>
      <w:sz w:val="32"/>
    </w:rPr>
  </w:style>
  <w:style w:type="paragraph" w:styleId="81">
    <w:name w:val="annotation subject"/>
    <w:basedOn w:val="25"/>
    <w:next w:val="25"/>
    <w:link w:val="164"/>
    <w:qFormat/>
    <w:uiPriority w:val="0"/>
    <w:rPr>
      <w:b/>
    </w:rPr>
  </w:style>
  <w:style w:type="paragraph" w:styleId="82">
    <w:name w:val="Body Text First Indent"/>
    <w:basedOn w:val="31"/>
    <w:link w:val="129"/>
    <w:qFormat/>
    <w:uiPriority w:val="0"/>
    <w:pPr>
      <w:ind w:firstLine="420"/>
    </w:pPr>
  </w:style>
  <w:style w:type="paragraph" w:styleId="83">
    <w:name w:val="Body Text First Indent 2"/>
    <w:basedOn w:val="32"/>
    <w:link w:val="119"/>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标题 1 字符"/>
    <w:link w:val="2"/>
    <w:qFormat/>
    <w:uiPriority w:val="0"/>
    <w:rPr>
      <w:rFonts w:eastAsia="汉仪大宋简"/>
      <w:kern w:val="44"/>
      <w:sz w:val="22"/>
    </w:rPr>
  </w:style>
  <w:style w:type="character" w:customStyle="1" w:styleId="103">
    <w:name w:val="标题 4 字符"/>
    <w:link w:val="5"/>
    <w:qFormat/>
    <w:uiPriority w:val="0"/>
    <w:rPr>
      <w:rFonts w:ascii="Arial" w:hAnsi="Arial" w:eastAsia="黑体"/>
      <w:b/>
      <w:kern w:val="2"/>
      <w:sz w:val="28"/>
    </w:rPr>
  </w:style>
  <w:style w:type="character" w:customStyle="1" w:styleId="104">
    <w:name w:val="纯文本 字符"/>
    <w:link w:val="42"/>
    <w:qFormat/>
    <w:uiPriority w:val="0"/>
    <w:rPr>
      <w:rFonts w:ascii="宋体" w:hAnsi="Courier New" w:eastAsia="宋体"/>
      <w:kern w:val="2"/>
      <w:sz w:val="21"/>
      <w:lang w:val="en-US" w:eastAsia="zh-CN"/>
    </w:rPr>
  </w:style>
  <w:style w:type="character" w:customStyle="1" w:styleId="105">
    <w:name w:val="个人答复风格"/>
    <w:qFormat/>
    <w:uiPriority w:val="0"/>
    <w:rPr>
      <w:rFonts w:ascii="Arial" w:hAnsi="Arial" w:eastAsia="宋体"/>
      <w:color w:val="auto"/>
      <w:sz w:val="20"/>
    </w:rPr>
  </w:style>
  <w:style w:type="character" w:customStyle="1" w:styleId="106">
    <w:name w:val="Char Char2"/>
    <w:qFormat/>
    <w:uiPriority w:val="0"/>
    <w:rPr>
      <w:rFonts w:eastAsia="汉仪大宋简"/>
      <w:kern w:val="44"/>
      <w:sz w:val="22"/>
      <w:lang w:val="en-US" w:eastAsia="zh-CN"/>
    </w:rPr>
  </w:style>
  <w:style w:type="character" w:customStyle="1" w:styleId="107">
    <w:name w:val="脚注文本 字符"/>
    <w:link w:val="63"/>
    <w:qFormat/>
    <w:uiPriority w:val="0"/>
    <w:rPr>
      <w:kern w:val="2"/>
      <w:sz w:val="18"/>
    </w:rPr>
  </w:style>
  <w:style w:type="character" w:customStyle="1" w:styleId="108">
    <w:name w:val="首行缩进 Char"/>
    <w:link w:val="109"/>
    <w:qFormat/>
    <w:uiPriority w:val="0"/>
    <w:rPr>
      <w:rFonts w:eastAsia="方正书宋简体"/>
      <w:kern w:val="2"/>
      <w:sz w:val="21"/>
      <w:lang w:val="en-US" w:eastAsia="zh-CN"/>
    </w:rPr>
  </w:style>
  <w:style w:type="paragraph" w:customStyle="1" w:styleId="109">
    <w:name w:val="首行缩进"/>
    <w:basedOn w:val="1"/>
    <w:link w:val="108"/>
    <w:qFormat/>
    <w:uiPriority w:val="0"/>
    <w:pPr>
      <w:spacing w:line="300" w:lineRule="auto"/>
      <w:ind w:firstLine="420" w:firstLineChars="200"/>
    </w:pPr>
    <w:rPr>
      <w:rFonts w:eastAsia="方正书宋简体"/>
    </w:rPr>
  </w:style>
  <w:style w:type="character" w:customStyle="1" w:styleId="110">
    <w:name w:val="正文文本 3 字符"/>
    <w:link w:val="28"/>
    <w:qFormat/>
    <w:uiPriority w:val="0"/>
    <w:rPr>
      <w:kern w:val="2"/>
      <w:sz w:val="16"/>
    </w:rPr>
  </w:style>
  <w:style w:type="character" w:customStyle="1" w:styleId="111">
    <w:name w:val="结束语 字符"/>
    <w:link w:val="29"/>
    <w:qFormat/>
    <w:uiPriority w:val="0"/>
    <w:rPr>
      <w:kern w:val="2"/>
      <w:sz w:val="21"/>
    </w:rPr>
  </w:style>
  <w:style w:type="character" w:customStyle="1" w:styleId="112">
    <w:name w:val="articlebody21"/>
    <w:qFormat/>
    <w:uiPriority w:val="0"/>
    <w:rPr>
      <w:rFonts w:hint="default"/>
      <w:sz w:val="21"/>
    </w:rPr>
  </w:style>
  <w:style w:type="character" w:customStyle="1" w:styleId="113">
    <w:name w:val="表头 Char"/>
    <w:link w:val="114"/>
    <w:qFormat/>
    <w:uiPriority w:val="0"/>
    <w:rPr>
      <w:rFonts w:eastAsia="黑体"/>
      <w:kern w:val="2"/>
      <w:sz w:val="21"/>
      <w:lang w:val="en-US" w:eastAsia="zh-CN"/>
    </w:rPr>
  </w:style>
  <w:style w:type="paragraph" w:customStyle="1" w:styleId="114">
    <w:name w:val="表头"/>
    <w:basedOn w:val="1"/>
    <w:link w:val="113"/>
    <w:qFormat/>
    <w:uiPriority w:val="0"/>
    <w:pPr>
      <w:topLinePunct/>
      <w:spacing w:before="160" w:after="60"/>
      <w:jc w:val="center"/>
    </w:pPr>
    <w:rPr>
      <w:rFonts w:eastAsia="黑体"/>
    </w:rPr>
  </w:style>
  <w:style w:type="character" w:customStyle="1" w:styleId="115">
    <w:name w:val="电子邮件签名 字符"/>
    <w:link w:val="17"/>
    <w:qFormat/>
    <w:uiPriority w:val="0"/>
    <w:rPr>
      <w:kern w:val="2"/>
      <w:sz w:val="21"/>
    </w:rPr>
  </w:style>
  <w:style w:type="character" w:customStyle="1" w:styleId="116">
    <w:name w:val="样式6 Char"/>
    <w:link w:val="117"/>
    <w:qFormat/>
    <w:uiPriority w:val="0"/>
    <w:rPr>
      <w:kern w:val="2"/>
      <w:sz w:val="21"/>
    </w:rPr>
  </w:style>
  <w:style w:type="paragraph" w:customStyle="1" w:styleId="117">
    <w:name w:val="样式6"/>
    <w:basedOn w:val="1"/>
    <w:link w:val="116"/>
    <w:qFormat/>
    <w:uiPriority w:val="0"/>
    <w:pPr>
      <w:tabs>
        <w:tab w:val="left" w:pos="1571"/>
      </w:tabs>
      <w:ind w:left="1418" w:hanging="567"/>
    </w:pPr>
  </w:style>
  <w:style w:type="character" w:customStyle="1" w:styleId="118">
    <w:name w:val="信息标题 字符"/>
    <w:link w:val="75"/>
    <w:qFormat/>
    <w:uiPriority w:val="0"/>
    <w:rPr>
      <w:rFonts w:ascii="Arial" w:hAnsi="Arial"/>
      <w:kern w:val="2"/>
      <w:sz w:val="24"/>
      <w:shd w:val="pct20" w:color="auto" w:fill="auto"/>
    </w:rPr>
  </w:style>
  <w:style w:type="character" w:customStyle="1" w:styleId="119">
    <w:name w:val="正文文本首行缩进 2 字符"/>
    <w:basedOn w:val="120"/>
    <w:link w:val="83"/>
    <w:qFormat/>
    <w:uiPriority w:val="0"/>
    <w:rPr>
      <w:kern w:val="2"/>
      <w:sz w:val="21"/>
    </w:rPr>
  </w:style>
  <w:style w:type="character" w:customStyle="1" w:styleId="120">
    <w:name w:val="正文文本缩进 字符"/>
    <w:link w:val="32"/>
    <w:qFormat/>
    <w:uiPriority w:val="99"/>
    <w:rPr>
      <w:kern w:val="2"/>
      <w:sz w:val="21"/>
    </w:rPr>
  </w:style>
  <w:style w:type="character" w:customStyle="1" w:styleId="121">
    <w:name w:val="标题 8 字符"/>
    <w:link w:val="9"/>
    <w:qFormat/>
    <w:uiPriority w:val="0"/>
    <w:rPr>
      <w:rFonts w:ascii="Arial" w:hAnsi="Arial" w:eastAsia="黑体"/>
      <w:kern w:val="2"/>
      <w:sz w:val="24"/>
    </w:rPr>
  </w:style>
  <w:style w:type="character" w:customStyle="1" w:styleId="122">
    <w:name w:val="节标题 1.1 Char"/>
    <w:qFormat/>
    <w:uiPriority w:val="0"/>
    <w:rPr>
      <w:rFonts w:eastAsia="黑体"/>
      <w:kern w:val="2"/>
      <w:sz w:val="21"/>
      <w:lang w:val="en-US" w:eastAsia="zh-CN"/>
    </w:rPr>
  </w:style>
  <w:style w:type="character" w:customStyle="1" w:styleId="123">
    <w:name w:val="正文文本 2 字符"/>
    <w:link w:val="72"/>
    <w:qFormat/>
    <w:uiPriority w:val="0"/>
    <w:rPr>
      <w:kern w:val="2"/>
      <w:sz w:val="21"/>
    </w:rPr>
  </w:style>
  <w:style w:type="character" w:customStyle="1" w:styleId="124">
    <w:name w:val="正文文本 字符"/>
    <w:link w:val="31"/>
    <w:qFormat/>
    <w:uiPriority w:val="0"/>
    <w:rPr>
      <w:kern w:val="2"/>
      <w:sz w:val="21"/>
    </w:rPr>
  </w:style>
  <w:style w:type="character" w:customStyle="1" w:styleId="125">
    <w:name w:val="注释标题 字符"/>
    <w:link w:val="14"/>
    <w:qFormat/>
    <w:uiPriority w:val="0"/>
    <w:rPr>
      <w:kern w:val="2"/>
      <w:sz w:val="21"/>
    </w:rPr>
  </w:style>
  <w:style w:type="character" w:customStyle="1" w:styleId="126">
    <w:name w:val="正文文本缩进 3 字符"/>
    <w:link w:val="66"/>
    <w:qFormat/>
    <w:uiPriority w:val="0"/>
    <w:rPr>
      <w:kern w:val="2"/>
      <w:sz w:val="16"/>
    </w:rPr>
  </w:style>
  <w:style w:type="character" w:customStyle="1" w:styleId="127">
    <w:name w:val="二级条标题 Char"/>
    <w:link w:val="128"/>
    <w:qFormat/>
    <w:uiPriority w:val="0"/>
    <w:rPr>
      <w:rFonts w:ascii="黑体" w:eastAsia="黑体"/>
      <w:b/>
      <w:sz w:val="21"/>
      <w:lang w:val="en-US" w:eastAsia="zh-CN"/>
    </w:rPr>
  </w:style>
  <w:style w:type="paragraph" w:customStyle="1" w:styleId="128">
    <w:name w:val="二级条标题"/>
    <w:basedOn w:val="1"/>
    <w:next w:val="1"/>
    <w:link w:val="127"/>
    <w:qFormat/>
    <w:uiPriority w:val="0"/>
    <w:pPr>
      <w:widowControl/>
      <w:outlineLvl w:val="3"/>
    </w:pPr>
    <w:rPr>
      <w:rFonts w:ascii="黑体" w:eastAsia="黑体"/>
      <w:b/>
      <w:kern w:val="0"/>
    </w:rPr>
  </w:style>
  <w:style w:type="character" w:customStyle="1" w:styleId="129">
    <w:name w:val="正文文本首行缩进 字符"/>
    <w:basedOn w:val="124"/>
    <w:link w:val="82"/>
    <w:qFormat/>
    <w:uiPriority w:val="0"/>
    <w:rPr>
      <w:kern w:val="2"/>
      <w:sz w:val="21"/>
    </w:rPr>
  </w:style>
  <w:style w:type="character" w:customStyle="1" w:styleId="130">
    <w:name w:val="正文文本缩进 2 字符"/>
    <w:link w:val="48"/>
    <w:qFormat/>
    <w:uiPriority w:val="0"/>
    <w:rPr>
      <w:kern w:val="2"/>
      <w:sz w:val="21"/>
    </w:rPr>
  </w:style>
  <w:style w:type="character" w:customStyle="1" w:styleId="131">
    <w:name w:val="标题 2 字符"/>
    <w:link w:val="3"/>
    <w:qFormat/>
    <w:uiPriority w:val="0"/>
    <w:rPr>
      <w:rFonts w:eastAsia="黑体"/>
      <w:kern w:val="2"/>
      <w:sz w:val="21"/>
    </w:rPr>
  </w:style>
  <w:style w:type="character" w:customStyle="1" w:styleId="132">
    <w:name w:val="页眉 Char1"/>
    <w:semiHidden/>
    <w:qFormat/>
    <w:uiPriority w:val="99"/>
    <w:rPr>
      <w:kern w:val="2"/>
      <w:sz w:val="18"/>
      <w:szCs w:val="18"/>
    </w:rPr>
  </w:style>
  <w:style w:type="character" w:customStyle="1" w:styleId="133">
    <w:name w:val="发布"/>
    <w:qFormat/>
    <w:uiPriority w:val="0"/>
    <w:rPr>
      <w:rFonts w:ascii="黑体" w:eastAsia="黑体"/>
      <w:spacing w:val="22"/>
      <w:w w:val="100"/>
      <w:position w:val="3"/>
      <w:sz w:val="28"/>
    </w:rPr>
  </w:style>
  <w:style w:type="character" w:customStyle="1" w:styleId="134">
    <w:name w:val="Char Char4"/>
    <w:qFormat/>
    <w:uiPriority w:val="0"/>
    <w:rPr>
      <w:rFonts w:eastAsia="汉仪大宋简"/>
      <w:kern w:val="44"/>
      <w:sz w:val="22"/>
      <w:lang w:val="en-US" w:eastAsia="zh-CN"/>
    </w:rPr>
  </w:style>
  <w:style w:type="character" w:customStyle="1" w:styleId="135">
    <w:name w:val="日期 字符"/>
    <w:link w:val="47"/>
    <w:qFormat/>
    <w:uiPriority w:val="0"/>
    <w:rPr>
      <w:kern w:val="2"/>
      <w:sz w:val="21"/>
    </w:rPr>
  </w:style>
  <w:style w:type="character" w:customStyle="1" w:styleId="136">
    <w:name w:val="标题 1 Char Char"/>
    <w:qFormat/>
    <w:uiPriority w:val="0"/>
    <w:rPr>
      <w:rFonts w:ascii="宋体" w:eastAsia="宋体"/>
      <w:b/>
      <w:kern w:val="44"/>
      <w:sz w:val="21"/>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页眉 字符"/>
    <w:link w:val="53"/>
    <w:qFormat/>
    <w:uiPriority w:val="0"/>
    <w:rPr>
      <w:rFonts w:eastAsia="宋体"/>
      <w:kern w:val="2"/>
      <w:sz w:val="18"/>
      <w:lang w:val="en-US" w:eastAsia="zh-CN"/>
    </w:rPr>
  </w:style>
  <w:style w:type="character" w:customStyle="1" w:styleId="139">
    <w:name w:val="表内居中小五 Char"/>
    <w:link w:val="140"/>
    <w:qFormat/>
    <w:uiPriority w:val="0"/>
    <w:rPr>
      <w:rFonts w:eastAsia="宋体"/>
      <w:kern w:val="2"/>
      <w:sz w:val="18"/>
      <w:lang w:val="en-US" w:eastAsia="zh-CN"/>
    </w:rPr>
  </w:style>
  <w:style w:type="paragraph" w:customStyle="1" w:styleId="140">
    <w:name w:val="表内居中小五"/>
    <w:basedOn w:val="1"/>
    <w:link w:val="139"/>
    <w:qFormat/>
    <w:uiPriority w:val="0"/>
    <w:pPr>
      <w:jc w:val="center"/>
    </w:pPr>
    <w:rPr>
      <w:sz w:val="18"/>
    </w:rPr>
  </w:style>
  <w:style w:type="character" w:customStyle="1" w:styleId="141">
    <w:name w:val="标题 6 字符"/>
    <w:link w:val="7"/>
    <w:qFormat/>
    <w:uiPriority w:val="0"/>
    <w:rPr>
      <w:rFonts w:ascii="Arial" w:hAnsi="Arial" w:eastAsia="黑体"/>
      <w:b/>
      <w:kern w:val="2"/>
      <w:sz w:val="24"/>
    </w:rPr>
  </w:style>
  <w:style w:type="character" w:customStyle="1" w:styleId="142">
    <w:name w:val="样式 标题 3 + 宋体 Char"/>
    <w:link w:val="143"/>
    <w:qFormat/>
    <w:uiPriority w:val="0"/>
    <w:rPr>
      <w:rFonts w:ascii="宋体" w:hAnsi="宋体" w:eastAsia="宋体"/>
      <w:kern w:val="2"/>
      <w:sz w:val="21"/>
      <w:lang w:val="en-US" w:eastAsia="zh-CN"/>
    </w:rPr>
  </w:style>
  <w:style w:type="paragraph" w:customStyle="1" w:styleId="143">
    <w:name w:val="样式 标题 3 + 宋体"/>
    <w:basedOn w:val="4"/>
    <w:link w:val="142"/>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4">
    <w:name w:val="标题 字符"/>
    <w:link w:val="80"/>
    <w:qFormat/>
    <w:uiPriority w:val="0"/>
    <w:rPr>
      <w:rFonts w:ascii="Arial" w:hAnsi="Arial"/>
      <w:b/>
      <w:kern w:val="2"/>
      <w:sz w:val="32"/>
    </w:rPr>
  </w:style>
  <w:style w:type="character" w:customStyle="1" w:styleId="145">
    <w:name w:val="副标题 字符"/>
    <w:link w:val="60"/>
    <w:qFormat/>
    <w:uiPriority w:val="0"/>
    <w:rPr>
      <w:rFonts w:ascii="Arial" w:hAnsi="Arial"/>
      <w:b/>
      <w:kern w:val="28"/>
      <w:sz w:val="32"/>
    </w:rPr>
  </w:style>
  <w:style w:type="character" w:customStyle="1" w:styleId="146">
    <w:name w:val="标题 7 字符"/>
    <w:link w:val="8"/>
    <w:qFormat/>
    <w:uiPriority w:val="0"/>
    <w:rPr>
      <w:b/>
      <w:kern w:val="2"/>
      <w:sz w:val="24"/>
    </w:rPr>
  </w:style>
  <w:style w:type="character" w:customStyle="1" w:styleId="147">
    <w:name w:val="一级条标题 Char"/>
    <w:link w:val="148"/>
    <w:qFormat/>
    <w:uiPriority w:val="0"/>
    <w:rPr>
      <w:rFonts w:ascii="黑体" w:eastAsia="黑体"/>
      <w:b/>
      <w:sz w:val="21"/>
    </w:rPr>
  </w:style>
  <w:style w:type="paragraph" w:customStyle="1" w:styleId="148">
    <w:name w:val="一级条标题"/>
    <w:basedOn w:val="149"/>
    <w:next w:val="150"/>
    <w:link w:val="147"/>
    <w:qFormat/>
    <w:uiPriority w:val="0"/>
    <w:pPr>
      <w:tabs>
        <w:tab w:val="left" w:pos="420"/>
        <w:tab w:val="left" w:pos="525"/>
      </w:tabs>
      <w:spacing w:beforeLines="0" w:afterLines="0"/>
      <w:outlineLvl w:val="2"/>
    </w:pPr>
  </w:style>
  <w:style w:type="paragraph" w:customStyle="1" w:styleId="149">
    <w:name w:val="章标题"/>
    <w:next w:val="150"/>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1">
    <w:name w:val="正文格式 Char"/>
    <w:link w:val="152"/>
    <w:qFormat/>
    <w:uiPriority w:val="0"/>
    <w:rPr>
      <w:rFonts w:ascii="宋体" w:hAnsi="宋体" w:eastAsia="宋体"/>
      <w:kern w:val="2"/>
      <w:sz w:val="21"/>
      <w:lang w:val="en-US" w:eastAsia="zh-CN"/>
    </w:rPr>
  </w:style>
  <w:style w:type="paragraph" w:customStyle="1" w:styleId="152">
    <w:name w:val="正文格式"/>
    <w:basedOn w:val="1"/>
    <w:link w:val="151"/>
    <w:qFormat/>
    <w:uiPriority w:val="0"/>
    <w:pPr>
      <w:topLinePunct/>
      <w:ind w:firstLine="420" w:firstLineChars="200"/>
    </w:pPr>
    <w:rPr>
      <w:rFonts w:ascii="宋体" w:hAnsi="宋体"/>
    </w:rPr>
  </w:style>
  <w:style w:type="character" w:customStyle="1" w:styleId="153">
    <w:name w:val="文档结构图 字符"/>
    <w:link w:val="24"/>
    <w:qFormat/>
    <w:uiPriority w:val="0"/>
    <w:rPr>
      <w:kern w:val="2"/>
      <w:sz w:val="21"/>
      <w:shd w:val="clear" w:color="auto" w:fill="000080"/>
    </w:rPr>
  </w:style>
  <w:style w:type="character" w:customStyle="1" w:styleId="154">
    <w:name w:val="HTML 预设格式 字符"/>
    <w:link w:val="76"/>
    <w:qFormat/>
    <w:uiPriority w:val="0"/>
    <w:rPr>
      <w:rFonts w:ascii="Courier New" w:hAnsi="Courier New"/>
      <w:kern w:val="2"/>
    </w:rPr>
  </w:style>
  <w:style w:type="character" w:customStyle="1" w:styleId="155">
    <w:name w:val="纯文本 Char1"/>
    <w:semiHidden/>
    <w:qFormat/>
    <w:uiPriority w:val="0"/>
    <w:rPr>
      <w:rFonts w:ascii="宋体" w:hAnsi="Courier New" w:cs="Courier New"/>
      <w:kern w:val="2"/>
      <w:sz w:val="21"/>
      <w:szCs w:val="21"/>
    </w:rPr>
  </w:style>
  <w:style w:type="character" w:customStyle="1" w:styleId="156">
    <w:name w:val="称呼 字符"/>
    <w:link w:val="27"/>
    <w:qFormat/>
    <w:uiPriority w:val="0"/>
    <w:rPr>
      <w:kern w:val="2"/>
      <w:sz w:val="21"/>
    </w:rPr>
  </w:style>
  <w:style w:type="character" w:customStyle="1" w:styleId="157">
    <w:name w:val="Normal1 Char"/>
    <w:link w:val="158"/>
    <w:qFormat/>
    <w:uiPriority w:val="0"/>
    <w:rPr>
      <w:rFonts w:ascii="宋体"/>
      <w:sz w:val="24"/>
      <w:lang w:val="en-US" w:eastAsia="zh-CN" w:bidi="ar-SA"/>
    </w:rPr>
  </w:style>
  <w:style w:type="paragraph" w:customStyle="1" w:styleId="158">
    <w:name w:val="Normal1"/>
    <w:link w:val="157"/>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59">
    <w:name w:val="个人撰写风格"/>
    <w:qFormat/>
    <w:uiPriority w:val="0"/>
    <w:rPr>
      <w:rFonts w:ascii="Arial" w:hAnsi="Arial" w:eastAsia="宋体"/>
      <w:color w:val="auto"/>
      <w:sz w:val="20"/>
    </w:rPr>
  </w:style>
  <w:style w:type="character" w:customStyle="1" w:styleId="160">
    <w:name w:val="正文 Char"/>
    <w:qFormat/>
    <w:uiPriority w:val="0"/>
    <w:rPr>
      <w:rFonts w:eastAsia="宋体" w:cs="宋体"/>
      <w:kern w:val="2"/>
      <w:sz w:val="21"/>
      <w:lang w:val="en-US" w:eastAsia="zh-CN" w:bidi="ar-SA"/>
    </w:rPr>
  </w:style>
  <w:style w:type="character" w:customStyle="1" w:styleId="161">
    <w:name w:val="标题 5 字符"/>
    <w:link w:val="6"/>
    <w:qFormat/>
    <w:uiPriority w:val="0"/>
    <w:rPr>
      <w:rFonts w:eastAsia="黑体"/>
      <w:kern w:val="2"/>
      <w:sz w:val="21"/>
    </w:rPr>
  </w:style>
  <w:style w:type="character" w:customStyle="1" w:styleId="162">
    <w:name w:val="HTML 地址 字符"/>
    <w:link w:val="38"/>
    <w:qFormat/>
    <w:uiPriority w:val="0"/>
    <w:rPr>
      <w:i/>
      <w:kern w:val="2"/>
      <w:sz w:val="21"/>
    </w:rPr>
  </w:style>
  <w:style w:type="character" w:customStyle="1" w:styleId="163">
    <w:name w:val="Char Char16"/>
    <w:qFormat/>
    <w:uiPriority w:val="0"/>
    <w:rPr>
      <w:rFonts w:ascii="Arial" w:hAnsi="Arial" w:eastAsia="黑体"/>
      <w:b/>
      <w:kern w:val="2"/>
      <w:sz w:val="32"/>
      <w:lang w:val="en-US" w:eastAsia="zh-CN"/>
    </w:rPr>
  </w:style>
  <w:style w:type="character" w:customStyle="1" w:styleId="164">
    <w:name w:val="批注主题 字符"/>
    <w:link w:val="81"/>
    <w:qFormat/>
    <w:uiPriority w:val="0"/>
    <w:rPr>
      <w:b/>
      <w:kern w:val="2"/>
      <w:sz w:val="21"/>
    </w:rPr>
  </w:style>
  <w:style w:type="character" w:customStyle="1" w:styleId="165">
    <w:name w:val="标题1.1.1.1.1 Char"/>
    <w:qFormat/>
    <w:uiPriority w:val="0"/>
    <w:rPr>
      <w:rFonts w:eastAsia="宋体"/>
      <w:b/>
      <w:kern w:val="2"/>
      <w:sz w:val="28"/>
      <w:lang w:val="en-US" w:eastAsia="zh-CN"/>
    </w:rPr>
  </w:style>
  <w:style w:type="character" w:customStyle="1" w:styleId="166">
    <w:name w:val="页脚 字符"/>
    <w:link w:val="51"/>
    <w:qFormat/>
    <w:uiPriority w:val="99"/>
    <w:rPr>
      <w:rFonts w:eastAsia="宋体"/>
      <w:kern w:val="2"/>
      <w:sz w:val="18"/>
      <w:lang w:val="en-US" w:eastAsia="zh-CN"/>
    </w:rPr>
  </w:style>
  <w:style w:type="character" w:customStyle="1" w:styleId="167">
    <w:name w:val="jl 正文 Char Char Char"/>
    <w:link w:val="168"/>
    <w:qFormat/>
    <w:uiPriority w:val="0"/>
    <w:rPr>
      <w:rFonts w:ascii="宋体" w:eastAsia="宋体"/>
      <w:kern w:val="2"/>
      <w:sz w:val="24"/>
      <w:lang w:val="en-US" w:eastAsia="zh-CN"/>
    </w:rPr>
  </w:style>
  <w:style w:type="paragraph" w:customStyle="1" w:styleId="168">
    <w:name w:val="jl 正文 Char Char"/>
    <w:basedOn w:val="1"/>
    <w:link w:val="167"/>
    <w:qFormat/>
    <w:uiPriority w:val="0"/>
    <w:pPr>
      <w:autoSpaceDE w:val="0"/>
      <w:autoSpaceDN w:val="0"/>
      <w:adjustRightInd w:val="0"/>
      <w:ind w:firstLine="200" w:firstLineChars="200"/>
      <w:jc w:val="left"/>
      <w:textAlignment w:val="baseline"/>
    </w:pPr>
    <w:rPr>
      <w:rFonts w:ascii="宋体"/>
      <w:sz w:val="24"/>
    </w:rPr>
  </w:style>
  <w:style w:type="character" w:customStyle="1" w:styleId="169">
    <w:name w:val="样式 标题 4 + (符号) 宋体 Char"/>
    <w:link w:val="170"/>
    <w:qFormat/>
    <w:uiPriority w:val="0"/>
    <w:rPr>
      <w:rFonts w:ascii="宋体"/>
      <w:kern w:val="2"/>
      <w:sz w:val="21"/>
    </w:rPr>
  </w:style>
  <w:style w:type="paragraph" w:customStyle="1" w:styleId="170">
    <w:name w:val="样式 标题 4 + (符号) 宋体"/>
    <w:basedOn w:val="5"/>
    <w:link w:val="16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1">
    <w:name w:val="批注文字 字符"/>
    <w:link w:val="25"/>
    <w:qFormat/>
    <w:uiPriority w:val="99"/>
    <w:rPr>
      <w:kern w:val="2"/>
      <w:sz w:val="21"/>
    </w:rPr>
  </w:style>
  <w:style w:type="character" w:customStyle="1" w:styleId="172">
    <w:name w:val="标题 3 字符"/>
    <w:link w:val="4"/>
    <w:qFormat/>
    <w:uiPriority w:val="0"/>
    <w:rPr>
      <w:rFonts w:eastAsia="黑体"/>
      <w:kern w:val="2"/>
      <w:sz w:val="28"/>
    </w:rPr>
  </w:style>
  <w:style w:type="character" w:customStyle="1" w:styleId="173">
    <w:name w:val="表内居两端对齐 Char"/>
    <w:basedOn w:val="139"/>
    <w:link w:val="174"/>
    <w:qFormat/>
    <w:uiPriority w:val="0"/>
    <w:rPr>
      <w:rFonts w:eastAsia="宋体"/>
      <w:kern w:val="2"/>
      <w:sz w:val="18"/>
      <w:lang w:val="en-US" w:eastAsia="zh-CN"/>
    </w:rPr>
  </w:style>
  <w:style w:type="paragraph" w:customStyle="1" w:styleId="174">
    <w:name w:val="表内居两端对齐"/>
    <w:basedOn w:val="140"/>
    <w:link w:val="173"/>
    <w:qFormat/>
    <w:uiPriority w:val="0"/>
    <w:pPr>
      <w:jc w:val="both"/>
    </w:pPr>
  </w:style>
  <w:style w:type="character" w:customStyle="1" w:styleId="175">
    <w:name w:val="签名 字符"/>
    <w:link w:val="54"/>
    <w:qFormat/>
    <w:uiPriority w:val="0"/>
    <w:rPr>
      <w:kern w:val="2"/>
      <w:sz w:val="21"/>
    </w:rPr>
  </w:style>
  <w:style w:type="character" w:customStyle="1" w:styleId="176">
    <w:name w:val="页脚 Char1"/>
    <w:semiHidden/>
    <w:qFormat/>
    <w:uiPriority w:val="99"/>
    <w:rPr>
      <w:kern w:val="2"/>
      <w:sz w:val="18"/>
      <w:szCs w:val="18"/>
    </w:rPr>
  </w:style>
  <w:style w:type="character" w:customStyle="1" w:styleId="177">
    <w:name w:val="正文缩进 字符"/>
    <w:link w:val="19"/>
    <w:qFormat/>
    <w:uiPriority w:val="0"/>
    <w:rPr>
      <w:rFonts w:eastAsia="宋体"/>
      <w:kern w:val="2"/>
      <w:sz w:val="21"/>
      <w:lang w:val="en-US" w:eastAsia="zh-CN"/>
    </w:rPr>
  </w:style>
  <w:style w:type="character" w:customStyle="1" w:styleId="178">
    <w:name w:val="jl 三级 Char Char"/>
    <w:link w:val="179"/>
    <w:qFormat/>
    <w:uiPriority w:val="0"/>
    <w:rPr>
      <w:rFonts w:ascii="宋体" w:hAnsi="宋体" w:eastAsia="宋体"/>
      <w:b/>
      <w:color w:val="000000"/>
      <w:kern w:val="2"/>
      <w:sz w:val="24"/>
      <w:lang w:val="en-US" w:eastAsia="zh-CN"/>
    </w:rPr>
  </w:style>
  <w:style w:type="paragraph" w:customStyle="1" w:styleId="179">
    <w:name w:val="jl 三级 Char"/>
    <w:basedOn w:val="1"/>
    <w:link w:val="178"/>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0">
    <w:name w:val="标题 9 字符"/>
    <w:link w:val="10"/>
    <w:qFormat/>
    <w:uiPriority w:val="0"/>
    <w:rPr>
      <w:rFonts w:ascii="Arial" w:hAnsi="Arial" w:eastAsia="黑体"/>
      <w:kern w:val="2"/>
      <w:sz w:val="21"/>
    </w:rPr>
  </w:style>
  <w:style w:type="character" w:customStyle="1" w:styleId="181">
    <w:name w:val="批注框文本 字符"/>
    <w:link w:val="50"/>
    <w:qFormat/>
    <w:uiPriority w:val="0"/>
    <w:rPr>
      <w:kern w:val="2"/>
      <w:sz w:val="18"/>
    </w:rPr>
  </w:style>
  <w:style w:type="character" w:customStyle="1" w:styleId="182">
    <w:name w:val="Char Char14"/>
    <w:qFormat/>
    <w:uiPriority w:val="0"/>
    <w:rPr>
      <w:rFonts w:eastAsia="宋体"/>
      <w:kern w:val="2"/>
      <w:sz w:val="21"/>
      <w:lang w:val="en-US" w:eastAsia="zh-CN"/>
    </w:rPr>
  </w:style>
  <w:style w:type="paragraph" w:customStyle="1" w:styleId="183">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5">
    <w:name w:val="二级无标题条"/>
    <w:basedOn w:val="1"/>
    <w:qFormat/>
    <w:uiPriority w:val="0"/>
  </w:style>
  <w:style w:type="paragraph" w:customStyle="1" w:styleId="186">
    <w:name w:val="附录四级条标题"/>
    <w:basedOn w:val="187"/>
    <w:next w:val="150"/>
    <w:qFormat/>
    <w:uiPriority w:val="0"/>
    <w:pPr>
      <w:tabs>
        <w:tab w:val="left" w:pos="360"/>
        <w:tab w:val="left" w:pos="2040"/>
      </w:tabs>
      <w:ind w:left="2040" w:hanging="360"/>
      <w:outlineLvl w:val="5"/>
    </w:pPr>
  </w:style>
  <w:style w:type="paragraph" w:customStyle="1" w:styleId="187">
    <w:name w:val="附录三级条标题"/>
    <w:basedOn w:val="1"/>
    <w:next w:val="150"/>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89">
    <w:name w:val="封面标准代替信息"/>
    <w:basedOn w:val="190"/>
    <w:qFormat/>
    <w:uiPriority w:val="0"/>
    <w:pPr>
      <w:spacing w:before="57"/>
    </w:pPr>
    <w:rPr>
      <w:rFonts w:ascii="宋体"/>
      <w:sz w:val="21"/>
    </w:rPr>
  </w:style>
  <w:style w:type="paragraph" w:customStyle="1" w:styleId="190">
    <w:name w:val="封面标准号2"/>
    <w:basedOn w:val="191"/>
    <w:qFormat/>
    <w:uiPriority w:val="0"/>
    <w:pPr>
      <w:adjustRightInd w:val="0"/>
      <w:spacing w:before="357" w:line="280" w:lineRule="exact"/>
    </w:pPr>
  </w:style>
  <w:style w:type="paragraph" w:customStyle="1" w:styleId="19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2">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3">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4">
    <w:name w:val="样式 Arial 首行缩进:  2 字符"/>
    <w:basedOn w:val="1"/>
    <w:qFormat/>
    <w:uiPriority w:val="0"/>
    <w:pPr>
      <w:ind w:firstLine="403" w:firstLineChars="200"/>
    </w:pPr>
  </w:style>
  <w:style w:type="paragraph" w:customStyle="1" w:styleId="195">
    <w:name w:val="五级条标题"/>
    <w:basedOn w:val="196"/>
    <w:next w:val="150"/>
    <w:qFormat/>
    <w:uiPriority w:val="0"/>
    <w:pPr>
      <w:tabs>
        <w:tab w:val="left" w:pos="945"/>
        <w:tab w:val="left" w:pos="1021"/>
        <w:tab w:val="left" w:pos="1080"/>
        <w:tab w:val="left" w:pos="1155"/>
        <w:tab w:val="left" w:pos="1407"/>
        <w:tab w:val="left" w:pos="1440"/>
      </w:tabs>
      <w:outlineLvl w:val="6"/>
    </w:pPr>
  </w:style>
  <w:style w:type="paragraph" w:customStyle="1" w:styleId="196">
    <w:name w:val="四级条标题"/>
    <w:basedOn w:val="197"/>
    <w:next w:val="150"/>
    <w:qFormat/>
    <w:uiPriority w:val="0"/>
    <w:pPr>
      <w:tabs>
        <w:tab w:val="left" w:pos="945"/>
        <w:tab w:val="left" w:pos="1021"/>
        <w:tab w:val="left" w:pos="1080"/>
        <w:tab w:val="left" w:pos="1155"/>
      </w:tabs>
      <w:outlineLvl w:val="5"/>
    </w:pPr>
  </w:style>
  <w:style w:type="paragraph" w:customStyle="1" w:styleId="197">
    <w:name w:val="三级条标题"/>
    <w:basedOn w:val="128"/>
    <w:next w:val="150"/>
    <w:qFormat/>
    <w:uiPriority w:val="0"/>
    <w:pPr>
      <w:tabs>
        <w:tab w:val="left" w:pos="945"/>
        <w:tab w:val="left" w:pos="1080"/>
      </w:tabs>
      <w:outlineLvl w:val="4"/>
    </w:pPr>
  </w:style>
  <w:style w:type="paragraph" w:customStyle="1" w:styleId="198">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99">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0">
    <w:name w:val="无标题条"/>
    <w:next w:val="150"/>
    <w:qFormat/>
    <w:uiPriority w:val="0"/>
    <w:pPr>
      <w:jc w:val="both"/>
    </w:pPr>
    <w:rPr>
      <w:rFonts w:ascii="Times New Roman" w:hAnsi="Times New Roman" w:eastAsia="宋体" w:cs="Times New Roman"/>
      <w:sz w:val="21"/>
      <w:lang w:val="en-US" w:eastAsia="zh-CN" w:bidi="ar-SA"/>
    </w:rPr>
  </w:style>
  <w:style w:type="paragraph" w:customStyle="1" w:styleId="201">
    <w:name w:val="CM9"/>
    <w:basedOn w:val="202"/>
    <w:next w:val="202"/>
    <w:qFormat/>
    <w:uiPriority w:val="0"/>
    <w:pPr>
      <w:spacing w:line="468" w:lineRule="atLeast"/>
    </w:pPr>
    <w:rPr>
      <w:rFonts w:ascii="黑体" w:eastAsia="黑体"/>
      <w:color w:val="auto"/>
    </w:rPr>
  </w:style>
  <w:style w:type="paragraph" w:customStyle="1" w:styleId="20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4">
    <w:name w:val="标题 3 + 小四 段前: 0 磅 段后: 0 磅 行距: 1.5 倍行距"/>
    <w:basedOn w:val="4"/>
    <w:next w:val="4"/>
    <w:qFormat/>
    <w:uiPriority w:val="0"/>
    <w:pPr>
      <w:spacing w:line="360" w:lineRule="auto"/>
    </w:pPr>
    <w:rPr>
      <w:sz w:val="24"/>
    </w:rPr>
  </w:style>
  <w:style w:type="paragraph" w:customStyle="1" w:styleId="20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8">
    <w:name w:val="标准书眉一"/>
    <w:qFormat/>
    <w:uiPriority w:val="0"/>
    <w:pPr>
      <w:jc w:val="both"/>
    </w:pPr>
    <w:rPr>
      <w:rFonts w:ascii="Times New Roman" w:hAnsi="Times New Roman" w:eastAsia="宋体" w:cs="Times New Roman"/>
      <w:lang w:val="en-US" w:eastAsia="zh-CN" w:bidi="ar-SA"/>
    </w:rPr>
  </w:style>
  <w:style w:type="paragraph" w:customStyle="1" w:styleId="209">
    <w:name w:val="附录标识"/>
    <w:basedOn w:val="210"/>
    <w:qFormat/>
    <w:uiPriority w:val="0"/>
    <w:pPr>
      <w:tabs>
        <w:tab w:val="left" w:pos="360"/>
        <w:tab w:val="left" w:pos="6405"/>
      </w:tabs>
      <w:spacing w:after="200"/>
      <w:ind w:left="0" w:firstLine="0"/>
    </w:pPr>
    <w:rPr>
      <w:sz w:val="21"/>
    </w:rPr>
  </w:style>
  <w:style w:type="paragraph" w:customStyle="1" w:styleId="21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3">
    <w:name w:val="样式2"/>
    <w:basedOn w:val="3"/>
    <w:qFormat/>
    <w:uiPriority w:val="0"/>
    <w:pPr>
      <w:tabs>
        <w:tab w:val="left" w:pos="567"/>
        <w:tab w:val="left" w:pos="850"/>
        <w:tab w:val="clear" w:pos="1276"/>
      </w:tabs>
      <w:spacing w:line="960" w:lineRule="auto"/>
      <w:jc w:val="left"/>
    </w:pPr>
    <w:rPr>
      <w:b/>
      <w:sz w:val="36"/>
    </w:rPr>
  </w:style>
  <w:style w:type="paragraph" w:customStyle="1" w:styleId="214">
    <w:name w:val="CM33"/>
    <w:basedOn w:val="202"/>
    <w:next w:val="202"/>
    <w:qFormat/>
    <w:uiPriority w:val="0"/>
    <w:pPr>
      <w:spacing w:after="205"/>
    </w:pPr>
    <w:rPr>
      <w:rFonts w:ascii="黑体" w:eastAsia="黑体"/>
      <w:color w:val="auto"/>
    </w:rPr>
  </w:style>
  <w:style w:type="paragraph" w:customStyle="1" w:styleId="215">
    <w:name w:val="样式7"/>
    <w:basedOn w:val="1"/>
    <w:qFormat/>
    <w:uiPriority w:val="0"/>
    <w:pPr>
      <w:tabs>
        <w:tab w:val="left" w:pos="840"/>
      </w:tabs>
      <w:ind w:left="840" w:hanging="420"/>
    </w:pPr>
  </w:style>
  <w:style w:type="paragraph" w:customStyle="1" w:styleId="216">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7">
    <w:name w:val="Char Char Char Char Char Char Char"/>
    <w:basedOn w:val="1"/>
    <w:qFormat/>
    <w:uiPriority w:val="0"/>
  </w:style>
  <w:style w:type="paragraph" w:customStyle="1" w:styleId="218">
    <w:name w:val="附录图标题"/>
    <w:next w:val="150"/>
    <w:qFormat/>
    <w:uiPriority w:val="0"/>
    <w:pPr>
      <w:jc w:val="center"/>
    </w:pPr>
    <w:rPr>
      <w:rFonts w:ascii="黑体" w:hAnsi="Times New Roman" w:eastAsia="黑体" w:cs="Times New Roman"/>
      <w:sz w:val="21"/>
      <w:lang w:val="en-US" w:eastAsia="zh-CN" w:bidi="ar-SA"/>
    </w:rPr>
  </w:style>
  <w:style w:type="paragraph" w:customStyle="1" w:styleId="219">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0">
    <w:name w:val="五级无标题条"/>
    <w:basedOn w:val="1"/>
    <w:qFormat/>
    <w:uiPriority w:val="0"/>
  </w:style>
  <w:style w:type="paragraph" w:customStyle="1" w:styleId="22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3">
    <w:name w:val="默认段落字体 Para Char"/>
    <w:basedOn w:val="1"/>
    <w:qFormat/>
    <w:uiPriority w:val="0"/>
    <w:pPr>
      <w:spacing w:line="360" w:lineRule="auto"/>
    </w:pPr>
    <w:rPr>
      <w:rFonts w:ascii="Tahoma" w:hAnsi="Tahoma"/>
      <w:sz w:val="24"/>
    </w:rPr>
  </w:style>
  <w:style w:type="paragraph" w:customStyle="1" w:styleId="224">
    <w:name w:val="条文脚注"/>
    <w:basedOn w:val="63"/>
    <w:qFormat/>
    <w:uiPriority w:val="0"/>
    <w:pPr>
      <w:ind w:left="780" w:leftChars="200" w:hanging="360" w:hangingChars="200"/>
      <w:jc w:val="both"/>
    </w:pPr>
    <w:rPr>
      <w:rFonts w:ascii="宋体"/>
    </w:rPr>
  </w:style>
  <w:style w:type="paragraph" w:customStyle="1" w:styleId="225">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6">
    <w:name w:val="样式 首行缩进:  0 厘米 行距: 单倍行距 Char"/>
    <w:basedOn w:val="1"/>
    <w:qFormat/>
    <w:uiPriority w:val="0"/>
    <w:pPr>
      <w:adjustRightInd w:val="0"/>
      <w:textAlignment w:val="baseline"/>
    </w:pPr>
    <w:rPr>
      <w:kern w:val="0"/>
      <w:szCs w:val="21"/>
    </w:rPr>
  </w:style>
  <w:style w:type="paragraph" w:customStyle="1" w:styleId="22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29">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0">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2">
    <w:name w:val="发布日期"/>
    <w:qFormat/>
    <w:uiPriority w:val="0"/>
    <w:rPr>
      <w:rFonts w:ascii="Times New Roman" w:hAnsi="Times New Roman" w:eastAsia="黑体" w:cs="Times New Roman"/>
      <w:sz w:val="28"/>
      <w:lang w:val="en-US" w:eastAsia="zh-CN" w:bidi="ar-SA"/>
    </w:rPr>
  </w:style>
  <w:style w:type="paragraph" w:customStyle="1" w:styleId="23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4">
    <w:name w:val="默认段落字体 Para Char Char Char Char"/>
    <w:basedOn w:val="1"/>
    <w:qFormat/>
    <w:uiPriority w:val="0"/>
    <w:rPr>
      <w:rFonts w:ascii="宋体" w:hAnsi="宋体"/>
      <w:b/>
      <w:color w:val="000000"/>
      <w:sz w:val="24"/>
    </w:rPr>
  </w:style>
  <w:style w:type="paragraph" w:customStyle="1" w:styleId="2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6">
    <w:name w:val="附录表标题"/>
    <w:next w:val="150"/>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7">
    <w:name w:val="font7"/>
    <w:basedOn w:val="1"/>
    <w:qFormat/>
    <w:uiPriority w:val="0"/>
    <w:pPr>
      <w:widowControl/>
      <w:spacing w:before="100" w:beforeAutospacing="1" w:after="100" w:afterAutospacing="1"/>
      <w:jc w:val="left"/>
    </w:pPr>
    <w:rPr>
      <w:color w:val="000000"/>
      <w:kern w:val="0"/>
      <w:sz w:val="20"/>
    </w:rPr>
  </w:style>
  <w:style w:type="paragraph" w:customStyle="1" w:styleId="238">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9">
    <w:name w:val="图表脚注"/>
    <w:next w:val="15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0">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1">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3">
    <w:name w:val="Char"/>
    <w:basedOn w:val="1"/>
    <w:qFormat/>
    <w:uiPriority w:val="0"/>
  </w:style>
  <w:style w:type="paragraph" w:customStyle="1" w:styleId="244">
    <w:name w:val="CM3"/>
    <w:basedOn w:val="202"/>
    <w:next w:val="202"/>
    <w:qFormat/>
    <w:uiPriority w:val="0"/>
    <w:pPr>
      <w:spacing w:line="468" w:lineRule="atLeast"/>
    </w:pPr>
    <w:rPr>
      <w:rFonts w:ascii="黑体" w:eastAsia="黑体"/>
      <w:color w:val="auto"/>
    </w:rPr>
  </w:style>
  <w:style w:type="paragraph" w:customStyle="1" w:styleId="245">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6">
    <w:name w:val="附录一级条标题"/>
    <w:basedOn w:val="247"/>
    <w:next w:val="150"/>
    <w:qFormat/>
    <w:uiPriority w:val="0"/>
    <w:pPr>
      <w:tabs>
        <w:tab w:val="left" w:pos="360"/>
      </w:tabs>
      <w:autoSpaceDN w:val="0"/>
      <w:spacing w:beforeLines="0" w:afterLines="0"/>
      <w:outlineLvl w:val="2"/>
    </w:pPr>
  </w:style>
  <w:style w:type="paragraph" w:customStyle="1" w:styleId="247">
    <w:name w:val="附录章标题"/>
    <w:next w:val="150"/>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49">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0">
    <w:name w:val="注："/>
    <w:next w:val="150"/>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1">
    <w:name w:val="一级无标题条"/>
    <w:basedOn w:val="1"/>
    <w:qFormat/>
    <w:uiPriority w:val="0"/>
  </w:style>
  <w:style w:type="paragraph" w:customStyle="1" w:styleId="252">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4">
    <w:name w:val="附录五级条标题"/>
    <w:basedOn w:val="186"/>
    <w:next w:val="150"/>
    <w:qFormat/>
    <w:uiPriority w:val="0"/>
    <w:pPr>
      <w:outlineLvl w:val="6"/>
    </w:pPr>
  </w:style>
  <w:style w:type="paragraph" w:customStyle="1" w:styleId="255">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7">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8">
    <w:name w:val="三级无标题条"/>
    <w:basedOn w:val="1"/>
    <w:qFormat/>
    <w:uiPriority w:val="0"/>
  </w:style>
  <w:style w:type="paragraph" w:customStyle="1" w:styleId="259">
    <w:name w:val="Char Char Char Char Char Char Char Char Char Char Char Char Char Char"/>
    <w:basedOn w:val="1"/>
    <w:qFormat/>
    <w:uiPriority w:val="0"/>
  </w:style>
  <w:style w:type="paragraph" w:customStyle="1" w:styleId="2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1">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2">
    <w:name w:val="正文1"/>
    <w:basedOn w:val="263"/>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3">
    <w:name w:val="样式1"/>
    <w:basedOn w:val="1"/>
    <w:qFormat/>
    <w:uiPriority w:val="0"/>
    <w:pPr>
      <w:keepNext/>
      <w:keepLines/>
      <w:topLinePunct/>
      <w:spacing w:line="1200" w:lineRule="auto"/>
      <w:jc w:val="center"/>
      <w:outlineLvl w:val="0"/>
    </w:pPr>
    <w:rPr>
      <w:b/>
      <w:kern w:val="44"/>
      <w:sz w:val="52"/>
    </w:rPr>
  </w:style>
  <w:style w:type="paragraph" w:customStyle="1" w:styleId="264">
    <w:name w:val="Char1"/>
    <w:basedOn w:val="1"/>
    <w:qFormat/>
    <w:uiPriority w:val="0"/>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CM23"/>
    <w:basedOn w:val="202"/>
    <w:next w:val="202"/>
    <w:qFormat/>
    <w:uiPriority w:val="0"/>
    <w:pPr>
      <w:spacing w:line="468" w:lineRule="atLeast"/>
    </w:pPr>
    <w:rPr>
      <w:rFonts w:ascii="黑体" w:eastAsia="黑体"/>
      <w:color w:val="auto"/>
    </w:rPr>
  </w:style>
  <w:style w:type="paragraph" w:customStyle="1" w:styleId="267">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8">
    <w:name w:val="实施日期"/>
    <w:basedOn w:val="1"/>
    <w:qFormat/>
    <w:uiPriority w:val="0"/>
    <w:pPr>
      <w:widowControl/>
      <w:jc w:val="right"/>
    </w:pPr>
    <w:rPr>
      <w:rFonts w:eastAsia="黑体"/>
      <w:kern w:val="0"/>
      <w:sz w:val="28"/>
    </w:rPr>
  </w:style>
  <w:style w:type="paragraph" w:customStyle="1" w:styleId="269">
    <w:name w:val="前言首行"/>
    <w:basedOn w:val="1"/>
    <w:qFormat/>
    <w:uiPriority w:val="0"/>
    <w:pPr>
      <w:spacing w:after="120"/>
      <w:jc w:val="center"/>
    </w:pPr>
    <w:rPr>
      <w:rFonts w:eastAsia="黑体"/>
      <w:b/>
      <w:sz w:val="32"/>
    </w:rPr>
  </w:style>
  <w:style w:type="paragraph" w:customStyle="1" w:styleId="270">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1">
    <w:name w:val="默认段落字体 Para Char Char Char Char Char"/>
    <w:basedOn w:val="1"/>
    <w:qFormat/>
    <w:uiPriority w:val="0"/>
    <w:rPr>
      <w:rFonts w:ascii="宋体" w:hAnsi="宋体"/>
      <w:b/>
      <w:color w:val="000000"/>
      <w:sz w:val="24"/>
      <w:szCs w:val="24"/>
    </w:rPr>
  </w:style>
  <w:style w:type="paragraph" w:customStyle="1" w:styleId="272">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5">
    <w:name w:val="发布部门"/>
    <w:next w:val="150"/>
    <w:qFormat/>
    <w:uiPriority w:val="0"/>
    <w:pPr>
      <w:jc w:val="center"/>
    </w:pPr>
    <w:rPr>
      <w:rFonts w:ascii="宋体" w:hAnsi="Times New Roman" w:eastAsia="宋体" w:cs="Times New Roman"/>
      <w:b/>
      <w:spacing w:val="20"/>
      <w:w w:val="135"/>
      <w:sz w:val="36"/>
      <w:lang w:val="en-US" w:eastAsia="zh-CN" w:bidi="ar-SA"/>
    </w:rPr>
  </w:style>
  <w:style w:type="paragraph" w:customStyle="1" w:styleId="27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7">
    <w:name w:val="样式 首行缩进:  0 厘米 行距: 单倍行距"/>
    <w:basedOn w:val="1"/>
    <w:qFormat/>
    <w:uiPriority w:val="0"/>
    <w:pPr>
      <w:adjustRightInd w:val="0"/>
      <w:textAlignment w:val="baseline"/>
    </w:pPr>
    <w:rPr>
      <w:kern w:val="0"/>
    </w:rPr>
  </w:style>
  <w:style w:type="paragraph" w:customStyle="1" w:styleId="278">
    <w:name w:val="Char3"/>
    <w:basedOn w:val="1"/>
    <w:qFormat/>
    <w:uiPriority w:val="0"/>
    <w:pPr>
      <w:spacing w:line="360" w:lineRule="auto"/>
    </w:pPr>
    <w:rPr>
      <w:rFonts w:ascii="Tahoma" w:hAnsi="Tahoma"/>
      <w:sz w:val="24"/>
    </w:rPr>
  </w:style>
  <w:style w:type="paragraph" w:customStyle="1" w:styleId="2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0">
    <w:name w:val="表文"/>
    <w:basedOn w:val="1"/>
    <w:qFormat/>
    <w:uiPriority w:val="0"/>
    <w:pPr>
      <w:topLinePunct/>
      <w:spacing w:before="40" w:after="40"/>
    </w:pPr>
    <w:rPr>
      <w:sz w:val="18"/>
    </w:rPr>
  </w:style>
  <w:style w:type="paragraph" w:customStyle="1" w:styleId="2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2">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3">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4">
    <w:name w:val="列表段落1"/>
    <w:basedOn w:val="1"/>
    <w:qFormat/>
    <w:uiPriority w:val="34"/>
    <w:pPr>
      <w:ind w:firstLine="420" w:firstLineChars="200"/>
    </w:pPr>
    <w:rPr>
      <w:rFonts w:ascii="Calibri" w:hAnsi="Calibri"/>
      <w:szCs w:val="22"/>
    </w:rPr>
  </w:style>
  <w:style w:type="paragraph" w:customStyle="1" w:styleId="285">
    <w:name w:val="正文表标题"/>
    <w:next w:val="150"/>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6">
    <w:name w:val="修订1"/>
    <w:qFormat/>
    <w:uiPriority w:val="0"/>
    <w:rPr>
      <w:rFonts w:ascii="Times New Roman" w:hAnsi="Times New Roman" w:eastAsia="宋体" w:cs="Times New Roman"/>
      <w:kern w:val="2"/>
      <w:sz w:val="21"/>
      <w:lang w:val="en-US" w:eastAsia="zh-CN" w:bidi="ar-SA"/>
    </w:rPr>
  </w:style>
  <w:style w:type="paragraph" w:customStyle="1" w:styleId="287">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0">
    <w:name w:val="数字编号列项（二级）"/>
    <w:qFormat/>
    <w:uiPriority w:val="0"/>
    <w:pPr>
      <w:jc w:val="both"/>
    </w:pPr>
    <w:rPr>
      <w:rFonts w:ascii="宋体" w:hAnsi="Times New Roman" w:eastAsia="宋体" w:cs="Times New Roman"/>
      <w:sz w:val="21"/>
      <w:lang w:val="en-US" w:eastAsia="zh-CN" w:bidi="ar-SA"/>
    </w:rPr>
  </w:style>
  <w:style w:type="paragraph" w:customStyle="1" w:styleId="291">
    <w:name w:val="附录"/>
    <w:basedOn w:val="2"/>
    <w:qFormat/>
    <w:uiPriority w:val="0"/>
    <w:pPr>
      <w:spacing w:line="960" w:lineRule="auto"/>
      <w:ind w:firstLine="420"/>
      <w:jc w:val="center"/>
    </w:pPr>
    <w:rPr>
      <w:rFonts w:eastAsia="黑体"/>
      <w:kern w:val="2"/>
      <w:sz w:val="28"/>
    </w:rPr>
  </w:style>
  <w:style w:type="paragraph" w:customStyle="1" w:styleId="292">
    <w:name w:val="示例"/>
    <w:next w:val="150"/>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3">
    <w:name w:val="图形标题"/>
    <w:basedOn w:val="20"/>
    <w:qFormat/>
    <w:uiPriority w:val="0"/>
    <w:pPr>
      <w:spacing w:before="0" w:after="0"/>
      <w:jc w:val="center"/>
    </w:pPr>
    <w:rPr>
      <w:rFonts w:ascii="宋体" w:hAnsi="Plotter" w:eastAsia="宋体"/>
      <w:sz w:val="21"/>
    </w:rPr>
  </w:style>
  <w:style w:type="paragraph" w:customStyle="1" w:styleId="294">
    <w:name w:val="目次、标准名称标题"/>
    <w:basedOn w:val="1"/>
    <w:next w:val="150"/>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5">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6">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7">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9">
    <w:name w:val="图说"/>
    <w:basedOn w:val="1"/>
    <w:qFormat/>
    <w:uiPriority w:val="0"/>
    <w:pPr>
      <w:topLinePunct/>
      <w:spacing w:before="40" w:after="160"/>
      <w:jc w:val="center"/>
    </w:pPr>
    <w:rPr>
      <w:sz w:val="18"/>
    </w:rPr>
  </w:style>
  <w:style w:type="paragraph" w:customStyle="1" w:styleId="300">
    <w:name w:val="四级无标题条"/>
    <w:basedOn w:val="1"/>
    <w:qFormat/>
    <w:uiPriority w:val="0"/>
  </w:style>
  <w:style w:type="paragraph" w:customStyle="1" w:styleId="301">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3">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4">
    <w:name w:val="Char Char Char"/>
    <w:basedOn w:val="1"/>
    <w:qFormat/>
    <w:uiPriority w:val="0"/>
  </w:style>
  <w:style w:type="paragraph" w:customStyle="1" w:styleId="305">
    <w:name w:val="CM5"/>
    <w:basedOn w:val="202"/>
    <w:next w:val="202"/>
    <w:qFormat/>
    <w:uiPriority w:val="0"/>
    <w:pPr>
      <w:spacing w:line="471" w:lineRule="atLeast"/>
    </w:pPr>
    <w:rPr>
      <w:rFonts w:ascii="黑体" w:eastAsia="黑体"/>
      <w:color w:val="auto"/>
    </w:rPr>
  </w:style>
  <w:style w:type="paragraph" w:customStyle="1" w:styleId="30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7">
    <w:name w:val="CM22"/>
    <w:basedOn w:val="202"/>
    <w:next w:val="202"/>
    <w:qFormat/>
    <w:uiPriority w:val="0"/>
    <w:pPr>
      <w:spacing w:line="468" w:lineRule="atLeast"/>
    </w:pPr>
    <w:rPr>
      <w:rFonts w:ascii="黑体" w:eastAsia="黑体"/>
      <w:color w:val="auto"/>
    </w:rPr>
  </w:style>
  <w:style w:type="paragraph" w:customStyle="1" w:styleId="3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09">
    <w:name w:val="Char Char Char1"/>
    <w:basedOn w:val="1"/>
    <w:qFormat/>
    <w:uiPriority w:val="0"/>
  </w:style>
  <w:style w:type="paragraph" w:customStyle="1" w:styleId="310">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1">
    <w:name w:val="正文图标题"/>
    <w:next w:val="150"/>
    <w:qFormat/>
    <w:uiPriority w:val="0"/>
    <w:pPr>
      <w:tabs>
        <w:tab w:val="left" w:pos="360"/>
      </w:tabs>
      <w:jc w:val="center"/>
    </w:pPr>
    <w:rPr>
      <w:rFonts w:ascii="黑体" w:hAnsi="Times New Roman" w:eastAsia="黑体" w:cs="Times New Roman"/>
      <w:sz w:val="21"/>
      <w:lang w:val="en-US" w:eastAsia="zh-CN" w:bidi="ar-SA"/>
    </w:rPr>
  </w:style>
  <w:style w:type="paragraph" w:customStyle="1" w:styleId="312">
    <w:name w:val="标准书眉_偶数页"/>
    <w:basedOn w:val="228"/>
    <w:next w:val="1"/>
    <w:qFormat/>
    <w:uiPriority w:val="0"/>
    <w:pPr>
      <w:jc w:val="left"/>
    </w:pPr>
  </w:style>
  <w:style w:type="paragraph" w:customStyle="1" w:styleId="313">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5">
    <w:name w:val="附录二级条标题"/>
    <w:basedOn w:val="246"/>
    <w:next w:val="150"/>
    <w:qFormat/>
    <w:uiPriority w:val="0"/>
    <w:pPr>
      <w:tabs>
        <w:tab w:val="left" w:pos="2040"/>
        <w:tab w:val="clear" w:pos="360"/>
      </w:tabs>
      <w:ind w:left="2040" w:hanging="360"/>
      <w:outlineLvl w:val="3"/>
    </w:pPr>
  </w:style>
  <w:style w:type="paragraph" w:customStyle="1" w:styleId="316">
    <w:name w:val="Char Char Char1 Char Char Char Char Char Char Char"/>
    <w:basedOn w:val="1"/>
    <w:qFormat/>
    <w:uiPriority w:val="0"/>
  </w:style>
  <w:style w:type="paragraph" w:customStyle="1" w:styleId="317">
    <w:name w:val="Char Char9"/>
    <w:basedOn w:val="1"/>
    <w:qFormat/>
    <w:uiPriority w:val="0"/>
    <w:rPr>
      <w:rFonts w:ascii="宋体" w:hAnsi="宋体"/>
      <w:b/>
      <w:color w:val="000000"/>
      <w:sz w:val="24"/>
      <w:szCs w:val="24"/>
    </w:rPr>
  </w:style>
  <w:style w:type="paragraph" w:customStyle="1" w:styleId="318">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19">
    <w:name w:val="CM17"/>
    <w:basedOn w:val="202"/>
    <w:next w:val="202"/>
    <w:qFormat/>
    <w:uiPriority w:val="0"/>
    <w:pPr>
      <w:spacing w:line="468" w:lineRule="atLeast"/>
    </w:pPr>
    <w:rPr>
      <w:rFonts w:ascii="黑体" w:eastAsia="黑体"/>
      <w:color w:val="auto"/>
    </w:rPr>
  </w:style>
  <w:style w:type="paragraph" w:customStyle="1" w:styleId="320">
    <w:name w:val="CM10"/>
    <w:basedOn w:val="202"/>
    <w:next w:val="202"/>
    <w:qFormat/>
    <w:uiPriority w:val="0"/>
    <w:pPr>
      <w:spacing w:line="468" w:lineRule="atLeast"/>
    </w:pPr>
    <w:rPr>
      <w:rFonts w:ascii="黑体" w:eastAsia="黑体"/>
      <w:color w:val="auto"/>
    </w:rPr>
  </w:style>
  <w:style w:type="paragraph" w:customStyle="1" w:styleId="32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2">
    <w:name w:val="Char31"/>
    <w:basedOn w:val="1"/>
    <w:qFormat/>
    <w:uiPriority w:val="0"/>
  </w:style>
  <w:style w:type="paragraph" w:customStyle="1" w:styleId="3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5">
    <w:name w:val="Char Char Char Char Char Char Char Char Char Char Char Char"/>
    <w:basedOn w:val="1"/>
    <w:qFormat/>
    <w:uiPriority w:val="0"/>
    <w:pPr>
      <w:spacing w:line="360" w:lineRule="auto"/>
    </w:pPr>
    <w:rPr>
      <w:rFonts w:ascii="Tahoma" w:hAnsi="Tahoma"/>
      <w:sz w:val="24"/>
    </w:rPr>
  </w:style>
  <w:style w:type="paragraph" w:customStyle="1" w:styleId="326">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8">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29">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0">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1">
    <w:name w:val="封面正文"/>
    <w:qFormat/>
    <w:uiPriority w:val="0"/>
    <w:pPr>
      <w:jc w:val="both"/>
    </w:pPr>
    <w:rPr>
      <w:rFonts w:ascii="Times New Roman" w:hAnsi="Times New Roman" w:eastAsia="宋体" w:cs="Times New Roman"/>
      <w:lang w:val="en-US" w:eastAsia="zh-CN" w:bidi="ar-SA"/>
    </w:rPr>
  </w:style>
  <w:style w:type="paragraph" w:customStyle="1" w:styleId="332">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3">
    <w:name w:val="缺省文本"/>
    <w:basedOn w:val="1"/>
    <w:qFormat/>
    <w:uiPriority w:val="0"/>
    <w:pPr>
      <w:autoSpaceDE w:val="0"/>
      <w:autoSpaceDN w:val="0"/>
      <w:adjustRightInd w:val="0"/>
      <w:spacing w:line="360" w:lineRule="auto"/>
      <w:jc w:val="left"/>
    </w:pPr>
    <w:rPr>
      <w:kern w:val="0"/>
    </w:rPr>
  </w:style>
  <w:style w:type="paragraph" w:styleId="334">
    <w:name w:val="List Paragraph"/>
    <w:basedOn w:val="1"/>
    <w:unhideWhenUsed/>
    <w:qFormat/>
    <w:uiPriority w:val="99"/>
    <w:pPr>
      <w:ind w:firstLine="420" w:firstLineChars="200"/>
    </w:pPr>
  </w:style>
  <w:style w:type="paragraph" w:customStyle="1" w:styleId="335">
    <w:name w:val="TOC Heading"/>
    <w:basedOn w:val="2"/>
    <w:next w:val="1"/>
    <w:unhideWhenUsed/>
    <w:qFormat/>
    <w:uiPriority w:val="39"/>
    <w:pPr>
      <w:widowControl/>
      <w:tabs>
        <w:tab w:val="clear" w:pos="425"/>
      </w:tabs>
      <w:topLinePunct w:val="0"/>
      <w:spacing w:before="480" w:line="276" w:lineRule="auto"/>
      <w:jc w:val="left"/>
      <w:textAlignment w:val="auto"/>
      <w:outlineLvl w:val="9"/>
    </w:pPr>
    <w:rPr>
      <w:rFonts w:asciiTheme="majorHAnsi" w:hAnsiTheme="majorHAnsi" w:eastAsiaTheme="majorEastAsia" w:cstheme="majorBidi"/>
      <w:b/>
      <w:bCs/>
      <w:color w:val="376092"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8</Pages>
  <Words>622</Words>
  <Characters>3552</Characters>
  <Lines>29</Lines>
  <Paragraphs>8</Paragraphs>
  <TotalTime>28</TotalTime>
  <ScaleCrop>false</ScaleCrop>
  <LinksUpToDate>false</LinksUpToDate>
  <CharactersWithSpaces>4166</CharactersWithSpaces>
  <Application>WPS Office_12.8.2.21234_F1E327BC-269C-435d-A152-05C5408002CA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2025-12-17T19:00:00Z</dcterms:created>
  <dc:creator>liuruoqiao</dc:creator>
  <cp:lastModifiedBy>XC~linlicai</cp:lastModifiedBy>
  <cp:lastPrinted>2014-07-23T23:16:00Z</cp:lastPrinted>
  <dcterms:modified xsi:type="dcterms:W3CDTF">2026-09-11T14:26:52Z</dcterms:modified>
  <dc:title>（2009年版）</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2052-12.8.2.21234</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eyJoZGlkIjoiNDBiY2FjMTIyM2E3ODFjNTc4NTdjZjRhOWQ3MTE0MjMiLCJ1c2VySWQiOiIyODMzMTU1NjQifQ==</vt:lpwstr>
  </property>
</Properties>
</file>