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0"/>
        </w:tabs>
        <w:autoSpaceDN w:val="0"/>
        <w:spacing w:line="360" w:lineRule="auto"/>
        <w:jc w:val="both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cs="宋体"/>
          <w:b/>
          <w:sz w:val="21"/>
          <w:szCs w:val="21"/>
          <w:lang w:val="en-US" w:eastAsia="zh-CN"/>
        </w:rPr>
        <w:t>附件1：</w:t>
      </w:r>
      <w:r>
        <w:rPr>
          <w:rFonts w:hint="eastAsia" w:ascii="宋体" w:hAnsi="宋体" w:eastAsia="宋体" w:cs="宋体"/>
          <w:b/>
          <w:sz w:val="21"/>
          <w:szCs w:val="21"/>
        </w:rPr>
        <w:t>技术规范书</w:t>
      </w:r>
    </w:p>
    <w:p>
      <w:pPr>
        <w:tabs>
          <w:tab w:val="left" w:pos="700"/>
        </w:tabs>
        <w:autoSpaceDN w:val="0"/>
        <w:spacing w:before="312" w:beforeLines="100"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一、项目技术相关要求</w:t>
      </w: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1235"/>
        <w:gridCol w:w="5085"/>
        <w:gridCol w:w="13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9" w:type="dxa"/>
            <w:tcBorders>
              <w:tl2br w:val="nil"/>
              <w:tr2bl w:val="nil"/>
            </w:tcBorders>
            <w:shd w:val="clear" w:color="000000" w:fill="CFCDCD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1235" w:type="dxa"/>
            <w:tcBorders>
              <w:tl2br w:val="nil"/>
              <w:tr2bl w:val="nil"/>
            </w:tcBorders>
            <w:shd w:val="clear" w:color="000000" w:fill="CFCDCD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采购清单</w:t>
            </w:r>
          </w:p>
        </w:tc>
        <w:tc>
          <w:tcPr>
            <w:tcW w:w="5085" w:type="dxa"/>
            <w:tcBorders>
              <w:tl2br w:val="nil"/>
              <w:tr2bl w:val="nil"/>
            </w:tcBorders>
            <w:shd w:val="clear" w:color="000000" w:fill="CFCDCD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需求描述</w:t>
            </w:r>
          </w:p>
        </w:tc>
        <w:tc>
          <w:tcPr>
            <w:tcW w:w="1337" w:type="dxa"/>
            <w:tcBorders>
              <w:tl2br w:val="nil"/>
              <w:tr2bl w:val="nil"/>
            </w:tcBorders>
            <w:shd w:val="clear" w:color="000000" w:fill="CFCDCD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授权期限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1</w:t>
            </w:r>
          </w:p>
        </w:tc>
        <w:tc>
          <w:tcPr>
            <w:tcW w:w="1235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全托管的 MQTT 消息云服务</w:t>
            </w:r>
          </w:p>
        </w:tc>
        <w:tc>
          <w:tcPr>
            <w:tcW w:w="5085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产品规格：高可用云原生分布式MQTT消息中间件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val="en-US" w:eastAsia="zh-CN"/>
              </w:rPr>
              <w:t>2个集群，</w:t>
            </w: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弹性专有版5000线/5000TPS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val="en-US" w:eastAsia="zh-CN"/>
              </w:rPr>
              <w:t>弹性专有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eastAsia="zh-CN"/>
              </w:rPr>
              <w:t>版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eastAsia="zh-CN"/>
              </w:rPr>
              <w:t>000线/100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eastAsia="zh-CN"/>
              </w:rPr>
              <w:t>TPS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 MQTT消息中间件，支持MQTT 3.1、3.1.1、5.0协议栈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 分布式架构，支持集群部署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 认证与ACL插件：匿名、 客户端ID、用户名、密码、LDAP、HTTP、MySQL、PostgreSQL、Redis、MongoDB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 数据存储插件： Redis、MySQL、PostgreSQL、MongoDB、InfluxDB、OpenTSDB、TimescaleDB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 数据桥接插件： Kafka、Apache Pulsar、RocketMQ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 规则引擎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 运维监控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 xml:space="preserve">  -语言支持：中文/英文</w:t>
            </w:r>
          </w:p>
        </w:tc>
        <w:tc>
          <w:tcPr>
            <w:tcW w:w="13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个月</w:t>
            </w:r>
          </w:p>
        </w:tc>
      </w:tr>
    </w:tbl>
    <w:p>
      <w:pPr>
        <w:tabs>
          <w:tab w:val="left" w:pos="700"/>
        </w:tabs>
        <w:autoSpaceDN w:val="0"/>
        <w:spacing w:before="312" w:beforeLines="100"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二、技术指标要求</w:t>
      </w:r>
    </w:p>
    <w:tbl>
      <w:tblPr>
        <w:tblStyle w:val="16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4"/>
        <w:gridCol w:w="7402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blHeader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FCDC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功能模块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FCDC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技术指标（★表示必备项）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标准MQTT协议接入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支持MQTT v3.1、v3.1.1、v5.0完整协议栈，包括；</w:t>
            </w:r>
          </w:p>
          <w:p>
            <w:pPr>
              <w:numPr>
                <w:ilvl w:val="1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消息发布、订阅模式</w:t>
            </w:r>
          </w:p>
          <w:p>
            <w:pPr>
              <w:numPr>
                <w:ilvl w:val="1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支持通配符主题</w:t>
            </w:r>
          </w:p>
          <w:p>
            <w:pPr>
              <w:numPr>
                <w:ilvl w:val="1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消息 QoS 支持 QoS0、QoS1、QoS2</w:t>
            </w:r>
          </w:p>
          <w:p>
            <w:pPr>
              <w:numPr>
                <w:ilvl w:val="1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心跳管理</w:t>
            </w:r>
          </w:p>
          <w:p>
            <w:pPr>
              <w:numPr>
                <w:ilvl w:val="1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Session 管理</w:t>
            </w:r>
          </w:p>
          <w:p>
            <w:pPr>
              <w:numPr>
                <w:ilvl w:val="1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Retained 消息</w:t>
            </w:r>
          </w:p>
          <w:p>
            <w:pPr>
              <w:numPr>
                <w:ilvl w:val="1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Last Will 消息</w:t>
            </w:r>
          </w:p>
          <w:p>
            <w:pPr>
              <w:numPr>
                <w:ilvl w:val="1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服务器代理订阅 （仅支持内置数据库存储代理订阅关系）</w:t>
            </w:r>
          </w:p>
          <w:p>
            <w:pPr>
              <w:numPr>
                <w:ilvl w:val="0"/>
                <w:numId w:val="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 MQTT over Websocket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扩展 MQTT 协议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对 MQTT 协议进行扩展，支持：</w:t>
            </w:r>
          </w:p>
          <w:p>
            <w:pPr>
              <w:numPr>
                <w:ilvl w:val="0"/>
                <w:numId w:val="3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支持消息定时投递</w:t>
            </w:r>
          </w:p>
          <w:p>
            <w:pPr>
              <w:numPr>
                <w:ilvl w:val="0"/>
                <w:numId w:val="3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支持排他性订阅控制</w:t>
            </w:r>
          </w:p>
          <w:p>
            <w:pPr>
              <w:numPr>
                <w:ilvl w:val="0"/>
                <w:numId w:val="3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客户端自动订阅</w:t>
            </w:r>
          </w:p>
          <w:p>
            <w:pPr>
              <w:numPr>
                <w:ilvl w:val="0"/>
                <w:numId w:val="3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主题名称重写转换</w:t>
            </w:r>
          </w:p>
          <w:p>
            <w:pPr>
              <w:numPr>
                <w:ilvl w:val="0"/>
                <w:numId w:val="3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客户端自定义属性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其他协议支持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其他协议支持：</w:t>
            </w:r>
          </w:p>
          <w:p>
            <w:pPr>
              <w:numPr>
                <w:ilvl w:val="0"/>
                <w:numId w:val="4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支持行业协议扩展能力，可根据需求适配GB/T 32960、JT/T 808等行业协议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协议扩展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利用Java，Python 等语言扩展，支持各类私有 TCP，UDP 协议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集群能力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支持节点的自动发现、自动集群、脑裂自动愈合、自动删除宕机节点能力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持久会话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5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允许将 MQTT 持久会话（Persistent Session）及其消息存储到磁盘上，支持宕机恢复，并在 MQTT 集群的多个节点之间持续复制实现高可用副本。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认证与 ACL 能力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6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支持匿名连接</w:t>
            </w:r>
          </w:p>
          <w:p>
            <w:pPr>
              <w:numPr>
                <w:ilvl w:val="0"/>
                <w:numId w:val="6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 JWT 认证</w:t>
            </w:r>
          </w:p>
          <w:p>
            <w:pPr>
              <w:numPr>
                <w:ilvl w:val="0"/>
                <w:numId w:val="6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支持基于客户端 ID，用户名／密码的认证与 ACL。允许使用内置数据库、 LDAP、HTTP、MySQL、PostgreSQL、Redis、MongoDB 等作为数据源存储认证凭证与 ACL 规则。支持 Kerberos 认证</w:t>
            </w:r>
          </w:p>
          <w:p>
            <w:pPr>
              <w:numPr>
                <w:ilvl w:val="0"/>
                <w:numId w:val="6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ACL 缓存支持设置排除主题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安全连接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7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支持设备通过证书进行安全认证。</w:t>
            </w:r>
          </w:p>
          <w:p>
            <w:pPr>
              <w:numPr>
                <w:ilvl w:val="0"/>
                <w:numId w:val="7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设备连接支持TLS1.2，TLS1.3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部署方式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8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支持在公有云、私有云、虚拟机、物理机环境中部署；</w:t>
            </w:r>
          </w:p>
          <w:p>
            <w:pPr>
              <w:numPr>
                <w:ilvl w:val="0"/>
                <w:numId w:val="8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支持容器，可通过 Docker 容器方式部署；</w:t>
            </w:r>
          </w:p>
          <w:p>
            <w:pPr>
              <w:numPr>
                <w:ilvl w:val="0"/>
                <w:numId w:val="8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支持程序包部署，支持DEB/RPM等方式；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规则引擎与编解码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9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提供规则引擎配置管理界面，用户可以利用直观的拖拽和连接功能，创建、调整和定制数据处理流程。</w:t>
            </w:r>
          </w:p>
          <w:p>
            <w:pPr>
              <w:numPr>
                <w:ilvl w:val="0"/>
                <w:numId w:val="9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提供配置消息流与设备事件的处理、响应规则，并可以通过SQL语言进行业务规则定义；</w:t>
            </w:r>
          </w:p>
          <w:p>
            <w:pPr>
              <w:numPr>
                <w:ilvl w:val="0"/>
                <w:numId w:val="9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提供对二进制数据的编解码能力，内置支持 Avro， Protobuf 编码规范；</w:t>
            </w:r>
          </w:p>
          <w:p>
            <w:pPr>
              <w:numPr>
                <w:ilvl w:val="0"/>
                <w:numId w:val="9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提供基于 Schema 的消息验证能力，支持 Avro, Protobuf, JSON Schema；</w:t>
            </w:r>
          </w:p>
          <w:p>
            <w:pPr>
              <w:numPr>
                <w:ilvl w:val="0"/>
                <w:numId w:val="9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支持工业物联网协议编解码；</w:t>
            </w:r>
          </w:p>
          <w:p>
            <w:pPr>
              <w:numPr>
                <w:ilvl w:val="0"/>
                <w:numId w:val="9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支持整个规则链路的调试与追踪。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数据集成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支持内置的数据集成能力，支持部分消息队列双向桥接，可直接对接各种消息队列与数据库，包括：</w:t>
            </w:r>
          </w:p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消息队列：Kafka、RabbitMQ、RocketMQ、</w:t>
            </w:r>
            <w:r>
              <w:t xml:space="preserve"> Apache Pulsar</w:t>
            </w:r>
          </w:p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数据库：MongoDB、PostgreSQL、MySQL、Oracle、SQL Server、Redis、Apache IoTDB、ClickHouse、TDengine、Datalayers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数据桥接： MQTT 桥接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REST API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提供了管理监控 REST API，这些 API 遵循 OpenAPI (Swagger) 3.0 规范，包括：</w:t>
            </w:r>
          </w:p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接口安全、集群基本信息、节点、客户端、订阅信息、路由、消息发布、主题订阅、消息批量发布、主题批量订阅、插件管理、监听器、内置模块、统计指标、主题统计指标、状态、告警、ACL、缓存、黑名单、数据导入导出、规则、动作、资源；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单点登录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支持基于轻量级目录访问协议（LDAP）和安全断言标记语言（SAML ）2.0、OpenID Connect（OIDC,）标准实施 SSO 功能，支持集成例如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"https://www.openldap.org/"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t>OpenLDAP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fldChar w:fldCharType="end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"https://azure.microsoft.com/en-in/products/active-directory"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t>Microsoft Active Directory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fldChar w:fldCharType="end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 以及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"https://www.okta.com/"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t>Okta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fldChar w:fldCharType="end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"https://www.onelogin.com/"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t>OneLogin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</w:rPr>
              <w:fldChar w:fldCharType="end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 等主流身份服务提供商。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审计日志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支持记录来自 Dashboard 、REST API 以及 命令行 的变更性操作，例如 Dashboard 用户登录，对客户端、访问控制以及数据集成等资源的修改。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运维能力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0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支持配置参数热配置</w:t>
            </w:r>
          </w:p>
          <w:p>
            <w:pPr>
              <w:numPr>
                <w:ilvl w:val="0"/>
                <w:numId w:val="10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支持小版本热升级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集群监控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1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集群整体的业务指标监控，包含连接数，消息数，Topic数，消息吞吐量等</w:t>
            </w:r>
          </w:p>
          <w:p>
            <w:pPr>
              <w:numPr>
                <w:ilvl w:val="0"/>
                <w:numId w:val="11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集群中每个节点上的业务指标监控，包括客户端连接数，节点的数量，每个节点上的订阅数量 ，Topic 数量等</w:t>
            </w:r>
          </w:p>
          <w:p>
            <w:pPr>
              <w:numPr>
                <w:ilvl w:val="0"/>
                <w:numId w:val="11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集群节点上具体的信息，包括：客户端信息，包括客户端ID，用户名，IP 地址</w:t>
            </w:r>
          </w:p>
          <w:p>
            <w:pPr>
              <w:numPr>
                <w:ilvl w:val="0"/>
                <w:numId w:val="11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节点系统监控信息包括节点的CPU，内存</w:t>
            </w:r>
          </w:p>
          <w:p>
            <w:pPr>
              <w:numPr>
                <w:ilvl w:val="0"/>
                <w:numId w:val="11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集群级别的日志追踪，提供管理界面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1391" w:hRule="atLeast"/>
          <w:jc w:val="center"/>
        </w:trPr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性能指标 - 并发连接能力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消息中间件在 16 核、32GB 内存的Linux操作系统上：</w:t>
            </w:r>
          </w:p>
          <w:p>
            <w:pPr>
              <w:numPr>
                <w:ilvl w:val="0"/>
                <w:numId w:val="1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单节点连接数大于等于300 万；</w:t>
            </w:r>
          </w:p>
          <w:p>
            <w:pPr>
              <w:numPr>
                <w:ilvl w:val="0"/>
                <w:numId w:val="12"/>
              </w:numPr>
              <w:spacing w:beforeAutospacing="1" w:afterAutospacing="1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单个集群总连接数大于等于 5000万；</w:t>
            </w:r>
          </w:p>
        </w:tc>
      </w:tr>
    </w:tbl>
    <w:p>
      <w:pPr>
        <w:tabs>
          <w:tab w:val="left" w:pos="700"/>
        </w:tabs>
        <w:autoSpaceDN w:val="0"/>
        <w:spacing w:before="312" w:beforeLines="100"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三、技术服务要求</w:t>
      </w:r>
    </w:p>
    <w:p>
      <w:pPr>
        <w:spacing w:line="36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1、技术服务时间：自终验证书签发之日起</w:t>
      </w:r>
      <w:r>
        <w:rPr>
          <w:rFonts w:hint="eastAsia" w:ascii="宋体" w:hAnsi="宋体" w:cs="宋体"/>
          <w:b/>
          <w:sz w:val="21"/>
          <w:szCs w:val="21"/>
          <w:lang w:val="en-US" w:eastAsia="zh-CN"/>
        </w:rPr>
        <w:t>12</w:t>
      </w:r>
      <w:r>
        <w:rPr>
          <w:rFonts w:hint="eastAsia" w:ascii="宋体" w:hAnsi="宋体" w:eastAsia="宋体" w:cs="宋体"/>
          <w:b/>
          <w:sz w:val="21"/>
          <w:szCs w:val="21"/>
        </w:rPr>
        <w:t>个月</w:t>
      </w:r>
      <w:r>
        <w:rPr>
          <w:rFonts w:hint="eastAsia" w:ascii="宋体" w:hAnsi="宋体" w:eastAsia="宋体" w:cs="宋体"/>
          <w:sz w:val="21"/>
          <w:szCs w:val="21"/>
        </w:rPr>
        <w:t>。</w:t>
      </w:r>
      <w:bookmarkStart w:id="8" w:name="_GoBack"/>
      <w:bookmarkEnd w:id="8"/>
    </w:p>
    <w:p>
      <w:pPr>
        <w:spacing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2、技术服务要求：</w:t>
      </w:r>
    </w:p>
    <w:p>
      <w:pPr>
        <w:rPr>
          <w:rFonts w:hint="eastAsia" w:ascii="宋体" w:hAnsi="宋体" w:eastAsia="宋体" w:cs="宋体"/>
          <w:sz w:val="21"/>
          <w:szCs w:val="21"/>
        </w:rPr>
      </w:pPr>
      <w:bookmarkStart w:id="0" w:name="header-n334"/>
      <w:bookmarkStart w:id="1" w:name="_Toc216313964"/>
      <w:r>
        <w:rPr>
          <w:rFonts w:hint="eastAsia" w:ascii="宋体" w:hAnsi="宋体" w:eastAsia="宋体" w:cs="宋体"/>
          <w:sz w:val="21"/>
          <w:szCs w:val="21"/>
        </w:rPr>
        <w:t>（1）产品支持</w:t>
      </w:r>
      <w:bookmarkEnd w:id="0"/>
      <w:bookmarkEnd w:id="1"/>
      <w:r>
        <w:rPr>
          <w:rFonts w:hint="eastAsia" w:ascii="宋体" w:hAnsi="宋体" w:eastAsia="宋体" w:cs="宋体"/>
          <w:sz w:val="21"/>
          <w:szCs w:val="21"/>
        </w:rPr>
        <w:t>服务响应时间</w:t>
      </w:r>
    </w:p>
    <w:tbl>
      <w:tblPr>
        <w:tblStyle w:val="3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3"/>
        <w:gridCol w:w="1933"/>
        <w:gridCol w:w="1933"/>
        <w:gridCol w:w="20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shd w:val="clear" w:color="auto" w:fill="CFCDCD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466" w:type="pct"/>
            <w:gridSpan w:val="3"/>
            <w:shd w:val="clear" w:color="auto" w:fill="CFCDCD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t>全天候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服务支持时间</w:t>
            </w:r>
          </w:p>
        </w:tc>
        <w:tc>
          <w:tcPr>
            <w:tcW w:w="3466" w:type="pct"/>
            <w:gridSpan w:val="3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t xml:space="preserve"> 00:00-24:00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本地时间</w:t>
            </w:r>
          </w:p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星期一到星期日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响应/反馈时间</w:t>
            </w:r>
          </w:p>
        </w:tc>
        <w:tc>
          <w:tcPr>
            <w:tcW w:w="1134" w:type="pct"/>
            <w:shd w:val="clear" w:color="auto" w:fill="F2F2F2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34" w:type="pct"/>
            <w:shd w:val="clear" w:color="auto" w:fill="F2F2F2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响应（小时）</w:t>
            </w:r>
          </w:p>
        </w:tc>
        <w:tc>
          <w:tcPr>
            <w:tcW w:w="1198" w:type="pct"/>
            <w:shd w:val="clear" w:color="auto" w:fill="F2F2F2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反馈（小时）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34" w:type="pct"/>
            <w:vAlign w:val="center"/>
          </w:tcPr>
          <w:p>
            <w:pP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特别重大故障（P0）</w:t>
            </w:r>
          </w:p>
        </w:tc>
        <w:tc>
          <w:tcPr>
            <w:tcW w:w="1134" w:type="pct"/>
            <w:vAlign w:val="center"/>
          </w:tcPr>
          <w:p>
            <w:pP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198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533" w:type="pct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34" w:type="pct"/>
            <w:vAlign w:val="center"/>
          </w:tcPr>
          <w:p>
            <w:pP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重大故障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（P1）</w:t>
            </w:r>
          </w:p>
        </w:tc>
        <w:tc>
          <w:tcPr>
            <w:tcW w:w="1134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198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  <w:jc w:val="center"/>
        </w:trPr>
        <w:tc>
          <w:tcPr>
            <w:tcW w:w="1533" w:type="pct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34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较大故障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（P2）</w:t>
            </w:r>
          </w:p>
        </w:tc>
        <w:tc>
          <w:tcPr>
            <w:tcW w:w="1134" w:type="pct"/>
            <w:vAlign w:val="center"/>
          </w:tcPr>
          <w:p>
            <w:pP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0.5</w:t>
            </w:r>
          </w:p>
        </w:tc>
        <w:tc>
          <w:tcPr>
            <w:tcW w:w="1198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34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一般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故障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（P3）</w:t>
            </w:r>
          </w:p>
        </w:tc>
        <w:tc>
          <w:tcPr>
            <w:tcW w:w="1134" w:type="pct"/>
            <w:vAlign w:val="center"/>
          </w:tcPr>
          <w:p>
            <w:pP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198" w:type="pct"/>
            <w:vAlign w:val="center"/>
          </w:tcPr>
          <w:p>
            <w:pP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34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较轻故障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（P4）</w:t>
            </w:r>
          </w:p>
        </w:tc>
        <w:tc>
          <w:tcPr>
            <w:tcW w:w="1134" w:type="pct"/>
            <w:vAlign w:val="center"/>
          </w:tcPr>
          <w:p>
            <w:pP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1198" w:type="pct"/>
            <w:vAlign w:val="center"/>
          </w:tcPr>
          <w:p>
            <w:pP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联系方式</w:t>
            </w:r>
          </w:p>
        </w:tc>
        <w:tc>
          <w:tcPr>
            <w:tcW w:w="3466" w:type="pct"/>
            <w:gridSpan w:val="3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Phone &amp; QQ &amp; Wechat &amp; E-mail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支持次数</w:t>
            </w:r>
          </w:p>
        </w:tc>
        <w:tc>
          <w:tcPr>
            <w:tcW w:w="3466" w:type="pct"/>
            <w:gridSpan w:val="3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无限制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33" w:type="pct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支持联系人数量</w:t>
            </w:r>
          </w:p>
        </w:tc>
        <w:tc>
          <w:tcPr>
            <w:tcW w:w="3466" w:type="pct"/>
            <w:gridSpan w:val="3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</w:tr>
    </w:tbl>
    <w:p>
      <w:pPr>
        <w:rPr>
          <w:rFonts w:hint="eastAsia" w:ascii="宋体" w:hAnsi="宋体" w:eastAsia="宋体" w:cs="宋体"/>
          <w:color w:val="FF0000"/>
          <w:sz w:val="21"/>
          <w:szCs w:val="21"/>
          <w:lang w:eastAsia="zh-CN"/>
        </w:rPr>
      </w:pPr>
      <w:bookmarkStart w:id="2" w:name="_Toc2046462224"/>
      <w:bookmarkStart w:id="3" w:name="header-n259"/>
      <w:r>
        <w:rPr>
          <w:rFonts w:hint="eastAsia" w:ascii="宋体" w:hAnsi="宋体" w:eastAsia="宋体" w:cs="宋体"/>
          <w:sz w:val="21"/>
          <w:szCs w:val="21"/>
        </w:rPr>
        <w:t>（2）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产品售后问题分级</w:t>
      </w:r>
      <w:bookmarkEnd w:id="2"/>
      <w:bookmarkEnd w:id="3"/>
    </w:p>
    <w:tbl>
      <w:tblPr>
        <w:tblStyle w:val="3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1"/>
        <w:gridCol w:w="69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939" w:type="pct"/>
            <w:shd w:val="clear" w:color="auto" w:fill="CFCDCD"/>
            <w:vAlign w:val="bottom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事件优先度</w:t>
            </w:r>
          </w:p>
        </w:tc>
        <w:tc>
          <w:tcPr>
            <w:tcW w:w="4060" w:type="pct"/>
            <w:shd w:val="clear" w:color="auto" w:fill="CFCDCD"/>
            <w:vAlign w:val="bottom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严重性定义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939" w:type="pct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特别重大故障（P0）</w:t>
            </w:r>
          </w:p>
        </w:tc>
        <w:tc>
          <w:tcPr>
            <w:tcW w:w="4060" w:type="pct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因故障造成整个系统瘫痪；整个系统无法正常运营；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939" w:type="pct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重大故障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（P1）</w:t>
            </w:r>
          </w:p>
        </w:tc>
        <w:tc>
          <w:tcPr>
            <w:tcW w:w="4060" w:type="pct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因故障严重影响系统运行，部分模块损坏；部分功能无法正常使用，或者运行质量严重下降；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服务质量下降50%以上持续超过1小时，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对客户不利影响非常大；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939" w:type="pct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较大故障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（P2）</w:t>
            </w:r>
          </w:p>
        </w:tc>
        <w:tc>
          <w:tcPr>
            <w:tcW w:w="4060" w:type="pct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因故障严重影响系统运行，部分模块损坏；部分功能无法正常使用，或者运行质量严重下降；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服务质量下降50%以上持续超过20分钟，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对客户不利影响非常大；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939" w:type="pct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一般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故障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（P3）</w:t>
            </w:r>
          </w:p>
        </w:tc>
        <w:tc>
          <w:tcPr>
            <w:tcW w:w="4060" w:type="pct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因故障影响系统效率，但系统仍可运行；影响非实时业务和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极个别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的业务；影响系统的正常维护；系统性能的重大新需求；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939" w:type="pct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较轻故障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（P4）</w:t>
            </w:r>
          </w:p>
        </w:tc>
        <w:tc>
          <w:tcPr>
            <w:tcW w:w="4060" w:type="pct"/>
          </w:tcPr>
          <w:p>
            <w:pP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因故障不影响系统效率，系统可运行；不会影响任何业务；在操作方面或者界面上需要做一些调整；</w:t>
            </w:r>
          </w:p>
        </w:tc>
      </w:tr>
    </w:tbl>
    <w:p>
      <w:pPr>
        <w:rPr>
          <w:rFonts w:hint="eastAsia" w:ascii="宋体" w:hAnsi="宋体" w:eastAsia="宋体" w:cs="宋体"/>
          <w:sz w:val="21"/>
          <w:szCs w:val="21"/>
        </w:rPr>
      </w:pPr>
      <w:bookmarkStart w:id="4" w:name="_Toc792508416"/>
      <w:bookmarkStart w:id="5" w:name="header-n327"/>
      <w:r>
        <w:rPr>
          <w:rFonts w:hint="eastAsia" w:ascii="宋体" w:hAnsi="宋体" w:eastAsia="宋体" w:cs="宋体"/>
          <w:sz w:val="21"/>
          <w:szCs w:val="21"/>
        </w:rPr>
        <w:t>（3）技术支持</w:t>
      </w:r>
      <w:bookmarkEnd w:id="4"/>
      <w:bookmarkEnd w:id="5"/>
    </w:p>
    <w:tbl>
      <w:tblPr>
        <w:tblStyle w:val="3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94"/>
        <w:gridCol w:w="5450"/>
        <w:gridCol w:w="16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718" w:type="pct"/>
            <w:shd w:val="clear" w:color="auto" w:fill="F7F7F7"/>
          </w:tcPr>
          <w:p>
            <w:pPr>
              <w:autoSpaceDE w:val="0"/>
              <w:autoSpaceDN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  <w:t>服务类型</w:t>
            </w:r>
          </w:p>
        </w:tc>
        <w:tc>
          <w:tcPr>
            <w:tcW w:w="3277" w:type="pct"/>
            <w:shd w:val="clear" w:color="auto" w:fill="F7F7F7"/>
          </w:tcPr>
          <w:p>
            <w:pPr>
              <w:autoSpaceDE w:val="0"/>
              <w:autoSpaceDN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  <w:t>服务方式</w:t>
            </w:r>
          </w:p>
        </w:tc>
        <w:tc>
          <w:tcPr>
            <w:tcW w:w="1005" w:type="pct"/>
            <w:shd w:val="clear" w:color="auto" w:fill="F7F7F7"/>
          </w:tcPr>
          <w:p>
            <w:pPr>
              <w:autoSpaceDE w:val="0"/>
              <w:autoSpaceDN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  <w:t>服务时间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718" w:type="pct"/>
            <w:shd w:val="clear" w:color="auto" w:fill="F7F7F7"/>
          </w:tcPr>
          <w:p>
            <w:pPr>
              <w:autoSpaceDE w:val="0"/>
              <w:autoSpaceDN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  <w:t>全天日</w:t>
            </w:r>
          </w:p>
        </w:tc>
        <w:tc>
          <w:tcPr>
            <w:tcW w:w="3277" w:type="pct"/>
            <w:shd w:val="clear" w:color="auto" w:fill="F7F7F7"/>
          </w:tcPr>
          <w:p>
            <w:pPr>
              <w:autoSpaceDE w:val="0"/>
              <w:autoSpaceDN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远程支持：邮件沟通，电话沟通，工单沟通，Wechat沟通，远程会议</w:t>
            </w:r>
          </w:p>
          <w:p>
            <w:pPr>
              <w:autoSpaceDE w:val="0"/>
              <w:autoSpaceDN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现场支持：发生重大故障，安排技术人员到现场支持</w:t>
            </w:r>
          </w:p>
        </w:tc>
        <w:tc>
          <w:tcPr>
            <w:tcW w:w="1005" w:type="pct"/>
            <w:shd w:val="clear" w:color="auto" w:fill="F7F7F7"/>
          </w:tcPr>
          <w:p>
            <w:pPr>
              <w:autoSpaceDE w:val="0"/>
              <w:autoSpaceDN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  <w:t>全天日(</w:t>
            </w:r>
            <w:r>
              <w:t xml:space="preserve">7x24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  <w:t>)</w:t>
            </w:r>
          </w:p>
        </w:tc>
      </w:tr>
    </w:tbl>
    <w:p>
      <w:pPr>
        <w:rPr>
          <w:rFonts w:hint="eastAsia" w:ascii="宋体" w:hAnsi="宋体" w:eastAsia="宋体" w:cs="宋体"/>
          <w:sz w:val="21"/>
          <w:szCs w:val="21"/>
        </w:rPr>
      </w:pPr>
      <w:bookmarkStart w:id="6" w:name="服务范围"/>
      <w:bookmarkEnd w:id="6"/>
      <w:r>
        <w:rPr>
          <w:rFonts w:hint="eastAsia" w:ascii="宋体" w:hAnsi="宋体" w:eastAsia="宋体" w:cs="宋体"/>
          <w:sz w:val="21"/>
          <w:szCs w:val="21"/>
        </w:rPr>
        <w:t>（4）维保服务范围</w:t>
      </w:r>
    </w:p>
    <w:tbl>
      <w:tblPr>
        <w:tblStyle w:val="3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shd w:val="clear" w:color="auto" w:fill="F7F7F7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  <w:t>服务范围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提供MQTT协议设计相关的咨询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shd w:val="clear" w:color="auto" w:fill="F7F7F7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提供完善的物联网平台架构咨询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提供生产环境部署咨询与指导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shd w:val="clear" w:color="auto" w:fill="F7F7F7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提供压力测试方案咨询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提供运维监控方案咨询与指导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shd w:val="clear" w:color="auto" w:fill="F7F7F7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提供同版本内的小版本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之间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平滑升级和热升级支持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提供对重大安全漏洞的修复通知和更新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shd w:val="clear" w:color="auto" w:fill="F7F7F7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提供补丁包和重大缺陷修复的通知和更新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提供产品的长期维护和支持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000" w:type="pct"/>
            <w:shd w:val="clear" w:color="auto" w:fill="F7F7F7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提供基于产品的定制开发服务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000" w:type="pct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提供基于商业版产品的培训服务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000" w:type="pct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提供软件服务故障排查及处置支持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000" w:type="pct"/>
            <w:vAlign w:val="center"/>
          </w:tcPr>
          <w:p>
            <w:pPr>
              <w:autoSpaceDE w:val="0"/>
              <w:autoSpaceDN w:val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提供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安全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问题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定制开发（修复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已知安全问题，例如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明文传输问题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bookmarkStart w:id="7" w:name="版本生命周期_EOL"/>
      <w:bookmarkEnd w:id="7"/>
      <w:r>
        <w:rPr>
          <w:rFonts w:hint="eastAsia" w:ascii="宋体" w:hAnsi="宋体" w:eastAsia="宋体" w:cs="宋体"/>
          <w:sz w:val="21"/>
          <w:szCs w:val="21"/>
        </w:rPr>
        <w:t>（5）关键服务内容描述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平台故障排除、专业培训、健康检查服务、平滑升级服务、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产</w:t>
      </w:r>
      <w:r>
        <w:rPr>
          <w:rFonts w:hint="eastAsia" w:ascii="宋体" w:hAnsi="宋体" w:eastAsia="宋体" w:cs="宋体"/>
          <w:sz w:val="21"/>
          <w:szCs w:val="21"/>
        </w:rPr>
        <w:t>品部署、运维等多方面的最佳实践建议和指导。</w:t>
      </w:r>
    </w:p>
    <w:p>
      <w:pPr>
        <w:pStyle w:val="2"/>
        <w:rPr>
          <w:rFonts w:hint="eastAsia" w:ascii="宋体" w:hAnsi="宋体" w:eastAsia="宋体" w:cs="宋体"/>
          <w:sz w:val="21"/>
          <w:szCs w:val="21"/>
          <w:lang w:eastAsia="zh-CN"/>
        </w:rPr>
      </w:pPr>
    </w:p>
    <w:p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632EAC"/>
    <w:multiLevelType w:val="singleLevel"/>
    <w:tmpl w:val="F8632EA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B0856CF"/>
    <w:multiLevelType w:val="multilevel"/>
    <w:tmpl w:val="0B0856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0D576A6A"/>
    <w:multiLevelType w:val="multilevel"/>
    <w:tmpl w:val="0D576A6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10E710B2"/>
    <w:multiLevelType w:val="multilevel"/>
    <w:tmpl w:val="10E710B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21C07588"/>
    <w:multiLevelType w:val="multilevel"/>
    <w:tmpl w:val="21C075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46865468"/>
    <w:multiLevelType w:val="multilevel"/>
    <w:tmpl w:val="468654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4B1A6C62"/>
    <w:multiLevelType w:val="multilevel"/>
    <w:tmpl w:val="4B1A6C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4B5D04F8"/>
    <w:multiLevelType w:val="multilevel"/>
    <w:tmpl w:val="4B5D04F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4D13056A"/>
    <w:multiLevelType w:val="multilevel"/>
    <w:tmpl w:val="4D13056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5C102412"/>
    <w:multiLevelType w:val="multilevel"/>
    <w:tmpl w:val="5C10241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65C15BD5"/>
    <w:multiLevelType w:val="multilevel"/>
    <w:tmpl w:val="65C15BD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7B6F156C"/>
    <w:multiLevelType w:val="multilevel"/>
    <w:tmpl w:val="7B6F15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6"/>
  </w:num>
  <w:num w:numId="5">
    <w:abstractNumId w:val="2"/>
  </w:num>
  <w:num w:numId="6">
    <w:abstractNumId w:val="4"/>
  </w:num>
  <w:num w:numId="7">
    <w:abstractNumId w:val="10"/>
  </w:num>
  <w:num w:numId="8">
    <w:abstractNumId w:val="5"/>
  </w:num>
  <w:num w:numId="9">
    <w:abstractNumId w:val="9"/>
  </w:num>
  <w:num w:numId="10">
    <w:abstractNumId w:val="8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D53"/>
    <w:rsid w:val="000C4F54"/>
    <w:rsid w:val="001B5E49"/>
    <w:rsid w:val="00312C61"/>
    <w:rsid w:val="004E7AF5"/>
    <w:rsid w:val="006B0FB0"/>
    <w:rsid w:val="0083353D"/>
    <w:rsid w:val="00A14BAD"/>
    <w:rsid w:val="00BA7D75"/>
    <w:rsid w:val="00C17718"/>
    <w:rsid w:val="00D442E3"/>
    <w:rsid w:val="00F73D53"/>
    <w:rsid w:val="00FE45C4"/>
    <w:rsid w:val="02184C85"/>
    <w:rsid w:val="02A77059"/>
    <w:rsid w:val="040F0C1E"/>
    <w:rsid w:val="0B662326"/>
    <w:rsid w:val="0E1B514F"/>
    <w:rsid w:val="10675755"/>
    <w:rsid w:val="108A4FA0"/>
    <w:rsid w:val="12B5207C"/>
    <w:rsid w:val="13575447"/>
    <w:rsid w:val="1AA45C7B"/>
    <w:rsid w:val="1B307FCE"/>
    <w:rsid w:val="20CC6F0F"/>
    <w:rsid w:val="22135D23"/>
    <w:rsid w:val="23955CDE"/>
    <w:rsid w:val="240B31DB"/>
    <w:rsid w:val="26964443"/>
    <w:rsid w:val="26997893"/>
    <w:rsid w:val="28E66A8C"/>
    <w:rsid w:val="296E7010"/>
    <w:rsid w:val="2ECD6C74"/>
    <w:rsid w:val="30F42CED"/>
    <w:rsid w:val="33D87B9A"/>
    <w:rsid w:val="35586B6B"/>
    <w:rsid w:val="3C0902FC"/>
    <w:rsid w:val="3C277297"/>
    <w:rsid w:val="3EDB4A95"/>
    <w:rsid w:val="44A22867"/>
    <w:rsid w:val="4C7F205A"/>
    <w:rsid w:val="4DCD7C9F"/>
    <w:rsid w:val="4E8E76D1"/>
    <w:rsid w:val="4EA053B3"/>
    <w:rsid w:val="4EFF657E"/>
    <w:rsid w:val="4F0960E6"/>
    <w:rsid w:val="4FA5577B"/>
    <w:rsid w:val="50B10ECD"/>
    <w:rsid w:val="54332825"/>
    <w:rsid w:val="591250FF"/>
    <w:rsid w:val="593271D5"/>
    <w:rsid w:val="5A280A8E"/>
    <w:rsid w:val="5AA0462A"/>
    <w:rsid w:val="5BDE751B"/>
    <w:rsid w:val="5C971C68"/>
    <w:rsid w:val="5ECB647C"/>
    <w:rsid w:val="5F610B8F"/>
    <w:rsid w:val="60E511D1"/>
    <w:rsid w:val="61106345"/>
    <w:rsid w:val="61C54707"/>
    <w:rsid w:val="63FC70D8"/>
    <w:rsid w:val="646556C4"/>
    <w:rsid w:val="64FB7F40"/>
    <w:rsid w:val="655D3BA6"/>
    <w:rsid w:val="66F9345B"/>
    <w:rsid w:val="67BC1058"/>
    <w:rsid w:val="67CF126A"/>
    <w:rsid w:val="68D42D08"/>
    <w:rsid w:val="6AB51D8E"/>
    <w:rsid w:val="6CCF38ED"/>
    <w:rsid w:val="6E4545C6"/>
    <w:rsid w:val="72A2423E"/>
    <w:rsid w:val="78F00571"/>
    <w:rsid w:val="7A667697"/>
    <w:rsid w:val="7EC7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4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5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6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7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8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9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12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Char"/>
    <w:basedOn w:val="17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Char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Char"/>
    <w:basedOn w:val="17"/>
    <w:link w:val="5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Char"/>
    <w:basedOn w:val="17"/>
    <w:link w:val="6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Char"/>
    <w:basedOn w:val="17"/>
    <w:link w:val="7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3">
    <w:name w:val="标题 6 Char"/>
    <w:basedOn w:val="17"/>
    <w:link w:val="8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Char"/>
    <w:basedOn w:val="17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Char"/>
    <w:basedOn w:val="17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Char"/>
    <w:basedOn w:val="17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Char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Char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Char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Char"/>
    <w:basedOn w:val="17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页眉 Char"/>
    <w:basedOn w:val="17"/>
    <w:link w:val="13"/>
    <w:qFormat/>
    <w:uiPriority w:val="99"/>
    <w:rPr>
      <w:sz w:val="18"/>
      <w:szCs w:val="18"/>
    </w:rPr>
  </w:style>
  <w:style w:type="character" w:customStyle="1" w:styleId="37">
    <w:name w:val="页脚 Char"/>
    <w:basedOn w:val="17"/>
    <w:link w:val="12"/>
    <w:qFormat/>
    <w:uiPriority w:val="99"/>
    <w:rPr>
      <w:sz w:val="18"/>
      <w:szCs w:val="18"/>
    </w:rPr>
  </w:style>
  <w:style w:type="table" w:customStyle="1" w:styleId="38">
    <w:name w:val="Table"/>
    <w:unhideWhenUsed/>
    <w:qFormat/>
    <w:uiPriority w:val="0"/>
    <w:rPr>
      <w:rFonts w:ascii="Times New Roman" w:hAnsi="Times New Roman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 w:eastAsia="宋体" w:cs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 Inc.</Company>
  <Pages>5</Pages>
  <Words>1495</Words>
  <Characters>2093</Characters>
  <Lines>24</Lines>
  <Paragraphs>6</Paragraphs>
  <TotalTime>0</TotalTime>
  <ScaleCrop>false</ScaleCrop>
  <LinksUpToDate>false</LinksUpToDate>
  <CharactersWithSpaces>2216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2025-06-10T08:53:00Z</dcterms:created>
  <dc:creator>龙章 陈</dc:creator>
  <cp:lastModifiedBy>罗铸</cp:lastModifiedBy>
  <dcterms:modified xsi:type="dcterms:W3CDTF">2026-09-14T08:52:37Z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17EC7720DE06474FB32A9E0DE6B09F48_13</vt:lpwstr>
  </property>
  <property fmtid="{D5CDD505-2E9C-101B-9397-08002B2CF9AE}" pid="4" name="KSOTemplateDocerSaveRecord">
    <vt:lpwstr>eyJoZGlkIjoiZDI1YTk4MmMxZjllZGE1NjVlODg1ZTJlN2U5NDM1ZGMiLCJ1c2VySWQiOiI3NTgyNjg2ODYifQ==</vt:lpwstr>
  </property>
  <property fmtid="{D5CDD505-2E9C-101B-9397-08002B2CF9AE}" pid="5" name="AIGC">
    <vt:lpwstr>{"Label":"1","ContentProducer":"001191110102MAD55U9H0F10002","ProduceID":"32e9e164-df2f-4768-b7b8-cc4183f20a73","ReservedCode1":"bf000b11-3347-4333-b358-f313ce2f6f07","ContentPropagator":"001191110102MAD55U9H0F10002","PropagateID":"32e9e164-df2f-4768-b7b8-cc4183f20a73","ReservedCode2":"bf000b11-3347-4333-b358-f313ce2f6f07"}</vt:lpwstr>
  </property>
</Properties>
</file>