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500" w:lineRule="exact"/>
        <w:jc w:val="center"/>
        <w:rPr>
          <w:rFonts w:hint="default" w:ascii="Times New Roman" w:hAnsi="Times New Roman" w:eastAsia="宋体"/>
          <w:color w:val="auto"/>
          <w:sz w:val="44"/>
          <w:szCs w:val="44"/>
          <w:highlight w:val="none"/>
          <w:lang w:val="en-US" w:eastAsia="zh-CN"/>
        </w:rPr>
      </w:pPr>
      <w:r>
        <w:rPr>
          <w:rFonts w:hint="eastAsia"/>
          <w:color w:val="auto"/>
          <w:sz w:val="44"/>
          <w:szCs w:val="44"/>
          <w:highlight w:val="none"/>
          <w:lang w:val="en-US" w:eastAsia="zh-CN"/>
        </w:rPr>
        <w:t xml:space="preserve">  </w:t>
      </w:r>
    </w:p>
    <w:p>
      <w:pPr>
        <w:spacing w:line="480" w:lineRule="auto"/>
        <w:jc w:val="center"/>
        <w:rPr>
          <w:rFonts w:hint="eastAsia" w:ascii="Times New Roman" w:hAnsi="Times New Roman" w:eastAsia="宋体" w:cs="宋体"/>
          <w:b/>
          <w:color w:val="auto"/>
          <w:sz w:val="36"/>
          <w:szCs w:val="44"/>
          <w:highlight w:val="none"/>
          <w:lang w:val="zh-CN"/>
        </w:rPr>
      </w:pPr>
    </w:p>
    <w:p>
      <w:pPr>
        <w:spacing w:line="480" w:lineRule="auto"/>
        <w:jc w:val="center"/>
        <w:rPr>
          <w:rFonts w:hint="eastAsia" w:ascii="Times New Roman" w:hAnsi="Times New Roman" w:eastAsia="宋体" w:cs="宋体"/>
          <w:b/>
          <w:color w:val="auto"/>
          <w:sz w:val="36"/>
          <w:szCs w:val="44"/>
          <w:highlight w:val="none"/>
          <w:lang w:val="zh-CN"/>
        </w:rPr>
      </w:pPr>
    </w:p>
    <w:p>
      <w:pPr>
        <w:spacing w:line="500" w:lineRule="exact"/>
        <w:jc w:val="center"/>
        <w:rPr>
          <w:rFonts w:hint="eastAsia" w:ascii="方正小标宋简体" w:eastAsia="方正小标宋简体"/>
          <w:color w:val="auto"/>
          <w:sz w:val="44"/>
          <w:szCs w:val="44"/>
          <w:highlight w:val="none"/>
        </w:rPr>
      </w:pPr>
    </w:p>
    <w:p>
      <w:pPr>
        <w:pStyle w:val="24"/>
        <w:ind w:firstLine="0" w:firstLineChars="0"/>
        <w:jc w:val="center"/>
        <w:rPr>
          <w:rFonts w:hint="eastAsia" w:eastAsia="宋体" w:cs="宋体"/>
          <w:b/>
          <w:color w:val="auto"/>
          <w:sz w:val="32"/>
          <w:szCs w:val="40"/>
          <w:highlight w:val="none"/>
          <w:lang w:val="zh-CN" w:eastAsia="zh-CN"/>
        </w:rPr>
      </w:pPr>
      <w:r>
        <w:rPr>
          <w:rFonts w:hint="eastAsia" w:eastAsia="宋体" w:cs="宋体"/>
          <w:b/>
          <w:color w:val="auto"/>
          <w:sz w:val="32"/>
          <w:szCs w:val="40"/>
          <w:highlight w:val="none"/>
          <w:lang w:val="zh-CN" w:eastAsia="zh-CN"/>
        </w:rPr>
        <w:t>南方电网通用航空服务有限公司2026年</w:t>
      </w:r>
      <w:r>
        <w:rPr>
          <w:rFonts w:hint="eastAsia" w:eastAsia="宋体" w:cs="宋体"/>
          <w:b/>
          <w:color w:val="auto"/>
          <w:sz w:val="32"/>
          <w:szCs w:val="40"/>
          <w:highlight w:val="none"/>
          <w:lang w:val="en-US" w:eastAsia="zh-CN"/>
        </w:rPr>
        <w:t>特种设备检测零星</w:t>
      </w:r>
      <w:r>
        <w:rPr>
          <w:rFonts w:hint="eastAsia" w:eastAsia="宋体" w:cs="宋体"/>
          <w:b/>
          <w:color w:val="auto"/>
          <w:sz w:val="32"/>
          <w:szCs w:val="40"/>
          <w:highlight w:val="none"/>
          <w:lang w:val="zh-CN" w:eastAsia="zh-CN"/>
        </w:rPr>
        <w:t>采购项目</w:t>
      </w:r>
    </w:p>
    <w:p>
      <w:pPr>
        <w:pStyle w:val="24"/>
        <w:ind w:firstLine="0" w:firstLineChars="0"/>
        <w:jc w:val="center"/>
        <w:rPr>
          <w:rFonts w:ascii="Times New Roman" w:hAnsi="Times New Roman" w:eastAsia="宋体"/>
          <w:color w:val="auto"/>
          <w:sz w:val="22"/>
          <w:szCs w:val="22"/>
          <w:highlight w:val="none"/>
          <w:lang w:val="zh-CN"/>
        </w:rPr>
      </w:pPr>
      <w:r>
        <w:rPr>
          <w:rFonts w:hint="eastAsia" w:eastAsia="宋体" w:cs="宋体"/>
          <w:b/>
          <w:color w:val="auto"/>
          <w:sz w:val="32"/>
          <w:szCs w:val="40"/>
          <w:highlight w:val="none"/>
          <w:lang w:val="zh-CN"/>
        </w:rPr>
        <w:t>技术规范书</w:t>
      </w:r>
    </w:p>
    <w:p>
      <w:pPr>
        <w:pStyle w:val="2"/>
        <w:rPr>
          <w:rFonts w:ascii="Times New Roman" w:hAnsi="Times New Roman" w:eastAsia="宋体"/>
          <w:color w:val="auto"/>
          <w:highlight w:val="none"/>
        </w:rPr>
      </w:pPr>
    </w:p>
    <w:p>
      <w:pPr>
        <w:pStyle w:val="4"/>
        <w:spacing w:before="156" w:after="156"/>
        <w:jc w:val="left"/>
        <w:rPr>
          <w:rFonts w:ascii="Times New Roman" w:hAnsi="Times New Roman" w:eastAsia="宋体" w:cs="黑体"/>
          <w:bCs/>
          <w:color w:val="auto"/>
          <w:kern w:val="36"/>
          <w:szCs w:val="28"/>
          <w:highlight w:val="none"/>
          <w:lang w:val="en-US" w:eastAsia="zh-CN"/>
        </w:rPr>
        <w:sectPr>
          <w:headerReference r:id="rId3" w:type="default"/>
          <w:pgSz w:w="11906" w:h="16838"/>
          <w:pgMar w:top="1440" w:right="1800" w:bottom="1440" w:left="1800" w:header="851" w:footer="992" w:gutter="0"/>
          <w:cols w:space="720" w:num="1"/>
          <w:docGrid w:type="lines" w:linePitch="312" w:charSpace="0"/>
        </w:sect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textAlignment w:val="auto"/>
        <w:outlineLvl w:val="0"/>
        <w:rPr>
          <w:rFonts w:hint="eastAsia" w:ascii="Times New Roman" w:hAnsi="Times New Roman" w:eastAsia="宋体"/>
          <w:b/>
          <w:bCs/>
          <w:color w:val="auto"/>
          <w:kern w:val="36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b/>
          <w:bCs/>
          <w:color w:val="auto"/>
          <w:kern w:val="36"/>
          <w:sz w:val="28"/>
          <w:szCs w:val="28"/>
          <w:highlight w:val="none"/>
          <w:lang w:val="en-US" w:eastAsia="zh-CN"/>
        </w:rPr>
        <w:t>一、</w:t>
      </w:r>
      <w:r>
        <w:rPr>
          <w:rFonts w:hint="eastAsia" w:ascii="Times New Roman" w:hAnsi="Times New Roman" w:eastAsia="宋体"/>
          <w:b/>
          <w:bCs/>
          <w:color w:val="auto"/>
          <w:kern w:val="36"/>
          <w:sz w:val="28"/>
          <w:szCs w:val="28"/>
          <w:highlight w:val="none"/>
          <w:lang w:eastAsia="zh-CN"/>
        </w:rPr>
        <w:t xml:space="preserve"> </w:t>
      </w:r>
      <w:r>
        <w:rPr>
          <w:rFonts w:hint="eastAsia" w:ascii="Times New Roman" w:hAnsi="Times New Roman" w:eastAsia="宋体"/>
          <w:b/>
          <w:bCs/>
          <w:color w:val="auto"/>
          <w:kern w:val="36"/>
          <w:sz w:val="28"/>
          <w:szCs w:val="28"/>
          <w:highlight w:val="none"/>
          <w:lang w:val="en-US" w:eastAsia="zh-CN"/>
        </w:rPr>
        <w:t>总则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val="zh-CN" w:eastAsia="zh-CN"/>
        </w:rPr>
      </w:pPr>
      <w:r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1 本</w:t>
      </w:r>
      <w:r>
        <w:rPr>
          <w:rFonts w:hint="eastAsia" w:cs="宋体"/>
          <w:b w:val="0"/>
          <w:color w:val="auto"/>
          <w:kern w:val="36"/>
          <w:sz w:val="24"/>
          <w:szCs w:val="24"/>
          <w:highlight w:val="none"/>
          <w:lang w:eastAsia="zh-CN"/>
        </w:rPr>
        <w:t>技术规范书</w:t>
      </w:r>
      <w:r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适用于</w:t>
      </w:r>
      <w:r>
        <w:rPr>
          <w:rFonts w:hint="eastAsia" w:cs="宋体"/>
          <w:b w:val="0"/>
          <w:color w:val="auto"/>
          <w:kern w:val="36"/>
          <w:sz w:val="24"/>
          <w:szCs w:val="24"/>
          <w:highlight w:val="none"/>
          <w:lang w:val="zh-CN" w:eastAsia="zh-CN"/>
        </w:rPr>
        <w:t>南方电网通用航空服务有限公司2026</w:t>
      </w:r>
      <w:bookmarkStart w:id="3" w:name="_GoBack"/>
      <w:bookmarkEnd w:id="3"/>
      <w:r>
        <w:rPr>
          <w:rFonts w:hint="eastAsia" w:cs="宋体"/>
          <w:b w:val="0"/>
          <w:color w:val="auto"/>
          <w:kern w:val="36"/>
          <w:sz w:val="24"/>
          <w:szCs w:val="24"/>
          <w:highlight w:val="none"/>
          <w:lang w:val="zh-CN" w:eastAsia="zh-CN"/>
        </w:rPr>
        <w:t>年</w:t>
      </w:r>
      <w:r>
        <w:rPr>
          <w:rFonts w:hint="eastAsia" w:cs="宋体"/>
          <w:b w:val="0"/>
          <w:color w:val="auto"/>
          <w:kern w:val="36"/>
          <w:sz w:val="24"/>
          <w:szCs w:val="24"/>
          <w:highlight w:val="none"/>
          <w:lang w:val="en-US" w:eastAsia="zh-CN"/>
        </w:rPr>
        <w:t>特种作业设备零星</w:t>
      </w:r>
      <w:r>
        <w:rPr>
          <w:rFonts w:hint="eastAsia" w:cs="宋体"/>
          <w:b w:val="0"/>
          <w:color w:val="auto"/>
          <w:kern w:val="36"/>
          <w:sz w:val="24"/>
          <w:szCs w:val="24"/>
          <w:highlight w:val="none"/>
          <w:lang w:val="zh-CN" w:eastAsia="zh-CN"/>
        </w:rPr>
        <w:t>采购项目。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 xml:space="preserve">2 </w:t>
      </w:r>
      <w:r>
        <w:rPr>
          <w:rFonts w:hint="eastAsia" w:hAnsi="宋体"/>
          <w:color w:val="auto"/>
          <w:sz w:val="24"/>
          <w:highlight w:val="none"/>
          <w:lang w:val="en-US" w:eastAsia="zh-CN"/>
        </w:rPr>
        <w:t>投标方</w:t>
      </w:r>
      <w:r>
        <w:rPr>
          <w:rFonts w:hAnsi="宋体"/>
          <w:color w:val="auto"/>
          <w:sz w:val="24"/>
          <w:highlight w:val="none"/>
        </w:rPr>
        <w:t>提供的技术服务或方案与本技术规范书要求有差异，即使是微小的差异，也应以书面形式言明，并说明原因。如</w:t>
      </w:r>
      <w:r>
        <w:rPr>
          <w:rFonts w:hint="eastAsia" w:hAnsi="宋体"/>
          <w:color w:val="auto"/>
          <w:sz w:val="24"/>
          <w:highlight w:val="none"/>
          <w:lang w:val="en-US" w:eastAsia="zh-CN"/>
        </w:rPr>
        <w:t>投标方</w:t>
      </w:r>
      <w:r>
        <w:rPr>
          <w:rFonts w:hAnsi="宋体"/>
          <w:color w:val="auto"/>
          <w:sz w:val="24"/>
          <w:highlight w:val="none"/>
        </w:rPr>
        <w:t>没有以书面形式对本技术规范书的条文提出异议，</w:t>
      </w:r>
      <w:r>
        <w:rPr>
          <w:rFonts w:hint="eastAsia" w:hAnsi="宋体"/>
          <w:color w:val="auto"/>
          <w:sz w:val="24"/>
          <w:highlight w:val="none"/>
        </w:rPr>
        <w:t>则</w:t>
      </w:r>
      <w:r>
        <w:rPr>
          <w:rFonts w:hint="eastAsia" w:hAnsi="宋体"/>
          <w:color w:val="auto"/>
          <w:sz w:val="24"/>
          <w:highlight w:val="none"/>
          <w:lang w:val="en-US" w:eastAsia="zh-CN"/>
        </w:rPr>
        <w:t>投标方</w:t>
      </w:r>
      <w:r>
        <w:rPr>
          <w:rFonts w:hAnsi="宋体"/>
          <w:color w:val="auto"/>
          <w:sz w:val="24"/>
          <w:highlight w:val="none"/>
        </w:rPr>
        <w:t>提供的</w:t>
      </w:r>
      <w:r>
        <w:rPr>
          <w:rFonts w:hint="eastAsia" w:hAnsi="宋体"/>
          <w:color w:val="auto"/>
          <w:sz w:val="24"/>
          <w:highlight w:val="none"/>
          <w:lang w:val="en-US" w:eastAsia="zh-CN"/>
        </w:rPr>
        <w:t>产品及服务</w:t>
      </w:r>
      <w:r>
        <w:rPr>
          <w:rFonts w:hAnsi="宋体"/>
          <w:color w:val="auto"/>
          <w:sz w:val="24"/>
          <w:highlight w:val="none"/>
        </w:rPr>
        <w:t>应完全满足本技术规范书的要求。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3 投标方应按照本</w:t>
      </w:r>
      <w:r>
        <w:rPr>
          <w:rFonts w:hint="eastAsia" w:cs="宋体"/>
          <w:b w:val="0"/>
          <w:color w:val="auto"/>
          <w:kern w:val="36"/>
          <w:sz w:val="24"/>
          <w:szCs w:val="24"/>
          <w:highlight w:val="none"/>
          <w:lang w:eastAsia="zh-CN"/>
        </w:rPr>
        <w:t>技术规范书</w:t>
      </w:r>
      <w:r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中的要求提供相应文件及响应，如文件不全或不响应，应视为废标。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eastAsia" w:ascii="Times New Roman" w:hAnsi="Times New Roman" w:eastAsia="宋体" w:cs="宋体"/>
          <w:b w:val="0"/>
          <w:bCs/>
          <w:color w:val="auto"/>
          <w:kern w:val="36"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 xml:space="preserve">4 </w:t>
      </w:r>
      <w:r>
        <w:rPr>
          <w:rFonts w:hint="eastAsia" w:ascii="Times New Roman" w:hAnsi="Times New Roman" w:eastAsia="宋体" w:cs="宋体"/>
          <w:b w:val="0"/>
          <w:bCs/>
          <w:color w:val="auto"/>
          <w:kern w:val="36"/>
          <w:sz w:val="24"/>
          <w:szCs w:val="24"/>
          <w:highlight w:val="none"/>
          <w:lang w:val="en-US" w:eastAsia="zh-CN"/>
        </w:rPr>
        <w:t>投标方</w:t>
      </w:r>
      <w:r>
        <w:rPr>
          <w:rFonts w:hint="eastAsia" w:ascii="Times New Roman" w:hAnsi="Times New Roman" w:eastAsia="宋体" w:cs="宋体"/>
          <w:b w:val="0"/>
          <w:bCs/>
          <w:color w:val="auto"/>
          <w:kern w:val="36"/>
          <w:sz w:val="24"/>
          <w:szCs w:val="24"/>
          <w:highlight w:val="none"/>
          <w:lang w:eastAsia="zh-CN"/>
        </w:rPr>
        <w:t>应保证所提供的所有资料真实、完整、准确无误，由此产生的一切后果由</w:t>
      </w:r>
      <w:r>
        <w:rPr>
          <w:rFonts w:hint="eastAsia" w:ascii="Times New Roman" w:hAnsi="Times New Roman" w:eastAsia="宋体" w:cs="宋体"/>
          <w:b w:val="0"/>
          <w:bCs/>
          <w:color w:val="auto"/>
          <w:kern w:val="36"/>
          <w:sz w:val="24"/>
          <w:szCs w:val="24"/>
          <w:highlight w:val="none"/>
          <w:lang w:val="en-US" w:eastAsia="zh-CN"/>
        </w:rPr>
        <w:t>投标方</w:t>
      </w:r>
      <w:r>
        <w:rPr>
          <w:rFonts w:hint="eastAsia" w:ascii="Times New Roman" w:hAnsi="Times New Roman" w:eastAsia="宋体" w:cs="宋体"/>
          <w:b w:val="0"/>
          <w:bCs/>
          <w:color w:val="auto"/>
          <w:kern w:val="36"/>
          <w:sz w:val="24"/>
          <w:szCs w:val="24"/>
          <w:highlight w:val="none"/>
          <w:lang w:eastAsia="zh-CN"/>
        </w:rPr>
        <w:t>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eastAsia" w:ascii="Times New Roman" w:hAnsi="Times New Roman" w:eastAsia="宋体" w:cs="宋体"/>
          <w:b w:val="0"/>
          <w:bCs/>
          <w:color w:val="auto"/>
          <w:kern w:val="36"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eastAsia="宋体" w:cs="宋体"/>
          <w:b w:val="0"/>
          <w:bCs/>
          <w:color w:val="auto"/>
          <w:kern w:val="36"/>
          <w:sz w:val="24"/>
          <w:szCs w:val="24"/>
          <w:highlight w:val="none"/>
          <w:lang w:val="en-US" w:eastAsia="zh-CN"/>
        </w:rPr>
        <w:t xml:space="preserve">5 </w:t>
      </w:r>
      <w:r>
        <w:rPr>
          <w:rFonts w:hint="eastAsia" w:ascii="Times New Roman" w:hAnsi="Times New Roman" w:eastAsia="宋体" w:cs="宋体"/>
          <w:b w:val="0"/>
          <w:bCs/>
          <w:color w:val="auto"/>
          <w:kern w:val="36"/>
          <w:sz w:val="24"/>
          <w:szCs w:val="24"/>
          <w:highlight w:val="none"/>
          <w:lang w:eastAsia="zh-CN"/>
        </w:rPr>
        <w:t>所有招标方认为是本文件应要求而被遗漏的项目，都被认为是包含在本次</w:t>
      </w:r>
      <w:r>
        <w:rPr>
          <w:rFonts w:hint="eastAsia" w:ascii="Times New Roman" w:hAnsi="Times New Roman" w:eastAsia="宋体" w:cs="宋体"/>
          <w:b w:val="0"/>
          <w:bCs/>
          <w:color w:val="auto"/>
          <w:kern w:val="36"/>
          <w:sz w:val="24"/>
          <w:szCs w:val="24"/>
          <w:highlight w:val="none"/>
          <w:lang w:val="en-US" w:eastAsia="zh-CN"/>
        </w:rPr>
        <w:t>评审</w:t>
      </w:r>
      <w:r>
        <w:rPr>
          <w:rFonts w:hint="eastAsia" w:ascii="Times New Roman" w:hAnsi="Times New Roman" w:eastAsia="宋体" w:cs="宋体"/>
          <w:b w:val="0"/>
          <w:bCs/>
          <w:color w:val="auto"/>
          <w:kern w:val="36"/>
          <w:sz w:val="24"/>
          <w:szCs w:val="24"/>
          <w:highlight w:val="none"/>
          <w:lang w:eastAsia="zh-CN"/>
        </w:rPr>
        <w:t>范围内。</w:t>
      </w:r>
      <w:r>
        <w:rPr>
          <w:rFonts w:hint="eastAsia" w:ascii="Times New Roman" w:hAnsi="Times New Roman" w:eastAsia="宋体" w:cs="宋体"/>
          <w:b w:val="0"/>
          <w:bCs/>
          <w:color w:val="auto"/>
          <w:kern w:val="36"/>
          <w:sz w:val="24"/>
          <w:szCs w:val="24"/>
          <w:highlight w:val="none"/>
          <w:lang w:val="en-US" w:eastAsia="zh-CN"/>
        </w:rPr>
        <w:t>投标方</w:t>
      </w:r>
      <w:r>
        <w:rPr>
          <w:rFonts w:hint="eastAsia" w:ascii="Times New Roman" w:hAnsi="Times New Roman" w:eastAsia="宋体" w:cs="宋体"/>
          <w:b w:val="0"/>
          <w:bCs/>
          <w:color w:val="auto"/>
          <w:kern w:val="36"/>
          <w:sz w:val="24"/>
          <w:szCs w:val="24"/>
          <w:highlight w:val="none"/>
          <w:lang w:eastAsia="zh-CN"/>
        </w:rPr>
        <w:t>可以就认为的遗漏项目提请招标方注意，并详细说明理由，招标方将就此进行澄清。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宋体"/>
          <w:bCs/>
          <w:color w:val="auto"/>
          <w:kern w:val="36"/>
          <w:sz w:val="24"/>
          <w:szCs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auto"/>
          <w:kern w:val="36"/>
          <w:sz w:val="24"/>
          <w:szCs w:val="24"/>
          <w:highlight w:val="none"/>
        </w:rPr>
        <w:t xml:space="preserve">6 </w:t>
      </w:r>
      <w:r>
        <w:rPr>
          <w:rFonts w:hint="eastAsia" w:ascii="Times New Roman" w:hAnsi="Times New Roman" w:eastAsia="宋体" w:cs="宋体"/>
          <w:bCs/>
          <w:color w:val="auto"/>
          <w:kern w:val="36"/>
          <w:sz w:val="24"/>
          <w:szCs w:val="24"/>
          <w:highlight w:val="none"/>
          <w:lang w:eastAsia="zh-CN"/>
        </w:rPr>
        <w:t>招标方</w:t>
      </w:r>
      <w:r>
        <w:rPr>
          <w:rFonts w:hint="eastAsia" w:ascii="Times New Roman" w:hAnsi="Times New Roman" w:eastAsia="宋体" w:cs="宋体"/>
          <w:bCs/>
          <w:color w:val="auto"/>
          <w:kern w:val="36"/>
          <w:sz w:val="24"/>
          <w:szCs w:val="24"/>
          <w:highlight w:val="none"/>
        </w:rPr>
        <w:t>在任何时候保留和拥有对本</w:t>
      </w:r>
      <w:r>
        <w:rPr>
          <w:rFonts w:hint="eastAsia" w:cs="宋体"/>
          <w:bCs/>
          <w:color w:val="auto"/>
          <w:kern w:val="36"/>
          <w:sz w:val="24"/>
          <w:szCs w:val="24"/>
          <w:highlight w:val="none"/>
          <w:lang w:eastAsia="zh-CN"/>
        </w:rPr>
        <w:t>技术规范书</w:t>
      </w:r>
      <w:r>
        <w:rPr>
          <w:rFonts w:hint="eastAsia" w:ascii="Times New Roman" w:hAnsi="Times New Roman" w:eastAsia="宋体" w:cs="宋体"/>
          <w:bCs/>
          <w:color w:val="auto"/>
          <w:kern w:val="36"/>
          <w:sz w:val="24"/>
          <w:szCs w:val="24"/>
          <w:highlight w:val="none"/>
        </w:rPr>
        <w:t>的解释权。</w:t>
      </w:r>
      <w:r>
        <w:rPr>
          <w:rFonts w:hint="eastAsia" w:ascii="Times New Roman" w:hAnsi="Times New Roman" w:eastAsia="宋体" w:cs="宋体"/>
          <w:bCs/>
          <w:color w:val="auto"/>
          <w:kern w:val="36"/>
          <w:sz w:val="24"/>
          <w:szCs w:val="24"/>
          <w:highlight w:val="none"/>
          <w:lang w:eastAsia="zh-CN"/>
        </w:rPr>
        <w:t>招标方</w:t>
      </w:r>
      <w:r>
        <w:rPr>
          <w:rFonts w:hint="eastAsia" w:ascii="Times New Roman" w:hAnsi="Times New Roman" w:eastAsia="宋体" w:cs="宋体"/>
          <w:bCs/>
          <w:color w:val="auto"/>
          <w:kern w:val="36"/>
          <w:sz w:val="24"/>
          <w:szCs w:val="24"/>
          <w:highlight w:val="none"/>
        </w:rPr>
        <w:t>有权在签定合同前，根据需要修改和补充本</w:t>
      </w:r>
      <w:r>
        <w:rPr>
          <w:rFonts w:hint="eastAsia" w:cs="宋体"/>
          <w:bCs/>
          <w:color w:val="auto"/>
          <w:kern w:val="36"/>
          <w:sz w:val="24"/>
          <w:szCs w:val="24"/>
          <w:highlight w:val="none"/>
          <w:lang w:eastAsia="zh-CN"/>
        </w:rPr>
        <w:t>技术规范书</w:t>
      </w:r>
      <w:r>
        <w:rPr>
          <w:rFonts w:hint="eastAsia" w:ascii="Times New Roman" w:hAnsi="Times New Roman" w:eastAsia="宋体" w:cs="宋体"/>
          <w:bCs/>
          <w:color w:val="auto"/>
          <w:kern w:val="36"/>
          <w:sz w:val="24"/>
          <w:szCs w:val="24"/>
          <w:highlight w:val="none"/>
        </w:rPr>
        <w:t>，修改补充后的最终</w:t>
      </w:r>
      <w:r>
        <w:rPr>
          <w:rFonts w:hint="eastAsia" w:cs="宋体"/>
          <w:bCs/>
          <w:color w:val="auto"/>
          <w:kern w:val="36"/>
          <w:sz w:val="24"/>
          <w:szCs w:val="24"/>
          <w:highlight w:val="none"/>
          <w:lang w:eastAsia="zh-CN"/>
        </w:rPr>
        <w:t>技术规范书</w:t>
      </w:r>
      <w:r>
        <w:rPr>
          <w:rFonts w:hint="eastAsia" w:ascii="Times New Roman" w:hAnsi="Times New Roman" w:eastAsia="宋体" w:cs="宋体"/>
          <w:bCs/>
          <w:color w:val="auto"/>
          <w:kern w:val="36"/>
          <w:sz w:val="24"/>
          <w:szCs w:val="24"/>
          <w:highlight w:val="none"/>
        </w:rPr>
        <w:t>将作为合同的附件。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宋体"/>
          <w:bCs/>
          <w:color w:val="auto"/>
          <w:kern w:val="36"/>
          <w:sz w:val="24"/>
          <w:szCs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auto"/>
          <w:kern w:val="36"/>
          <w:sz w:val="24"/>
          <w:szCs w:val="24"/>
          <w:highlight w:val="none"/>
        </w:rPr>
        <w:t>7本技术规范书所使用的标准如遇与</w:t>
      </w:r>
      <w:r>
        <w:rPr>
          <w:rFonts w:hint="eastAsia" w:ascii="Times New Roman" w:hAnsi="Times New Roman" w:eastAsia="宋体" w:cs="宋体"/>
          <w:bCs/>
          <w:color w:val="auto"/>
          <w:kern w:val="36"/>
          <w:sz w:val="24"/>
          <w:szCs w:val="24"/>
          <w:highlight w:val="none"/>
          <w:lang w:eastAsia="zh-CN"/>
        </w:rPr>
        <w:t>投标方</w:t>
      </w:r>
      <w:r>
        <w:rPr>
          <w:rFonts w:hint="eastAsia" w:ascii="Times New Roman" w:hAnsi="Times New Roman" w:eastAsia="宋体" w:cs="宋体"/>
          <w:bCs/>
          <w:color w:val="auto"/>
          <w:kern w:val="36"/>
          <w:sz w:val="24"/>
          <w:szCs w:val="24"/>
          <w:highlight w:val="none"/>
        </w:rPr>
        <w:t>所执行的标准不一致时, 按较高标准执行。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ascii="Times New Roman" w:hAnsi="Times New Roman" w:eastAsia="宋体" w:cs="宋体"/>
          <w:bCs/>
          <w:color w:val="auto"/>
          <w:kern w:val="36"/>
          <w:sz w:val="24"/>
          <w:szCs w:val="24"/>
          <w:highlight w:val="none"/>
        </w:rPr>
      </w:pPr>
      <w:r>
        <w:rPr>
          <w:rFonts w:hint="eastAsia" w:ascii="Times New Roman" w:hAnsi="Times New Roman" w:eastAsia="宋体" w:cs="宋体"/>
          <w:bCs/>
          <w:color w:val="auto"/>
          <w:kern w:val="36"/>
          <w:sz w:val="24"/>
          <w:szCs w:val="24"/>
          <w:highlight w:val="none"/>
        </w:rPr>
        <w:t>8  本</w:t>
      </w:r>
      <w:r>
        <w:rPr>
          <w:rFonts w:hint="eastAsia" w:cs="宋体"/>
          <w:bCs/>
          <w:color w:val="auto"/>
          <w:kern w:val="36"/>
          <w:sz w:val="24"/>
          <w:szCs w:val="24"/>
          <w:highlight w:val="none"/>
          <w:lang w:eastAsia="zh-CN"/>
        </w:rPr>
        <w:t>技术规范书</w:t>
      </w:r>
      <w:r>
        <w:rPr>
          <w:rFonts w:hint="eastAsia" w:ascii="Times New Roman" w:hAnsi="Times New Roman" w:eastAsia="宋体" w:cs="宋体"/>
          <w:bCs/>
          <w:color w:val="auto"/>
          <w:kern w:val="36"/>
          <w:sz w:val="24"/>
          <w:szCs w:val="24"/>
          <w:highlight w:val="none"/>
        </w:rPr>
        <w:t>的解释权属于南方电网通用航空服务有限公司所有。</w:t>
      </w:r>
      <w:r>
        <w:rPr>
          <w:rFonts w:hint="eastAsia" w:cs="宋体"/>
          <w:bCs/>
          <w:color w:val="auto"/>
          <w:kern w:val="36"/>
          <w:sz w:val="24"/>
          <w:szCs w:val="24"/>
          <w:highlight w:val="none"/>
          <w:lang w:eastAsia="zh-CN"/>
        </w:rPr>
        <w:t>技术规范书</w:t>
      </w:r>
      <w:r>
        <w:rPr>
          <w:rFonts w:hint="eastAsia" w:ascii="Times New Roman" w:hAnsi="Times New Roman" w:eastAsia="宋体" w:cs="宋体"/>
          <w:bCs/>
          <w:color w:val="auto"/>
          <w:kern w:val="36"/>
          <w:sz w:val="24"/>
          <w:szCs w:val="24"/>
          <w:highlight w:val="none"/>
        </w:rPr>
        <w:t>未经南方电网通用航空服务有限公司同意，任何个人和单位不得做出任何修改。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textAlignment w:val="auto"/>
        <w:outlineLvl w:val="0"/>
        <w:rPr>
          <w:rFonts w:hint="eastAsia" w:ascii="Times New Roman" w:hAnsi="Times New Roman" w:eastAsia="宋体"/>
          <w:b/>
          <w:bCs/>
          <w:color w:val="auto"/>
          <w:kern w:val="36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b/>
          <w:bCs/>
          <w:color w:val="auto"/>
          <w:kern w:val="36"/>
          <w:sz w:val="28"/>
          <w:szCs w:val="28"/>
          <w:highlight w:val="none"/>
          <w:lang w:val="en-US" w:eastAsia="zh-CN"/>
        </w:rPr>
        <w:t>二、 应遵循的主要标准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eastAsia" w:ascii="Times New Roman" w:hAnsi="Times New Roman" w:eastAsia="宋体" w:cs="宋体"/>
          <w:b/>
          <w:bCs/>
          <w:color w:val="auto"/>
          <w:kern w:val="36"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1.JJG1005-2019《电子式绝缘电阻表</w:t>
      </w:r>
      <w:r>
        <w:rPr>
          <w:rFonts w:hint="eastAsia" w:cs="宋体"/>
          <w:b w:val="0"/>
          <w:color w:val="auto"/>
          <w:kern w:val="36"/>
          <w:sz w:val="24"/>
          <w:szCs w:val="24"/>
          <w:highlight w:val="none"/>
          <w:lang w:val="en-US" w:eastAsia="zh-CN"/>
        </w:rPr>
        <w:t>检定规程</w:t>
      </w:r>
      <w:r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2.JJF1971-2022《叶轮式风速计校准规范》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3.DL/T 1476</w:t>
      </w:r>
      <w:r>
        <w:rPr>
          <w:rFonts w:hint="eastAsia" w:cs="宋体"/>
          <w:b w:val="0"/>
          <w:color w:val="auto"/>
          <w:kern w:val="36"/>
          <w:sz w:val="24"/>
          <w:szCs w:val="24"/>
          <w:highlight w:val="none"/>
          <w:lang w:val="en-US" w:eastAsia="zh-CN"/>
        </w:rPr>
        <w:t>-</w:t>
      </w:r>
      <w:r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2023《电力安全工器具预防性试验规程》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4.JJG1009-2024《</w:t>
      </w:r>
      <w:r>
        <w:rPr>
          <w:rFonts w:hint="eastAsia" w:ascii="宋体" w:hAnsi="宋体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X、</w:t>
      </w:r>
      <w:r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γ辐射个人剂量当量</w:t>
      </w:r>
      <w:r>
        <w:rPr>
          <w:rFonts w:hint="eastAsia" w:cs="宋体"/>
          <w:b w:val="0"/>
          <w:color w:val="auto"/>
          <w:kern w:val="36"/>
          <w:sz w:val="24"/>
          <w:szCs w:val="24"/>
          <w:highlight w:val="none"/>
          <w:lang w:val="en-US" w:eastAsia="zh-CN"/>
        </w:rPr>
        <w:t>Hp</w:t>
      </w:r>
      <w:r>
        <w:rPr>
          <w:rFonts w:hint="eastAsia" w:cs="宋体"/>
          <w:b w:val="0"/>
          <w:color w:val="auto"/>
          <w:kern w:val="36"/>
          <w:sz w:val="24"/>
          <w:szCs w:val="24"/>
          <w:highlight w:val="none"/>
          <w:lang w:eastAsia="zh-CN"/>
        </w:rPr>
        <w:t>（</w:t>
      </w:r>
      <w:r>
        <w:rPr>
          <w:rFonts w:hint="eastAsia" w:cs="宋体"/>
          <w:b w:val="0"/>
          <w:color w:val="auto"/>
          <w:kern w:val="36"/>
          <w:sz w:val="24"/>
          <w:szCs w:val="24"/>
          <w:highlight w:val="none"/>
          <w:lang w:val="en-US" w:eastAsia="zh-CN"/>
        </w:rPr>
        <w:t>10</w:t>
      </w:r>
      <w:r>
        <w:rPr>
          <w:rFonts w:hint="eastAsia" w:cs="宋体"/>
          <w:b w:val="0"/>
          <w:color w:val="auto"/>
          <w:kern w:val="36"/>
          <w:sz w:val="24"/>
          <w:szCs w:val="24"/>
          <w:highlight w:val="none"/>
          <w:lang w:eastAsia="zh-CN"/>
        </w:rPr>
        <w:t>）</w:t>
      </w:r>
      <w:r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监测仪检定规程》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5.JJ</w:t>
      </w:r>
      <w:r>
        <w:rPr>
          <w:rFonts w:hint="eastAsia" w:cs="宋体"/>
          <w:b w:val="0"/>
          <w:color w:val="auto"/>
          <w:kern w:val="36"/>
          <w:sz w:val="24"/>
          <w:szCs w:val="24"/>
          <w:highlight w:val="none"/>
          <w:lang w:val="en-US" w:eastAsia="zh-CN"/>
        </w:rPr>
        <w:t>F</w:t>
      </w:r>
      <w:r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1587</w:t>
      </w:r>
      <w:r>
        <w:rPr>
          <w:rFonts w:hint="eastAsia" w:cs="宋体"/>
          <w:b w:val="0"/>
          <w:color w:val="auto"/>
          <w:kern w:val="36"/>
          <w:sz w:val="24"/>
          <w:szCs w:val="24"/>
          <w:highlight w:val="none"/>
          <w:lang w:val="en-US" w:eastAsia="zh-CN"/>
        </w:rPr>
        <w:t>-2016《</w:t>
      </w:r>
      <w:r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数字多用表</w:t>
      </w:r>
      <w:r>
        <w:rPr>
          <w:rFonts w:hint="eastAsia" w:cs="宋体"/>
          <w:b w:val="0"/>
          <w:color w:val="auto"/>
          <w:kern w:val="36"/>
          <w:sz w:val="24"/>
          <w:szCs w:val="24"/>
          <w:highlight w:val="none"/>
          <w:lang w:val="en-US" w:eastAsia="zh-CN"/>
        </w:rPr>
        <w:t>校准规范》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eastAsia" w:ascii="Times New Roman" w:hAnsi="Times New Roman" w:eastAsia="宋体" w:cs="宋体"/>
          <w:b/>
          <w:bCs/>
          <w:color w:val="auto"/>
          <w:kern w:val="36"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6.</w:t>
      </w:r>
      <w:r>
        <w:rPr>
          <w:rFonts w:hint="eastAsia" w:cs="宋体"/>
          <w:b w:val="0"/>
          <w:color w:val="auto"/>
          <w:kern w:val="36"/>
          <w:sz w:val="24"/>
          <w:szCs w:val="24"/>
          <w:highlight w:val="none"/>
          <w:lang w:val="en-US" w:eastAsia="zh-CN"/>
        </w:rPr>
        <w:t>JJF1596-2016《</w:t>
      </w:r>
      <w:r>
        <w:rPr>
          <w:rFonts w:hint="eastAsia" w:ascii="Times New Roman" w:hAnsi="Times New Roman" w:eastAsia="宋体" w:cs="宋体"/>
          <w:b w:val="0"/>
          <w:bCs w:val="0"/>
          <w:color w:val="auto"/>
          <w:kern w:val="36"/>
          <w:sz w:val="24"/>
          <w:szCs w:val="24"/>
          <w:highlight w:val="none"/>
          <w:lang w:eastAsia="zh-CN"/>
        </w:rPr>
        <w:t>X射线工业实时成像系统校准规范</w:t>
      </w:r>
      <w:r>
        <w:rPr>
          <w:rFonts w:hint="eastAsia" w:cs="宋体"/>
          <w:b w:val="0"/>
          <w:bCs w:val="0"/>
          <w:color w:val="auto"/>
          <w:kern w:val="36"/>
          <w:sz w:val="24"/>
          <w:szCs w:val="24"/>
          <w:highlight w:val="none"/>
          <w:lang w:eastAsia="zh-CN"/>
        </w:rPr>
        <w:t>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7.</w:t>
      </w:r>
      <w:r>
        <w:rPr>
          <w:rFonts w:hint="eastAsia" w:ascii="Times New Roman" w:hAnsi="Times New Roman" w:eastAsia="宋体" w:cs="宋体"/>
          <w:b w:val="0"/>
          <w:bCs w:val="0"/>
          <w:color w:val="auto"/>
          <w:kern w:val="36"/>
          <w:sz w:val="24"/>
          <w:szCs w:val="24"/>
          <w:highlight w:val="none"/>
          <w:lang w:eastAsia="zh-CN"/>
        </w:rPr>
        <w:t>JJG40</w:t>
      </w:r>
      <w:r>
        <w:rPr>
          <w:rFonts w:hint="eastAsia" w:cs="宋体"/>
          <w:b w:val="0"/>
          <w:bCs w:val="0"/>
          <w:color w:val="auto"/>
          <w:kern w:val="36"/>
          <w:sz w:val="24"/>
          <w:szCs w:val="24"/>
          <w:highlight w:val="none"/>
          <w:lang w:val="en-US" w:eastAsia="zh-CN"/>
        </w:rPr>
        <w:t>-2011《</w:t>
      </w:r>
      <w:r>
        <w:rPr>
          <w:rFonts w:hint="eastAsia" w:ascii="Times New Roman" w:hAnsi="Times New Roman" w:eastAsia="宋体" w:cs="宋体"/>
          <w:b w:val="0"/>
          <w:bCs w:val="0"/>
          <w:color w:val="auto"/>
          <w:kern w:val="36"/>
          <w:sz w:val="24"/>
          <w:szCs w:val="24"/>
          <w:highlight w:val="none"/>
          <w:lang w:eastAsia="zh-CN"/>
        </w:rPr>
        <w:t>X射线探伤机检定规程</w:t>
      </w:r>
      <w:r>
        <w:rPr>
          <w:rFonts w:hint="eastAsia" w:cs="宋体"/>
          <w:b w:val="0"/>
          <w:bCs w:val="0"/>
          <w:color w:val="auto"/>
          <w:kern w:val="36"/>
          <w:sz w:val="24"/>
          <w:szCs w:val="24"/>
          <w:highlight w:val="none"/>
          <w:lang w:eastAsia="zh-CN"/>
        </w:rPr>
        <w:t>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8.</w:t>
      </w:r>
      <w:r>
        <w:rPr>
          <w:rFonts w:hint="eastAsia" w:cs="宋体"/>
          <w:b w:val="0"/>
          <w:color w:val="auto"/>
          <w:kern w:val="36"/>
          <w:sz w:val="24"/>
          <w:szCs w:val="24"/>
          <w:highlight w:val="none"/>
          <w:lang w:val="en-US" w:eastAsia="zh-CN"/>
        </w:rPr>
        <w:t>GBZ128-2019《职业性外照射个人检测规范》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default" w:cs="宋体"/>
          <w:b w:val="0"/>
          <w:color w:val="auto"/>
          <w:kern w:val="36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9.</w:t>
      </w:r>
      <w:r>
        <w:rPr>
          <w:rFonts w:hint="eastAsia" w:cs="宋体"/>
          <w:b w:val="0"/>
          <w:color w:val="auto"/>
          <w:kern w:val="36"/>
          <w:sz w:val="24"/>
          <w:szCs w:val="24"/>
          <w:highlight w:val="none"/>
          <w:lang w:val="en-US" w:eastAsia="zh-CN"/>
        </w:rPr>
        <w:t>GB/T17622-2008《带电作业用绝缘手套》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default" w:cs="宋体"/>
          <w:b w:val="0"/>
          <w:color w:val="auto"/>
          <w:kern w:val="36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10.</w:t>
      </w:r>
      <w:r>
        <w:rPr>
          <w:rFonts w:hint="eastAsia" w:cs="宋体"/>
          <w:b w:val="0"/>
          <w:color w:val="auto"/>
          <w:kern w:val="36"/>
          <w:sz w:val="24"/>
          <w:szCs w:val="24"/>
          <w:highlight w:val="none"/>
          <w:lang w:val="en-US" w:eastAsia="zh-CN"/>
        </w:rPr>
        <w:t>DL/T976-2017《带电作业工具、装置和设备预防性试验规程》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11.</w:t>
      </w:r>
      <w:r>
        <w:rPr>
          <w:rFonts w:hint="eastAsia" w:cs="宋体"/>
          <w:b w:val="0"/>
          <w:color w:val="auto"/>
          <w:kern w:val="36"/>
          <w:sz w:val="24"/>
          <w:szCs w:val="24"/>
          <w:highlight w:val="none"/>
          <w:lang w:val="en-US" w:eastAsia="zh-CN"/>
        </w:rPr>
        <w:t>JJ393-2018《便携式</w:t>
      </w:r>
      <w:r>
        <w:rPr>
          <w:rFonts w:hint="eastAsia" w:ascii="宋体" w:hAnsi="宋体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X</w:t>
      </w:r>
      <w:r>
        <w:rPr>
          <w:rFonts w:hint="eastAsia" w:ascii="宋体" w:hAnsi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、</w:t>
      </w:r>
      <w:r>
        <w:rPr>
          <w:rFonts w:hint="eastAsia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eastAsia="zh-CN"/>
        </w:rPr>
        <w:t>γ</w:t>
      </w:r>
      <w:r>
        <w:rPr>
          <w:rFonts w:hint="eastAsia" w:cs="宋体"/>
          <w:b w:val="0"/>
          <w:color w:val="auto"/>
          <w:kern w:val="36"/>
          <w:sz w:val="24"/>
          <w:szCs w:val="24"/>
          <w:highlight w:val="none"/>
          <w:lang w:val="en-US" w:eastAsia="zh-CN"/>
        </w:rPr>
        <w:t>辐射剂量率仪检定规程》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left"/>
        <w:textAlignment w:val="auto"/>
        <w:outlineLvl w:val="9"/>
        <w:rPr>
          <w:rFonts w:hint="default" w:ascii="Times New Roman" w:hAnsi="Times New Roman" w:eastAsia="宋体" w:cs="宋体"/>
          <w:b w:val="0"/>
          <w:color w:val="auto"/>
          <w:kern w:val="36"/>
          <w:sz w:val="24"/>
          <w:szCs w:val="24"/>
          <w:highlight w:val="none"/>
          <w:lang w:val="en-US" w:eastAsia="zh-CN"/>
        </w:rPr>
      </w:pPr>
      <w:r>
        <w:rPr>
          <w:rFonts w:hint="eastAsia" w:cs="宋体"/>
          <w:b w:val="0"/>
          <w:color w:val="auto"/>
          <w:kern w:val="36"/>
          <w:sz w:val="24"/>
          <w:szCs w:val="24"/>
          <w:highlight w:val="none"/>
          <w:lang w:val="en-US" w:eastAsia="zh-CN"/>
        </w:rPr>
        <w:t>12.JJG1007-2019《核辐射检测仪检定规程》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textAlignment w:val="auto"/>
        <w:outlineLvl w:val="0"/>
        <w:rPr>
          <w:rFonts w:hint="eastAsia" w:ascii="Times New Roman" w:hAnsi="Times New Roman" w:eastAsia="宋体"/>
          <w:b/>
          <w:bCs/>
          <w:color w:val="auto"/>
          <w:kern w:val="36"/>
          <w:sz w:val="28"/>
          <w:szCs w:val="28"/>
          <w:highlight w:val="none"/>
          <w:lang w:val="en-US" w:eastAsia="zh-CN"/>
        </w:rPr>
      </w:pPr>
      <w:r>
        <w:rPr>
          <w:rFonts w:hint="eastAsia" w:ascii="Times New Roman" w:hAnsi="Times New Roman" w:eastAsia="宋体"/>
          <w:b/>
          <w:bCs/>
          <w:color w:val="auto"/>
          <w:kern w:val="36"/>
          <w:sz w:val="28"/>
          <w:szCs w:val="28"/>
          <w:highlight w:val="none"/>
          <w:lang w:val="en-US" w:eastAsia="zh-CN"/>
        </w:rPr>
        <w:t>三、项目要求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firstLine="482" w:firstLineChars="200"/>
        <w:textAlignment w:val="auto"/>
        <w:outlineLvl w:val="1"/>
        <w:rPr>
          <w:rFonts w:hint="eastAsia" w:ascii="Times New Roman" w:hAnsi="Times New Roman" w:eastAsia="宋体" w:cs="宋体"/>
          <w:b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 w:cs="宋体"/>
          <w:b/>
          <w:color w:val="auto"/>
          <w:sz w:val="24"/>
          <w:szCs w:val="24"/>
          <w:highlight w:val="none"/>
        </w:rPr>
        <w:t>1项目内容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b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</w:rPr>
        <w:t xml:space="preserve">本次采购的内容为: 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特种作业设备检测服务</w:t>
      </w:r>
      <w:r>
        <w:rPr>
          <w:rFonts w:hint="eastAsia" w:eastAsia="宋体" w:cs="宋体"/>
          <w:color w:val="auto"/>
          <w:sz w:val="24"/>
          <w:szCs w:val="24"/>
          <w:highlight w:val="none"/>
          <w:lang w:val="en-US"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cs="Times New Roman"/>
          <w:color w:val="auto"/>
          <w:sz w:val="24"/>
          <w:szCs w:val="24"/>
          <w:highlight w:val="none"/>
          <w:lang w:val="en-US" w:eastAsia="zh-CN"/>
        </w:rPr>
        <w:t>本项目为框架合同，具体以实际发生的检测量据实结算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</w:rPr>
        <w:t>。</w:t>
      </w:r>
    </w:p>
    <w:p>
      <w:pPr>
        <w:keepNext w:val="0"/>
        <w:keepLines w:val="0"/>
        <w:pageBreakBefore w:val="0"/>
        <w:numPr>
          <w:ilvl w:val="1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outlineLvl w:val="2"/>
        <w:rPr>
          <w:rFonts w:hint="eastAsia" w:ascii="Times New Roman" w:hAnsi="Times New Roman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设备</w:t>
      </w:r>
      <w:r>
        <w:rPr>
          <w:rFonts w:hint="eastAsia" w:cs="宋体"/>
          <w:b/>
          <w:bCs/>
          <w:color w:val="auto"/>
          <w:sz w:val="24"/>
          <w:szCs w:val="24"/>
          <w:highlight w:val="none"/>
          <w:lang w:val="en-US" w:eastAsia="zh-CN"/>
        </w:rPr>
        <w:t>检测</w:t>
      </w:r>
      <w:r>
        <w:rPr>
          <w:rFonts w:hint="eastAsia" w:ascii="Times New Roman" w:hAnsi="Times New Roman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内容</w:t>
      </w:r>
    </w:p>
    <w:tbl>
      <w:tblPr>
        <w:tblStyle w:val="25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79"/>
        <w:gridCol w:w="6556"/>
        <w:gridCol w:w="1084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1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3847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636" w:type="pct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1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3847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636" w:type="pct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38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高压电阻测试仪 AR125检测服务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38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EMC风速仪DECEMDAH30检测服务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38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绝缘绳2m检测服务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38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绝缘手套检测服务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对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38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个人辐射检测仪检测服务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38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个人剂量计检测服务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38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万用表检测服务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</w:tblPrEx>
        <w:trPr>
          <w:trHeight w:val="600" w:hRule="atLeast"/>
        </w:trPr>
        <w:tc>
          <w:tcPr>
            <w:tcW w:w="5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38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Golden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公司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XRS3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型无人机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射线探伤装置（含成像板）检测服务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38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Golden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公司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XRS3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型无人机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射线探伤装置（不含成像板）检测服务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38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Golden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公司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XR150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型无人机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射线探伤装置（含成像板）检测服务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套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38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Golden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公司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XR150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型无人机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射线探伤装置（不含成像板）检测服务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</w:trPr>
        <w:tc>
          <w:tcPr>
            <w:tcW w:w="5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38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风速测量仪检测服务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1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3847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X射线辐射检测仪检测服务</w:t>
            </w:r>
          </w:p>
        </w:tc>
        <w:tc>
          <w:tcPr>
            <w:tcW w:w="636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台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rPr>
          <w:rFonts w:hint="eastAsia" w:ascii="Times New Roman" w:hAnsi="Times New Roman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（1）</w:t>
      </w:r>
      <w:r>
        <w:rPr>
          <w:rFonts w:hint="eastAsia" w:ascii="Times New Roman" w:hAnsi="Times New Roman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最低响应数量</w:t>
      </w:r>
      <w:r>
        <w:rPr>
          <w:rFonts w:hint="eastAsia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要求：检测内容设置</w:t>
      </w:r>
      <w:r>
        <w:rPr>
          <w:rFonts w:hint="eastAsia" w:ascii="Times New Roman" w:hAnsi="Times New Roman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最低响应数量</w:t>
      </w:r>
      <w:r>
        <w:rPr>
          <w:rFonts w:hint="eastAsia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要求，检测内容不低于10项</w:t>
      </w:r>
      <w:r>
        <w:rPr>
          <w:rFonts w:hint="eastAsia" w:ascii="Times New Roman" w:hAnsi="Times New Roman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。投标人须在投标文件中</w:t>
      </w:r>
      <w:r>
        <w:rPr>
          <w:rFonts w:hint="eastAsia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响应并</w:t>
      </w:r>
      <w:r>
        <w:rPr>
          <w:rFonts w:hint="eastAsia" w:ascii="Times New Roman" w:hAnsi="Times New Roman" w:eastAsia="宋体" w:cs="宋体"/>
          <w:b w:val="0"/>
          <w:bCs w:val="0"/>
          <w:color w:val="auto"/>
          <w:sz w:val="24"/>
          <w:szCs w:val="24"/>
          <w:highlight w:val="none"/>
          <w:lang w:val="en-US" w:eastAsia="zh-CN"/>
        </w:rPr>
        <w:t>提供书面承诺函（格式自拟）。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（2）综合单价包含（但不限于）所设备的检测费、进退场运输（包含：同一项目内的设备转场运输费）及保险、附件、备品备件、专用工具、技术资料、培训、售后服务等费用，以及质保期内的检修费、非因招标人原因损坏、故障的维修费和易损耗配零配件更换费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Times New Roman" w:hAnsi="Times New Roman" w:eastAsia="宋体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（3）中标后的点验环节：投标方需承诺所提供的投标文件、技术响应、设备清单等各类文件真实有效，无虚构、造假等情况。中标后招标方将组织成立点验小组，对设备清单、参数、性能功能等情况进行核对。若存在设备缺件、参数不达标、功能故障等问题，中标方需在20个工作日完成整改，整改后重新组织检验，直至全部项目合格。若两次整改后仍不符合要求，招标方有权追究中标方违约责任，包括但不限于解除合同、要求赔偿损失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（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4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）设备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检查期间，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非因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招标方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原因损坏需修理和更换配件等损失由投标方自行承担。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（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5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）框架协议有效期内，除非经招标人（中标签订协议后称甲方）同意或要求，否则不得私自变更提供其它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类别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的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检测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（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）投标人（中标签订协议后称乙方）所提供的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检测服务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必须证照齐全、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检测设备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技术性能良好、出厂日期不得超过3年。如交接验收不合格，招标人有权拒绝收货或要求投标人派人维修，其中产生的费用（误工费、运输费、人工材料费等）由投标人负责。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（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7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）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投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标人交付的设备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检测服务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不得侵犯第三方设备合法权利，包括但不限于知识产权、所有权等。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en-US" w:eastAsia="zh-CN"/>
        </w:rPr>
        <w:t>（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8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en-US" w:eastAsia="zh-CN"/>
        </w:rPr>
        <w:t>）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设备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检测期间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非招标人使用原因发生故障</w:t>
      </w:r>
      <w:r>
        <w:rPr>
          <w:rFonts w:hint="eastAsia" w:cs="宋体"/>
          <w:color w:val="auto"/>
          <w:sz w:val="24"/>
          <w:szCs w:val="24"/>
          <w:highlight w:val="none"/>
          <w:lang w:val="zh-CN" w:eastAsia="zh-CN"/>
        </w:rPr>
        <w:t>，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且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经维修仍无法排除，投标人应在招标人指定的期限内及时更换相同型号的设备。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（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9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）投标人应根据招标人通知的退还时间安排接收设备。如投标人未能及时安排接收设备，则按照招标人通知退场时间为双方认定的退还时间。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0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）招标人享有设备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检测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续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约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的优先权。如需续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约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，招标人须在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合同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期限满3天前向投标人提出。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（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）投标人应根据招标人约定</w:t>
      </w:r>
      <w:r>
        <w:rPr>
          <w:rFonts w:hint="eastAsia" w:cs="宋体"/>
          <w:color w:val="auto"/>
          <w:sz w:val="24"/>
          <w:szCs w:val="24"/>
          <w:highlight w:val="none"/>
          <w:lang w:val="zh-CN" w:eastAsia="zh-CN"/>
        </w:rPr>
        <w:t>的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时间、地点，根据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招标方要求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将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已完成检测的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设备交付到招标人指定地点。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（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12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）设备运输过程中出现的所有事故（除货物属性或不可抗力引起），由投标人自行负责，与招标人无关。如因此给招标人造成损失的，应由投标人承担赔偿责任。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（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13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）协议框架有效期内，投标人不得因为经营风险、运输燃油费、路费上涨等综合因素，以任何理由拒绝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检测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zh-CN" w:eastAsia="zh-CN"/>
        </w:rPr>
        <w:t>或要求调价。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before="120" w:after="120" w:line="360" w:lineRule="auto"/>
        <w:ind w:firstLine="482" w:firstLineChars="200"/>
        <w:textAlignment w:val="auto"/>
        <w:outlineLvl w:val="1"/>
        <w:rPr>
          <w:rFonts w:hint="eastAsia" w:ascii="Times New Roman" w:hAnsi="Times New Roman" w:eastAsia="宋体" w:cs="宋体"/>
          <w:b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 w:cs="宋体"/>
          <w:b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Times New Roman" w:hAnsi="Times New Roman" w:eastAsia="宋体" w:cs="宋体"/>
          <w:b/>
          <w:color w:val="auto"/>
          <w:sz w:val="24"/>
          <w:szCs w:val="24"/>
          <w:highlight w:val="none"/>
        </w:rPr>
        <w:t>服务与技术要求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outlineLvl w:val="2"/>
        <w:rPr>
          <w:rFonts w:hint="eastAsia" w:cs="宋体"/>
          <w:b/>
          <w:bCs/>
          <w:color w:val="auto"/>
          <w:sz w:val="24"/>
          <w:szCs w:val="24"/>
          <w:highlight w:val="none"/>
          <w:lang w:val="en-US" w:eastAsia="zh-CN"/>
        </w:rPr>
      </w:pPr>
      <w:bookmarkStart w:id="0" w:name="_Hlk127544025"/>
      <w:r>
        <w:rPr>
          <w:rFonts w:hint="eastAsia" w:ascii="Times New Roman" w:hAnsi="Times New Roman" w:eastAsia="宋体" w:cs="宋体"/>
          <w:b/>
          <w:bCs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Times New Roman" w:hAnsi="Times New Roman" w:eastAsia="宋体" w:cs="宋体"/>
          <w:b/>
          <w:bCs/>
          <w:color w:val="auto"/>
          <w:sz w:val="24"/>
          <w:szCs w:val="24"/>
          <w:highlight w:val="none"/>
        </w:rPr>
        <w:t xml:space="preserve">.1 </w:t>
      </w:r>
      <w:r>
        <w:rPr>
          <w:rFonts w:hint="eastAsia" w:cs="宋体"/>
          <w:b/>
          <w:bCs/>
          <w:color w:val="auto"/>
          <w:sz w:val="24"/>
          <w:szCs w:val="24"/>
          <w:highlight w:val="none"/>
          <w:lang w:val="en-US" w:eastAsia="zh-CN"/>
        </w:rPr>
        <w:t>服务人员要求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</w:rPr>
      </w:pPr>
      <w:r>
        <w:rPr>
          <w:rFonts w:hint="eastAsia" w:cs="宋体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1</w:t>
      </w:r>
      <w:r>
        <w:rPr>
          <w:rFonts w:hint="eastAsia" w:cs="宋体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</w:rPr>
        <w:t>项目实施过程中，投标方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提供的服务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</w:rPr>
        <w:t>人员需按招标方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要求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</w:rPr>
        <w:t>完成有关安全手续，并提供相关人员与投标方所签订的劳动合同及社保记录。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cs="宋体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cs="宋体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en-US" w:eastAsia="zh-CN"/>
        </w:rPr>
        <w:t>检测人员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</w:rPr>
        <w:t>岗位能力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</w:rPr>
        <w:t>具备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en-US" w:eastAsia="zh-CN"/>
        </w:rPr>
        <w:t>检测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</w:rPr>
        <w:t>操作相关资质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eastAsia="zh-CN"/>
        </w:rPr>
        <w:t>，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</w:rPr>
        <w:t>熟练掌握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en-US" w:eastAsia="zh-CN"/>
        </w:rPr>
        <w:t>特种作业设备检测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</w:rPr>
        <w:t>的操作流程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eastAsia="zh-CN"/>
        </w:rPr>
        <w:t>（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eastAsia="zh-CN"/>
        </w:rPr>
        <w:t>）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en-US" w:eastAsia="zh-CN"/>
        </w:rPr>
        <w:t>设置专职负责人，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</w:rPr>
        <w:t>做好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en-US" w:eastAsia="zh-CN"/>
        </w:rPr>
        <w:t>检测任务的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</w:rPr>
        <w:t>对接、补充完善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en-US" w:eastAsia="zh-CN"/>
        </w:rPr>
        <w:t>检测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</w:rPr>
        <w:t>工作，确保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val="en-US" w:eastAsia="zh-CN"/>
        </w:rPr>
        <w:t>检测需求与实际检测内容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</w:rPr>
        <w:t>情况一致</w:t>
      </w:r>
      <w:r>
        <w:rPr>
          <w:rFonts w:hint="eastAsia" w:ascii="Times New Roman" w:hAnsi="Times New Roman" w:eastAsia="宋体" w:cs="宋体"/>
          <w:color w:val="auto"/>
          <w:sz w:val="24"/>
          <w:szCs w:val="24"/>
          <w:highlight w:val="none"/>
          <w:lang w:eastAsia="zh-CN"/>
        </w:rPr>
        <w:t>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Times New Roman" w:hAnsi="Times New Roman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cs="宋体"/>
          <w:b/>
          <w:bCs/>
          <w:color w:val="auto"/>
          <w:sz w:val="24"/>
          <w:szCs w:val="24"/>
          <w:highlight w:val="none"/>
          <w:lang w:val="en-US" w:eastAsia="zh-CN"/>
        </w:rPr>
        <w:t>2.2检测内容及成果</w:t>
      </w:r>
      <w:r>
        <w:rPr>
          <w:rFonts w:hint="eastAsia" w:ascii="Times New Roman" w:hAnsi="Times New Roman" w:eastAsia="宋体" w:cs="宋体"/>
          <w:b/>
          <w:bCs/>
          <w:color w:val="auto"/>
          <w:sz w:val="24"/>
          <w:szCs w:val="24"/>
          <w:highlight w:val="none"/>
        </w:rPr>
        <w:t>要求</w:t>
      </w:r>
      <w:bookmarkEnd w:id="0"/>
    </w:p>
    <w:tbl>
      <w:tblPr>
        <w:tblStyle w:val="25"/>
        <w:tblW w:w="4998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08"/>
        <w:gridCol w:w="3251"/>
        <w:gridCol w:w="2163"/>
        <w:gridCol w:w="2197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名称</w:t>
            </w:r>
          </w:p>
        </w:tc>
        <w:tc>
          <w:tcPr>
            <w:tcW w:w="1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检测内容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成果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高压电阻测试仪 AR125检测</w:t>
            </w:r>
          </w:p>
        </w:tc>
        <w:tc>
          <w:tcPr>
            <w:tcW w:w="1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1.外观及通电检查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2.电气安全性能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3.开路电压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4.跌落电压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5.示值误差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检定证书、合格贴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EMC风速仪DECEMDAH30检测</w:t>
            </w:r>
          </w:p>
        </w:tc>
        <w:tc>
          <w:tcPr>
            <w:tcW w:w="1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1.外观与功能检查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2.安装与阻塞比核算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3.启动风速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4.示值误差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5.重复性与回程误差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6.动态响应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检定证书、合格贴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绝缘绳2m检测</w:t>
            </w:r>
          </w:p>
        </w:tc>
        <w:tc>
          <w:tcPr>
            <w:tcW w:w="1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1.外观与手感目检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2.试样预处理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3.电气试验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4.机械静拉力试验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5.检查性试验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检定证书、合格贴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绝缘手套检测</w:t>
            </w:r>
          </w:p>
        </w:tc>
        <w:tc>
          <w:tcPr>
            <w:tcW w:w="1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1.外观检查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2.充气气密性试验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3.升压与耐压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检定证书、合格贴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620" w:hRule="atLeast"/>
        </w:trPr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个人辐射检测仪检测</w:t>
            </w:r>
          </w:p>
        </w:tc>
        <w:tc>
          <w:tcPr>
            <w:tcW w:w="1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1.外观与功能检查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2.零点/本底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3.相对固有误差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4.重复性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5.能量响应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6.报警误差与响应时间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检定证书、合格贴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</w:trPr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个人剂量计检测</w:t>
            </w:r>
          </w:p>
        </w:tc>
        <w:tc>
          <w:tcPr>
            <w:tcW w:w="1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left"/>
              <w:textAlignment w:val="center"/>
              <w:rPr>
                <w:rFonts w:hint="default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1.核对佩戴人、剂量计编号、佩戴起始日期</w:t>
            </w:r>
          </w:p>
          <w:p>
            <w:pPr>
              <w:pStyle w:val="2"/>
              <w:numPr>
                <w:ilvl w:val="0"/>
                <w:numId w:val="0"/>
              </w:numPr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2.旧计回收，新计发放</w:t>
            </w:r>
          </w:p>
          <w:p>
            <w:pPr>
              <w:pStyle w:val="3"/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kern w:val="2"/>
                <w:sz w:val="21"/>
                <w:szCs w:val="24"/>
                <w:lang w:val="en-US" w:eastAsia="zh-CN" w:bidi="ar-SA"/>
              </w:rPr>
              <w:t>3.出《个人计量检测报告》</w:t>
            </w:r>
          </w:p>
          <w:p>
            <w:pPr>
              <w:rPr>
                <w:rFonts w:hint="default"/>
                <w:lang w:val="en-US" w:eastAsia="zh-CN"/>
              </w:rPr>
            </w:pPr>
            <w:r>
              <w:rPr>
                <w:rFonts w:hint="eastAsia" w:cs="Times New Roman"/>
                <w:kern w:val="2"/>
                <w:sz w:val="21"/>
                <w:szCs w:val="24"/>
                <w:lang w:val="en-US" w:eastAsia="zh-CN" w:bidi="ar-SA"/>
              </w:rPr>
              <w:t>4.个人档案存档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  <w:lang w:val="en-US"/>
              </w:rPr>
            </w:pP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检测报告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、</w:t>
            </w:r>
            <w:r>
              <w:rPr>
                <w:rFonts w:hint="eastAsia" w:ascii="宋体" w:hAnsi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更换新计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" w:hRule="atLeast"/>
        </w:trPr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万用表检测</w:t>
            </w:r>
          </w:p>
        </w:tc>
        <w:tc>
          <w:tcPr>
            <w:tcW w:w="1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1.外观与功能检查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2.开路与短路自检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3.归零检查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检定证书、合格贴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Golden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公司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XRS3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型无人机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射线探伤装置（含成像板）检测</w:t>
            </w:r>
          </w:p>
        </w:tc>
        <w:tc>
          <w:tcPr>
            <w:tcW w:w="1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1.外观与功能检查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2.电气与机械安全检查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3.辐射输出与参数精度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4.影像与准直质量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5.辐射安全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检定证书、合格贴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9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Golden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公司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XRS3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型无人机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射线探伤装置（不含成像板）检测</w:t>
            </w:r>
          </w:p>
        </w:tc>
        <w:tc>
          <w:tcPr>
            <w:tcW w:w="1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1.外观与功能检查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2.电气与机械安全检查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3.辐射输出与参数精度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4.影像与准直质量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5.辐射安全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检定证书、合格贴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10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Golden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公司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XR150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型无人机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射线探伤装置（含成像板）检测</w:t>
            </w:r>
          </w:p>
        </w:tc>
        <w:tc>
          <w:tcPr>
            <w:tcW w:w="1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1.外观与功能检查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2.电气与机械安全检查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3.辐射输出与参数精度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4.影像与准直质量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5.辐射安全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检定证书、合格贴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50" w:hRule="atLeast"/>
        </w:trPr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11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Golden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公司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XR150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型无人机</w:t>
            </w:r>
            <w:r>
              <w:rPr>
                <w:rFonts w:hint="default" w:ascii="Times New Roman" w:hAnsi="Times New Roman" w:eastAsia="宋体" w:cs="Times New Roman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X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射线探伤装置（不含成像板）检测</w:t>
            </w:r>
          </w:p>
        </w:tc>
        <w:tc>
          <w:tcPr>
            <w:tcW w:w="1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1.外观与功能检查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2.电气与机械安全检查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3.辐射输出与参数精度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4.影像与准直质量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5.辐射安全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检定证书、合格贴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90" w:hRule="atLeast"/>
        </w:trPr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12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风速测量仪检测</w:t>
            </w:r>
          </w:p>
        </w:tc>
        <w:tc>
          <w:tcPr>
            <w:tcW w:w="1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1.外观与机械检查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2.安装与阻塞比核算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3.启动风速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4.示值误差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5.重复性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6.回程误差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7.风向功能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检定证书、合格贴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0" w:hRule="atLeast"/>
        </w:trPr>
        <w:tc>
          <w:tcPr>
            <w:tcW w:w="58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13</w:t>
            </w:r>
          </w:p>
        </w:tc>
        <w:tc>
          <w:tcPr>
            <w:tcW w:w="196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X射线辐射检测仪检测</w:t>
            </w:r>
          </w:p>
        </w:tc>
        <w:tc>
          <w:tcPr>
            <w:tcW w:w="1325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1.外观与功能检查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2.零点/本底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3.相对固有误差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4.X 射线低能补点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5.重复性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6.能量响应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7.角响应</w:t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br w:type="textWrapping"/>
            </w: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8.报警误差与响应时间</w:t>
            </w:r>
          </w:p>
        </w:tc>
        <w:tc>
          <w:tcPr>
            <w:tcW w:w="1120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检定证书、合格贴</w:t>
            </w:r>
          </w:p>
        </w:tc>
      </w:tr>
    </w:tbl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Times New Roman" w:hAnsi="Times New Roman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cs="宋体"/>
          <w:b/>
          <w:bCs/>
          <w:color w:val="auto"/>
          <w:sz w:val="24"/>
          <w:szCs w:val="24"/>
          <w:highlight w:val="none"/>
          <w:lang w:val="en-US" w:eastAsia="zh-CN"/>
        </w:rPr>
        <w:t>2.3服务响应</w:t>
      </w:r>
      <w:r>
        <w:rPr>
          <w:rFonts w:hint="eastAsia" w:ascii="Times New Roman" w:hAnsi="Times New Roman" w:eastAsia="宋体" w:cs="宋体"/>
          <w:b/>
          <w:bCs/>
          <w:color w:val="auto"/>
          <w:sz w:val="24"/>
          <w:szCs w:val="24"/>
          <w:highlight w:val="none"/>
        </w:rPr>
        <w:t>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（1）投标方应满足招标服务地区24小时随时响应，24小时内随时可以调配人员开展检测工作，48小时内协调开展全部检测项目工作，招标方下达任务通知后3日内按要求开展对应服务。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outlineLvl w:val="9"/>
        <w:rPr>
          <w:rFonts w:hint="eastAsia" w:cs="宋体"/>
          <w:color w:val="auto"/>
          <w:sz w:val="24"/>
          <w:szCs w:val="24"/>
          <w:highlight w:val="none"/>
          <w:lang w:val="zh-CN" w:eastAsia="zh-CN"/>
        </w:rPr>
      </w:pPr>
      <w:r>
        <w:rPr>
          <w:rFonts w:hint="eastAsia" w:cs="宋体"/>
          <w:color w:val="auto"/>
          <w:sz w:val="24"/>
          <w:szCs w:val="24"/>
          <w:highlight w:val="none"/>
          <w:lang w:val="zh-CN" w:eastAsia="zh-CN"/>
        </w:rPr>
        <w:t>（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cs="宋体"/>
          <w:color w:val="auto"/>
          <w:sz w:val="24"/>
          <w:szCs w:val="24"/>
          <w:highlight w:val="none"/>
          <w:lang w:val="zh-CN" w:eastAsia="zh-CN"/>
        </w:rPr>
        <w:t>）投标方须确保在法定节假日（元旦、春节、劳动节、端午节、中秋节、国庆节）放假前一日将招标人规定的设备存放至招标人</w:t>
      </w: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制定地点</w:t>
      </w:r>
      <w:r>
        <w:rPr>
          <w:rFonts w:hint="eastAsia" w:cs="宋体"/>
          <w:color w:val="auto"/>
          <w:sz w:val="24"/>
          <w:szCs w:val="24"/>
          <w:highlight w:val="none"/>
          <w:lang w:val="zh-CN" w:eastAsia="zh-CN"/>
        </w:rPr>
        <w:t>并完成入库验收，以保证节假日应急响应速度。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eastAsia" w:ascii="Times New Roman" w:hAnsi="Times New Roman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cs="宋体"/>
          <w:b/>
          <w:bCs/>
          <w:color w:val="auto"/>
          <w:sz w:val="24"/>
          <w:szCs w:val="24"/>
          <w:highlight w:val="none"/>
          <w:lang w:val="en-US" w:eastAsia="zh-CN"/>
        </w:rPr>
        <w:t>2.4检测规范管理</w:t>
      </w:r>
      <w:r>
        <w:rPr>
          <w:rFonts w:hint="eastAsia" w:ascii="Times New Roman" w:hAnsi="Times New Roman" w:eastAsia="宋体" w:cs="宋体"/>
          <w:b/>
          <w:bCs/>
          <w:color w:val="auto"/>
          <w:sz w:val="24"/>
          <w:szCs w:val="24"/>
          <w:highlight w:val="none"/>
        </w:rPr>
        <w:t>要求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outlineLvl w:val="9"/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（1）统一人员认证。实行持证上岗、动态管理机制。投标方需组织相关人员按要求参加安全、技术专项培训，培训结业后经招标方认证合格方可上岗作业。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20" w:firstLineChars="0"/>
        <w:textAlignment w:val="auto"/>
        <w:outlineLvl w:val="9"/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</w:pPr>
      <w:r>
        <w:rPr>
          <w:rFonts w:hint="eastAsia" w:cs="宋体"/>
          <w:color w:val="auto"/>
          <w:sz w:val="24"/>
          <w:szCs w:val="24"/>
          <w:highlight w:val="none"/>
          <w:lang w:val="en-US" w:eastAsia="zh-CN"/>
        </w:rPr>
        <w:t>（2）统一设备认证。严格硬件底线管控，杜绝非法组装。检测设备需具备有效期内的第三方定期检验合格报告，检测设备需经招标方认证合格后方可开展检测作业。</w:t>
      </w:r>
    </w:p>
    <w:p>
      <w:pPr>
        <w:spacing w:before="0" w:beforeLines="-2147483648" w:line="480" w:lineRule="auto"/>
        <w:ind w:firstLine="482" w:firstLineChars="200"/>
        <w:outlineLvl w:val="9"/>
        <w:rPr>
          <w:rFonts w:hint="eastAsia" w:ascii="Times New Roman" w:hAnsi="Times New Roman" w:eastAsia="宋体" w:cs="仿宋"/>
          <w:b/>
          <w:color w:val="auto"/>
          <w:sz w:val="24"/>
          <w:highlight w:val="none"/>
          <w:lang w:val="en-US" w:eastAsia="zh-CN"/>
        </w:rPr>
      </w:pPr>
      <w:r>
        <w:rPr>
          <w:rFonts w:hint="eastAsia" w:ascii="Times New Roman" w:hAnsi="Times New Roman" w:eastAsia="宋体" w:cs="仿宋"/>
          <w:b/>
          <w:color w:val="auto"/>
          <w:sz w:val="24"/>
          <w:highlight w:val="none"/>
          <w:lang w:val="en-US" w:eastAsia="zh-CN"/>
        </w:rPr>
        <w:t>3双方确定项目有关保密</w:t>
      </w:r>
      <w:r>
        <w:rPr>
          <w:rFonts w:hint="eastAsia" w:cs="仿宋"/>
          <w:b/>
          <w:color w:val="auto"/>
          <w:sz w:val="24"/>
          <w:highlight w:val="none"/>
          <w:lang w:val="en-US" w:eastAsia="zh-CN"/>
        </w:rPr>
        <w:t>、安全</w:t>
      </w:r>
      <w:r>
        <w:rPr>
          <w:rFonts w:hint="eastAsia" w:ascii="Times New Roman" w:hAnsi="Times New Roman" w:eastAsia="宋体" w:cs="仿宋"/>
          <w:b/>
          <w:color w:val="auto"/>
          <w:sz w:val="24"/>
          <w:highlight w:val="none"/>
          <w:lang w:val="en-US" w:eastAsia="zh-CN"/>
        </w:rPr>
        <w:t>义务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2" w:firstLineChars="200"/>
        <w:textAlignment w:val="auto"/>
        <w:rPr>
          <w:rFonts w:hint="default" w:ascii="Times New Roman" w:hAnsi="Times New Roman" w:eastAsia="宋体" w:cs="仿宋"/>
          <w:b/>
          <w:bCs/>
          <w:color w:val="auto"/>
          <w:sz w:val="24"/>
          <w:highlight w:val="none"/>
          <w:lang w:val="en-US" w:eastAsia="zh-CN"/>
        </w:rPr>
      </w:pPr>
      <w:r>
        <w:rPr>
          <w:rFonts w:hint="eastAsia" w:cs="仿宋"/>
          <w:b/>
          <w:bCs/>
          <w:color w:val="auto"/>
          <w:sz w:val="24"/>
          <w:highlight w:val="none"/>
          <w:lang w:val="en-US" w:eastAsia="zh-CN"/>
        </w:rPr>
        <w:t>3.1 保密义务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仿宋"/>
          <w:color w:val="auto"/>
          <w:sz w:val="24"/>
          <w:highlight w:val="none"/>
        </w:rPr>
      </w:pPr>
      <w:r>
        <w:rPr>
          <w:rFonts w:hint="eastAsia" w:ascii="Times New Roman" w:hAnsi="Times New Roman" w:eastAsia="宋体" w:cs="仿宋"/>
          <w:color w:val="auto"/>
          <w:sz w:val="24"/>
          <w:highlight w:val="none"/>
          <w:lang w:val="en-US" w:eastAsia="zh-CN"/>
        </w:rPr>
        <w:t>招标方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ascii="Times New Roman" w:hAnsi="Times New Roman" w:eastAsia="宋体" w:cs="仿宋"/>
          <w:color w:val="auto"/>
          <w:sz w:val="24"/>
          <w:highlight w:val="none"/>
        </w:rPr>
      </w:pP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（1）保密内容（包括技术信息和经营信息）：过程所有文件；</w:t>
      </w:r>
    </w:p>
    <w:p>
      <w:pPr>
        <w:spacing w:line="360" w:lineRule="auto"/>
        <w:ind w:firstLine="480" w:firstLineChars="200"/>
        <w:rPr>
          <w:rFonts w:ascii="Times New Roman" w:hAnsi="Times New Roman" w:eastAsia="宋体" w:cs="仿宋"/>
          <w:color w:val="auto"/>
          <w:sz w:val="24"/>
          <w:highlight w:val="none"/>
        </w:rPr>
      </w:pP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（2）涉密人员范围：直接或间接参与作业的工作人员；</w:t>
      </w:r>
    </w:p>
    <w:p>
      <w:pPr>
        <w:spacing w:line="360" w:lineRule="auto"/>
        <w:ind w:firstLine="480" w:firstLineChars="200"/>
        <w:rPr>
          <w:rFonts w:ascii="Times New Roman" w:hAnsi="Times New Roman" w:eastAsia="宋体" w:cs="仿宋"/>
          <w:color w:val="auto"/>
          <w:sz w:val="24"/>
          <w:highlight w:val="none"/>
        </w:rPr>
      </w:pP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（3）保密期限：本项目有效期及期满后5年内；</w:t>
      </w:r>
    </w:p>
    <w:p>
      <w:pPr>
        <w:spacing w:line="360" w:lineRule="auto"/>
        <w:ind w:firstLine="480" w:firstLineChars="200"/>
        <w:rPr>
          <w:rFonts w:ascii="Times New Roman" w:hAnsi="Times New Roman" w:eastAsia="宋体" w:cs="仿宋"/>
          <w:color w:val="auto"/>
          <w:sz w:val="24"/>
          <w:highlight w:val="none"/>
        </w:rPr>
      </w:pP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（4）泄密责任：承担法律责任并赔偿由此给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  <w:lang w:eastAsia="zh-CN"/>
        </w:rPr>
        <w:t>投标方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造成的经济损失。</w:t>
      </w:r>
    </w:p>
    <w:p>
      <w:pPr>
        <w:spacing w:line="360" w:lineRule="auto"/>
        <w:ind w:firstLine="480" w:firstLineChars="200"/>
        <w:rPr>
          <w:rFonts w:ascii="Times New Roman" w:hAnsi="Times New Roman" w:eastAsia="宋体" w:cs="仿宋"/>
          <w:color w:val="auto"/>
          <w:sz w:val="24"/>
          <w:highlight w:val="none"/>
        </w:rPr>
      </w:pPr>
      <w:r>
        <w:rPr>
          <w:rFonts w:hint="eastAsia" w:ascii="Times New Roman" w:hAnsi="Times New Roman" w:eastAsia="宋体" w:cs="仿宋"/>
          <w:color w:val="auto"/>
          <w:sz w:val="24"/>
          <w:highlight w:val="none"/>
          <w:lang w:eastAsia="zh-CN"/>
        </w:rPr>
        <w:t>投标方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 xml:space="preserve">： </w:t>
      </w:r>
    </w:p>
    <w:p>
      <w:pPr>
        <w:spacing w:line="360" w:lineRule="auto"/>
        <w:ind w:firstLine="480" w:firstLineChars="200"/>
        <w:rPr>
          <w:rFonts w:ascii="Times New Roman" w:hAnsi="Times New Roman" w:eastAsia="宋体" w:cs="仿宋"/>
          <w:color w:val="auto"/>
          <w:sz w:val="24"/>
          <w:highlight w:val="none"/>
        </w:rPr>
      </w:pP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（1）保密内容（包括技术信息和经营信息）：过程所有文件；</w:t>
      </w:r>
    </w:p>
    <w:p>
      <w:pPr>
        <w:spacing w:line="360" w:lineRule="auto"/>
        <w:ind w:firstLine="480" w:firstLineChars="200"/>
        <w:rPr>
          <w:rFonts w:ascii="Times New Roman" w:hAnsi="Times New Roman" w:eastAsia="宋体" w:cs="仿宋"/>
          <w:color w:val="auto"/>
          <w:sz w:val="24"/>
          <w:highlight w:val="none"/>
        </w:rPr>
      </w:pP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（2）涉密人员范围：直接或间接参与服务的工作人员；</w:t>
      </w:r>
    </w:p>
    <w:p>
      <w:pPr>
        <w:spacing w:line="360" w:lineRule="auto"/>
        <w:ind w:firstLine="480" w:firstLineChars="200"/>
        <w:rPr>
          <w:rFonts w:ascii="Times New Roman" w:hAnsi="Times New Roman" w:eastAsia="宋体" w:cs="仿宋"/>
          <w:color w:val="auto"/>
          <w:sz w:val="24"/>
          <w:highlight w:val="none"/>
        </w:rPr>
      </w:pP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（3）保密期限：电网设备的信息永久保密，其余资料为本项目有效期及期满后5年内；</w:t>
      </w:r>
    </w:p>
    <w:p>
      <w:pPr>
        <w:spacing w:line="360" w:lineRule="auto"/>
        <w:ind w:firstLine="480" w:firstLineChars="200"/>
        <w:rPr>
          <w:rFonts w:ascii="Times New Roman" w:hAnsi="Times New Roman" w:eastAsia="宋体"/>
          <w:color w:val="auto"/>
          <w:highlight w:val="none"/>
        </w:rPr>
      </w:pP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（4）泄密责任：承担法律责任并赔偿由此给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  <w:lang w:eastAsia="zh-CN"/>
        </w:rPr>
        <w:t>招标方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造成的经济损失。</w:t>
      </w:r>
    </w:p>
    <w:p>
      <w:pPr>
        <w:spacing w:line="360" w:lineRule="auto"/>
        <w:ind w:firstLine="482" w:firstLineChars="200"/>
        <w:rPr>
          <w:rFonts w:hint="default" w:cs="仿宋"/>
          <w:b/>
          <w:color w:val="auto"/>
          <w:sz w:val="24"/>
          <w:highlight w:val="none"/>
          <w:lang w:val="en-US" w:eastAsia="zh-CN"/>
        </w:rPr>
      </w:pPr>
      <w:r>
        <w:rPr>
          <w:rFonts w:hint="eastAsia" w:cs="仿宋"/>
          <w:b/>
          <w:color w:val="auto"/>
          <w:sz w:val="24"/>
          <w:highlight w:val="none"/>
          <w:lang w:val="en-US" w:eastAsia="zh-CN"/>
        </w:rPr>
        <w:t>3.2 安全义务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 w:cs="仿宋"/>
          <w:color w:val="auto"/>
          <w:sz w:val="24"/>
          <w:highlight w:val="none"/>
        </w:rPr>
      </w:pPr>
      <w:r>
        <w:rPr>
          <w:rFonts w:hint="eastAsia" w:cs="仿宋"/>
          <w:color w:val="auto"/>
          <w:sz w:val="24"/>
          <w:highlight w:val="none"/>
          <w:lang w:val="en-US" w:eastAsia="zh-CN"/>
        </w:rPr>
        <w:t>（1）投标方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人员进入</w:t>
      </w:r>
      <w:r>
        <w:rPr>
          <w:rFonts w:hint="eastAsia" w:cs="仿宋"/>
          <w:color w:val="auto"/>
          <w:sz w:val="24"/>
          <w:highlight w:val="none"/>
          <w:lang w:val="en-US" w:eastAsia="zh-CN"/>
        </w:rPr>
        <w:t>招标方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作业现场前，必须到招标方安全生产有关部门办好一切进场手续，接受安全教育及安规考试，投标方人员必须按在招标方登记备案的名册人员进入作业区域，未经招标方认可不得擅自更换，否则所发生安全事故，由投标方承担全部安全生产责任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 w:cs="仿宋"/>
          <w:color w:val="auto"/>
          <w:sz w:val="24"/>
          <w:highlight w:val="none"/>
        </w:rPr>
      </w:pPr>
      <w:r>
        <w:rPr>
          <w:rFonts w:hint="eastAsia" w:cs="仿宋"/>
          <w:color w:val="auto"/>
          <w:sz w:val="24"/>
          <w:highlight w:val="none"/>
          <w:lang w:val="en-US" w:eastAsia="zh-CN"/>
        </w:rPr>
        <w:t>（2）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投标方人员在作业期间应当接受招标方的安全监督检查，经查证发现的安全隐患，投标方必须立即采取有效措施予以整改或纠正，否则招标方有权现场勒令停工。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 w:cs="仿宋"/>
          <w:color w:val="auto"/>
          <w:sz w:val="24"/>
          <w:highlight w:val="none"/>
        </w:rPr>
      </w:pPr>
      <w:r>
        <w:rPr>
          <w:rFonts w:hint="eastAsia" w:cs="仿宋"/>
          <w:color w:val="auto"/>
          <w:sz w:val="24"/>
          <w:highlight w:val="none"/>
          <w:lang w:eastAsia="zh-CN"/>
        </w:rPr>
        <w:t>（</w:t>
      </w:r>
      <w:r>
        <w:rPr>
          <w:rFonts w:hint="eastAsia" w:cs="仿宋"/>
          <w:color w:val="auto"/>
          <w:sz w:val="24"/>
          <w:highlight w:val="none"/>
          <w:lang w:val="en-US" w:eastAsia="zh-CN"/>
        </w:rPr>
        <w:t>3）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投标方人员在</w:t>
      </w:r>
      <w:r>
        <w:rPr>
          <w:rFonts w:hint="eastAsia" w:cs="仿宋"/>
          <w:color w:val="auto"/>
          <w:sz w:val="24"/>
          <w:highlight w:val="none"/>
          <w:lang w:val="en-US" w:eastAsia="zh-CN"/>
        </w:rPr>
        <w:t>招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标方作业期间，必须按工种需要正确穿戴好劳保防护用品。</w:t>
      </w:r>
    </w:p>
    <w:p>
      <w:pPr>
        <w:spacing w:line="360" w:lineRule="auto"/>
        <w:ind w:firstLine="480" w:firstLineChars="200"/>
        <w:rPr>
          <w:color w:val="auto"/>
          <w:highlight w:val="none"/>
        </w:rPr>
      </w:pPr>
      <w:r>
        <w:rPr>
          <w:rFonts w:hint="eastAsia" w:cs="仿宋"/>
          <w:color w:val="auto"/>
          <w:sz w:val="24"/>
          <w:highlight w:val="none"/>
          <w:lang w:eastAsia="zh-CN"/>
        </w:rPr>
        <w:t>（</w:t>
      </w:r>
      <w:r>
        <w:rPr>
          <w:rFonts w:hint="eastAsia" w:cs="仿宋"/>
          <w:color w:val="auto"/>
          <w:sz w:val="24"/>
          <w:highlight w:val="none"/>
          <w:lang w:val="en-US" w:eastAsia="zh-CN"/>
        </w:rPr>
        <w:t>4</w:t>
      </w:r>
      <w:r>
        <w:rPr>
          <w:rFonts w:hint="eastAsia" w:cs="仿宋"/>
          <w:color w:val="auto"/>
          <w:sz w:val="24"/>
          <w:highlight w:val="none"/>
          <w:lang w:eastAsia="zh-CN"/>
        </w:rPr>
        <w:t>）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投标方管理人员在员工作业前应先熟悉现场，并对所处区域的作业环境可能存在的危险因素、预防措施给员工进行交底，同</w:t>
      </w:r>
      <w:r>
        <w:rPr>
          <w:rFonts w:hint="eastAsia" w:cs="仿宋"/>
          <w:color w:val="auto"/>
          <w:sz w:val="24"/>
          <w:highlight w:val="none"/>
          <w:lang w:val="en-US" w:eastAsia="zh-CN"/>
        </w:rPr>
        <w:t>时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对使用的设施设备等，负有认真检查和确认的义务，严禁设施、设备等带病作业，否则因此而产生的一切法律后果，由投标方承担。</w:t>
      </w:r>
    </w:p>
    <w:p>
      <w:pPr>
        <w:spacing w:before="156" w:beforeLines="50" w:line="360" w:lineRule="auto"/>
        <w:ind w:firstLine="482" w:firstLineChars="200"/>
        <w:outlineLvl w:val="1"/>
        <w:rPr>
          <w:rFonts w:hint="eastAsia" w:ascii="Times New Roman" w:hAnsi="Times New Roman" w:eastAsia="宋体" w:cs="仿宋"/>
          <w:b/>
          <w:color w:val="auto"/>
          <w:sz w:val="24"/>
          <w:highlight w:val="none"/>
          <w:lang w:val="en-US" w:eastAsia="zh-CN"/>
        </w:rPr>
      </w:pPr>
      <w:r>
        <w:rPr>
          <w:rFonts w:hint="eastAsia" w:cs="仿宋"/>
          <w:b/>
          <w:color w:val="auto"/>
          <w:sz w:val="24"/>
          <w:highlight w:val="none"/>
          <w:lang w:val="en-US" w:eastAsia="zh-CN"/>
        </w:rPr>
        <w:t>4罚则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 w:cs="仿宋"/>
          <w:color w:val="auto"/>
          <w:sz w:val="24"/>
          <w:highlight w:val="none"/>
        </w:rPr>
      </w:pP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（1）招标人向中标人下达</w:t>
      </w:r>
      <w:r>
        <w:rPr>
          <w:rFonts w:hint="eastAsia" w:cs="仿宋"/>
          <w:color w:val="auto"/>
          <w:sz w:val="24"/>
          <w:highlight w:val="none"/>
          <w:lang w:val="en-US" w:eastAsia="zh-CN"/>
        </w:rPr>
        <w:t>人员需求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清单</w:t>
      </w:r>
      <w:r>
        <w:rPr>
          <w:rFonts w:hint="eastAsia" w:cs="仿宋"/>
          <w:color w:val="auto"/>
          <w:sz w:val="24"/>
          <w:highlight w:val="none"/>
          <w:lang w:val="en-US" w:eastAsia="zh-CN"/>
        </w:rPr>
        <w:t>或设备清单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（至少早于约定日期</w:t>
      </w:r>
      <w:r>
        <w:rPr>
          <w:rFonts w:hint="eastAsia" w:cs="仿宋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个自然日下达），中标人应在招标人约定日期和约定地点按照技术规范书要</w:t>
      </w:r>
      <w:r>
        <w:rPr>
          <w:rFonts w:hint="eastAsia" w:cs="仿宋"/>
          <w:color w:val="auto"/>
          <w:sz w:val="24"/>
          <w:highlight w:val="none"/>
          <w:lang w:val="en-US" w:eastAsia="zh-CN"/>
        </w:rPr>
        <w:t>提供人员或设备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。若中标人发生未按照招标人要求按时</w:t>
      </w:r>
      <w:r>
        <w:rPr>
          <w:rFonts w:hint="eastAsia" w:cs="仿宋"/>
          <w:color w:val="auto"/>
          <w:sz w:val="24"/>
          <w:highlight w:val="none"/>
          <w:lang w:val="en-US" w:eastAsia="zh-CN"/>
        </w:rPr>
        <w:t>进场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，每发生一次招标人有权扣除该中标人中标标包的5%，并扣除已结算支付款项质保金。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br w:type="textWrapping"/>
      </w:r>
      <w:r>
        <w:rPr>
          <w:rFonts w:hint="eastAsia" w:cs="仿宋"/>
          <w:color w:val="auto"/>
          <w:sz w:val="24"/>
          <w:highlight w:val="none"/>
          <w:lang w:val="en-US" w:eastAsia="zh-CN"/>
        </w:rPr>
        <w:tab/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（2）中标人迟延交付技术服务成果的，每迟延一日，应按照技术服务报酬总额的0.1‰向招标人支付违约金。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br w:type="textWrapping"/>
      </w:r>
      <w:r>
        <w:rPr>
          <w:rFonts w:hint="eastAsia" w:cs="仿宋"/>
          <w:color w:val="auto"/>
          <w:sz w:val="24"/>
          <w:highlight w:val="none"/>
          <w:lang w:val="en-US" w:eastAsia="zh-CN"/>
        </w:rPr>
        <w:tab/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（3）中标单位应向招标单位出具书面承诺，保证服务质量，如果项目实际执行中，标包中标单位服务质量未能达到招标方的要求，或在招标单位规定的时间内未能安排与</w:t>
      </w:r>
      <w:r>
        <w:rPr>
          <w:rFonts w:hint="eastAsia" w:cs="仿宋"/>
          <w:color w:val="auto"/>
          <w:sz w:val="24"/>
          <w:highlight w:val="none"/>
          <w:lang w:val="en-US" w:eastAsia="zh-CN"/>
        </w:rPr>
        <w:t>招标方需求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匹配的足够数量的人员，并扣除已结算支付款项质保金。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br w:type="textWrapping"/>
      </w:r>
      <w:r>
        <w:rPr>
          <w:rFonts w:hint="eastAsia" w:cs="仿宋"/>
          <w:color w:val="auto"/>
          <w:sz w:val="24"/>
          <w:highlight w:val="none"/>
          <w:lang w:val="en-US" w:eastAsia="zh-CN"/>
        </w:rPr>
        <w:tab/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（4）中标人原因导致信息系统感染病毒、中断网络以及造成网络安全事件，或使用外网通信工具传送关键数据、敏感信息以及未经允许拷贝数据导致涉密信息外泄，中标人承担全部责任。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br w:type="textWrapping"/>
      </w:r>
      <w:r>
        <w:rPr>
          <w:rFonts w:hint="eastAsia" w:cs="仿宋"/>
          <w:color w:val="auto"/>
          <w:sz w:val="24"/>
          <w:highlight w:val="none"/>
          <w:lang w:val="en-US" w:eastAsia="zh-CN"/>
        </w:rPr>
        <w:tab/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（5）若中标人所安排驻场人员工作疏漏、违章作业导致造成不良后果（如设备非计划停运或发生事故事件等），视后果严重性每处扣罚2~20万元（各类事故以及一、二级事件20万元，三级事件5万元，四级事件3万元，五级事件2万元）。</w:t>
      </w:r>
    </w:p>
    <w:p>
      <w:pPr>
        <w:spacing w:before="156" w:beforeLines="50" w:line="360" w:lineRule="auto"/>
        <w:ind w:firstLine="482" w:firstLineChars="200"/>
        <w:outlineLvl w:val="1"/>
        <w:rPr>
          <w:rFonts w:hint="eastAsia" w:ascii="Times New Roman" w:hAnsi="Times New Roman" w:eastAsia="宋体" w:cs="仿宋"/>
          <w:b/>
          <w:color w:val="auto"/>
          <w:sz w:val="24"/>
          <w:highlight w:val="none"/>
          <w:lang w:val="en-US" w:eastAsia="zh-CN"/>
        </w:rPr>
      </w:pPr>
      <w:r>
        <w:rPr>
          <w:rFonts w:hint="eastAsia" w:cs="仿宋"/>
          <w:b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Times New Roman" w:hAnsi="Times New Roman" w:eastAsia="宋体" w:cs="仿宋"/>
          <w:b/>
          <w:color w:val="auto"/>
          <w:sz w:val="24"/>
          <w:highlight w:val="none"/>
          <w:lang w:val="en-US" w:eastAsia="zh-CN"/>
        </w:rPr>
        <w:t>其他</w:t>
      </w:r>
    </w:p>
    <w:p>
      <w:pPr>
        <w:spacing w:line="360" w:lineRule="auto"/>
        <w:ind w:firstLine="480" w:firstLineChars="200"/>
        <w:rPr>
          <w:rFonts w:hint="eastAsia" w:ascii="Times New Roman" w:hAnsi="Times New Roman" w:eastAsia="宋体" w:cs="仿宋"/>
          <w:color w:val="auto"/>
          <w:sz w:val="24"/>
          <w:highlight w:val="none"/>
        </w:rPr>
      </w:pP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本</w:t>
      </w:r>
      <w:r>
        <w:rPr>
          <w:rFonts w:hint="eastAsia" w:cs="仿宋"/>
          <w:color w:val="auto"/>
          <w:sz w:val="24"/>
          <w:highlight w:val="none"/>
          <w:lang w:eastAsia="zh-CN"/>
        </w:rPr>
        <w:t>技术规范书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中的未尽事宜，由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  <w:lang w:eastAsia="zh-CN"/>
        </w:rPr>
        <w:t>招标方</w:t>
      </w:r>
      <w:r>
        <w:rPr>
          <w:rFonts w:hint="eastAsia" w:ascii="Times New Roman" w:hAnsi="Times New Roman" w:eastAsia="宋体" w:cs="仿宋"/>
          <w:color w:val="auto"/>
          <w:sz w:val="24"/>
          <w:highlight w:val="none"/>
        </w:rPr>
        <w:t>解释。</w:t>
      </w:r>
    </w:p>
    <w:p>
      <w:pPr>
        <w:spacing w:before="156" w:beforeLines="50" w:afterLines="0" w:line="360" w:lineRule="auto"/>
        <w:ind w:firstLine="482" w:firstLineChars="200"/>
        <w:outlineLvl w:val="1"/>
        <w:rPr>
          <w:rFonts w:hint="eastAsia" w:cs="仿宋"/>
          <w:b/>
          <w:color w:val="auto"/>
          <w:sz w:val="24"/>
          <w:szCs w:val="24"/>
          <w:highlight w:val="none"/>
        </w:rPr>
      </w:pPr>
      <w:r>
        <w:rPr>
          <w:rFonts w:hint="eastAsia" w:cs="仿宋"/>
          <w:b/>
          <w:color w:val="auto"/>
          <w:sz w:val="24"/>
          <w:szCs w:val="24"/>
          <w:highlight w:val="none"/>
          <w:lang w:val="en-US" w:eastAsia="zh-CN"/>
        </w:rPr>
        <w:t>6</w:t>
      </w:r>
      <w:r>
        <w:rPr>
          <w:rFonts w:hint="eastAsia" w:cs="仿宋"/>
          <w:b/>
          <w:color w:val="auto"/>
          <w:sz w:val="24"/>
          <w:szCs w:val="24"/>
          <w:highlight w:val="none"/>
        </w:rPr>
        <w:t>投标方技术响应</w:t>
      </w:r>
    </w:p>
    <w:p>
      <w:pPr>
        <w:spacing w:before="0" w:beforeLines="0" w:afterLines="0" w:line="360" w:lineRule="auto"/>
        <w:ind w:firstLine="482" w:firstLineChars="200"/>
        <w:outlineLvl w:val="1"/>
        <w:rPr>
          <w:rFonts w:hint="eastAsia" w:cs="仿宋"/>
          <w:b/>
          <w:color w:val="auto"/>
          <w:sz w:val="24"/>
          <w:szCs w:val="24"/>
          <w:highlight w:val="none"/>
        </w:rPr>
      </w:pPr>
      <w:r>
        <w:rPr>
          <w:rFonts w:hint="eastAsia" w:cs="仿宋"/>
          <w:b/>
          <w:color w:val="auto"/>
          <w:sz w:val="24"/>
          <w:szCs w:val="24"/>
          <w:highlight w:val="none"/>
        </w:rPr>
        <w:t>6.1 投标方技术响应</w:t>
      </w:r>
    </w:p>
    <w:p>
      <w:pPr>
        <w:spacing w:before="0" w:beforeLines="0" w:afterLines="0" w:line="360" w:lineRule="auto"/>
        <w:ind w:firstLine="480" w:firstLineChars="200"/>
        <w:outlineLvl w:val="1"/>
        <w:rPr>
          <w:rFonts w:hint="eastAsia" w:cs="仿宋"/>
          <w:b w:val="0"/>
          <w:bCs/>
          <w:color w:val="auto"/>
          <w:sz w:val="24"/>
          <w:szCs w:val="24"/>
          <w:highlight w:val="none"/>
        </w:rPr>
      </w:pPr>
      <w:r>
        <w:rPr>
          <w:rFonts w:hint="eastAsia" w:cs="仿宋"/>
          <w:b w:val="0"/>
          <w:bCs/>
          <w:color w:val="auto"/>
          <w:sz w:val="24"/>
          <w:szCs w:val="24"/>
          <w:highlight w:val="none"/>
        </w:rPr>
        <w:t>投标方应</w:t>
      </w:r>
      <w:r>
        <w:rPr>
          <w:rFonts w:hint="eastAsia" w:cs="仿宋"/>
          <w:b w:val="0"/>
          <w:bCs/>
          <w:color w:val="auto"/>
          <w:sz w:val="24"/>
          <w:szCs w:val="24"/>
          <w:highlight w:val="none"/>
          <w:lang w:val="en-US" w:eastAsia="zh-CN"/>
        </w:rPr>
        <w:t>针对</w:t>
      </w:r>
      <w:r>
        <w:rPr>
          <w:rFonts w:hint="eastAsia" w:cs="仿宋"/>
          <w:b w:val="0"/>
          <w:bCs/>
          <w:color w:val="auto"/>
          <w:sz w:val="24"/>
          <w:szCs w:val="24"/>
          <w:highlight w:val="none"/>
        </w:rPr>
        <w:t>本规范书技术要求的“▲”号条款及其他条款作出响应，无论优于或劣于本规范书要求，均汇集成此表。</w:t>
      </w:r>
    </w:p>
    <w:p>
      <w:pPr>
        <w:ind w:firstLine="0" w:firstLineChars="0"/>
        <w:rPr>
          <w:rFonts w:hint="eastAsia" w:ascii="Times New Roman" w:hAnsi="Times New Roman" w:eastAsia="宋体" w:cs="仿宋"/>
          <w:color w:val="auto"/>
          <w:sz w:val="24"/>
          <w:szCs w:val="24"/>
          <w:highlight w:val="none"/>
          <w:lang w:val="en-US" w:eastAsia="zh-CN"/>
        </w:rPr>
      </w:pPr>
      <w:bookmarkStart w:id="1" w:name="_Toc65948959"/>
    </w:p>
    <w:bookmarkEnd w:id="1"/>
    <w:p>
      <w:pPr>
        <w:pStyle w:val="75"/>
        <w:spacing w:beforeLines="0" w:afterLines="0" w:line="360" w:lineRule="auto"/>
        <w:ind w:firstLine="228" w:firstLineChars="95"/>
        <w:jc w:val="center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投标单位技术响应表</w:t>
      </w:r>
    </w:p>
    <w:tbl>
      <w:tblPr>
        <w:tblStyle w:val="25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1"/>
        <w:gridCol w:w="1182"/>
        <w:gridCol w:w="2758"/>
        <w:gridCol w:w="1539"/>
        <w:gridCol w:w="235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  <w:jc w:val="center"/>
        </w:trPr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="0"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序</w:t>
            </w:r>
          </w:p>
          <w:p>
            <w:pPr>
              <w:autoSpaceDE w:val="0"/>
              <w:autoSpaceDN w:val="0"/>
              <w:spacing w:before="0"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号</w:t>
            </w:r>
          </w:p>
        </w:tc>
        <w:tc>
          <w:tcPr>
            <w:tcW w:w="11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="0"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技术规范书条目</w:t>
            </w:r>
          </w:p>
        </w:tc>
        <w:tc>
          <w:tcPr>
            <w:tcW w:w="2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="0"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  <w:t>技术条款要求</w:t>
            </w:r>
          </w:p>
        </w:tc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="0" w:beforeLines="0" w:afterLines="0" w:line="360" w:lineRule="auto"/>
              <w:jc w:val="center"/>
              <w:textAlignment w:val="bottom"/>
              <w:rPr>
                <w:rFonts w:hint="default" w:ascii="宋体" w:hAnsi="宋体" w:eastAsia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color w:val="auto"/>
                <w:sz w:val="21"/>
                <w:szCs w:val="21"/>
                <w:highlight w:val="none"/>
                <w:lang w:val="en-US" w:eastAsia="zh-CN"/>
              </w:rPr>
              <w:t>承诺满足程度</w:t>
            </w:r>
          </w:p>
        </w:tc>
        <w:tc>
          <w:tcPr>
            <w:tcW w:w="2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="0"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b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/>
                <w:color w:val="auto"/>
                <w:kern w:val="0"/>
                <w:sz w:val="21"/>
                <w:szCs w:val="21"/>
                <w:highlight w:val="none"/>
                <w:lang w:bidi="ar"/>
              </w:rPr>
              <w:t>允许响应情况（正偏差/负偏差/无偏差）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1</w:t>
            </w:r>
          </w:p>
        </w:tc>
        <w:tc>
          <w:tcPr>
            <w:tcW w:w="11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  <w:lang w:eastAsia="zh-CN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  <w:t>▲2.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3</w:t>
            </w:r>
          </w:p>
        </w:tc>
        <w:tc>
          <w:tcPr>
            <w:tcW w:w="2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  <w:t>▲2.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 xml:space="preserve">3 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  <w:t>服务</w:t>
            </w:r>
            <w:r>
              <w:rPr>
                <w:rFonts w:hint="eastAsia" w:ascii="宋体" w:hAnsi="宋体" w:cs="宋体"/>
                <w:b w:val="0"/>
                <w:bCs w:val="0"/>
                <w:color w:val="auto"/>
                <w:sz w:val="21"/>
                <w:szCs w:val="21"/>
                <w:highlight w:val="none"/>
                <w:lang w:val="en-US" w:eastAsia="zh-CN"/>
              </w:rPr>
              <w:t>响应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auto"/>
                <w:sz w:val="21"/>
                <w:szCs w:val="21"/>
                <w:highlight w:val="none"/>
              </w:rPr>
              <w:t>要求</w:t>
            </w:r>
          </w:p>
        </w:tc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2</w:t>
            </w:r>
          </w:p>
        </w:tc>
        <w:tc>
          <w:tcPr>
            <w:tcW w:w="11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...</w:t>
            </w:r>
          </w:p>
        </w:tc>
        <w:tc>
          <w:tcPr>
            <w:tcW w:w="2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...</w:t>
            </w:r>
          </w:p>
        </w:tc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3</w:t>
            </w:r>
          </w:p>
        </w:tc>
        <w:tc>
          <w:tcPr>
            <w:tcW w:w="11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4</w:t>
            </w:r>
          </w:p>
        </w:tc>
        <w:tc>
          <w:tcPr>
            <w:tcW w:w="11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5</w:t>
            </w:r>
          </w:p>
        </w:tc>
        <w:tc>
          <w:tcPr>
            <w:tcW w:w="11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96" w:hRule="atLeast"/>
          <w:jc w:val="center"/>
        </w:trPr>
        <w:tc>
          <w:tcPr>
            <w:tcW w:w="6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  <w:t>6</w:t>
            </w:r>
          </w:p>
        </w:tc>
        <w:tc>
          <w:tcPr>
            <w:tcW w:w="118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7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153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  <w:tc>
          <w:tcPr>
            <w:tcW w:w="235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  <w:tl2br w:val="nil"/>
              <w:tr2bl w:val="nil"/>
            </w:tcBorders>
            <w:noWrap w:val="0"/>
            <w:vAlign w:val="center"/>
          </w:tcPr>
          <w:p>
            <w:pPr>
              <w:widowControl/>
              <w:autoSpaceDE w:val="0"/>
              <w:autoSpaceDN w:val="0"/>
              <w:spacing w:beforeLines="0" w:afterLines="0" w:line="360" w:lineRule="auto"/>
              <w:jc w:val="center"/>
              <w:textAlignment w:val="bottom"/>
              <w:rPr>
                <w:rFonts w:hint="eastAsia" w:ascii="宋体" w:hAnsi="宋体" w:eastAsia="宋体" w:cs="宋体"/>
                <w:color w:val="auto"/>
                <w:sz w:val="21"/>
                <w:szCs w:val="21"/>
                <w:highlight w:val="none"/>
              </w:rPr>
            </w:pPr>
          </w:p>
        </w:tc>
      </w:tr>
    </w:tbl>
    <w:p>
      <w:pPr>
        <w:spacing w:beforeLines="0" w:afterLines="0"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</w:p>
    <w:p>
      <w:pPr>
        <w:pStyle w:val="14"/>
        <w:adjustRightInd w:val="0"/>
        <w:snapToGrid w:val="0"/>
        <w:spacing w:before="0" w:beforeLines="0" w:afterLines="0" w:line="360" w:lineRule="auto"/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>投标方：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       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  <w:lang w:val="en-US" w:eastAsia="zh-CN"/>
        </w:rPr>
        <w:t xml:space="preserve">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  <w:u w:val="single"/>
        </w:rPr>
        <w:t xml:space="preserve">  </w:t>
      </w:r>
      <w:r>
        <w:rPr>
          <w:rFonts w:hint="eastAsia" w:ascii="宋体" w:hAnsi="宋体" w:eastAsia="宋体" w:cs="宋体"/>
          <w:color w:val="auto"/>
          <w:sz w:val="24"/>
          <w:szCs w:val="24"/>
          <w:highlight w:val="none"/>
        </w:rPr>
        <w:t xml:space="preserve">   盖章：</w:t>
      </w:r>
    </w:p>
    <w:p>
      <w:pPr>
        <w:spacing w:before="0" w:beforeLines="0" w:afterLines="0" w:line="360" w:lineRule="auto"/>
        <w:ind w:firstLine="482" w:firstLineChars="200"/>
        <w:outlineLvl w:val="1"/>
        <w:rPr>
          <w:rFonts w:hint="eastAsia" w:ascii="Times New Roman" w:hAnsi="Times New Roman" w:eastAsia="宋体" w:cs="仿宋"/>
          <w:b/>
          <w:color w:val="auto"/>
          <w:sz w:val="24"/>
          <w:szCs w:val="24"/>
          <w:highlight w:val="none"/>
        </w:rPr>
      </w:pPr>
      <w:bookmarkStart w:id="2" w:name="_Toc65948960"/>
      <w:r>
        <w:rPr>
          <w:rFonts w:hint="eastAsia" w:ascii="Times New Roman" w:hAnsi="Times New Roman" w:eastAsia="宋体" w:cs="仿宋"/>
          <w:b/>
          <w:color w:val="auto"/>
          <w:sz w:val="24"/>
          <w:szCs w:val="24"/>
          <w:highlight w:val="none"/>
        </w:rPr>
        <w:t>6.</w:t>
      </w:r>
      <w:r>
        <w:rPr>
          <w:rFonts w:hint="eastAsia" w:ascii="Times New Roman" w:hAnsi="Times New Roman" w:eastAsia="宋体" w:cs="仿宋"/>
          <w:b/>
          <w:color w:val="auto"/>
          <w:sz w:val="24"/>
          <w:szCs w:val="24"/>
          <w:highlight w:val="none"/>
          <w:lang w:val="en-US" w:eastAsia="zh-CN"/>
        </w:rPr>
        <w:t>2</w:t>
      </w:r>
      <w:r>
        <w:rPr>
          <w:rFonts w:hint="eastAsia" w:ascii="Times New Roman" w:hAnsi="Times New Roman" w:eastAsia="宋体" w:cs="仿宋"/>
          <w:b/>
          <w:color w:val="auto"/>
          <w:sz w:val="24"/>
          <w:szCs w:val="24"/>
          <w:highlight w:val="none"/>
        </w:rPr>
        <w:t xml:space="preserve"> 投标方需说明的其他问题</w:t>
      </w:r>
    </w:p>
    <w:p>
      <w:pPr>
        <w:spacing w:before="0" w:beforeLines="0" w:afterLines="0" w:line="360" w:lineRule="auto"/>
        <w:ind w:firstLine="480" w:firstLineChars="200"/>
        <w:outlineLvl w:val="1"/>
        <w:rPr>
          <w:rFonts w:hint="eastAsia" w:ascii="Times New Roman" w:hAnsi="Times New Roman" w:eastAsia="宋体" w:cs="仿宋"/>
          <w:b w:val="0"/>
          <w:bCs/>
          <w:color w:val="auto"/>
          <w:sz w:val="24"/>
          <w:szCs w:val="24"/>
          <w:highlight w:val="none"/>
        </w:rPr>
      </w:pPr>
      <w:r>
        <w:rPr>
          <w:rFonts w:hint="eastAsia" w:ascii="Times New Roman" w:hAnsi="Times New Roman" w:eastAsia="宋体" w:cs="仿宋"/>
          <w:b w:val="0"/>
          <w:bCs/>
          <w:color w:val="auto"/>
          <w:sz w:val="24"/>
          <w:szCs w:val="24"/>
          <w:highlight w:val="none"/>
        </w:rPr>
        <w:t>如有需说明的其他问题，投标方应通过书面形式提交，并加盖公章。</w:t>
      </w:r>
    </w:p>
    <w:bookmarkEnd w:id="2"/>
    <w:p>
      <w:pPr>
        <w:pStyle w:val="2"/>
        <w:rPr>
          <w:color w:val="auto"/>
          <w:highlight w:val="none"/>
        </w:rPr>
      </w:pPr>
    </w:p>
    <w:sectPr>
      <w:footerReference r:id="rId4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B1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Monotype Corsiva">
    <w:altName w:val="Mongolian Baiti"/>
    <w:panose1 w:val="03010101010201010101"/>
    <w:charset w:val="00"/>
    <w:family w:val="script"/>
    <w:pitch w:val="default"/>
    <w:sig w:usb0="00000000" w:usb1="00000000" w:usb2="00000000" w:usb3="00000000" w:csb0="2000009F" w:csb1="DFD70000"/>
  </w:font>
  <w:font w:name="Myriad Pro">
    <w:altName w:val="宋体"/>
    <w:panose1 w:val="00000000000000000000"/>
    <w:charset w:val="86"/>
    <w:family w:val="swiss"/>
    <w:pitch w:val="default"/>
    <w:sig w:usb0="00000000" w:usb1="00000000" w:usb2="00000000" w:usb3="00000000" w:csb0="00040000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Mongolian Baiti">
    <w:panose1 w:val="03000500000000000000"/>
    <w:charset w:val="00"/>
    <w:family w:val="auto"/>
    <w:pitch w:val="default"/>
    <w:sig w:usb0="80000023" w:usb1="00000000" w:usb2="0002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7"/>
      <w:jc w:val="center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17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rPr>
                              <w:rFonts w:hint="eastAsia"/>
                            </w:rPr>
                            <w:t>2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17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rPr>
                        <w:rFonts w:hint="eastAsia"/>
                      </w:rPr>
                      <w:t>2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hint="eastAsia"/>
      </w:rPr>
      <w:t>第  页</w: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18"/>
      <w:pBdr>
        <w:bottom w:val="none" w:color="auto" w:sz="0" w:space="0"/>
      </w:pBd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04"/>
    <w:multiLevelType w:val="multilevel"/>
    <w:tmpl w:val="00000004"/>
    <w:lvl w:ilvl="0" w:tentative="0">
      <w:start w:val="1"/>
      <w:numFmt w:val="decimal"/>
      <w:lvlText w:val="%1"/>
      <w:lvlJc w:val="left"/>
      <w:pPr>
        <w:ind w:left="425" w:hanging="425"/>
      </w:pPr>
      <w:rPr>
        <w:rFonts w:hint="eastAsia"/>
        <w:sz w:val="21"/>
        <w:szCs w:val="21"/>
      </w:rPr>
    </w:lvl>
    <w:lvl w:ilvl="1" w:tentative="0">
      <w:start w:val="1"/>
      <w:numFmt w:val="decimal"/>
      <w:pStyle w:val="35"/>
      <w:lvlText w:val="%1.%2"/>
      <w:lvlJc w:val="left"/>
      <w:pPr>
        <w:ind w:left="567" w:hanging="425"/>
      </w:pPr>
      <w:rPr>
        <w:rFonts w:hint="eastAsia"/>
        <w:sz w:val="21"/>
        <w:szCs w:val="21"/>
      </w:rPr>
    </w:lvl>
    <w:lvl w:ilvl="2" w:tentative="0">
      <w:start w:val="1"/>
      <w:numFmt w:val="decimal"/>
      <w:lvlText w:val="%1.%2.%3"/>
      <w:lvlJc w:val="left"/>
      <w:pPr>
        <w:ind w:left="851" w:hanging="851"/>
      </w:pPr>
      <w:rPr>
        <w:rFonts w:hint="eastAsia"/>
        <w:sz w:val="21"/>
        <w:szCs w:val="21"/>
      </w:rPr>
    </w:lvl>
    <w:lvl w:ilvl="3" w:tentative="0">
      <w:start w:val="1"/>
      <w:numFmt w:val="decimal"/>
      <w:lvlText w:val="%1.%2.%3.%4"/>
      <w:lvlJc w:val="left"/>
      <w:pPr>
        <w:ind w:left="1276" w:hanging="1276"/>
      </w:pPr>
      <w:rPr>
        <w:rFonts w:hint="eastAsia"/>
      </w:rPr>
    </w:lvl>
    <w:lvl w:ilvl="4" w:tentative="0">
      <w:start w:val="1"/>
      <w:numFmt w:val="decimal"/>
      <w:lvlText w:val="%1.%2.%3.%4.%5"/>
      <w:lvlJc w:val="left"/>
      <w:pPr>
        <w:ind w:left="2551" w:hanging="850"/>
      </w:pPr>
      <w:rPr>
        <w:rFonts w:hint="eastAsia"/>
      </w:rPr>
    </w:lvl>
    <w:lvl w:ilvl="5" w:tentative="0">
      <w:start w:val="1"/>
      <w:numFmt w:val="decimal"/>
      <w:lvlText w:val="%1.%2.%3.%4.%5.%6"/>
      <w:lvlJc w:val="left"/>
      <w:pPr>
        <w:ind w:left="3260" w:hanging="1134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3827" w:hanging="127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4394" w:hanging="1418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5102" w:hanging="1700"/>
      </w:pPr>
      <w:rPr>
        <w:rFonts w:hint="eastAsia"/>
      </w:rPr>
    </w:lvl>
  </w:abstractNum>
  <w:abstractNum w:abstractNumId="1">
    <w:nsid w:val="33D24DE1"/>
    <w:multiLevelType w:val="multilevel"/>
    <w:tmpl w:val="33D24DE1"/>
    <w:lvl w:ilvl="0" w:tentative="0">
      <w:start w:val="1"/>
      <w:numFmt w:val="decimal"/>
      <w:pStyle w:val="44"/>
      <w:lvlText w:val="%1."/>
      <w:lvlJc w:val="left"/>
      <w:pPr>
        <w:tabs>
          <w:tab w:val="left" w:pos="425"/>
        </w:tabs>
        <w:ind w:left="425" w:hanging="425"/>
      </w:pPr>
    </w:lvl>
    <w:lvl w:ilvl="1" w:tentative="0">
      <w:start w:val="1"/>
      <w:numFmt w:val="decimal"/>
      <w:lvlText w:val="%1.%2."/>
      <w:lvlJc w:val="left"/>
      <w:pPr>
        <w:tabs>
          <w:tab w:val="left" w:pos="567"/>
        </w:tabs>
        <w:ind w:left="567" w:hanging="567"/>
      </w:pPr>
    </w:lvl>
    <w:lvl w:ilvl="2" w:tentative="0">
      <w:start w:val="1"/>
      <w:numFmt w:val="decimal"/>
      <w:pStyle w:val="6"/>
      <w:lvlText w:val="%1.%2.%3."/>
      <w:lvlJc w:val="left"/>
      <w:pPr>
        <w:tabs>
          <w:tab w:val="left" w:pos="1277"/>
        </w:tabs>
        <w:ind w:left="1277" w:hanging="709"/>
      </w:pPr>
    </w:lvl>
    <w:lvl w:ilvl="3" w:tentative="0">
      <w:start w:val="1"/>
      <w:numFmt w:val="decimal"/>
      <w:pStyle w:val="7"/>
      <w:lvlText w:val="%1.%2.%3.%4."/>
      <w:lvlJc w:val="left"/>
      <w:pPr>
        <w:tabs>
          <w:tab w:val="left" w:pos="851"/>
        </w:tabs>
        <w:ind w:left="851" w:hanging="851"/>
      </w:pPr>
    </w:lvl>
    <w:lvl w:ilvl="4" w:tentative="0">
      <w:start w:val="1"/>
      <w:numFmt w:val="decimal"/>
      <w:pStyle w:val="8"/>
      <w:lvlText w:val="%1.%2.%3.%4.%5."/>
      <w:lvlJc w:val="left"/>
      <w:pPr>
        <w:tabs>
          <w:tab w:val="left" w:pos="992"/>
        </w:tabs>
        <w:ind w:left="992" w:hanging="992"/>
      </w:pPr>
    </w:lvl>
    <w:lvl w:ilvl="5" w:tentative="0">
      <w:start w:val="1"/>
      <w:numFmt w:val="decimal"/>
      <w:lvlText w:val="%1.%2.%3.%4.%5.%6."/>
      <w:lvlJc w:val="left"/>
      <w:pPr>
        <w:tabs>
          <w:tab w:val="left" w:pos="1134"/>
        </w:tabs>
        <w:ind w:left="1134" w:hanging="1134"/>
      </w:pPr>
    </w:lvl>
    <w:lvl w:ilvl="6" w:tentative="0">
      <w:start w:val="1"/>
      <w:numFmt w:val="decimal"/>
      <w:lvlText w:val="%1.%2.%3.%4.%5.%6.%7."/>
      <w:lvlJc w:val="left"/>
      <w:pPr>
        <w:tabs>
          <w:tab w:val="left" w:pos="1276"/>
        </w:tabs>
        <w:ind w:left="1276" w:hanging="1276"/>
      </w:pPr>
    </w:lvl>
    <w:lvl w:ilvl="7" w:tentative="0">
      <w:start w:val="1"/>
      <w:numFmt w:val="decimal"/>
      <w:lvlText w:val="%1.%2.%3.%4.%5.%6.%7.%8."/>
      <w:lvlJc w:val="left"/>
      <w:pPr>
        <w:tabs>
          <w:tab w:val="left" w:pos="1418"/>
        </w:tabs>
        <w:ind w:left="1418" w:hanging="1418"/>
      </w:pPr>
    </w:lvl>
    <w:lvl w:ilvl="8" w:tentative="0">
      <w:start w:val="1"/>
      <w:numFmt w:val="decimal"/>
      <w:lvlText w:val="%1.%2.%3.%4.%5.%6.%7.%8.%9."/>
      <w:lvlJc w:val="left"/>
      <w:pPr>
        <w:tabs>
          <w:tab w:val="left" w:pos="1559"/>
        </w:tabs>
        <w:ind w:left="1559" w:hanging="1559"/>
      </w:pPr>
    </w:lvl>
  </w:abstractNum>
  <w:abstractNum w:abstractNumId="2">
    <w:nsid w:val="360A13D7"/>
    <w:multiLevelType w:val="multilevel"/>
    <w:tmpl w:val="360A13D7"/>
    <w:lvl w:ilvl="0" w:tentative="0">
      <w:start w:val="1"/>
      <w:numFmt w:val="decimal"/>
      <w:suff w:val="space"/>
      <w:lvlText w:val="%1"/>
      <w:lvlJc w:val="left"/>
      <w:pPr>
        <w:ind w:left="0" w:leftChars="0" w:firstLine="0" w:firstLineChars="0"/>
      </w:pPr>
      <w:rPr>
        <w:rFonts w:hint="default"/>
      </w:rPr>
    </w:lvl>
    <w:lvl w:ilvl="1" w:tentative="0">
      <w:start w:val="1"/>
      <w:numFmt w:val="decimal"/>
      <w:suff w:val="space"/>
      <w:lvlText w:val="%1.%2"/>
      <w:lvlJc w:val="left"/>
      <w:pPr>
        <w:ind w:left="0" w:leftChars="0" w:firstLine="0" w:firstLineChars="0"/>
      </w:pPr>
      <w:rPr>
        <w:rFonts w:hint="default"/>
      </w:rPr>
    </w:lvl>
    <w:lvl w:ilvl="2" w:tentative="0">
      <w:start w:val="1"/>
      <w:numFmt w:val="decimal"/>
      <w:suff w:val="space"/>
      <w:lvlText w:val="%1.%2.%3"/>
      <w:lvlJc w:val="left"/>
      <w:pPr>
        <w:ind w:left="0" w:leftChars="0" w:firstLine="0" w:firstLineChars="0"/>
      </w:pPr>
      <w:rPr>
        <w:rFonts w:hint="default"/>
      </w:rPr>
    </w:lvl>
    <w:lvl w:ilvl="3" w:tentative="0">
      <w:start w:val="1"/>
      <w:numFmt w:val="decimal"/>
      <w:suff w:val="space"/>
      <w:lvlText w:val="%1.%2.%3.%4"/>
      <w:lvlJc w:val="left"/>
      <w:pPr>
        <w:ind w:left="0" w:leftChars="0" w:firstLine="0" w:firstLineChars="0"/>
      </w:pPr>
      <w:rPr>
        <w:rFonts w:hint="default"/>
      </w:rPr>
    </w:lvl>
    <w:lvl w:ilvl="4" w:tentative="0">
      <w:start w:val="1"/>
      <w:numFmt w:val="decimal"/>
      <w:suff w:val="space"/>
      <w:lvlText w:val="%1.%2.%3.%4.%5"/>
      <w:lvlJc w:val="left"/>
      <w:pPr>
        <w:ind w:left="0" w:leftChars="0" w:firstLine="0" w:firstLineChars="0"/>
      </w:pPr>
      <w:rPr>
        <w:rFonts w:hint="default"/>
      </w:rPr>
    </w:lvl>
    <w:lvl w:ilvl="5" w:tentative="0">
      <w:start w:val="1"/>
      <w:numFmt w:val="decimal"/>
      <w:suff w:val="space"/>
      <w:lvlText w:val="%1.%2.%3.%4.%5.%6"/>
      <w:lvlJc w:val="left"/>
      <w:pPr>
        <w:ind w:left="0" w:leftChars="0" w:firstLine="0" w:firstLineChars="0"/>
      </w:pPr>
      <w:rPr>
        <w:rFonts w:hint="default"/>
      </w:rPr>
    </w:lvl>
    <w:lvl w:ilvl="6" w:tentative="0">
      <w:start w:val="1"/>
      <w:numFmt w:val="decimal"/>
      <w:suff w:val="space"/>
      <w:lvlText w:val="%1.%2.%3.%4.%5.%6.%7"/>
      <w:lvlJc w:val="left"/>
      <w:pPr>
        <w:ind w:left="0" w:leftChars="0" w:firstLine="0" w:firstLineChars="0"/>
      </w:pPr>
      <w:rPr>
        <w:rFonts w:hint="default"/>
      </w:rPr>
    </w:lvl>
    <w:lvl w:ilvl="7" w:tentative="0">
      <w:start w:val="1"/>
      <w:numFmt w:val="decimal"/>
      <w:suff w:val="space"/>
      <w:lvlText w:val="%1.%2.%3.%4.%5.%6.%7.%8"/>
      <w:lvlJc w:val="left"/>
      <w:pPr>
        <w:ind w:left="0" w:leftChars="0" w:firstLine="0" w:firstLineChars="0"/>
      </w:pPr>
      <w:rPr>
        <w:rFonts w:hint="default"/>
      </w:rPr>
    </w:lvl>
    <w:lvl w:ilvl="8" w:tentative="0">
      <w:start w:val="1"/>
      <w:numFmt w:val="decimal"/>
      <w:suff w:val="space"/>
      <w:lvlText w:val="%1.%2.%3.%4.%5.%6.%7.%8.%9"/>
      <w:lvlJc w:val="left"/>
      <w:pPr>
        <w:ind w:left="0" w:leftChars="0" w:firstLine="0" w:firstLineChars="0"/>
      </w:pPr>
      <w:rPr>
        <w:rFonts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ZlODc1ZTA5Nzk2YjRjZGZhZGYzZTdmZDU4MDhmODUifQ=="/>
  </w:docVars>
  <w:rsids>
    <w:rsidRoot w:val="00172A27"/>
    <w:rsid w:val="00012BE4"/>
    <w:rsid w:val="00025D6A"/>
    <w:rsid w:val="000426BB"/>
    <w:rsid w:val="00044C25"/>
    <w:rsid w:val="000459EC"/>
    <w:rsid w:val="000777A6"/>
    <w:rsid w:val="00090981"/>
    <w:rsid w:val="00090F7F"/>
    <w:rsid w:val="000B2F20"/>
    <w:rsid w:val="000E1F48"/>
    <w:rsid w:val="000F3AF9"/>
    <w:rsid w:val="00117027"/>
    <w:rsid w:val="00120CC5"/>
    <w:rsid w:val="001210B3"/>
    <w:rsid w:val="001355CC"/>
    <w:rsid w:val="001358E9"/>
    <w:rsid w:val="00157E70"/>
    <w:rsid w:val="0016352E"/>
    <w:rsid w:val="00166B79"/>
    <w:rsid w:val="00172A27"/>
    <w:rsid w:val="00181DD1"/>
    <w:rsid w:val="001C5F17"/>
    <w:rsid w:val="001E56BD"/>
    <w:rsid w:val="00244E0F"/>
    <w:rsid w:val="00251808"/>
    <w:rsid w:val="00271E37"/>
    <w:rsid w:val="00273AEF"/>
    <w:rsid w:val="00282224"/>
    <w:rsid w:val="00290232"/>
    <w:rsid w:val="002974E5"/>
    <w:rsid w:val="002A4812"/>
    <w:rsid w:val="002C2F17"/>
    <w:rsid w:val="002E3C19"/>
    <w:rsid w:val="002F1C82"/>
    <w:rsid w:val="002F3DE8"/>
    <w:rsid w:val="00312E75"/>
    <w:rsid w:val="003205C6"/>
    <w:rsid w:val="00361388"/>
    <w:rsid w:val="00362743"/>
    <w:rsid w:val="00381300"/>
    <w:rsid w:val="00396CB1"/>
    <w:rsid w:val="003A62F7"/>
    <w:rsid w:val="003B3CD6"/>
    <w:rsid w:val="003C0DBA"/>
    <w:rsid w:val="003E070B"/>
    <w:rsid w:val="003E276C"/>
    <w:rsid w:val="003E448A"/>
    <w:rsid w:val="003E7DA4"/>
    <w:rsid w:val="00434486"/>
    <w:rsid w:val="00440D55"/>
    <w:rsid w:val="00446429"/>
    <w:rsid w:val="00450D8F"/>
    <w:rsid w:val="0048429F"/>
    <w:rsid w:val="004A1017"/>
    <w:rsid w:val="004C1924"/>
    <w:rsid w:val="004E7235"/>
    <w:rsid w:val="004F720E"/>
    <w:rsid w:val="00502D89"/>
    <w:rsid w:val="0051474B"/>
    <w:rsid w:val="0051589C"/>
    <w:rsid w:val="0052796A"/>
    <w:rsid w:val="00555D98"/>
    <w:rsid w:val="005A4A5D"/>
    <w:rsid w:val="005D2E68"/>
    <w:rsid w:val="00657C44"/>
    <w:rsid w:val="006661D3"/>
    <w:rsid w:val="00671578"/>
    <w:rsid w:val="00687A37"/>
    <w:rsid w:val="00695FC4"/>
    <w:rsid w:val="00707490"/>
    <w:rsid w:val="00732399"/>
    <w:rsid w:val="00755049"/>
    <w:rsid w:val="00775772"/>
    <w:rsid w:val="00784DBB"/>
    <w:rsid w:val="007B4108"/>
    <w:rsid w:val="007B783C"/>
    <w:rsid w:val="007D05A0"/>
    <w:rsid w:val="007D34E0"/>
    <w:rsid w:val="007D38CB"/>
    <w:rsid w:val="007D7E2C"/>
    <w:rsid w:val="007E0EE3"/>
    <w:rsid w:val="007F7432"/>
    <w:rsid w:val="00806042"/>
    <w:rsid w:val="00813825"/>
    <w:rsid w:val="00817410"/>
    <w:rsid w:val="00851AB7"/>
    <w:rsid w:val="008760BC"/>
    <w:rsid w:val="008B6F27"/>
    <w:rsid w:val="008D370C"/>
    <w:rsid w:val="00907E09"/>
    <w:rsid w:val="009168D9"/>
    <w:rsid w:val="00922D44"/>
    <w:rsid w:val="009249EC"/>
    <w:rsid w:val="00924AB0"/>
    <w:rsid w:val="009873E3"/>
    <w:rsid w:val="009B49AA"/>
    <w:rsid w:val="009C0EFE"/>
    <w:rsid w:val="009D0F4F"/>
    <w:rsid w:val="00A067A4"/>
    <w:rsid w:val="00A067C3"/>
    <w:rsid w:val="00A23B07"/>
    <w:rsid w:val="00A342EF"/>
    <w:rsid w:val="00A55216"/>
    <w:rsid w:val="00AD0C3C"/>
    <w:rsid w:val="00AD3C67"/>
    <w:rsid w:val="00AD40F0"/>
    <w:rsid w:val="00AE1613"/>
    <w:rsid w:val="00AF4EC9"/>
    <w:rsid w:val="00B00EFD"/>
    <w:rsid w:val="00B01377"/>
    <w:rsid w:val="00B14601"/>
    <w:rsid w:val="00B16B29"/>
    <w:rsid w:val="00B35F8B"/>
    <w:rsid w:val="00B47994"/>
    <w:rsid w:val="00B52C1B"/>
    <w:rsid w:val="00B81A53"/>
    <w:rsid w:val="00BC1B8B"/>
    <w:rsid w:val="00BD38F3"/>
    <w:rsid w:val="00BD3C70"/>
    <w:rsid w:val="00C1454A"/>
    <w:rsid w:val="00C228DE"/>
    <w:rsid w:val="00C30EB7"/>
    <w:rsid w:val="00C4735B"/>
    <w:rsid w:val="00C513C9"/>
    <w:rsid w:val="00C858A2"/>
    <w:rsid w:val="00CB6F55"/>
    <w:rsid w:val="00CD689B"/>
    <w:rsid w:val="00CE6F1C"/>
    <w:rsid w:val="00CF1DCE"/>
    <w:rsid w:val="00CF3F4D"/>
    <w:rsid w:val="00CF5500"/>
    <w:rsid w:val="00CF7911"/>
    <w:rsid w:val="00D07755"/>
    <w:rsid w:val="00D2673E"/>
    <w:rsid w:val="00D34E3D"/>
    <w:rsid w:val="00D35ECB"/>
    <w:rsid w:val="00D415DE"/>
    <w:rsid w:val="00D4201D"/>
    <w:rsid w:val="00D63342"/>
    <w:rsid w:val="00D638BB"/>
    <w:rsid w:val="00D64B94"/>
    <w:rsid w:val="00DB376B"/>
    <w:rsid w:val="00DC6E3B"/>
    <w:rsid w:val="00DD4E39"/>
    <w:rsid w:val="00DF1204"/>
    <w:rsid w:val="00E048F7"/>
    <w:rsid w:val="00E23A28"/>
    <w:rsid w:val="00E7007E"/>
    <w:rsid w:val="00E83067"/>
    <w:rsid w:val="00E97B94"/>
    <w:rsid w:val="00EA07D6"/>
    <w:rsid w:val="00EA1E09"/>
    <w:rsid w:val="00EA1F69"/>
    <w:rsid w:val="00EE581A"/>
    <w:rsid w:val="00F03031"/>
    <w:rsid w:val="00F123B9"/>
    <w:rsid w:val="00F34862"/>
    <w:rsid w:val="00F95862"/>
    <w:rsid w:val="00FA0A60"/>
    <w:rsid w:val="00FA583C"/>
    <w:rsid w:val="00FC3B75"/>
    <w:rsid w:val="00FC6442"/>
    <w:rsid w:val="00FC775D"/>
    <w:rsid w:val="00FD176F"/>
    <w:rsid w:val="00FF7CBB"/>
    <w:rsid w:val="0138268E"/>
    <w:rsid w:val="013B0663"/>
    <w:rsid w:val="014A7E7B"/>
    <w:rsid w:val="016E3446"/>
    <w:rsid w:val="01733F5D"/>
    <w:rsid w:val="01835F11"/>
    <w:rsid w:val="01854924"/>
    <w:rsid w:val="01995B0E"/>
    <w:rsid w:val="01A030F3"/>
    <w:rsid w:val="01B95422"/>
    <w:rsid w:val="01BE4B1F"/>
    <w:rsid w:val="01C01217"/>
    <w:rsid w:val="01CB6B5F"/>
    <w:rsid w:val="01DA6338"/>
    <w:rsid w:val="01DD531F"/>
    <w:rsid w:val="01DF7081"/>
    <w:rsid w:val="01EE5D92"/>
    <w:rsid w:val="01F70AD7"/>
    <w:rsid w:val="01F84F9C"/>
    <w:rsid w:val="01FC4C30"/>
    <w:rsid w:val="01FE0042"/>
    <w:rsid w:val="02062B6A"/>
    <w:rsid w:val="020D6784"/>
    <w:rsid w:val="021226CE"/>
    <w:rsid w:val="021965FA"/>
    <w:rsid w:val="02630F17"/>
    <w:rsid w:val="02657C03"/>
    <w:rsid w:val="02767039"/>
    <w:rsid w:val="027D2CBE"/>
    <w:rsid w:val="02854616"/>
    <w:rsid w:val="028E48DE"/>
    <w:rsid w:val="02A37EC2"/>
    <w:rsid w:val="02A82154"/>
    <w:rsid w:val="02C756B3"/>
    <w:rsid w:val="02CD1302"/>
    <w:rsid w:val="02DD2739"/>
    <w:rsid w:val="02E24B03"/>
    <w:rsid w:val="02ED2C3C"/>
    <w:rsid w:val="02F05C02"/>
    <w:rsid w:val="02F60B2A"/>
    <w:rsid w:val="03070AE6"/>
    <w:rsid w:val="030F4265"/>
    <w:rsid w:val="031B3B28"/>
    <w:rsid w:val="03486D0A"/>
    <w:rsid w:val="035000AB"/>
    <w:rsid w:val="03761DD9"/>
    <w:rsid w:val="03850A7B"/>
    <w:rsid w:val="038D0C6B"/>
    <w:rsid w:val="038E5251"/>
    <w:rsid w:val="03926AF4"/>
    <w:rsid w:val="03A843B1"/>
    <w:rsid w:val="03B76965"/>
    <w:rsid w:val="03BA0D11"/>
    <w:rsid w:val="03BB765C"/>
    <w:rsid w:val="03BE6C81"/>
    <w:rsid w:val="03BF67E5"/>
    <w:rsid w:val="03CC00C8"/>
    <w:rsid w:val="03D76459"/>
    <w:rsid w:val="03E47447"/>
    <w:rsid w:val="03E740E3"/>
    <w:rsid w:val="03FC6225"/>
    <w:rsid w:val="03FF0110"/>
    <w:rsid w:val="040703D4"/>
    <w:rsid w:val="040914C1"/>
    <w:rsid w:val="041A5C49"/>
    <w:rsid w:val="041E2C69"/>
    <w:rsid w:val="042B7D06"/>
    <w:rsid w:val="043672AA"/>
    <w:rsid w:val="04377CC5"/>
    <w:rsid w:val="043C36DC"/>
    <w:rsid w:val="043E1838"/>
    <w:rsid w:val="045126D0"/>
    <w:rsid w:val="045A404B"/>
    <w:rsid w:val="04822175"/>
    <w:rsid w:val="0482445E"/>
    <w:rsid w:val="04920B4A"/>
    <w:rsid w:val="049552DD"/>
    <w:rsid w:val="04995D3A"/>
    <w:rsid w:val="049F343C"/>
    <w:rsid w:val="04A01725"/>
    <w:rsid w:val="04A647EC"/>
    <w:rsid w:val="04BA4590"/>
    <w:rsid w:val="04C170A8"/>
    <w:rsid w:val="04C54B1B"/>
    <w:rsid w:val="04C60ECB"/>
    <w:rsid w:val="04CA223B"/>
    <w:rsid w:val="04DF556F"/>
    <w:rsid w:val="04F75F6B"/>
    <w:rsid w:val="05192CE2"/>
    <w:rsid w:val="05193120"/>
    <w:rsid w:val="051A3D53"/>
    <w:rsid w:val="052001D6"/>
    <w:rsid w:val="05206E5B"/>
    <w:rsid w:val="052A0005"/>
    <w:rsid w:val="053649B0"/>
    <w:rsid w:val="054737CF"/>
    <w:rsid w:val="05566891"/>
    <w:rsid w:val="056858EB"/>
    <w:rsid w:val="056F6C22"/>
    <w:rsid w:val="057760FF"/>
    <w:rsid w:val="057E614C"/>
    <w:rsid w:val="05A36453"/>
    <w:rsid w:val="05D53D21"/>
    <w:rsid w:val="05E73A1D"/>
    <w:rsid w:val="05ED2172"/>
    <w:rsid w:val="05F61781"/>
    <w:rsid w:val="05F73CF2"/>
    <w:rsid w:val="06006D63"/>
    <w:rsid w:val="0601312B"/>
    <w:rsid w:val="06033E69"/>
    <w:rsid w:val="061A2FFC"/>
    <w:rsid w:val="061A6353"/>
    <w:rsid w:val="06344294"/>
    <w:rsid w:val="063F594E"/>
    <w:rsid w:val="06514EE9"/>
    <w:rsid w:val="06655401"/>
    <w:rsid w:val="066E30C6"/>
    <w:rsid w:val="068C5C42"/>
    <w:rsid w:val="068D72BB"/>
    <w:rsid w:val="06B50CF4"/>
    <w:rsid w:val="06DA7DE7"/>
    <w:rsid w:val="06E460DC"/>
    <w:rsid w:val="06FC3783"/>
    <w:rsid w:val="071A2D33"/>
    <w:rsid w:val="071C5217"/>
    <w:rsid w:val="07247E68"/>
    <w:rsid w:val="074323BA"/>
    <w:rsid w:val="074549D4"/>
    <w:rsid w:val="075449B1"/>
    <w:rsid w:val="0768323E"/>
    <w:rsid w:val="07686246"/>
    <w:rsid w:val="076A638D"/>
    <w:rsid w:val="07830F7B"/>
    <w:rsid w:val="078D22A5"/>
    <w:rsid w:val="078F18FE"/>
    <w:rsid w:val="079166CC"/>
    <w:rsid w:val="07A9711F"/>
    <w:rsid w:val="07AB7B38"/>
    <w:rsid w:val="07AF3C5B"/>
    <w:rsid w:val="07B56B8B"/>
    <w:rsid w:val="07BA0AF0"/>
    <w:rsid w:val="07BE384C"/>
    <w:rsid w:val="07C83875"/>
    <w:rsid w:val="07CB47C7"/>
    <w:rsid w:val="07DA21FC"/>
    <w:rsid w:val="07DF40A4"/>
    <w:rsid w:val="08063916"/>
    <w:rsid w:val="080A2FDE"/>
    <w:rsid w:val="080B44AE"/>
    <w:rsid w:val="080F7366"/>
    <w:rsid w:val="082A5BE6"/>
    <w:rsid w:val="082D12A6"/>
    <w:rsid w:val="083709A9"/>
    <w:rsid w:val="083F07DB"/>
    <w:rsid w:val="08436B41"/>
    <w:rsid w:val="084479F3"/>
    <w:rsid w:val="084A7958"/>
    <w:rsid w:val="085C51C6"/>
    <w:rsid w:val="08647852"/>
    <w:rsid w:val="08715239"/>
    <w:rsid w:val="08752E31"/>
    <w:rsid w:val="08783C2B"/>
    <w:rsid w:val="087948E2"/>
    <w:rsid w:val="087C4EF9"/>
    <w:rsid w:val="087E42CC"/>
    <w:rsid w:val="08833468"/>
    <w:rsid w:val="088E2ED4"/>
    <w:rsid w:val="088F7693"/>
    <w:rsid w:val="08A74E88"/>
    <w:rsid w:val="08AA23AF"/>
    <w:rsid w:val="08B225A5"/>
    <w:rsid w:val="08C01BA5"/>
    <w:rsid w:val="08E76C02"/>
    <w:rsid w:val="08E94709"/>
    <w:rsid w:val="08F00CF0"/>
    <w:rsid w:val="08F17152"/>
    <w:rsid w:val="09033ED8"/>
    <w:rsid w:val="090A4799"/>
    <w:rsid w:val="0916518B"/>
    <w:rsid w:val="091D0E68"/>
    <w:rsid w:val="09644AD9"/>
    <w:rsid w:val="097715DB"/>
    <w:rsid w:val="09A164E1"/>
    <w:rsid w:val="09B10333"/>
    <w:rsid w:val="09BB46BB"/>
    <w:rsid w:val="09CD13CC"/>
    <w:rsid w:val="09CD4C2E"/>
    <w:rsid w:val="09DA150B"/>
    <w:rsid w:val="09DC32B0"/>
    <w:rsid w:val="09DD11C7"/>
    <w:rsid w:val="09DD1916"/>
    <w:rsid w:val="09DE0FAC"/>
    <w:rsid w:val="09E80232"/>
    <w:rsid w:val="09F55665"/>
    <w:rsid w:val="09F9316B"/>
    <w:rsid w:val="0A0B6246"/>
    <w:rsid w:val="0A141BDB"/>
    <w:rsid w:val="0A173A1E"/>
    <w:rsid w:val="0A357B39"/>
    <w:rsid w:val="0A4A3F41"/>
    <w:rsid w:val="0A4C6777"/>
    <w:rsid w:val="0A626D25"/>
    <w:rsid w:val="0A630A20"/>
    <w:rsid w:val="0A7014FD"/>
    <w:rsid w:val="0A7B236E"/>
    <w:rsid w:val="0A7D53C7"/>
    <w:rsid w:val="0A9779CC"/>
    <w:rsid w:val="0A9E482A"/>
    <w:rsid w:val="0AA55889"/>
    <w:rsid w:val="0AAA49F4"/>
    <w:rsid w:val="0AB75298"/>
    <w:rsid w:val="0ABA0FCF"/>
    <w:rsid w:val="0AC27E84"/>
    <w:rsid w:val="0AC35585"/>
    <w:rsid w:val="0AC55B53"/>
    <w:rsid w:val="0AC9244B"/>
    <w:rsid w:val="0ACA7028"/>
    <w:rsid w:val="0AEC5128"/>
    <w:rsid w:val="0B0E5A15"/>
    <w:rsid w:val="0B194726"/>
    <w:rsid w:val="0B283B62"/>
    <w:rsid w:val="0B38187D"/>
    <w:rsid w:val="0B3A2432"/>
    <w:rsid w:val="0B3E7499"/>
    <w:rsid w:val="0B4765DB"/>
    <w:rsid w:val="0B55747C"/>
    <w:rsid w:val="0B6815E3"/>
    <w:rsid w:val="0B6B7756"/>
    <w:rsid w:val="0B7A2A77"/>
    <w:rsid w:val="0B8311D7"/>
    <w:rsid w:val="0BA7003F"/>
    <w:rsid w:val="0BA83BC9"/>
    <w:rsid w:val="0BC75EAA"/>
    <w:rsid w:val="0BC951D7"/>
    <w:rsid w:val="0BDD2D5F"/>
    <w:rsid w:val="0BE06A04"/>
    <w:rsid w:val="0BE853CA"/>
    <w:rsid w:val="0BEA0372"/>
    <w:rsid w:val="0BF20ADF"/>
    <w:rsid w:val="0BF714E9"/>
    <w:rsid w:val="0BFB51E4"/>
    <w:rsid w:val="0C1B10AB"/>
    <w:rsid w:val="0C25027D"/>
    <w:rsid w:val="0C344FD4"/>
    <w:rsid w:val="0C586464"/>
    <w:rsid w:val="0C6C00A7"/>
    <w:rsid w:val="0C6F144E"/>
    <w:rsid w:val="0C7E61B9"/>
    <w:rsid w:val="0C8E5CCA"/>
    <w:rsid w:val="0C901FD1"/>
    <w:rsid w:val="0C997D2C"/>
    <w:rsid w:val="0CB4612A"/>
    <w:rsid w:val="0CC17CFB"/>
    <w:rsid w:val="0CCE78DE"/>
    <w:rsid w:val="0CDF0B33"/>
    <w:rsid w:val="0CE35640"/>
    <w:rsid w:val="0CF8773C"/>
    <w:rsid w:val="0D047B56"/>
    <w:rsid w:val="0D140AA6"/>
    <w:rsid w:val="0D155690"/>
    <w:rsid w:val="0D1A3319"/>
    <w:rsid w:val="0D1F590A"/>
    <w:rsid w:val="0D302230"/>
    <w:rsid w:val="0D5A0116"/>
    <w:rsid w:val="0D701DC9"/>
    <w:rsid w:val="0D876A78"/>
    <w:rsid w:val="0D935B07"/>
    <w:rsid w:val="0D99235D"/>
    <w:rsid w:val="0DAC6DFF"/>
    <w:rsid w:val="0DB726B3"/>
    <w:rsid w:val="0DBA1742"/>
    <w:rsid w:val="0DBF259D"/>
    <w:rsid w:val="0DC06F91"/>
    <w:rsid w:val="0DC21237"/>
    <w:rsid w:val="0DEB064D"/>
    <w:rsid w:val="0DEF74E9"/>
    <w:rsid w:val="0DF87B79"/>
    <w:rsid w:val="0E010A88"/>
    <w:rsid w:val="0E076D6A"/>
    <w:rsid w:val="0E0D239D"/>
    <w:rsid w:val="0E2453F8"/>
    <w:rsid w:val="0E355B5C"/>
    <w:rsid w:val="0E383A49"/>
    <w:rsid w:val="0E3A1941"/>
    <w:rsid w:val="0E5A1607"/>
    <w:rsid w:val="0E6742C6"/>
    <w:rsid w:val="0E7F1356"/>
    <w:rsid w:val="0E865331"/>
    <w:rsid w:val="0EB00F44"/>
    <w:rsid w:val="0EB06C8B"/>
    <w:rsid w:val="0ECA4B48"/>
    <w:rsid w:val="0ECB7824"/>
    <w:rsid w:val="0ED76563"/>
    <w:rsid w:val="0EDA085A"/>
    <w:rsid w:val="0EDB1081"/>
    <w:rsid w:val="0EEC5097"/>
    <w:rsid w:val="0EEF5580"/>
    <w:rsid w:val="0EF37C5E"/>
    <w:rsid w:val="0F014FC4"/>
    <w:rsid w:val="0F1362C2"/>
    <w:rsid w:val="0F143CCC"/>
    <w:rsid w:val="0F5933F5"/>
    <w:rsid w:val="0F5A4A5C"/>
    <w:rsid w:val="0F5A4D46"/>
    <w:rsid w:val="0F6C3997"/>
    <w:rsid w:val="0F7A4A71"/>
    <w:rsid w:val="0F81034D"/>
    <w:rsid w:val="0F835F8E"/>
    <w:rsid w:val="0F930BD1"/>
    <w:rsid w:val="0F9D1FCC"/>
    <w:rsid w:val="0FAE0898"/>
    <w:rsid w:val="0FC825ED"/>
    <w:rsid w:val="0FD10D03"/>
    <w:rsid w:val="0FD6518B"/>
    <w:rsid w:val="0FE05FE3"/>
    <w:rsid w:val="0FF0426A"/>
    <w:rsid w:val="0FF3206C"/>
    <w:rsid w:val="0FF8146B"/>
    <w:rsid w:val="0FFC16E6"/>
    <w:rsid w:val="101504F3"/>
    <w:rsid w:val="10183D99"/>
    <w:rsid w:val="101C7E7E"/>
    <w:rsid w:val="102D71E2"/>
    <w:rsid w:val="1033439B"/>
    <w:rsid w:val="104C5537"/>
    <w:rsid w:val="104C735E"/>
    <w:rsid w:val="105C1B6A"/>
    <w:rsid w:val="105C75E2"/>
    <w:rsid w:val="10641957"/>
    <w:rsid w:val="10714CF6"/>
    <w:rsid w:val="10920C21"/>
    <w:rsid w:val="10981331"/>
    <w:rsid w:val="10A2232D"/>
    <w:rsid w:val="10A92FD5"/>
    <w:rsid w:val="10C45AC4"/>
    <w:rsid w:val="10D31F69"/>
    <w:rsid w:val="10D95CB2"/>
    <w:rsid w:val="10E33AD8"/>
    <w:rsid w:val="10EE4FA7"/>
    <w:rsid w:val="11000C5A"/>
    <w:rsid w:val="110C7C74"/>
    <w:rsid w:val="11160C4C"/>
    <w:rsid w:val="111C2307"/>
    <w:rsid w:val="114857BA"/>
    <w:rsid w:val="11532A33"/>
    <w:rsid w:val="115801CB"/>
    <w:rsid w:val="116D4F69"/>
    <w:rsid w:val="11785263"/>
    <w:rsid w:val="117B2B3A"/>
    <w:rsid w:val="117D35E0"/>
    <w:rsid w:val="118C6B37"/>
    <w:rsid w:val="11C61128"/>
    <w:rsid w:val="11E41EAD"/>
    <w:rsid w:val="11ED17B0"/>
    <w:rsid w:val="11F12618"/>
    <w:rsid w:val="11F1537A"/>
    <w:rsid w:val="11FE1FF3"/>
    <w:rsid w:val="120D37A9"/>
    <w:rsid w:val="12177961"/>
    <w:rsid w:val="121C1060"/>
    <w:rsid w:val="1225453C"/>
    <w:rsid w:val="12294106"/>
    <w:rsid w:val="123254A4"/>
    <w:rsid w:val="12376845"/>
    <w:rsid w:val="12383971"/>
    <w:rsid w:val="123A653B"/>
    <w:rsid w:val="123E223D"/>
    <w:rsid w:val="124132A1"/>
    <w:rsid w:val="12452986"/>
    <w:rsid w:val="124A5E7B"/>
    <w:rsid w:val="125746C5"/>
    <w:rsid w:val="125F7F16"/>
    <w:rsid w:val="126E26F9"/>
    <w:rsid w:val="1270332E"/>
    <w:rsid w:val="127D37D4"/>
    <w:rsid w:val="128B4F55"/>
    <w:rsid w:val="128F4CFC"/>
    <w:rsid w:val="129F154A"/>
    <w:rsid w:val="12A34FD6"/>
    <w:rsid w:val="12A635C7"/>
    <w:rsid w:val="12B5026C"/>
    <w:rsid w:val="12C86253"/>
    <w:rsid w:val="12E42550"/>
    <w:rsid w:val="12E73814"/>
    <w:rsid w:val="12E81295"/>
    <w:rsid w:val="130D0A7E"/>
    <w:rsid w:val="13157522"/>
    <w:rsid w:val="131E538C"/>
    <w:rsid w:val="132509B1"/>
    <w:rsid w:val="13272898"/>
    <w:rsid w:val="13280AA0"/>
    <w:rsid w:val="13560016"/>
    <w:rsid w:val="135C70C6"/>
    <w:rsid w:val="13676ED6"/>
    <w:rsid w:val="136D5C6B"/>
    <w:rsid w:val="137112B8"/>
    <w:rsid w:val="13787880"/>
    <w:rsid w:val="137B242D"/>
    <w:rsid w:val="138401D6"/>
    <w:rsid w:val="138610BF"/>
    <w:rsid w:val="13884297"/>
    <w:rsid w:val="13990AFD"/>
    <w:rsid w:val="139B4D1A"/>
    <w:rsid w:val="13A15A6F"/>
    <w:rsid w:val="13B07EBC"/>
    <w:rsid w:val="13B7198E"/>
    <w:rsid w:val="13BC5DB8"/>
    <w:rsid w:val="13C44C6D"/>
    <w:rsid w:val="13FC7401"/>
    <w:rsid w:val="1404749A"/>
    <w:rsid w:val="140729C2"/>
    <w:rsid w:val="140E58AD"/>
    <w:rsid w:val="14117786"/>
    <w:rsid w:val="14157276"/>
    <w:rsid w:val="141A3087"/>
    <w:rsid w:val="14273DF2"/>
    <w:rsid w:val="143C4AA7"/>
    <w:rsid w:val="144C20C1"/>
    <w:rsid w:val="146C789E"/>
    <w:rsid w:val="146F6F92"/>
    <w:rsid w:val="14710068"/>
    <w:rsid w:val="147C7A0A"/>
    <w:rsid w:val="14871984"/>
    <w:rsid w:val="149355CF"/>
    <w:rsid w:val="14AB1958"/>
    <w:rsid w:val="14AE74A1"/>
    <w:rsid w:val="14B8462C"/>
    <w:rsid w:val="14C41AA0"/>
    <w:rsid w:val="14EC0FFE"/>
    <w:rsid w:val="1507176B"/>
    <w:rsid w:val="15193728"/>
    <w:rsid w:val="151C63E2"/>
    <w:rsid w:val="152139F9"/>
    <w:rsid w:val="152C49A7"/>
    <w:rsid w:val="15370684"/>
    <w:rsid w:val="153F37CF"/>
    <w:rsid w:val="1541662B"/>
    <w:rsid w:val="15502571"/>
    <w:rsid w:val="155757BA"/>
    <w:rsid w:val="155D013F"/>
    <w:rsid w:val="155F4F64"/>
    <w:rsid w:val="157955E3"/>
    <w:rsid w:val="157C0ABE"/>
    <w:rsid w:val="15810E28"/>
    <w:rsid w:val="15813692"/>
    <w:rsid w:val="15816208"/>
    <w:rsid w:val="159757C9"/>
    <w:rsid w:val="15AF7BA2"/>
    <w:rsid w:val="15CF3402"/>
    <w:rsid w:val="15DB004C"/>
    <w:rsid w:val="15E25202"/>
    <w:rsid w:val="15E708FE"/>
    <w:rsid w:val="15EF58A5"/>
    <w:rsid w:val="15F03090"/>
    <w:rsid w:val="15F75504"/>
    <w:rsid w:val="15F81052"/>
    <w:rsid w:val="16091F7E"/>
    <w:rsid w:val="160A6231"/>
    <w:rsid w:val="16561793"/>
    <w:rsid w:val="165F5ED3"/>
    <w:rsid w:val="16780580"/>
    <w:rsid w:val="167C352C"/>
    <w:rsid w:val="167F6483"/>
    <w:rsid w:val="16802D44"/>
    <w:rsid w:val="16953872"/>
    <w:rsid w:val="16A54C6E"/>
    <w:rsid w:val="16AD1C9C"/>
    <w:rsid w:val="16B60D90"/>
    <w:rsid w:val="16B75753"/>
    <w:rsid w:val="16C36CFF"/>
    <w:rsid w:val="16D33E3F"/>
    <w:rsid w:val="16E14FB5"/>
    <w:rsid w:val="16E20F40"/>
    <w:rsid w:val="16E305DE"/>
    <w:rsid w:val="16E8754B"/>
    <w:rsid w:val="16F6268C"/>
    <w:rsid w:val="16FD3B71"/>
    <w:rsid w:val="17003A8E"/>
    <w:rsid w:val="17031187"/>
    <w:rsid w:val="17094E41"/>
    <w:rsid w:val="17133A8C"/>
    <w:rsid w:val="172931B0"/>
    <w:rsid w:val="174721C5"/>
    <w:rsid w:val="175B158C"/>
    <w:rsid w:val="176F1124"/>
    <w:rsid w:val="17741A70"/>
    <w:rsid w:val="17757B9F"/>
    <w:rsid w:val="17790873"/>
    <w:rsid w:val="179363BB"/>
    <w:rsid w:val="179A306D"/>
    <w:rsid w:val="17A35183"/>
    <w:rsid w:val="17AC1CA0"/>
    <w:rsid w:val="17BE30B5"/>
    <w:rsid w:val="17C3793D"/>
    <w:rsid w:val="17CD391F"/>
    <w:rsid w:val="17F001C6"/>
    <w:rsid w:val="17F84244"/>
    <w:rsid w:val="18194E5B"/>
    <w:rsid w:val="181A6496"/>
    <w:rsid w:val="181E08B6"/>
    <w:rsid w:val="1834546F"/>
    <w:rsid w:val="18416551"/>
    <w:rsid w:val="184577B1"/>
    <w:rsid w:val="185014B5"/>
    <w:rsid w:val="185950DA"/>
    <w:rsid w:val="18647609"/>
    <w:rsid w:val="186724B9"/>
    <w:rsid w:val="18672748"/>
    <w:rsid w:val="186767F6"/>
    <w:rsid w:val="18843330"/>
    <w:rsid w:val="189948DB"/>
    <w:rsid w:val="18A95B36"/>
    <w:rsid w:val="18AA1A7A"/>
    <w:rsid w:val="18AE2291"/>
    <w:rsid w:val="18D27E96"/>
    <w:rsid w:val="18D8400B"/>
    <w:rsid w:val="18E63800"/>
    <w:rsid w:val="18F062F7"/>
    <w:rsid w:val="18F20D4C"/>
    <w:rsid w:val="18F871AC"/>
    <w:rsid w:val="18FA2447"/>
    <w:rsid w:val="18FB6265"/>
    <w:rsid w:val="195513F2"/>
    <w:rsid w:val="195D6334"/>
    <w:rsid w:val="1966747D"/>
    <w:rsid w:val="196977C2"/>
    <w:rsid w:val="19746280"/>
    <w:rsid w:val="198F63EE"/>
    <w:rsid w:val="19904406"/>
    <w:rsid w:val="199E44F8"/>
    <w:rsid w:val="19AD6284"/>
    <w:rsid w:val="19B71D59"/>
    <w:rsid w:val="19BB3709"/>
    <w:rsid w:val="19BE5944"/>
    <w:rsid w:val="19CA15B1"/>
    <w:rsid w:val="19D379B8"/>
    <w:rsid w:val="19E665CA"/>
    <w:rsid w:val="19F564A2"/>
    <w:rsid w:val="19FA1500"/>
    <w:rsid w:val="1A1717A8"/>
    <w:rsid w:val="1A240C73"/>
    <w:rsid w:val="1A3D12D5"/>
    <w:rsid w:val="1A6A7856"/>
    <w:rsid w:val="1A6B6289"/>
    <w:rsid w:val="1A8F3867"/>
    <w:rsid w:val="1A936A87"/>
    <w:rsid w:val="1A98084C"/>
    <w:rsid w:val="1A9C46CF"/>
    <w:rsid w:val="1A9D4E8A"/>
    <w:rsid w:val="1AA4261E"/>
    <w:rsid w:val="1AA707A8"/>
    <w:rsid w:val="1AA7704F"/>
    <w:rsid w:val="1AB95B7C"/>
    <w:rsid w:val="1ABC48F0"/>
    <w:rsid w:val="1AC13CB4"/>
    <w:rsid w:val="1AD22BC8"/>
    <w:rsid w:val="1AD47792"/>
    <w:rsid w:val="1AD70E75"/>
    <w:rsid w:val="1AF97254"/>
    <w:rsid w:val="1B015876"/>
    <w:rsid w:val="1B027E29"/>
    <w:rsid w:val="1B06057C"/>
    <w:rsid w:val="1B08683F"/>
    <w:rsid w:val="1B0F181F"/>
    <w:rsid w:val="1B192484"/>
    <w:rsid w:val="1B1A2655"/>
    <w:rsid w:val="1B2E1556"/>
    <w:rsid w:val="1B355E23"/>
    <w:rsid w:val="1B394F38"/>
    <w:rsid w:val="1B4B53D6"/>
    <w:rsid w:val="1B533BF5"/>
    <w:rsid w:val="1B5C0F65"/>
    <w:rsid w:val="1B655BB2"/>
    <w:rsid w:val="1B6B7D95"/>
    <w:rsid w:val="1B6D4585"/>
    <w:rsid w:val="1B813577"/>
    <w:rsid w:val="1B873550"/>
    <w:rsid w:val="1B9262CF"/>
    <w:rsid w:val="1BB8420C"/>
    <w:rsid w:val="1BBA0B14"/>
    <w:rsid w:val="1BCB7101"/>
    <w:rsid w:val="1BCF2401"/>
    <w:rsid w:val="1BD324C1"/>
    <w:rsid w:val="1BDA7D54"/>
    <w:rsid w:val="1BE3060D"/>
    <w:rsid w:val="1BE917C8"/>
    <w:rsid w:val="1BF83B70"/>
    <w:rsid w:val="1C0868DE"/>
    <w:rsid w:val="1C0C51AB"/>
    <w:rsid w:val="1C104F9B"/>
    <w:rsid w:val="1C194A4D"/>
    <w:rsid w:val="1C3453E3"/>
    <w:rsid w:val="1C495E24"/>
    <w:rsid w:val="1C4F1AB0"/>
    <w:rsid w:val="1C5809E5"/>
    <w:rsid w:val="1C7B6AA7"/>
    <w:rsid w:val="1C7F2A6E"/>
    <w:rsid w:val="1C90028D"/>
    <w:rsid w:val="1C9F187F"/>
    <w:rsid w:val="1CA629EC"/>
    <w:rsid w:val="1CB53A85"/>
    <w:rsid w:val="1CC415D7"/>
    <w:rsid w:val="1CCB1AAD"/>
    <w:rsid w:val="1CD70DAA"/>
    <w:rsid w:val="1CDA0EAB"/>
    <w:rsid w:val="1CE4012E"/>
    <w:rsid w:val="1CE47975"/>
    <w:rsid w:val="1CFB6502"/>
    <w:rsid w:val="1D0B473C"/>
    <w:rsid w:val="1D0C3C98"/>
    <w:rsid w:val="1D183933"/>
    <w:rsid w:val="1D232296"/>
    <w:rsid w:val="1D28001A"/>
    <w:rsid w:val="1D297C66"/>
    <w:rsid w:val="1D3D7B17"/>
    <w:rsid w:val="1D3F7CB6"/>
    <w:rsid w:val="1D5C3B32"/>
    <w:rsid w:val="1D6D3294"/>
    <w:rsid w:val="1D9C37D1"/>
    <w:rsid w:val="1DA27792"/>
    <w:rsid w:val="1DA75172"/>
    <w:rsid w:val="1DAA19DE"/>
    <w:rsid w:val="1DAC49BC"/>
    <w:rsid w:val="1DB1171C"/>
    <w:rsid w:val="1DBB07FC"/>
    <w:rsid w:val="1DBB5A25"/>
    <w:rsid w:val="1DBC129E"/>
    <w:rsid w:val="1DC62C35"/>
    <w:rsid w:val="1DCB19EE"/>
    <w:rsid w:val="1DEE4823"/>
    <w:rsid w:val="1E035F96"/>
    <w:rsid w:val="1E215085"/>
    <w:rsid w:val="1E4470D6"/>
    <w:rsid w:val="1E475921"/>
    <w:rsid w:val="1E4A52A3"/>
    <w:rsid w:val="1E4D4545"/>
    <w:rsid w:val="1E605592"/>
    <w:rsid w:val="1E6961A7"/>
    <w:rsid w:val="1E757FD8"/>
    <w:rsid w:val="1E7E5B6B"/>
    <w:rsid w:val="1E9A200B"/>
    <w:rsid w:val="1E9C5131"/>
    <w:rsid w:val="1EA53549"/>
    <w:rsid w:val="1EAE13EB"/>
    <w:rsid w:val="1EB31B66"/>
    <w:rsid w:val="1EBB6C6C"/>
    <w:rsid w:val="1EC10726"/>
    <w:rsid w:val="1EC91910"/>
    <w:rsid w:val="1ED93229"/>
    <w:rsid w:val="1EF62FCE"/>
    <w:rsid w:val="1EF76F5D"/>
    <w:rsid w:val="1EFB1F2A"/>
    <w:rsid w:val="1F0D487A"/>
    <w:rsid w:val="1F16224B"/>
    <w:rsid w:val="1F1F5986"/>
    <w:rsid w:val="1F2C70D4"/>
    <w:rsid w:val="1F2E47AB"/>
    <w:rsid w:val="1F3A0D24"/>
    <w:rsid w:val="1F436F19"/>
    <w:rsid w:val="1F4977E7"/>
    <w:rsid w:val="1F5032DC"/>
    <w:rsid w:val="1F5113CE"/>
    <w:rsid w:val="1F680B88"/>
    <w:rsid w:val="1F70561D"/>
    <w:rsid w:val="1F7C1DF0"/>
    <w:rsid w:val="1F854177"/>
    <w:rsid w:val="1F9859BE"/>
    <w:rsid w:val="1FA2747D"/>
    <w:rsid w:val="1FA676BA"/>
    <w:rsid w:val="1FAE5A39"/>
    <w:rsid w:val="1FAE696D"/>
    <w:rsid w:val="1FB042F7"/>
    <w:rsid w:val="1FB052C9"/>
    <w:rsid w:val="1FB2564D"/>
    <w:rsid w:val="1FB75B33"/>
    <w:rsid w:val="1FBC1C0C"/>
    <w:rsid w:val="1FCC6FB0"/>
    <w:rsid w:val="1FE42B63"/>
    <w:rsid w:val="1FEC076E"/>
    <w:rsid w:val="1FF435B4"/>
    <w:rsid w:val="200A20A8"/>
    <w:rsid w:val="200B31FA"/>
    <w:rsid w:val="201854B1"/>
    <w:rsid w:val="201B00B3"/>
    <w:rsid w:val="202104C6"/>
    <w:rsid w:val="2026484B"/>
    <w:rsid w:val="20274CDA"/>
    <w:rsid w:val="203527AE"/>
    <w:rsid w:val="203D57D4"/>
    <w:rsid w:val="205C3D96"/>
    <w:rsid w:val="205F16EC"/>
    <w:rsid w:val="20670E5A"/>
    <w:rsid w:val="20815A85"/>
    <w:rsid w:val="20896FC5"/>
    <w:rsid w:val="20B023DE"/>
    <w:rsid w:val="20B752D2"/>
    <w:rsid w:val="20D41361"/>
    <w:rsid w:val="20DB09B4"/>
    <w:rsid w:val="20F80423"/>
    <w:rsid w:val="21051B15"/>
    <w:rsid w:val="212C5E43"/>
    <w:rsid w:val="213E6655"/>
    <w:rsid w:val="21466CC1"/>
    <w:rsid w:val="214B4D50"/>
    <w:rsid w:val="21562A26"/>
    <w:rsid w:val="215C091B"/>
    <w:rsid w:val="216B2369"/>
    <w:rsid w:val="21761734"/>
    <w:rsid w:val="21831A63"/>
    <w:rsid w:val="218917EA"/>
    <w:rsid w:val="219613F1"/>
    <w:rsid w:val="21971BC5"/>
    <w:rsid w:val="21AF6CEA"/>
    <w:rsid w:val="21B84D25"/>
    <w:rsid w:val="21B96FAA"/>
    <w:rsid w:val="21BC56E2"/>
    <w:rsid w:val="21C347B6"/>
    <w:rsid w:val="21C40361"/>
    <w:rsid w:val="21E142C1"/>
    <w:rsid w:val="21F77073"/>
    <w:rsid w:val="21FB2BBC"/>
    <w:rsid w:val="220A5266"/>
    <w:rsid w:val="220D0696"/>
    <w:rsid w:val="22534542"/>
    <w:rsid w:val="22603009"/>
    <w:rsid w:val="22741FA0"/>
    <w:rsid w:val="2283057F"/>
    <w:rsid w:val="228D5025"/>
    <w:rsid w:val="2296533B"/>
    <w:rsid w:val="229C724A"/>
    <w:rsid w:val="22A26927"/>
    <w:rsid w:val="22B35DF3"/>
    <w:rsid w:val="22C115B7"/>
    <w:rsid w:val="22EA64FD"/>
    <w:rsid w:val="22ED2904"/>
    <w:rsid w:val="22FD7853"/>
    <w:rsid w:val="230279FC"/>
    <w:rsid w:val="230379F8"/>
    <w:rsid w:val="23143FCF"/>
    <w:rsid w:val="23144B9D"/>
    <w:rsid w:val="232B2FEA"/>
    <w:rsid w:val="23300FA0"/>
    <w:rsid w:val="233D1158"/>
    <w:rsid w:val="2346267E"/>
    <w:rsid w:val="23555288"/>
    <w:rsid w:val="2371160B"/>
    <w:rsid w:val="2377683B"/>
    <w:rsid w:val="23857832"/>
    <w:rsid w:val="238965E1"/>
    <w:rsid w:val="23A03324"/>
    <w:rsid w:val="23A2300D"/>
    <w:rsid w:val="23A53637"/>
    <w:rsid w:val="23A920BF"/>
    <w:rsid w:val="23D67AC3"/>
    <w:rsid w:val="23DC71D6"/>
    <w:rsid w:val="23E11B30"/>
    <w:rsid w:val="240C2D77"/>
    <w:rsid w:val="240D3D2D"/>
    <w:rsid w:val="24101C9C"/>
    <w:rsid w:val="241936E2"/>
    <w:rsid w:val="241A2687"/>
    <w:rsid w:val="24315EF0"/>
    <w:rsid w:val="2435056C"/>
    <w:rsid w:val="2443376E"/>
    <w:rsid w:val="24483935"/>
    <w:rsid w:val="24596EC9"/>
    <w:rsid w:val="245A7359"/>
    <w:rsid w:val="2464538E"/>
    <w:rsid w:val="2470326C"/>
    <w:rsid w:val="2482511A"/>
    <w:rsid w:val="2490178C"/>
    <w:rsid w:val="24987AB6"/>
    <w:rsid w:val="24A145D6"/>
    <w:rsid w:val="24A614DE"/>
    <w:rsid w:val="24B23EBF"/>
    <w:rsid w:val="24BE5676"/>
    <w:rsid w:val="24BF7708"/>
    <w:rsid w:val="24C313FE"/>
    <w:rsid w:val="24D5178C"/>
    <w:rsid w:val="24E073EC"/>
    <w:rsid w:val="24E250D5"/>
    <w:rsid w:val="24ED0FDA"/>
    <w:rsid w:val="24EE73F3"/>
    <w:rsid w:val="24F1628F"/>
    <w:rsid w:val="24F40CF4"/>
    <w:rsid w:val="24F83DA0"/>
    <w:rsid w:val="25032A81"/>
    <w:rsid w:val="251462CA"/>
    <w:rsid w:val="25165346"/>
    <w:rsid w:val="252A100A"/>
    <w:rsid w:val="253A4D8F"/>
    <w:rsid w:val="253F0D90"/>
    <w:rsid w:val="256911D0"/>
    <w:rsid w:val="256C772B"/>
    <w:rsid w:val="25711CB0"/>
    <w:rsid w:val="2576415C"/>
    <w:rsid w:val="257A3226"/>
    <w:rsid w:val="25824EEC"/>
    <w:rsid w:val="258B7398"/>
    <w:rsid w:val="258D0E5D"/>
    <w:rsid w:val="25C73A07"/>
    <w:rsid w:val="25E10F4B"/>
    <w:rsid w:val="25E7549D"/>
    <w:rsid w:val="25E87F1C"/>
    <w:rsid w:val="260128E8"/>
    <w:rsid w:val="260C3623"/>
    <w:rsid w:val="26187C44"/>
    <w:rsid w:val="261A3413"/>
    <w:rsid w:val="261F63F0"/>
    <w:rsid w:val="262077D4"/>
    <w:rsid w:val="262C16A5"/>
    <w:rsid w:val="262D5E2A"/>
    <w:rsid w:val="26350886"/>
    <w:rsid w:val="26616328"/>
    <w:rsid w:val="26630315"/>
    <w:rsid w:val="266F348A"/>
    <w:rsid w:val="2688412B"/>
    <w:rsid w:val="269647C1"/>
    <w:rsid w:val="269F284C"/>
    <w:rsid w:val="26CD351F"/>
    <w:rsid w:val="26E0184B"/>
    <w:rsid w:val="27021DDD"/>
    <w:rsid w:val="27055EFE"/>
    <w:rsid w:val="27094114"/>
    <w:rsid w:val="270D59F6"/>
    <w:rsid w:val="27150C79"/>
    <w:rsid w:val="27182EAE"/>
    <w:rsid w:val="273E37B4"/>
    <w:rsid w:val="27473793"/>
    <w:rsid w:val="27503C73"/>
    <w:rsid w:val="275F2824"/>
    <w:rsid w:val="276875D7"/>
    <w:rsid w:val="276C1B3A"/>
    <w:rsid w:val="276D2E3E"/>
    <w:rsid w:val="276F7B25"/>
    <w:rsid w:val="2777231E"/>
    <w:rsid w:val="277C3690"/>
    <w:rsid w:val="277F1163"/>
    <w:rsid w:val="279F69CC"/>
    <w:rsid w:val="27B70490"/>
    <w:rsid w:val="27B8472F"/>
    <w:rsid w:val="27C67E04"/>
    <w:rsid w:val="27D0520F"/>
    <w:rsid w:val="27D07C3F"/>
    <w:rsid w:val="27D67706"/>
    <w:rsid w:val="27DC6DEC"/>
    <w:rsid w:val="27E078FA"/>
    <w:rsid w:val="27E32A7D"/>
    <w:rsid w:val="27E3366C"/>
    <w:rsid w:val="27E51A3D"/>
    <w:rsid w:val="27E971BC"/>
    <w:rsid w:val="27EA6F83"/>
    <w:rsid w:val="27F24B31"/>
    <w:rsid w:val="27FA1228"/>
    <w:rsid w:val="28172962"/>
    <w:rsid w:val="2819286C"/>
    <w:rsid w:val="28197135"/>
    <w:rsid w:val="282F6576"/>
    <w:rsid w:val="2830097E"/>
    <w:rsid w:val="28315F9A"/>
    <w:rsid w:val="283B7273"/>
    <w:rsid w:val="284231A0"/>
    <w:rsid w:val="28441630"/>
    <w:rsid w:val="28572B62"/>
    <w:rsid w:val="285965A1"/>
    <w:rsid w:val="287477B7"/>
    <w:rsid w:val="28901C9C"/>
    <w:rsid w:val="2890764F"/>
    <w:rsid w:val="2891129F"/>
    <w:rsid w:val="28932C0F"/>
    <w:rsid w:val="2899001E"/>
    <w:rsid w:val="289C6121"/>
    <w:rsid w:val="28A50856"/>
    <w:rsid w:val="28A94439"/>
    <w:rsid w:val="28AE30C9"/>
    <w:rsid w:val="28AF422F"/>
    <w:rsid w:val="28B00E4A"/>
    <w:rsid w:val="28B66A63"/>
    <w:rsid w:val="28BA3222"/>
    <w:rsid w:val="28BB2AE0"/>
    <w:rsid w:val="28CE644C"/>
    <w:rsid w:val="28DB6CE8"/>
    <w:rsid w:val="28E0311C"/>
    <w:rsid w:val="28E40FB7"/>
    <w:rsid w:val="28EF5E90"/>
    <w:rsid w:val="290C2923"/>
    <w:rsid w:val="29166AD2"/>
    <w:rsid w:val="292C000F"/>
    <w:rsid w:val="29331E3D"/>
    <w:rsid w:val="29332747"/>
    <w:rsid w:val="294F45B2"/>
    <w:rsid w:val="29501CB4"/>
    <w:rsid w:val="296A3FF2"/>
    <w:rsid w:val="296F517E"/>
    <w:rsid w:val="29701806"/>
    <w:rsid w:val="29884E25"/>
    <w:rsid w:val="299054A7"/>
    <w:rsid w:val="299F4AEA"/>
    <w:rsid w:val="29A30A29"/>
    <w:rsid w:val="29CA7569"/>
    <w:rsid w:val="29DF4EA2"/>
    <w:rsid w:val="29EF4F8D"/>
    <w:rsid w:val="29F74A66"/>
    <w:rsid w:val="29F80D74"/>
    <w:rsid w:val="2A151D27"/>
    <w:rsid w:val="2A1A7343"/>
    <w:rsid w:val="2A2C4848"/>
    <w:rsid w:val="2A4D5475"/>
    <w:rsid w:val="2A616A92"/>
    <w:rsid w:val="2A6275B6"/>
    <w:rsid w:val="2A746468"/>
    <w:rsid w:val="2A89317C"/>
    <w:rsid w:val="2A8E3E4B"/>
    <w:rsid w:val="2A954D47"/>
    <w:rsid w:val="2AA56AD4"/>
    <w:rsid w:val="2ABB17C4"/>
    <w:rsid w:val="2ABC1DA2"/>
    <w:rsid w:val="2AE129D0"/>
    <w:rsid w:val="2AF15811"/>
    <w:rsid w:val="2AF3738C"/>
    <w:rsid w:val="2AF613DE"/>
    <w:rsid w:val="2AFD2817"/>
    <w:rsid w:val="2B0F5106"/>
    <w:rsid w:val="2B204CCD"/>
    <w:rsid w:val="2B240F41"/>
    <w:rsid w:val="2B250F77"/>
    <w:rsid w:val="2B296888"/>
    <w:rsid w:val="2B2D6248"/>
    <w:rsid w:val="2B3121A0"/>
    <w:rsid w:val="2B4D23CB"/>
    <w:rsid w:val="2B56694D"/>
    <w:rsid w:val="2B5B76D3"/>
    <w:rsid w:val="2B796DDD"/>
    <w:rsid w:val="2B86310D"/>
    <w:rsid w:val="2B984192"/>
    <w:rsid w:val="2BC50967"/>
    <w:rsid w:val="2BC87D33"/>
    <w:rsid w:val="2BD15C9B"/>
    <w:rsid w:val="2BD2609F"/>
    <w:rsid w:val="2BEE485C"/>
    <w:rsid w:val="2BF33D2A"/>
    <w:rsid w:val="2C0003B4"/>
    <w:rsid w:val="2C1D22D9"/>
    <w:rsid w:val="2C1D66B1"/>
    <w:rsid w:val="2C392B81"/>
    <w:rsid w:val="2C3A0E9C"/>
    <w:rsid w:val="2C48311F"/>
    <w:rsid w:val="2C535B16"/>
    <w:rsid w:val="2C5A698D"/>
    <w:rsid w:val="2C703E76"/>
    <w:rsid w:val="2C742FF8"/>
    <w:rsid w:val="2C7A7390"/>
    <w:rsid w:val="2C7D2336"/>
    <w:rsid w:val="2C813B18"/>
    <w:rsid w:val="2C9D104A"/>
    <w:rsid w:val="2CA2135E"/>
    <w:rsid w:val="2CF73D98"/>
    <w:rsid w:val="2CF903EC"/>
    <w:rsid w:val="2D0338BD"/>
    <w:rsid w:val="2D0A65F3"/>
    <w:rsid w:val="2D167BE8"/>
    <w:rsid w:val="2D17707E"/>
    <w:rsid w:val="2D1A0983"/>
    <w:rsid w:val="2D1A688D"/>
    <w:rsid w:val="2D211B9E"/>
    <w:rsid w:val="2D256C84"/>
    <w:rsid w:val="2D441B8B"/>
    <w:rsid w:val="2D4A4BF6"/>
    <w:rsid w:val="2D4B4EB2"/>
    <w:rsid w:val="2D60735C"/>
    <w:rsid w:val="2D6F75A0"/>
    <w:rsid w:val="2D7A1866"/>
    <w:rsid w:val="2D8312FF"/>
    <w:rsid w:val="2D836D4B"/>
    <w:rsid w:val="2D842294"/>
    <w:rsid w:val="2D8752F9"/>
    <w:rsid w:val="2DB546D6"/>
    <w:rsid w:val="2DB76779"/>
    <w:rsid w:val="2DD35050"/>
    <w:rsid w:val="2E1A70ED"/>
    <w:rsid w:val="2E26482F"/>
    <w:rsid w:val="2E331644"/>
    <w:rsid w:val="2E5121F0"/>
    <w:rsid w:val="2E514AFC"/>
    <w:rsid w:val="2E585D05"/>
    <w:rsid w:val="2E5A014C"/>
    <w:rsid w:val="2E67658C"/>
    <w:rsid w:val="2E6C7508"/>
    <w:rsid w:val="2E6D2972"/>
    <w:rsid w:val="2E6E5FD2"/>
    <w:rsid w:val="2E8858F0"/>
    <w:rsid w:val="2E8B271D"/>
    <w:rsid w:val="2E9B1087"/>
    <w:rsid w:val="2E9D325C"/>
    <w:rsid w:val="2EA22E91"/>
    <w:rsid w:val="2EAE785E"/>
    <w:rsid w:val="2EBC0FFC"/>
    <w:rsid w:val="2ED471F2"/>
    <w:rsid w:val="2EEF3011"/>
    <w:rsid w:val="2EF907B6"/>
    <w:rsid w:val="2EFA73A6"/>
    <w:rsid w:val="2F0241AF"/>
    <w:rsid w:val="2F0F4847"/>
    <w:rsid w:val="2F2059BB"/>
    <w:rsid w:val="2F477000"/>
    <w:rsid w:val="2F4F0A2B"/>
    <w:rsid w:val="2F523859"/>
    <w:rsid w:val="2F666A21"/>
    <w:rsid w:val="2F673FE6"/>
    <w:rsid w:val="2F6B0BDE"/>
    <w:rsid w:val="2F6D580E"/>
    <w:rsid w:val="2F6F1AD9"/>
    <w:rsid w:val="2F7645A6"/>
    <w:rsid w:val="2F7E6EBF"/>
    <w:rsid w:val="2F82307F"/>
    <w:rsid w:val="2F836202"/>
    <w:rsid w:val="2F937D39"/>
    <w:rsid w:val="2F9908EF"/>
    <w:rsid w:val="2F9D4941"/>
    <w:rsid w:val="2F9E2383"/>
    <w:rsid w:val="2FA572A9"/>
    <w:rsid w:val="2FC33B7F"/>
    <w:rsid w:val="2FDC3017"/>
    <w:rsid w:val="2FE06533"/>
    <w:rsid w:val="2FFD023F"/>
    <w:rsid w:val="3007187E"/>
    <w:rsid w:val="30094698"/>
    <w:rsid w:val="30176812"/>
    <w:rsid w:val="303D2AAD"/>
    <w:rsid w:val="304C0D56"/>
    <w:rsid w:val="307441C4"/>
    <w:rsid w:val="30780C48"/>
    <w:rsid w:val="307E1413"/>
    <w:rsid w:val="308179D5"/>
    <w:rsid w:val="308B3489"/>
    <w:rsid w:val="30A64929"/>
    <w:rsid w:val="30AE6631"/>
    <w:rsid w:val="30B70B57"/>
    <w:rsid w:val="30B84FD2"/>
    <w:rsid w:val="30C77EE4"/>
    <w:rsid w:val="30D27B53"/>
    <w:rsid w:val="30D325D5"/>
    <w:rsid w:val="30D97323"/>
    <w:rsid w:val="30E87E0D"/>
    <w:rsid w:val="30E9113F"/>
    <w:rsid w:val="30FA0A66"/>
    <w:rsid w:val="30FE3712"/>
    <w:rsid w:val="30FE3809"/>
    <w:rsid w:val="31002DDF"/>
    <w:rsid w:val="31235044"/>
    <w:rsid w:val="312A2724"/>
    <w:rsid w:val="31334167"/>
    <w:rsid w:val="31347947"/>
    <w:rsid w:val="31425531"/>
    <w:rsid w:val="31492420"/>
    <w:rsid w:val="314C3662"/>
    <w:rsid w:val="315E1E24"/>
    <w:rsid w:val="31601A3B"/>
    <w:rsid w:val="316867E0"/>
    <w:rsid w:val="31722A90"/>
    <w:rsid w:val="317F1BC2"/>
    <w:rsid w:val="31956418"/>
    <w:rsid w:val="31AE2CE9"/>
    <w:rsid w:val="31D22CE5"/>
    <w:rsid w:val="31E72D29"/>
    <w:rsid w:val="31FE66F6"/>
    <w:rsid w:val="320F2B2D"/>
    <w:rsid w:val="3210344F"/>
    <w:rsid w:val="321218ED"/>
    <w:rsid w:val="32156F8E"/>
    <w:rsid w:val="32326C00"/>
    <w:rsid w:val="32343A30"/>
    <w:rsid w:val="32383248"/>
    <w:rsid w:val="323D6EED"/>
    <w:rsid w:val="326A1EC8"/>
    <w:rsid w:val="328F4328"/>
    <w:rsid w:val="329B740B"/>
    <w:rsid w:val="32AF5522"/>
    <w:rsid w:val="32B738CF"/>
    <w:rsid w:val="32C14689"/>
    <w:rsid w:val="32D678EE"/>
    <w:rsid w:val="32E64D8F"/>
    <w:rsid w:val="32ED19C2"/>
    <w:rsid w:val="33030077"/>
    <w:rsid w:val="330D5748"/>
    <w:rsid w:val="33122689"/>
    <w:rsid w:val="332C4EB2"/>
    <w:rsid w:val="333C00D7"/>
    <w:rsid w:val="333E31AE"/>
    <w:rsid w:val="333F5C66"/>
    <w:rsid w:val="3350577D"/>
    <w:rsid w:val="33553927"/>
    <w:rsid w:val="336E207C"/>
    <w:rsid w:val="338B4C95"/>
    <w:rsid w:val="33A22E75"/>
    <w:rsid w:val="33AA261D"/>
    <w:rsid w:val="33C17F75"/>
    <w:rsid w:val="33C543BD"/>
    <w:rsid w:val="33CB42AE"/>
    <w:rsid w:val="33F35E2C"/>
    <w:rsid w:val="33F81754"/>
    <w:rsid w:val="340127FF"/>
    <w:rsid w:val="340267E0"/>
    <w:rsid w:val="34103DDD"/>
    <w:rsid w:val="34116A10"/>
    <w:rsid w:val="34134D05"/>
    <w:rsid w:val="342F1053"/>
    <w:rsid w:val="343062ED"/>
    <w:rsid w:val="34615720"/>
    <w:rsid w:val="34682EB0"/>
    <w:rsid w:val="34C57FFD"/>
    <w:rsid w:val="34CC1934"/>
    <w:rsid w:val="34CE5397"/>
    <w:rsid w:val="34D46212"/>
    <w:rsid w:val="34EA50C0"/>
    <w:rsid w:val="34FC726D"/>
    <w:rsid w:val="35121C3E"/>
    <w:rsid w:val="35141962"/>
    <w:rsid w:val="35387C66"/>
    <w:rsid w:val="353C420B"/>
    <w:rsid w:val="353E2A70"/>
    <w:rsid w:val="35455ABB"/>
    <w:rsid w:val="354D6EC4"/>
    <w:rsid w:val="355665B8"/>
    <w:rsid w:val="356A41F5"/>
    <w:rsid w:val="357D3586"/>
    <w:rsid w:val="357E21CC"/>
    <w:rsid w:val="3589617D"/>
    <w:rsid w:val="35A210F2"/>
    <w:rsid w:val="35A66E91"/>
    <w:rsid w:val="35AE6FEC"/>
    <w:rsid w:val="35BB7E9A"/>
    <w:rsid w:val="35C85320"/>
    <w:rsid w:val="35CC42FB"/>
    <w:rsid w:val="35ED3FF6"/>
    <w:rsid w:val="35F40B39"/>
    <w:rsid w:val="35FC40B8"/>
    <w:rsid w:val="36227ADF"/>
    <w:rsid w:val="36455341"/>
    <w:rsid w:val="36584B38"/>
    <w:rsid w:val="365B3175"/>
    <w:rsid w:val="366B3E6A"/>
    <w:rsid w:val="36741536"/>
    <w:rsid w:val="368331DD"/>
    <w:rsid w:val="369252E8"/>
    <w:rsid w:val="36990CDD"/>
    <w:rsid w:val="36A31E60"/>
    <w:rsid w:val="36A4650C"/>
    <w:rsid w:val="36C81720"/>
    <w:rsid w:val="36CA0A96"/>
    <w:rsid w:val="36DF6612"/>
    <w:rsid w:val="36DF7544"/>
    <w:rsid w:val="36E46B9E"/>
    <w:rsid w:val="36F0781C"/>
    <w:rsid w:val="371003D0"/>
    <w:rsid w:val="372B10D0"/>
    <w:rsid w:val="373950A9"/>
    <w:rsid w:val="374A7BB6"/>
    <w:rsid w:val="37847EB1"/>
    <w:rsid w:val="378F2189"/>
    <w:rsid w:val="379609FD"/>
    <w:rsid w:val="37AB0BBB"/>
    <w:rsid w:val="37B033FC"/>
    <w:rsid w:val="37B20EFE"/>
    <w:rsid w:val="37D3532B"/>
    <w:rsid w:val="37D36BD1"/>
    <w:rsid w:val="37E65866"/>
    <w:rsid w:val="37E80CF9"/>
    <w:rsid w:val="37EC3172"/>
    <w:rsid w:val="37F84D92"/>
    <w:rsid w:val="381D5665"/>
    <w:rsid w:val="3835519D"/>
    <w:rsid w:val="383E029A"/>
    <w:rsid w:val="384913C5"/>
    <w:rsid w:val="38564D42"/>
    <w:rsid w:val="385876FF"/>
    <w:rsid w:val="385D68BB"/>
    <w:rsid w:val="387260AA"/>
    <w:rsid w:val="38A11264"/>
    <w:rsid w:val="38BB3BE2"/>
    <w:rsid w:val="38D042D8"/>
    <w:rsid w:val="38DE1A7D"/>
    <w:rsid w:val="38E31684"/>
    <w:rsid w:val="38E46A58"/>
    <w:rsid w:val="38EF136F"/>
    <w:rsid w:val="38F60ADA"/>
    <w:rsid w:val="38FE14F3"/>
    <w:rsid w:val="38FE4345"/>
    <w:rsid w:val="39035AF2"/>
    <w:rsid w:val="390C17EB"/>
    <w:rsid w:val="390F3ED2"/>
    <w:rsid w:val="391223B0"/>
    <w:rsid w:val="39224C89"/>
    <w:rsid w:val="392806EE"/>
    <w:rsid w:val="393F4CA9"/>
    <w:rsid w:val="394B0FB6"/>
    <w:rsid w:val="395C7F8A"/>
    <w:rsid w:val="39642BFD"/>
    <w:rsid w:val="398268AC"/>
    <w:rsid w:val="39921BC6"/>
    <w:rsid w:val="399306EC"/>
    <w:rsid w:val="39C921EB"/>
    <w:rsid w:val="39DA7FFA"/>
    <w:rsid w:val="39DB5587"/>
    <w:rsid w:val="39DC7BDC"/>
    <w:rsid w:val="39F15E82"/>
    <w:rsid w:val="39FA4185"/>
    <w:rsid w:val="39FE51E3"/>
    <w:rsid w:val="3A0E1EEE"/>
    <w:rsid w:val="3A253E78"/>
    <w:rsid w:val="3A3F46B2"/>
    <w:rsid w:val="3A476F2A"/>
    <w:rsid w:val="3A493B2F"/>
    <w:rsid w:val="3A600BCA"/>
    <w:rsid w:val="3A654BD3"/>
    <w:rsid w:val="3A762A81"/>
    <w:rsid w:val="3A820F47"/>
    <w:rsid w:val="3A86417A"/>
    <w:rsid w:val="3A8D29D4"/>
    <w:rsid w:val="3A8D39B3"/>
    <w:rsid w:val="3A9B7B14"/>
    <w:rsid w:val="3AAD713E"/>
    <w:rsid w:val="3ABA6401"/>
    <w:rsid w:val="3ACA2DDF"/>
    <w:rsid w:val="3ACA73CD"/>
    <w:rsid w:val="3AD4765C"/>
    <w:rsid w:val="3AD809F2"/>
    <w:rsid w:val="3AD912D4"/>
    <w:rsid w:val="3ADA073C"/>
    <w:rsid w:val="3AF06054"/>
    <w:rsid w:val="3AF1209E"/>
    <w:rsid w:val="3B00583D"/>
    <w:rsid w:val="3B022050"/>
    <w:rsid w:val="3B227B92"/>
    <w:rsid w:val="3B3966A2"/>
    <w:rsid w:val="3B4A44A2"/>
    <w:rsid w:val="3B750459"/>
    <w:rsid w:val="3B756A75"/>
    <w:rsid w:val="3B8D4583"/>
    <w:rsid w:val="3B9F4129"/>
    <w:rsid w:val="3BA13E5B"/>
    <w:rsid w:val="3BAD1CF4"/>
    <w:rsid w:val="3BAF01E2"/>
    <w:rsid w:val="3BC94C6B"/>
    <w:rsid w:val="3BD77B17"/>
    <w:rsid w:val="3BD808AD"/>
    <w:rsid w:val="3BE0124A"/>
    <w:rsid w:val="3BED1B37"/>
    <w:rsid w:val="3BFC54B2"/>
    <w:rsid w:val="3C1D6E11"/>
    <w:rsid w:val="3C221C81"/>
    <w:rsid w:val="3C355E58"/>
    <w:rsid w:val="3C432323"/>
    <w:rsid w:val="3C465196"/>
    <w:rsid w:val="3C485C59"/>
    <w:rsid w:val="3C5B3DA4"/>
    <w:rsid w:val="3C5F3B17"/>
    <w:rsid w:val="3C6A4C18"/>
    <w:rsid w:val="3C6B5EF5"/>
    <w:rsid w:val="3C712ADA"/>
    <w:rsid w:val="3C83416A"/>
    <w:rsid w:val="3C8B7826"/>
    <w:rsid w:val="3C9031ED"/>
    <w:rsid w:val="3C94492D"/>
    <w:rsid w:val="3C950E4D"/>
    <w:rsid w:val="3C9D542F"/>
    <w:rsid w:val="3CA54D8C"/>
    <w:rsid w:val="3CA763FE"/>
    <w:rsid w:val="3CAC2AE4"/>
    <w:rsid w:val="3CC36461"/>
    <w:rsid w:val="3CC7007F"/>
    <w:rsid w:val="3CCA0ACE"/>
    <w:rsid w:val="3CE25635"/>
    <w:rsid w:val="3CEB717E"/>
    <w:rsid w:val="3CFA1EB5"/>
    <w:rsid w:val="3D013A90"/>
    <w:rsid w:val="3D084A9F"/>
    <w:rsid w:val="3D173A4F"/>
    <w:rsid w:val="3D2A6A11"/>
    <w:rsid w:val="3D2F2267"/>
    <w:rsid w:val="3D320FDC"/>
    <w:rsid w:val="3D470A29"/>
    <w:rsid w:val="3D494F99"/>
    <w:rsid w:val="3D5E68DB"/>
    <w:rsid w:val="3D653775"/>
    <w:rsid w:val="3D80348E"/>
    <w:rsid w:val="3D9C6FA1"/>
    <w:rsid w:val="3DB92D14"/>
    <w:rsid w:val="3DC024FA"/>
    <w:rsid w:val="3DE70473"/>
    <w:rsid w:val="3DF37D79"/>
    <w:rsid w:val="3DF60501"/>
    <w:rsid w:val="3E0E2682"/>
    <w:rsid w:val="3E0F0541"/>
    <w:rsid w:val="3E182314"/>
    <w:rsid w:val="3E197B61"/>
    <w:rsid w:val="3E222996"/>
    <w:rsid w:val="3E2274D6"/>
    <w:rsid w:val="3E2C4AA8"/>
    <w:rsid w:val="3E315B37"/>
    <w:rsid w:val="3E4E57F1"/>
    <w:rsid w:val="3E51598E"/>
    <w:rsid w:val="3E6469EA"/>
    <w:rsid w:val="3E651AE3"/>
    <w:rsid w:val="3E6547F8"/>
    <w:rsid w:val="3E6E4D7C"/>
    <w:rsid w:val="3E704A2D"/>
    <w:rsid w:val="3E813CBF"/>
    <w:rsid w:val="3E817729"/>
    <w:rsid w:val="3E8A2D05"/>
    <w:rsid w:val="3E8B290F"/>
    <w:rsid w:val="3E91723F"/>
    <w:rsid w:val="3EA4441B"/>
    <w:rsid w:val="3EAD0B12"/>
    <w:rsid w:val="3EAD40CF"/>
    <w:rsid w:val="3EBD5502"/>
    <w:rsid w:val="3EC54F9C"/>
    <w:rsid w:val="3ED1159C"/>
    <w:rsid w:val="3ED16080"/>
    <w:rsid w:val="3EDA02A8"/>
    <w:rsid w:val="3EEF3841"/>
    <w:rsid w:val="3EF714C2"/>
    <w:rsid w:val="3F0227F8"/>
    <w:rsid w:val="3F0A1AE8"/>
    <w:rsid w:val="3F250875"/>
    <w:rsid w:val="3F341107"/>
    <w:rsid w:val="3F653AF1"/>
    <w:rsid w:val="3F6C6FB8"/>
    <w:rsid w:val="3F765637"/>
    <w:rsid w:val="3F8E5768"/>
    <w:rsid w:val="3F9D5E32"/>
    <w:rsid w:val="3FA60651"/>
    <w:rsid w:val="3FAF31F4"/>
    <w:rsid w:val="3FD56E78"/>
    <w:rsid w:val="3FDE42AE"/>
    <w:rsid w:val="400C3446"/>
    <w:rsid w:val="402C1320"/>
    <w:rsid w:val="40337EDF"/>
    <w:rsid w:val="404B2B84"/>
    <w:rsid w:val="40564F1E"/>
    <w:rsid w:val="40595BA0"/>
    <w:rsid w:val="408414D1"/>
    <w:rsid w:val="409B1945"/>
    <w:rsid w:val="40A25DC3"/>
    <w:rsid w:val="40A86BF9"/>
    <w:rsid w:val="40AD2258"/>
    <w:rsid w:val="40C024EF"/>
    <w:rsid w:val="40C342E1"/>
    <w:rsid w:val="40C36B3A"/>
    <w:rsid w:val="40C91D2B"/>
    <w:rsid w:val="40CF2817"/>
    <w:rsid w:val="40E2206D"/>
    <w:rsid w:val="40E43105"/>
    <w:rsid w:val="40F64F59"/>
    <w:rsid w:val="40F85A5D"/>
    <w:rsid w:val="4102365F"/>
    <w:rsid w:val="41061EC7"/>
    <w:rsid w:val="41072069"/>
    <w:rsid w:val="410D0EC7"/>
    <w:rsid w:val="410E4310"/>
    <w:rsid w:val="4111348B"/>
    <w:rsid w:val="41175B2C"/>
    <w:rsid w:val="41412BA9"/>
    <w:rsid w:val="415A6E57"/>
    <w:rsid w:val="41670F99"/>
    <w:rsid w:val="41693C5C"/>
    <w:rsid w:val="416A65A4"/>
    <w:rsid w:val="416B5782"/>
    <w:rsid w:val="41870CB9"/>
    <w:rsid w:val="4191768D"/>
    <w:rsid w:val="419D580B"/>
    <w:rsid w:val="41A51AFB"/>
    <w:rsid w:val="41CF012C"/>
    <w:rsid w:val="41E063BC"/>
    <w:rsid w:val="41FF7D99"/>
    <w:rsid w:val="420A0C72"/>
    <w:rsid w:val="421524CA"/>
    <w:rsid w:val="42283162"/>
    <w:rsid w:val="422B1D9C"/>
    <w:rsid w:val="42380450"/>
    <w:rsid w:val="424121BA"/>
    <w:rsid w:val="425928CB"/>
    <w:rsid w:val="426915BF"/>
    <w:rsid w:val="426F2F44"/>
    <w:rsid w:val="42720A76"/>
    <w:rsid w:val="427F1BFD"/>
    <w:rsid w:val="42883C37"/>
    <w:rsid w:val="428C5620"/>
    <w:rsid w:val="42AE5CEE"/>
    <w:rsid w:val="42BD5B12"/>
    <w:rsid w:val="42C95EB4"/>
    <w:rsid w:val="42D77C69"/>
    <w:rsid w:val="42DB7F8F"/>
    <w:rsid w:val="42E0249C"/>
    <w:rsid w:val="42E07C75"/>
    <w:rsid w:val="42EF48E0"/>
    <w:rsid w:val="43040332"/>
    <w:rsid w:val="431272F0"/>
    <w:rsid w:val="431C742A"/>
    <w:rsid w:val="432078D0"/>
    <w:rsid w:val="43323775"/>
    <w:rsid w:val="433512A1"/>
    <w:rsid w:val="43435E16"/>
    <w:rsid w:val="435223EA"/>
    <w:rsid w:val="43535DB4"/>
    <w:rsid w:val="43604CDE"/>
    <w:rsid w:val="43652320"/>
    <w:rsid w:val="43676A67"/>
    <w:rsid w:val="43681E0F"/>
    <w:rsid w:val="436A7D70"/>
    <w:rsid w:val="43794CCE"/>
    <w:rsid w:val="437A2912"/>
    <w:rsid w:val="43852903"/>
    <w:rsid w:val="438E1C23"/>
    <w:rsid w:val="4390053B"/>
    <w:rsid w:val="43A21093"/>
    <w:rsid w:val="43A22185"/>
    <w:rsid w:val="43A9778B"/>
    <w:rsid w:val="43AF202A"/>
    <w:rsid w:val="43B05E2C"/>
    <w:rsid w:val="43B41D58"/>
    <w:rsid w:val="43BB6930"/>
    <w:rsid w:val="43BF3FB9"/>
    <w:rsid w:val="43D146B8"/>
    <w:rsid w:val="43F1759E"/>
    <w:rsid w:val="43FB5AB2"/>
    <w:rsid w:val="43FB6698"/>
    <w:rsid w:val="441E4735"/>
    <w:rsid w:val="443F39A1"/>
    <w:rsid w:val="4451514C"/>
    <w:rsid w:val="44584818"/>
    <w:rsid w:val="445902A5"/>
    <w:rsid w:val="44622EEE"/>
    <w:rsid w:val="44646E08"/>
    <w:rsid w:val="44877C6B"/>
    <w:rsid w:val="448C67BB"/>
    <w:rsid w:val="449A599C"/>
    <w:rsid w:val="44B8774F"/>
    <w:rsid w:val="44BA09B3"/>
    <w:rsid w:val="44BB55C9"/>
    <w:rsid w:val="44C53534"/>
    <w:rsid w:val="44DC55F9"/>
    <w:rsid w:val="44E0572A"/>
    <w:rsid w:val="44E13984"/>
    <w:rsid w:val="44E67DF8"/>
    <w:rsid w:val="44FA77FC"/>
    <w:rsid w:val="45002915"/>
    <w:rsid w:val="4502445D"/>
    <w:rsid w:val="450A653A"/>
    <w:rsid w:val="451056F2"/>
    <w:rsid w:val="45260BED"/>
    <w:rsid w:val="45342749"/>
    <w:rsid w:val="45450349"/>
    <w:rsid w:val="454C25A3"/>
    <w:rsid w:val="454D389D"/>
    <w:rsid w:val="45603CBE"/>
    <w:rsid w:val="456C1462"/>
    <w:rsid w:val="45763769"/>
    <w:rsid w:val="457735D3"/>
    <w:rsid w:val="4579618D"/>
    <w:rsid w:val="45803914"/>
    <w:rsid w:val="459B1F40"/>
    <w:rsid w:val="45AD3E02"/>
    <w:rsid w:val="45B945C5"/>
    <w:rsid w:val="45CC6DCA"/>
    <w:rsid w:val="45D84A01"/>
    <w:rsid w:val="45FA4A39"/>
    <w:rsid w:val="4610649D"/>
    <w:rsid w:val="46497774"/>
    <w:rsid w:val="46572712"/>
    <w:rsid w:val="466428FF"/>
    <w:rsid w:val="466D31B5"/>
    <w:rsid w:val="46742FCB"/>
    <w:rsid w:val="467F1ACA"/>
    <w:rsid w:val="468D18AB"/>
    <w:rsid w:val="46921101"/>
    <w:rsid w:val="46943608"/>
    <w:rsid w:val="46C042A0"/>
    <w:rsid w:val="46D11FBC"/>
    <w:rsid w:val="46D75053"/>
    <w:rsid w:val="46DC3550"/>
    <w:rsid w:val="46EC3161"/>
    <w:rsid w:val="46ED2F80"/>
    <w:rsid w:val="46F66A79"/>
    <w:rsid w:val="472C01F1"/>
    <w:rsid w:val="474067B0"/>
    <w:rsid w:val="474653BD"/>
    <w:rsid w:val="474F2469"/>
    <w:rsid w:val="475057CE"/>
    <w:rsid w:val="47551D94"/>
    <w:rsid w:val="478678BC"/>
    <w:rsid w:val="478C2C78"/>
    <w:rsid w:val="47954B33"/>
    <w:rsid w:val="47990A9D"/>
    <w:rsid w:val="47B679FE"/>
    <w:rsid w:val="47BE0940"/>
    <w:rsid w:val="47C753B6"/>
    <w:rsid w:val="47D13B1E"/>
    <w:rsid w:val="47E8706E"/>
    <w:rsid w:val="48026D4A"/>
    <w:rsid w:val="480D334D"/>
    <w:rsid w:val="481C0CDA"/>
    <w:rsid w:val="482525AA"/>
    <w:rsid w:val="483015DA"/>
    <w:rsid w:val="485F3913"/>
    <w:rsid w:val="486A06F6"/>
    <w:rsid w:val="486F6A87"/>
    <w:rsid w:val="48703862"/>
    <w:rsid w:val="48824D17"/>
    <w:rsid w:val="48885B9A"/>
    <w:rsid w:val="489C6793"/>
    <w:rsid w:val="48A1532E"/>
    <w:rsid w:val="48A41030"/>
    <w:rsid w:val="48AD4608"/>
    <w:rsid w:val="48AF50D5"/>
    <w:rsid w:val="48AF7378"/>
    <w:rsid w:val="48AF7E36"/>
    <w:rsid w:val="48C354F3"/>
    <w:rsid w:val="48CC74BE"/>
    <w:rsid w:val="48E36524"/>
    <w:rsid w:val="48E400B2"/>
    <w:rsid w:val="48E80DB0"/>
    <w:rsid w:val="491B1F01"/>
    <w:rsid w:val="492A4E68"/>
    <w:rsid w:val="494A6E50"/>
    <w:rsid w:val="494D786B"/>
    <w:rsid w:val="49510956"/>
    <w:rsid w:val="49530ACD"/>
    <w:rsid w:val="496C41A4"/>
    <w:rsid w:val="498F6F53"/>
    <w:rsid w:val="49941F22"/>
    <w:rsid w:val="499550A8"/>
    <w:rsid w:val="49A37018"/>
    <w:rsid w:val="49A428C4"/>
    <w:rsid w:val="49C73A83"/>
    <w:rsid w:val="49CE0AD0"/>
    <w:rsid w:val="49EA11AD"/>
    <w:rsid w:val="4A2132D2"/>
    <w:rsid w:val="4A257DB9"/>
    <w:rsid w:val="4A2B43F6"/>
    <w:rsid w:val="4A473CA0"/>
    <w:rsid w:val="4A6D318B"/>
    <w:rsid w:val="4A6E65A2"/>
    <w:rsid w:val="4A734279"/>
    <w:rsid w:val="4A7D0844"/>
    <w:rsid w:val="4A7D68A4"/>
    <w:rsid w:val="4A82670C"/>
    <w:rsid w:val="4A874091"/>
    <w:rsid w:val="4A954673"/>
    <w:rsid w:val="4AA22DBF"/>
    <w:rsid w:val="4AA86737"/>
    <w:rsid w:val="4AB33DCC"/>
    <w:rsid w:val="4AC72C74"/>
    <w:rsid w:val="4AE56E9A"/>
    <w:rsid w:val="4AEE430A"/>
    <w:rsid w:val="4AF05743"/>
    <w:rsid w:val="4B06387A"/>
    <w:rsid w:val="4B0E1146"/>
    <w:rsid w:val="4B1A6A2D"/>
    <w:rsid w:val="4B1D7882"/>
    <w:rsid w:val="4B234CBD"/>
    <w:rsid w:val="4B441284"/>
    <w:rsid w:val="4B466595"/>
    <w:rsid w:val="4B6A5A46"/>
    <w:rsid w:val="4B7233CC"/>
    <w:rsid w:val="4B7A1CFC"/>
    <w:rsid w:val="4B9512AF"/>
    <w:rsid w:val="4B990303"/>
    <w:rsid w:val="4BA41420"/>
    <w:rsid w:val="4BAD1567"/>
    <w:rsid w:val="4BB10599"/>
    <w:rsid w:val="4BB2435E"/>
    <w:rsid w:val="4BB861D0"/>
    <w:rsid w:val="4BBD2B66"/>
    <w:rsid w:val="4BCF1F5D"/>
    <w:rsid w:val="4BDE3E16"/>
    <w:rsid w:val="4BE25E2D"/>
    <w:rsid w:val="4BEA157E"/>
    <w:rsid w:val="4BEC649C"/>
    <w:rsid w:val="4C1A2B69"/>
    <w:rsid w:val="4C2E7235"/>
    <w:rsid w:val="4C3A04E3"/>
    <w:rsid w:val="4C3B4B12"/>
    <w:rsid w:val="4C444E13"/>
    <w:rsid w:val="4C557A3C"/>
    <w:rsid w:val="4C61723A"/>
    <w:rsid w:val="4C7B7E59"/>
    <w:rsid w:val="4C887158"/>
    <w:rsid w:val="4C8F1430"/>
    <w:rsid w:val="4C9831DC"/>
    <w:rsid w:val="4C9A4E2B"/>
    <w:rsid w:val="4CA17A96"/>
    <w:rsid w:val="4CA216FE"/>
    <w:rsid w:val="4CB12D62"/>
    <w:rsid w:val="4CCC0269"/>
    <w:rsid w:val="4CE730AA"/>
    <w:rsid w:val="4D055439"/>
    <w:rsid w:val="4D0915B7"/>
    <w:rsid w:val="4D1B69A4"/>
    <w:rsid w:val="4D2E5A97"/>
    <w:rsid w:val="4D447CA9"/>
    <w:rsid w:val="4D471D29"/>
    <w:rsid w:val="4D4A12C4"/>
    <w:rsid w:val="4D4D66F7"/>
    <w:rsid w:val="4D4E3308"/>
    <w:rsid w:val="4D577FD4"/>
    <w:rsid w:val="4D73098D"/>
    <w:rsid w:val="4D7F16A3"/>
    <w:rsid w:val="4D7F7F2C"/>
    <w:rsid w:val="4DA04224"/>
    <w:rsid w:val="4DA46948"/>
    <w:rsid w:val="4DA8767D"/>
    <w:rsid w:val="4DB3054C"/>
    <w:rsid w:val="4DB72290"/>
    <w:rsid w:val="4DBB1AD3"/>
    <w:rsid w:val="4DC24E62"/>
    <w:rsid w:val="4DC25072"/>
    <w:rsid w:val="4DD166F8"/>
    <w:rsid w:val="4DD333EE"/>
    <w:rsid w:val="4DD812B9"/>
    <w:rsid w:val="4DFB554E"/>
    <w:rsid w:val="4E2136C6"/>
    <w:rsid w:val="4E570715"/>
    <w:rsid w:val="4E6101F8"/>
    <w:rsid w:val="4E7820C0"/>
    <w:rsid w:val="4E7A39FC"/>
    <w:rsid w:val="4E7F6414"/>
    <w:rsid w:val="4E80683F"/>
    <w:rsid w:val="4E854A67"/>
    <w:rsid w:val="4E866819"/>
    <w:rsid w:val="4EA85D29"/>
    <w:rsid w:val="4EC11BFF"/>
    <w:rsid w:val="4EC7799B"/>
    <w:rsid w:val="4ECA0C0B"/>
    <w:rsid w:val="4ECE4C2D"/>
    <w:rsid w:val="4ED81B9F"/>
    <w:rsid w:val="4EDF1907"/>
    <w:rsid w:val="4F0F06C2"/>
    <w:rsid w:val="4F167C4E"/>
    <w:rsid w:val="4F1F55A3"/>
    <w:rsid w:val="4F223AD4"/>
    <w:rsid w:val="4F22557E"/>
    <w:rsid w:val="4F2509A8"/>
    <w:rsid w:val="4F3570A5"/>
    <w:rsid w:val="4F51073A"/>
    <w:rsid w:val="4F6C5D66"/>
    <w:rsid w:val="4F71315C"/>
    <w:rsid w:val="4F731D8B"/>
    <w:rsid w:val="4F8C310F"/>
    <w:rsid w:val="4F985F28"/>
    <w:rsid w:val="4FC4498E"/>
    <w:rsid w:val="4FC8403C"/>
    <w:rsid w:val="4FC86117"/>
    <w:rsid w:val="4FC9145F"/>
    <w:rsid w:val="4FCD2D57"/>
    <w:rsid w:val="4FE323BC"/>
    <w:rsid w:val="4FEE23F0"/>
    <w:rsid w:val="4FF0236A"/>
    <w:rsid w:val="4FF248C1"/>
    <w:rsid w:val="50070C18"/>
    <w:rsid w:val="50095A76"/>
    <w:rsid w:val="500F0675"/>
    <w:rsid w:val="50245C6A"/>
    <w:rsid w:val="502D0CCB"/>
    <w:rsid w:val="505C1473"/>
    <w:rsid w:val="50630707"/>
    <w:rsid w:val="506B35D9"/>
    <w:rsid w:val="50725122"/>
    <w:rsid w:val="508D1C0C"/>
    <w:rsid w:val="509B2FEE"/>
    <w:rsid w:val="50A61313"/>
    <w:rsid w:val="50AC3482"/>
    <w:rsid w:val="50B85FB6"/>
    <w:rsid w:val="50C760CF"/>
    <w:rsid w:val="50DA0833"/>
    <w:rsid w:val="50DD37FF"/>
    <w:rsid w:val="50EC7442"/>
    <w:rsid w:val="50F207EA"/>
    <w:rsid w:val="50FB26B7"/>
    <w:rsid w:val="51070204"/>
    <w:rsid w:val="511478FD"/>
    <w:rsid w:val="512A4C78"/>
    <w:rsid w:val="51357C63"/>
    <w:rsid w:val="513C5D50"/>
    <w:rsid w:val="51455CE4"/>
    <w:rsid w:val="514A5ABE"/>
    <w:rsid w:val="517674B3"/>
    <w:rsid w:val="517A013D"/>
    <w:rsid w:val="517D7C2E"/>
    <w:rsid w:val="5185211C"/>
    <w:rsid w:val="51D43685"/>
    <w:rsid w:val="51D6296B"/>
    <w:rsid w:val="51E97071"/>
    <w:rsid w:val="51F6107C"/>
    <w:rsid w:val="5204192D"/>
    <w:rsid w:val="521D144D"/>
    <w:rsid w:val="522A08FB"/>
    <w:rsid w:val="522E41FA"/>
    <w:rsid w:val="52306A4E"/>
    <w:rsid w:val="523C7ED5"/>
    <w:rsid w:val="523F5563"/>
    <w:rsid w:val="524A5DEE"/>
    <w:rsid w:val="5250151A"/>
    <w:rsid w:val="52567376"/>
    <w:rsid w:val="528F5043"/>
    <w:rsid w:val="529F399F"/>
    <w:rsid w:val="52B76756"/>
    <w:rsid w:val="52C40EE4"/>
    <w:rsid w:val="52C80617"/>
    <w:rsid w:val="52C961B0"/>
    <w:rsid w:val="52D862CB"/>
    <w:rsid w:val="52DB2C0D"/>
    <w:rsid w:val="52DE6322"/>
    <w:rsid w:val="52DE7273"/>
    <w:rsid w:val="52F421A7"/>
    <w:rsid w:val="52F423BE"/>
    <w:rsid w:val="5302138A"/>
    <w:rsid w:val="530E3B20"/>
    <w:rsid w:val="53206AC2"/>
    <w:rsid w:val="534346A5"/>
    <w:rsid w:val="536B3BF9"/>
    <w:rsid w:val="53822096"/>
    <w:rsid w:val="538D4C40"/>
    <w:rsid w:val="53967495"/>
    <w:rsid w:val="539E07A1"/>
    <w:rsid w:val="53B016E5"/>
    <w:rsid w:val="53B84250"/>
    <w:rsid w:val="53BE3013"/>
    <w:rsid w:val="53C95B00"/>
    <w:rsid w:val="53D260FA"/>
    <w:rsid w:val="53D93339"/>
    <w:rsid w:val="53DE724D"/>
    <w:rsid w:val="53E95F37"/>
    <w:rsid w:val="53F046E7"/>
    <w:rsid w:val="53F25C86"/>
    <w:rsid w:val="541967B5"/>
    <w:rsid w:val="543020FF"/>
    <w:rsid w:val="54440EE0"/>
    <w:rsid w:val="54456359"/>
    <w:rsid w:val="54473CDC"/>
    <w:rsid w:val="544E1BFE"/>
    <w:rsid w:val="54697C65"/>
    <w:rsid w:val="546B40A0"/>
    <w:rsid w:val="54717115"/>
    <w:rsid w:val="548A3963"/>
    <w:rsid w:val="54992FC2"/>
    <w:rsid w:val="54A81CC5"/>
    <w:rsid w:val="54B1788F"/>
    <w:rsid w:val="54B551CA"/>
    <w:rsid w:val="54D24DF7"/>
    <w:rsid w:val="54EB694B"/>
    <w:rsid w:val="55142657"/>
    <w:rsid w:val="552A26B9"/>
    <w:rsid w:val="552E65CF"/>
    <w:rsid w:val="553231BB"/>
    <w:rsid w:val="553362A7"/>
    <w:rsid w:val="553B1614"/>
    <w:rsid w:val="553B7AB2"/>
    <w:rsid w:val="553F5905"/>
    <w:rsid w:val="55422707"/>
    <w:rsid w:val="555D3DC3"/>
    <w:rsid w:val="556D2506"/>
    <w:rsid w:val="557753CF"/>
    <w:rsid w:val="558713BD"/>
    <w:rsid w:val="558E6A5F"/>
    <w:rsid w:val="55914EE2"/>
    <w:rsid w:val="55AA648C"/>
    <w:rsid w:val="55BB6F76"/>
    <w:rsid w:val="55C429B0"/>
    <w:rsid w:val="55E77D6B"/>
    <w:rsid w:val="55F5746A"/>
    <w:rsid w:val="55FB249F"/>
    <w:rsid w:val="56020348"/>
    <w:rsid w:val="560B0360"/>
    <w:rsid w:val="5618550D"/>
    <w:rsid w:val="5620691C"/>
    <w:rsid w:val="56243A3E"/>
    <w:rsid w:val="562D7CA8"/>
    <w:rsid w:val="56337526"/>
    <w:rsid w:val="56372AA1"/>
    <w:rsid w:val="563C2EDD"/>
    <w:rsid w:val="565A6854"/>
    <w:rsid w:val="566B01D5"/>
    <w:rsid w:val="56772D5D"/>
    <w:rsid w:val="567F6E75"/>
    <w:rsid w:val="56961738"/>
    <w:rsid w:val="56A815F1"/>
    <w:rsid w:val="56AA2CAB"/>
    <w:rsid w:val="56B67E44"/>
    <w:rsid w:val="56CC5D0F"/>
    <w:rsid w:val="56CF3872"/>
    <w:rsid w:val="56D921B6"/>
    <w:rsid w:val="56EA4326"/>
    <w:rsid w:val="56EE773E"/>
    <w:rsid w:val="56F26F02"/>
    <w:rsid w:val="56FF062E"/>
    <w:rsid w:val="57070FED"/>
    <w:rsid w:val="570921A3"/>
    <w:rsid w:val="570D1962"/>
    <w:rsid w:val="571715BF"/>
    <w:rsid w:val="572B7544"/>
    <w:rsid w:val="572C337A"/>
    <w:rsid w:val="572F5526"/>
    <w:rsid w:val="5732647C"/>
    <w:rsid w:val="573D718A"/>
    <w:rsid w:val="573E4A16"/>
    <w:rsid w:val="57576B67"/>
    <w:rsid w:val="575A459D"/>
    <w:rsid w:val="5763693C"/>
    <w:rsid w:val="57646298"/>
    <w:rsid w:val="576A777C"/>
    <w:rsid w:val="576D1F8C"/>
    <w:rsid w:val="577613A7"/>
    <w:rsid w:val="577D5BB4"/>
    <w:rsid w:val="5786093D"/>
    <w:rsid w:val="578D3F59"/>
    <w:rsid w:val="57AD50E1"/>
    <w:rsid w:val="57C67D29"/>
    <w:rsid w:val="57C86869"/>
    <w:rsid w:val="57DA57E5"/>
    <w:rsid w:val="57DC5306"/>
    <w:rsid w:val="57DF2845"/>
    <w:rsid w:val="57E77934"/>
    <w:rsid w:val="57EC2C4F"/>
    <w:rsid w:val="581E0C2B"/>
    <w:rsid w:val="581E2CAB"/>
    <w:rsid w:val="58230DAE"/>
    <w:rsid w:val="582A0D9F"/>
    <w:rsid w:val="582D4681"/>
    <w:rsid w:val="582F59DD"/>
    <w:rsid w:val="58442DF9"/>
    <w:rsid w:val="58487AE6"/>
    <w:rsid w:val="58752ADF"/>
    <w:rsid w:val="589243CD"/>
    <w:rsid w:val="589A05B0"/>
    <w:rsid w:val="58A921CB"/>
    <w:rsid w:val="58B13C92"/>
    <w:rsid w:val="58B25F3E"/>
    <w:rsid w:val="58BD4353"/>
    <w:rsid w:val="58D972DC"/>
    <w:rsid w:val="58DD29C4"/>
    <w:rsid w:val="58F149DD"/>
    <w:rsid w:val="58F4551B"/>
    <w:rsid w:val="58FA2FA7"/>
    <w:rsid w:val="591260D0"/>
    <w:rsid w:val="591B4AA8"/>
    <w:rsid w:val="59270A2B"/>
    <w:rsid w:val="592A7C61"/>
    <w:rsid w:val="592D27B5"/>
    <w:rsid w:val="592D4825"/>
    <w:rsid w:val="592E0CDD"/>
    <w:rsid w:val="595626A6"/>
    <w:rsid w:val="596266FC"/>
    <w:rsid w:val="5966232D"/>
    <w:rsid w:val="59796F2C"/>
    <w:rsid w:val="59821186"/>
    <w:rsid w:val="598A13F7"/>
    <w:rsid w:val="598E7DFD"/>
    <w:rsid w:val="59990155"/>
    <w:rsid w:val="599D70BF"/>
    <w:rsid w:val="59BD150F"/>
    <w:rsid w:val="59BE2539"/>
    <w:rsid w:val="59C72F4C"/>
    <w:rsid w:val="59CF3C3B"/>
    <w:rsid w:val="59DF3737"/>
    <w:rsid w:val="59E24004"/>
    <w:rsid w:val="59E27170"/>
    <w:rsid w:val="59E47121"/>
    <w:rsid w:val="59F071E1"/>
    <w:rsid w:val="59F27332"/>
    <w:rsid w:val="59FD5EB2"/>
    <w:rsid w:val="59FE7C5C"/>
    <w:rsid w:val="5A117E54"/>
    <w:rsid w:val="5A130EFD"/>
    <w:rsid w:val="5A157042"/>
    <w:rsid w:val="5A411205"/>
    <w:rsid w:val="5A4E2C99"/>
    <w:rsid w:val="5A7335FB"/>
    <w:rsid w:val="5A9A0DDE"/>
    <w:rsid w:val="5AA72AF2"/>
    <w:rsid w:val="5AAC7E8F"/>
    <w:rsid w:val="5AB258BF"/>
    <w:rsid w:val="5ACA7D58"/>
    <w:rsid w:val="5AD91D5A"/>
    <w:rsid w:val="5AE75AB0"/>
    <w:rsid w:val="5AF00823"/>
    <w:rsid w:val="5B063BA9"/>
    <w:rsid w:val="5B201627"/>
    <w:rsid w:val="5B2E7BC0"/>
    <w:rsid w:val="5B2F01EA"/>
    <w:rsid w:val="5B323A0B"/>
    <w:rsid w:val="5B39141C"/>
    <w:rsid w:val="5B3F1710"/>
    <w:rsid w:val="5B546323"/>
    <w:rsid w:val="5B57329D"/>
    <w:rsid w:val="5B75441A"/>
    <w:rsid w:val="5B7E0EF1"/>
    <w:rsid w:val="5B865931"/>
    <w:rsid w:val="5B922B45"/>
    <w:rsid w:val="5B9849B0"/>
    <w:rsid w:val="5BD31EB4"/>
    <w:rsid w:val="5BD85F48"/>
    <w:rsid w:val="5BDD52CE"/>
    <w:rsid w:val="5BE014E5"/>
    <w:rsid w:val="5BED6E80"/>
    <w:rsid w:val="5C1166DB"/>
    <w:rsid w:val="5C290AB1"/>
    <w:rsid w:val="5C3451E8"/>
    <w:rsid w:val="5C366A56"/>
    <w:rsid w:val="5C3810C1"/>
    <w:rsid w:val="5C5E6B50"/>
    <w:rsid w:val="5C72394A"/>
    <w:rsid w:val="5C755E69"/>
    <w:rsid w:val="5C7929C3"/>
    <w:rsid w:val="5C871CD9"/>
    <w:rsid w:val="5C871E61"/>
    <w:rsid w:val="5C9E0902"/>
    <w:rsid w:val="5CA024D2"/>
    <w:rsid w:val="5CB11454"/>
    <w:rsid w:val="5CBE3A5B"/>
    <w:rsid w:val="5CE2128D"/>
    <w:rsid w:val="5CE461E2"/>
    <w:rsid w:val="5D181124"/>
    <w:rsid w:val="5D2A33DD"/>
    <w:rsid w:val="5D303A56"/>
    <w:rsid w:val="5D33746C"/>
    <w:rsid w:val="5D71587D"/>
    <w:rsid w:val="5D7876B8"/>
    <w:rsid w:val="5D7D59AA"/>
    <w:rsid w:val="5D812E10"/>
    <w:rsid w:val="5D843209"/>
    <w:rsid w:val="5D9D0DDB"/>
    <w:rsid w:val="5DA36EA7"/>
    <w:rsid w:val="5DC25C53"/>
    <w:rsid w:val="5DC6679E"/>
    <w:rsid w:val="5DCC2281"/>
    <w:rsid w:val="5DCD02AD"/>
    <w:rsid w:val="5DD702A5"/>
    <w:rsid w:val="5DF0481E"/>
    <w:rsid w:val="5DF554E5"/>
    <w:rsid w:val="5DFD1216"/>
    <w:rsid w:val="5E1C7F9A"/>
    <w:rsid w:val="5E1E41C3"/>
    <w:rsid w:val="5E1E45DC"/>
    <w:rsid w:val="5E29055B"/>
    <w:rsid w:val="5E320CE7"/>
    <w:rsid w:val="5E341674"/>
    <w:rsid w:val="5E3B1799"/>
    <w:rsid w:val="5E4D0C4D"/>
    <w:rsid w:val="5E5B4D02"/>
    <w:rsid w:val="5E5C0246"/>
    <w:rsid w:val="5E6138E0"/>
    <w:rsid w:val="5E614C4C"/>
    <w:rsid w:val="5E8F4C79"/>
    <w:rsid w:val="5EA1094E"/>
    <w:rsid w:val="5EB153BA"/>
    <w:rsid w:val="5EB3645E"/>
    <w:rsid w:val="5EC63DDB"/>
    <w:rsid w:val="5ED42BA2"/>
    <w:rsid w:val="5EEF6270"/>
    <w:rsid w:val="5EF6043F"/>
    <w:rsid w:val="5F0C4296"/>
    <w:rsid w:val="5F1A261F"/>
    <w:rsid w:val="5F1B73F3"/>
    <w:rsid w:val="5F221E14"/>
    <w:rsid w:val="5F265461"/>
    <w:rsid w:val="5F2E5485"/>
    <w:rsid w:val="5F520DAF"/>
    <w:rsid w:val="5F644669"/>
    <w:rsid w:val="5FB93F6B"/>
    <w:rsid w:val="5FBD2B20"/>
    <w:rsid w:val="5FCC166B"/>
    <w:rsid w:val="5FD4025D"/>
    <w:rsid w:val="5FD80F2C"/>
    <w:rsid w:val="5FDA3083"/>
    <w:rsid w:val="5FDA4030"/>
    <w:rsid w:val="5FE94B02"/>
    <w:rsid w:val="5FF74FC1"/>
    <w:rsid w:val="60074904"/>
    <w:rsid w:val="60083E99"/>
    <w:rsid w:val="605709F3"/>
    <w:rsid w:val="60613FCF"/>
    <w:rsid w:val="606C77EB"/>
    <w:rsid w:val="60780306"/>
    <w:rsid w:val="60814099"/>
    <w:rsid w:val="608D07DE"/>
    <w:rsid w:val="608F4BD1"/>
    <w:rsid w:val="609209F9"/>
    <w:rsid w:val="60942993"/>
    <w:rsid w:val="609C220E"/>
    <w:rsid w:val="60A91B09"/>
    <w:rsid w:val="60BF588A"/>
    <w:rsid w:val="60C06ECB"/>
    <w:rsid w:val="60CC028A"/>
    <w:rsid w:val="60CE5DB0"/>
    <w:rsid w:val="60D832BE"/>
    <w:rsid w:val="60DB5EF3"/>
    <w:rsid w:val="60E2185B"/>
    <w:rsid w:val="60FE457C"/>
    <w:rsid w:val="610D0E3C"/>
    <w:rsid w:val="610E6205"/>
    <w:rsid w:val="611A43B1"/>
    <w:rsid w:val="61255744"/>
    <w:rsid w:val="613B3E08"/>
    <w:rsid w:val="6149169B"/>
    <w:rsid w:val="614B3B8B"/>
    <w:rsid w:val="61534507"/>
    <w:rsid w:val="615573BE"/>
    <w:rsid w:val="61564E40"/>
    <w:rsid w:val="61693281"/>
    <w:rsid w:val="61773EC1"/>
    <w:rsid w:val="61810E92"/>
    <w:rsid w:val="61880B26"/>
    <w:rsid w:val="61926D5B"/>
    <w:rsid w:val="61A13A37"/>
    <w:rsid w:val="61A73945"/>
    <w:rsid w:val="61C0085B"/>
    <w:rsid w:val="61E3336F"/>
    <w:rsid w:val="61F87455"/>
    <w:rsid w:val="62022DBF"/>
    <w:rsid w:val="6216563B"/>
    <w:rsid w:val="621E11A7"/>
    <w:rsid w:val="622C0007"/>
    <w:rsid w:val="6230253C"/>
    <w:rsid w:val="62314848"/>
    <w:rsid w:val="623B41B9"/>
    <w:rsid w:val="623B6731"/>
    <w:rsid w:val="624A6699"/>
    <w:rsid w:val="62693A03"/>
    <w:rsid w:val="6285638B"/>
    <w:rsid w:val="62B33103"/>
    <w:rsid w:val="62C32E18"/>
    <w:rsid w:val="62CF7BBD"/>
    <w:rsid w:val="62D26049"/>
    <w:rsid w:val="62D60DCD"/>
    <w:rsid w:val="62D60F4C"/>
    <w:rsid w:val="62DA1EFD"/>
    <w:rsid w:val="62DF24F6"/>
    <w:rsid w:val="62FA10F4"/>
    <w:rsid w:val="630E2DED"/>
    <w:rsid w:val="631A3502"/>
    <w:rsid w:val="6329679E"/>
    <w:rsid w:val="63357C50"/>
    <w:rsid w:val="63403C26"/>
    <w:rsid w:val="63470239"/>
    <w:rsid w:val="6350530E"/>
    <w:rsid w:val="6354337B"/>
    <w:rsid w:val="63612794"/>
    <w:rsid w:val="637E77DD"/>
    <w:rsid w:val="637F15E3"/>
    <w:rsid w:val="638A6F94"/>
    <w:rsid w:val="639F1C85"/>
    <w:rsid w:val="63A26CB9"/>
    <w:rsid w:val="63D20691"/>
    <w:rsid w:val="63D41DF9"/>
    <w:rsid w:val="63DB63DD"/>
    <w:rsid w:val="63DC2282"/>
    <w:rsid w:val="63E137D0"/>
    <w:rsid w:val="63E4291F"/>
    <w:rsid w:val="63EA7685"/>
    <w:rsid w:val="63F00073"/>
    <w:rsid w:val="64002E9A"/>
    <w:rsid w:val="641337F4"/>
    <w:rsid w:val="641D4597"/>
    <w:rsid w:val="642168C8"/>
    <w:rsid w:val="6440159B"/>
    <w:rsid w:val="64543A69"/>
    <w:rsid w:val="645D7837"/>
    <w:rsid w:val="64721A92"/>
    <w:rsid w:val="647527DE"/>
    <w:rsid w:val="647F08C6"/>
    <w:rsid w:val="648611C1"/>
    <w:rsid w:val="64B05B6D"/>
    <w:rsid w:val="64B13B8A"/>
    <w:rsid w:val="64B15BE7"/>
    <w:rsid w:val="64CE49E7"/>
    <w:rsid w:val="64D26D77"/>
    <w:rsid w:val="64E318BE"/>
    <w:rsid w:val="64EA506E"/>
    <w:rsid w:val="6518728D"/>
    <w:rsid w:val="651D5558"/>
    <w:rsid w:val="653605AB"/>
    <w:rsid w:val="65387C9C"/>
    <w:rsid w:val="6552373C"/>
    <w:rsid w:val="655B4350"/>
    <w:rsid w:val="65802EAF"/>
    <w:rsid w:val="65805E86"/>
    <w:rsid w:val="65821B63"/>
    <w:rsid w:val="65846D83"/>
    <w:rsid w:val="65923C3B"/>
    <w:rsid w:val="65980FCC"/>
    <w:rsid w:val="65AD3286"/>
    <w:rsid w:val="65CA7DBD"/>
    <w:rsid w:val="65EC5B32"/>
    <w:rsid w:val="65F307E8"/>
    <w:rsid w:val="65F71656"/>
    <w:rsid w:val="6600712A"/>
    <w:rsid w:val="6602458B"/>
    <w:rsid w:val="660F0B2B"/>
    <w:rsid w:val="661854BD"/>
    <w:rsid w:val="661C75BD"/>
    <w:rsid w:val="66346B47"/>
    <w:rsid w:val="66441D0E"/>
    <w:rsid w:val="66546E57"/>
    <w:rsid w:val="665E5BD6"/>
    <w:rsid w:val="66634C52"/>
    <w:rsid w:val="666D7210"/>
    <w:rsid w:val="667738FD"/>
    <w:rsid w:val="667D5653"/>
    <w:rsid w:val="66940C56"/>
    <w:rsid w:val="669C7BE5"/>
    <w:rsid w:val="66A5558B"/>
    <w:rsid w:val="66BF136C"/>
    <w:rsid w:val="66DF649B"/>
    <w:rsid w:val="66ED4AB6"/>
    <w:rsid w:val="671B04E4"/>
    <w:rsid w:val="671F7A16"/>
    <w:rsid w:val="673C7CA9"/>
    <w:rsid w:val="67495D83"/>
    <w:rsid w:val="67507102"/>
    <w:rsid w:val="675157E7"/>
    <w:rsid w:val="6758767E"/>
    <w:rsid w:val="676E3F4B"/>
    <w:rsid w:val="677C3770"/>
    <w:rsid w:val="677F643E"/>
    <w:rsid w:val="67803B7C"/>
    <w:rsid w:val="678775C5"/>
    <w:rsid w:val="678D77F9"/>
    <w:rsid w:val="67AC7B5D"/>
    <w:rsid w:val="67AD229E"/>
    <w:rsid w:val="67D42764"/>
    <w:rsid w:val="67DB5C19"/>
    <w:rsid w:val="67E9066C"/>
    <w:rsid w:val="67F37CF9"/>
    <w:rsid w:val="67FA392E"/>
    <w:rsid w:val="67FF52AE"/>
    <w:rsid w:val="68102FB9"/>
    <w:rsid w:val="68236489"/>
    <w:rsid w:val="682C1A9B"/>
    <w:rsid w:val="68492FC4"/>
    <w:rsid w:val="68696853"/>
    <w:rsid w:val="68707780"/>
    <w:rsid w:val="68825C1A"/>
    <w:rsid w:val="688558EE"/>
    <w:rsid w:val="688E0D06"/>
    <w:rsid w:val="688E58FB"/>
    <w:rsid w:val="688F4E77"/>
    <w:rsid w:val="68925915"/>
    <w:rsid w:val="689942B5"/>
    <w:rsid w:val="689C2C37"/>
    <w:rsid w:val="68AC2CF6"/>
    <w:rsid w:val="68AF6A07"/>
    <w:rsid w:val="68B100EB"/>
    <w:rsid w:val="68C94806"/>
    <w:rsid w:val="68D74070"/>
    <w:rsid w:val="68DA06DC"/>
    <w:rsid w:val="68DD689B"/>
    <w:rsid w:val="68E0136F"/>
    <w:rsid w:val="68E85C29"/>
    <w:rsid w:val="68FE7BF7"/>
    <w:rsid w:val="69132EA7"/>
    <w:rsid w:val="693B326D"/>
    <w:rsid w:val="693B7023"/>
    <w:rsid w:val="694D4848"/>
    <w:rsid w:val="695174BC"/>
    <w:rsid w:val="695672CA"/>
    <w:rsid w:val="695B6EA9"/>
    <w:rsid w:val="69775D94"/>
    <w:rsid w:val="69A00111"/>
    <w:rsid w:val="69AE50DC"/>
    <w:rsid w:val="69B82019"/>
    <w:rsid w:val="69D14BB5"/>
    <w:rsid w:val="69EC16E7"/>
    <w:rsid w:val="69EC5A19"/>
    <w:rsid w:val="6A093829"/>
    <w:rsid w:val="6A0A391F"/>
    <w:rsid w:val="6A1841B3"/>
    <w:rsid w:val="6A4E7A36"/>
    <w:rsid w:val="6A5012FB"/>
    <w:rsid w:val="6A661F65"/>
    <w:rsid w:val="6A68311E"/>
    <w:rsid w:val="6A692E3E"/>
    <w:rsid w:val="6A6E6A50"/>
    <w:rsid w:val="6A7706A7"/>
    <w:rsid w:val="6A7719BC"/>
    <w:rsid w:val="6A84081E"/>
    <w:rsid w:val="6AA52E23"/>
    <w:rsid w:val="6AA645AA"/>
    <w:rsid w:val="6AB00B22"/>
    <w:rsid w:val="6ABB633E"/>
    <w:rsid w:val="6AC769BB"/>
    <w:rsid w:val="6ADB7AE0"/>
    <w:rsid w:val="6AE931E1"/>
    <w:rsid w:val="6AF02627"/>
    <w:rsid w:val="6AFC16DA"/>
    <w:rsid w:val="6AFE734A"/>
    <w:rsid w:val="6B022EF9"/>
    <w:rsid w:val="6B055913"/>
    <w:rsid w:val="6B0C0FC3"/>
    <w:rsid w:val="6B1E01F7"/>
    <w:rsid w:val="6B214ED6"/>
    <w:rsid w:val="6B2E1D93"/>
    <w:rsid w:val="6B3A79E7"/>
    <w:rsid w:val="6B566DAA"/>
    <w:rsid w:val="6B5B53BA"/>
    <w:rsid w:val="6B5D1FD1"/>
    <w:rsid w:val="6B607F4C"/>
    <w:rsid w:val="6B6C5CB8"/>
    <w:rsid w:val="6B7071D4"/>
    <w:rsid w:val="6B825776"/>
    <w:rsid w:val="6B8A3ADA"/>
    <w:rsid w:val="6B8B150C"/>
    <w:rsid w:val="6B9B6A53"/>
    <w:rsid w:val="6BA06793"/>
    <w:rsid w:val="6BA509EA"/>
    <w:rsid w:val="6BB90E79"/>
    <w:rsid w:val="6BBC2D47"/>
    <w:rsid w:val="6BCF1EC8"/>
    <w:rsid w:val="6BD16D4F"/>
    <w:rsid w:val="6BD75DD3"/>
    <w:rsid w:val="6BDA7CFF"/>
    <w:rsid w:val="6BDF4E52"/>
    <w:rsid w:val="6BEA4010"/>
    <w:rsid w:val="6BEE009F"/>
    <w:rsid w:val="6C0254E6"/>
    <w:rsid w:val="6C0C3C30"/>
    <w:rsid w:val="6C2331AF"/>
    <w:rsid w:val="6C367E96"/>
    <w:rsid w:val="6C3A090F"/>
    <w:rsid w:val="6C467EFF"/>
    <w:rsid w:val="6C482B8E"/>
    <w:rsid w:val="6C4949AE"/>
    <w:rsid w:val="6C611866"/>
    <w:rsid w:val="6C9A4AD9"/>
    <w:rsid w:val="6CA63196"/>
    <w:rsid w:val="6CC7279C"/>
    <w:rsid w:val="6CCB1805"/>
    <w:rsid w:val="6CCD33BF"/>
    <w:rsid w:val="6CCE4FB3"/>
    <w:rsid w:val="6CE46762"/>
    <w:rsid w:val="6CF41A96"/>
    <w:rsid w:val="6CFD43DC"/>
    <w:rsid w:val="6D08785E"/>
    <w:rsid w:val="6D304499"/>
    <w:rsid w:val="6D3768ED"/>
    <w:rsid w:val="6D381E99"/>
    <w:rsid w:val="6D3B7F54"/>
    <w:rsid w:val="6D4B71E2"/>
    <w:rsid w:val="6D511DFD"/>
    <w:rsid w:val="6D5A7DC1"/>
    <w:rsid w:val="6D6830E8"/>
    <w:rsid w:val="6D8606A2"/>
    <w:rsid w:val="6D935F77"/>
    <w:rsid w:val="6DA50344"/>
    <w:rsid w:val="6DAC01E9"/>
    <w:rsid w:val="6DBF52CD"/>
    <w:rsid w:val="6DD32C57"/>
    <w:rsid w:val="6DDB161E"/>
    <w:rsid w:val="6DE11E2F"/>
    <w:rsid w:val="6DE16003"/>
    <w:rsid w:val="6DE6467D"/>
    <w:rsid w:val="6DF07D17"/>
    <w:rsid w:val="6DFB108C"/>
    <w:rsid w:val="6E2E7C66"/>
    <w:rsid w:val="6E3119FB"/>
    <w:rsid w:val="6E3733AE"/>
    <w:rsid w:val="6E4A4397"/>
    <w:rsid w:val="6E566A47"/>
    <w:rsid w:val="6E695F83"/>
    <w:rsid w:val="6E761835"/>
    <w:rsid w:val="6E843F52"/>
    <w:rsid w:val="6EA07B39"/>
    <w:rsid w:val="6EA461E0"/>
    <w:rsid w:val="6EBB57F3"/>
    <w:rsid w:val="6EDB54DC"/>
    <w:rsid w:val="6EE42FDD"/>
    <w:rsid w:val="6EEA7B08"/>
    <w:rsid w:val="6EEE61F0"/>
    <w:rsid w:val="6EF805BF"/>
    <w:rsid w:val="6F06306A"/>
    <w:rsid w:val="6F0E50C1"/>
    <w:rsid w:val="6F1059FD"/>
    <w:rsid w:val="6F1A1F4C"/>
    <w:rsid w:val="6F1C7C44"/>
    <w:rsid w:val="6F297E7B"/>
    <w:rsid w:val="6F3C1633"/>
    <w:rsid w:val="6F410F36"/>
    <w:rsid w:val="6F5D07D0"/>
    <w:rsid w:val="6F644CF6"/>
    <w:rsid w:val="6F6C18D7"/>
    <w:rsid w:val="6F7072B9"/>
    <w:rsid w:val="6F7F2AEE"/>
    <w:rsid w:val="6F80294E"/>
    <w:rsid w:val="6F9149D7"/>
    <w:rsid w:val="6F9C52CB"/>
    <w:rsid w:val="6F9D4408"/>
    <w:rsid w:val="6F9D5D03"/>
    <w:rsid w:val="6FAF56F8"/>
    <w:rsid w:val="6FBC7063"/>
    <w:rsid w:val="6FBF3E09"/>
    <w:rsid w:val="6FC11D91"/>
    <w:rsid w:val="6FC620E1"/>
    <w:rsid w:val="6FC964D0"/>
    <w:rsid w:val="6FDC6012"/>
    <w:rsid w:val="6FDF5502"/>
    <w:rsid w:val="700D441C"/>
    <w:rsid w:val="700E3EA7"/>
    <w:rsid w:val="70127577"/>
    <w:rsid w:val="702213D3"/>
    <w:rsid w:val="70372B4F"/>
    <w:rsid w:val="70451ADA"/>
    <w:rsid w:val="70567D0E"/>
    <w:rsid w:val="70575A6A"/>
    <w:rsid w:val="70587E69"/>
    <w:rsid w:val="706143A1"/>
    <w:rsid w:val="706D44A8"/>
    <w:rsid w:val="706D5103"/>
    <w:rsid w:val="70966265"/>
    <w:rsid w:val="70993B9A"/>
    <w:rsid w:val="709C314E"/>
    <w:rsid w:val="70AA3614"/>
    <w:rsid w:val="70B273C6"/>
    <w:rsid w:val="70B9559C"/>
    <w:rsid w:val="70C04FE9"/>
    <w:rsid w:val="70D56EA0"/>
    <w:rsid w:val="70D812CC"/>
    <w:rsid w:val="70E424F9"/>
    <w:rsid w:val="70F52D97"/>
    <w:rsid w:val="711C3CCD"/>
    <w:rsid w:val="7130216F"/>
    <w:rsid w:val="713F211D"/>
    <w:rsid w:val="715916C6"/>
    <w:rsid w:val="716453BA"/>
    <w:rsid w:val="717C1293"/>
    <w:rsid w:val="71832177"/>
    <w:rsid w:val="71886DFB"/>
    <w:rsid w:val="718A11B3"/>
    <w:rsid w:val="71974AEA"/>
    <w:rsid w:val="719C3746"/>
    <w:rsid w:val="719F7788"/>
    <w:rsid w:val="71A90988"/>
    <w:rsid w:val="71AA0173"/>
    <w:rsid w:val="71BE0EB7"/>
    <w:rsid w:val="71C11DC9"/>
    <w:rsid w:val="71CA32ED"/>
    <w:rsid w:val="71CE6AD6"/>
    <w:rsid w:val="71DD1E07"/>
    <w:rsid w:val="720B05C8"/>
    <w:rsid w:val="72173126"/>
    <w:rsid w:val="72265A21"/>
    <w:rsid w:val="7230316B"/>
    <w:rsid w:val="72386B9F"/>
    <w:rsid w:val="72391423"/>
    <w:rsid w:val="72443A2D"/>
    <w:rsid w:val="725700A9"/>
    <w:rsid w:val="7258372B"/>
    <w:rsid w:val="725B267E"/>
    <w:rsid w:val="726A6F4A"/>
    <w:rsid w:val="728C7879"/>
    <w:rsid w:val="72A969C2"/>
    <w:rsid w:val="72C211CD"/>
    <w:rsid w:val="7302241B"/>
    <w:rsid w:val="73141D96"/>
    <w:rsid w:val="732D27A7"/>
    <w:rsid w:val="73313B8D"/>
    <w:rsid w:val="733674B1"/>
    <w:rsid w:val="7341630B"/>
    <w:rsid w:val="73554A4C"/>
    <w:rsid w:val="738B1F44"/>
    <w:rsid w:val="738F1893"/>
    <w:rsid w:val="73A040A0"/>
    <w:rsid w:val="73C10F13"/>
    <w:rsid w:val="73C7661F"/>
    <w:rsid w:val="73CA53B8"/>
    <w:rsid w:val="73D35B41"/>
    <w:rsid w:val="73D81C12"/>
    <w:rsid w:val="73D90F90"/>
    <w:rsid w:val="74007767"/>
    <w:rsid w:val="74042CE2"/>
    <w:rsid w:val="74176B9A"/>
    <w:rsid w:val="74275AAB"/>
    <w:rsid w:val="742A47F9"/>
    <w:rsid w:val="742D2159"/>
    <w:rsid w:val="744123F1"/>
    <w:rsid w:val="7448085F"/>
    <w:rsid w:val="74694F79"/>
    <w:rsid w:val="746C2C39"/>
    <w:rsid w:val="746F6287"/>
    <w:rsid w:val="74866C37"/>
    <w:rsid w:val="74900177"/>
    <w:rsid w:val="749315ED"/>
    <w:rsid w:val="749679BD"/>
    <w:rsid w:val="74980757"/>
    <w:rsid w:val="749D29A6"/>
    <w:rsid w:val="749E5A73"/>
    <w:rsid w:val="74AD64AD"/>
    <w:rsid w:val="74BE1957"/>
    <w:rsid w:val="74C32ABC"/>
    <w:rsid w:val="74C661DD"/>
    <w:rsid w:val="74D67CAF"/>
    <w:rsid w:val="74D859D1"/>
    <w:rsid w:val="74D96DD9"/>
    <w:rsid w:val="74E01897"/>
    <w:rsid w:val="74EA21F7"/>
    <w:rsid w:val="74F73059"/>
    <w:rsid w:val="750924CD"/>
    <w:rsid w:val="75130B40"/>
    <w:rsid w:val="751A19A2"/>
    <w:rsid w:val="751C0139"/>
    <w:rsid w:val="75213D37"/>
    <w:rsid w:val="75372C70"/>
    <w:rsid w:val="753971BE"/>
    <w:rsid w:val="755048BF"/>
    <w:rsid w:val="755B19F5"/>
    <w:rsid w:val="756920F3"/>
    <w:rsid w:val="75762F1B"/>
    <w:rsid w:val="75776A81"/>
    <w:rsid w:val="75A46C49"/>
    <w:rsid w:val="75AA7206"/>
    <w:rsid w:val="75B835C3"/>
    <w:rsid w:val="75D71E2B"/>
    <w:rsid w:val="75D752AF"/>
    <w:rsid w:val="75E46A7C"/>
    <w:rsid w:val="75E47073"/>
    <w:rsid w:val="75EB75CC"/>
    <w:rsid w:val="75F20EFA"/>
    <w:rsid w:val="76000723"/>
    <w:rsid w:val="760B14EE"/>
    <w:rsid w:val="7614728E"/>
    <w:rsid w:val="762B47ED"/>
    <w:rsid w:val="763228FE"/>
    <w:rsid w:val="7637355A"/>
    <w:rsid w:val="76390186"/>
    <w:rsid w:val="763C4BA3"/>
    <w:rsid w:val="7668404E"/>
    <w:rsid w:val="76745CDD"/>
    <w:rsid w:val="76777102"/>
    <w:rsid w:val="767A3CE7"/>
    <w:rsid w:val="767D5E56"/>
    <w:rsid w:val="76814F06"/>
    <w:rsid w:val="76883B73"/>
    <w:rsid w:val="768960CA"/>
    <w:rsid w:val="76B62EC4"/>
    <w:rsid w:val="76C37910"/>
    <w:rsid w:val="76CF057A"/>
    <w:rsid w:val="76CF63B7"/>
    <w:rsid w:val="76E3721B"/>
    <w:rsid w:val="76EB2DB5"/>
    <w:rsid w:val="77014AB6"/>
    <w:rsid w:val="770F1661"/>
    <w:rsid w:val="77137B5C"/>
    <w:rsid w:val="77163642"/>
    <w:rsid w:val="77166770"/>
    <w:rsid w:val="771B7375"/>
    <w:rsid w:val="771D4671"/>
    <w:rsid w:val="771F2A69"/>
    <w:rsid w:val="7731279D"/>
    <w:rsid w:val="773D1B34"/>
    <w:rsid w:val="77547417"/>
    <w:rsid w:val="77560D8B"/>
    <w:rsid w:val="775A7E43"/>
    <w:rsid w:val="77700CD6"/>
    <w:rsid w:val="777D2764"/>
    <w:rsid w:val="778654A6"/>
    <w:rsid w:val="778C18DA"/>
    <w:rsid w:val="779C4CB2"/>
    <w:rsid w:val="77A648DD"/>
    <w:rsid w:val="77A653D7"/>
    <w:rsid w:val="77B11E80"/>
    <w:rsid w:val="77CE26B4"/>
    <w:rsid w:val="77D14A30"/>
    <w:rsid w:val="77D308EC"/>
    <w:rsid w:val="77E70DED"/>
    <w:rsid w:val="77F74E1C"/>
    <w:rsid w:val="77FB6F69"/>
    <w:rsid w:val="78021DF7"/>
    <w:rsid w:val="780A7137"/>
    <w:rsid w:val="782962DE"/>
    <w:rsid w:val="78297D38"/>
    <w:rsid w:val="782E39BA"/>
    <w:rsid w:val="78393BDC"/>
    <w:rsid w:val="78472A00"/>
    <w:rsid w:val="7866084C"/>
    <w:rsid w:val="786D278B"/>
    <w:rsid w:val="786F3CF0"/>
    <w:rsid w:val="78760DAF"/>
    <w:rsid w:val="78886035"/>
    <w:rsid w:val="788A4517"/>
    <w:rsid w:val="78916C74"/>
    <w:rsid w:val="78A07E89"/>
    <w:rsid w:val="78AA0E95"/>
    <w:rsid w:val="78BE28A1"/>
    <w:rsid w:val="78BE4F32"/>
    <w:rsid w:val="78CA2AB3"/>
    <w:rsid w:val="78D07707"/>
    <w:rsid w:val="78D73E64"/>
    <w:rsid w:val="78F41216"/>
    <w:rsid w:val="79034C97"/>
    <w:rsid w:val="790654CE"/>
    <w:rsid w:val="7918624C"/>
    <w:rsid w:val="79410025"/>
    <w:rsid w:val="796B13BF"/>
    <w:rsid w:val="796C5D0E"/>
    <w:rsid w:val="797400B8"/>
    <w:rsid w:val="797771D4"/>
    <w:rsid w:val="79876FEC"/>
    <w:rsid w:val="798A3C76"/>
    <w:rsid w:val="79977985"/>
    <w:rsid w:val="799918C5"/>
    <w:rsid w:val="79A731EA"/>
    <w:rsid w:val="79AA3565"/>
    <w:rsid w:val="79DF29C6"/>
    <w:rsid w:val="79DF43E3"/>
    <w:rsid w:val="79DF67E4"/>
    <w:rsid w:val="79FC33DD"/>
    <w:rsid w:val="79FE105C"/>
    <w:rsid w:val="7A043A86"/>
    <w:rsid w:val="7A0B6C64"/>
    <w:rsid w:val="7A0E6A4A"/>
    <w:rsid w:val="7A142CD8"/>
    <w:rsid w:val="7A147E96"/>
    <w:rsid w:val="7A170370"/>
    <w:rsid w:val="7A26613D"/>
    <w:rsid w:val="7A5C1B35"/>
    <w:rsid w:val="7A5D1A50"/>
    <w:rsid w:val="7A5D7B09"/>
    <w:rsid w:val="7A5F59BD"/>
    <w:rsid w:val="7A605B0A"/>
    <w:rsid w:val="7A6B1FA0"/>
    <w:rsid w:val="7A6F00A2"/>
    <w:rsid w:val="7A78604B"/>
    <w:rsid w:val="7A7E140D"/>
    <w:rsid w:val="7A7E6973"/>
    <w:rsid w:val="7A885DD2"/>
    <w:rsid w:val="7A890316"/>
    <w:rsid w:val="7A8A705C"/>
    <w:rsid w:val="7A9D27E6"/>
    <w:rsid w:val="7AA07B16"/>
    <w:rsid w:val="7AA32AD4"/>
    <w:rsid w:val="7AA96C54"/>
    <w:rsid w:val="7AB162E3"/>
    <w:rsid w:val="7ABE4648"/>
    <w:rsid w:val="7AD037AF"/>
    <w:rsid w:val="7ADE50A3"/>
    <w:rsid w:val="7AE04F0E"/>
    <w:rsid w:val="7AE30B42"/>
    <w:rsid w:val="7AFF1DC0"/>
    <w:rsid w:val="7B1801AF"/>
    <w:rsid w:val="7B293AB9"/>
    <w:rsid w:val="7B2C39A7"/>
    <w:rsid w:val="7B2D5DB9"/>
    <w:rsid w:val="7B2D68A5"/>
    <w:rsid w:val="7B2D6B3E"/>
    <w:rsid w:val="7B3964AB"/>
    <w:rsid w:val="7B4026AC"/>
    <w:rsid w:val="7B411A68"/>
    <w:rsid w:val="7B452FBA"/>
    <w:rsid w:val="7B4F7695"/>
    <w:rsid w:val="7B7D678D"/>
    <w:rsid w:val="7B7F05AB"/>
    <w:rsid w:val="7B8C5722"/>
    <w:rsid w:val="7BA22FE1"/>
    <w:rsid w:val="7BB00B8C"/>
    <w:rsid w:val="7BB73BB8"/>
    <w:rsid w:val="7BD662FA"/>
    <w:rsid w:val="7BD96356"/>
    <w:rsid w:val="7BE6781E"/>
    <w:rsid w:val="7BEF79EF"/>
    <w:rsid w:val="7BFC23FF"/>
    <w:rsid w:val="7BFF2818"/>
    <w:rsid w:val="7C0E1C48"/>
    <w:rsid w:val="7C2737B9"/>
    <w:rsid w:val="7C29360E"/>
    <w:rsid w:val="7C324064"/>
    <w:rsid w:val="7C4A1F62"/>
    <w:rsid w:val="7C4E24D1"/>
    <w:rsid w:val="7C50534E"/>
    <w:rsid w:val="7C52214F"/>
    <w:rsid w:val="7C58522D"/>
    <w:rsid w:val="7C5D52D0"/>
    <w:rsid w:val="7C606846"/>
    <w:rsid w:val="7C612826"/>
    <w:rsid w:val="7C6A00DA"/>
    <w:rsid w:val="7C771384"/>
    <w:rsid w:val="7C815ED2"/>
    <w:rsid w:val="7C87365F"/>
    <w:rsid w:val="7C8D4CBA"/>
    <w:rsid w:val="7C9115B1"/>
    <w:rsid w:val="7C932E6E"/>
    <w:rsid w:val="7C9B29EB"/>
    <w:rsid w:val="7C9E1BA6"/>
    <w:rsid w:val="7CC20EBA"/>
    <w:rsid w:val="7CCA2102"/>
    <w:rsid w:val="7CCE5050"/>
    <w:rsid w:val="7CD35329"/>
    <w:rsid w:val="7CDE0A42"/>
    <w:rsid w:val="7CE6437A"/>
    <w:rsid w:val="7CF4743D"/>
    <w:rsid w:val="7CFD10E4"/>
    <w:rsid w:val="7CFE5400"/>
    <w:rsid w:val="7D093545"/>
    <w:rsid w:val="7D10262D"/>
    <w:rsid w:val="7D134101"/>
    <w:rsid w:val="7D393809"/>
    <w:rsid w:val="7D532B78"/>
    <w:rsid w:val="7D5545A1"/>
    <w:rsid w:val="7D5F5C08"/>
    <w:rsid w:val="7D6427F6"/>
    <w:rsid w:val="7D666F9D"/>
    <w:rsid w:val="7D817B2B"/>
    <w:rsid w:val="7D822B29"/>
    <w:rsid w:val="7D866CCA"/>
    <w:rsid w:val="7D974D24"/>
    <w:rsid w:val="7D994E84"/>
    <w:rsid w:val="7DA8185F"/>
    <w:rsid w:val="7DB165C4"/>
    <w:rsid w:val="7DB62A4C"/>
    <w:rsid w:val="7DD16A88"/>
    <w:rsid w:val="7DD710EA"/>
    <w:rsid w:val="7DD71C07"/>
    <w:rsid w:val="7DEA1C21"/>
    <w:rsid w:val="7DF809CE"/>
    <w:rsid w:val="7DF92B84"/>
    <w:rsid w:val="7E044C97"/>
    <w:rsid w:val="7E1F6BF8"/>
    <w:rsid w:val="7E3034FE"/>
    <w:rsid w:val="7E390A28"/>
    <w:rsid w:val="7E3D3C2A"/>
    <w:rsid w:val="7E4538B8"/>
    <w:rsid w:val="7E4C55CF"/>
    <w:rsid w:val="7E5B3ABC"/>
    <w:rsid w:val="7E5D3918"/>
    <w:rsid w:val="7E6010D4"/>
    <w:rsid w:val="7E6F11AA"/>
    <w:rsid w:val="7E774700"/>
    <w:rsid w:val="7E7D570C"/>
    <w:rsid w:val="7E7D615B"/>
    <w:rsid w:val="7E82715B"/>
    <w:rsid w:val="7E9B5B99"/>
    <w:rsid w:val="7EA0044B"/>
    <w:rsid w:val="7EAB56BA"/>
    <w:rsid w:val="7EAC1740"/>
    <w:rsid w:val="7EC3386C"/>
    <w:rsid w:val="7EE50224"/>
    <w:rsid w:val="7EFD3FE9"/>
    <w:rsid w:val="7EFE37B1"/>
    <w:rsid w:val="7F0041C0"/>
    <w:rsid w:val="7F0603CB"/>
    <w:rsid w:val="7F152364"/>
    <w:rsid w:val="7F1555C5"/>
    <w:rsid w:val="7F2616EA"/>
    <w:rsid w:val="7F3870FB"/>
    <w:rsid w:val="7F407C9C"/>
    <w:rsid w:val="7F447506"/>
    <w:rsid w:val="7F454CF3"/>
    <w:rsid w:val="7F4D2BE4"/>
    <w:rsid w:val="7F50176F"/>
    <w:rsid w:val="7F5B64ED"/>
    <w:rsid w:val="7F5D0C5A"/>
    <w:rsid w:val="7F645200"/>
    <w:rsid w:val="7F6779E2"/>
    <w:rsid w:val="7F6C0FFB"/>
    <w:rsid w:val="7F747EDC"/>
    <w:rsid w:val="7F7F2D3C"/>
    <w:rsid w:val="7F89546E"/>
    <w:rsid w:val="7F9A242A"/>
    <w:rsid w:val="7FA036D5"/>
    <w:rsid w:val="7FAD740F"/>
    <w:rsid w:val="7FB57227"/>
    <w:rsid w:val="7FC405AE"/>
    <w:rsid w:val="7FD45E37"/>
    <w:rsid w:val="7FD554CB"/>
    <w:rsid w:val="7FEA49BA"/>
    <w:rsid w:val="7FF7431C"/>
    <w:rsid w:val="7FFA63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1"/>
    <w:basedOn w:val="1"/>
    <w:next w:val="1"/>
    <w:link w:val="57"/>
    <w:qFormat/>
    <w:uiPriority w:val="0"/>
    <w:pPr>
      <w:keepNext/>
      <w:keepLines/>
      <w:spacing w:before="340" w:after="330" w:line="578" w:lineRule="auto"/>
      <w:outlineLvl w:val="0"/>
    </w:pPr>
    <w:rPr>
      <w:rFonts w:ascii="Arial" w:hAnsi="Arial"/>
      <w:b/>
      <w:kern w:val="28"/>
      <w:sz w:val="28"/>
      <w:szCs w:val="20"/>
      <w:lang w:val="en-GB" w:eastAsia="en-US"/>
    </w:rPr>
  </w:style>
  <w:style w:type="paragraph" w:styleId="5">
    <w:name w:val="heading 2"/>
    <w:basedOn w:val="1"/>
    <w:next w:val="1"/>
    <w:link w:val="49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/>
      <w:kern w:val="0"/>
      <w:sz w:val="28"/>
      <w:szCs w:val="28"/>
      <w:lang w:val="en-GB" w:eastAsia="en-US"/>
    </w:rPr>
  </w:style>
  <w:style w:type="paragraph" w:styleId="6">
    <w:name w:val="heading 3"/>
    <w:basedOn w:val="1"/>
    <w:next w:val="1"/>
    <w:link w:val="50"/>
    <w:qFormat/>
    <w:uiPriority w:val="0"/>
    <w:pPr>
      <w:widowControl/>
      <w:numPr>
        <w:ilvl w:val="2"/>
        <w:numId w:val="1"/>
      </w:numPr>
      <w:spacing w:after="100" w:afterAutospacing="1" w:line="360" w:lineRule="auto"/>
      <w:ind w:left="709"/>
      <w:contextualSpacing/>
      <w:jc w:val="left"/>
      <w:outlineLvl w:val="2"/>
    </w:pPr>
    <w:rPr>
      <w:rFonts w:ascii="Arial" w:hAnsi="Arial"/>
      <w:kern w:val="0"/>
      <w:sz w:val="28"/>
      <w:szCs w:val="28"/>
      <w:lang w:val="en-GB" w:eastAsia="en-US"/>
    </w:rPr>
  </w:style>
  <w:style w:type="paragraph" w:styleId="7">
    <w:name w:val="heading 4"/>
    <w:basedOn w:val="1"/>
    <w:next w:val="1"/>
    <w:link w:val="66"/>
    <w:qFormat/>
    <w:uiPriority w:val="0"/>
    <w:pPr>
      <w:keepNext/>
      <w:widowControl/>
      <w:numPr>
        <w:ilvl w:val="3"/>
        <w:numId w:val="1"/>
      </w:numPr>
      <w:spacing w:before="240" w:after="60"/>
      <w:jc w:val="left"/>
      <w:outlineLvl w:val="3"/>
    </w:pPr>
    <w:rPr>
      <w:rFonts w:ascii="Arial" w:hAnsi="Arial"/>
      <w:kern w:val="0"/>
      <w:sz w:val="20"/>
      <w:szCs w:val="20"/>
      <w:lang w:val="en-GB" w:eastAsia="en-US"/>
    </w:rPr>
  </w:style>
  <w:style w:type="paragraph" w:styleId="8">
    <w:name w:val="heading 5"/>
    <w:basedOn w:val="1"/>
    <w:next w:val="1"/>
    <w:link w:val="64"/>
    <w:qFormat/>
    <w:uiPriority w:val="0"/>
    <w:pPr>
      <w:widowControl/>
      <w:numPr>
        <w:ilvl w:val="4"/>
        <w:numId w:val="1"/>
      </w:numPr>
      <w:spacing w:before="240" w:after="60"/>
      <w:jc w:val="left"/>
      <w:outlineLvl w:val="4"/>
    </w:pPr>
    <w:rPr>
      <w:rFonts w:ascii="Arial" w:hAnsi="Arial"/>
      <w:b/>
      <w:i/>
      <w:kern w:val="0"/>
      <w:sz w:val="20"/>
      <w:szCs w:val="20"/>
      <w:lang w:val="en-GB" w:eastAsia="en-US"/>
    </w:rPr>
  </w:style>
  <w:style w:type="character" w:default="1" w:styleId="27">
    <w:name w:val="Default Paragraph Font"/>
    <w:semiHidden/>
    <w:unhideWhenUsed/>
    <w:qFormat/>
    <w:uiPriority w:val="1"/>
  </w:style>
  <w:style w:type="table" w:default="1" w:styleId="2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link w:val="51"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0"/>
    <w:pPr>
      <w:jc w:val="center"/>
      <w:outlineLvl w:val="0"/>
    </w:pPr>
    <w:rPr>
      <w:rFonts w:ascii="方正小标宋_GBK" w:hAnsi="方正小标宋_GBK" w:eastAsia="方正小标宋_GBK" w:cs="方正小标宋_GBK"/>
      <w:sz w:val="44"/>
      <w:szCs w:val="44"/>
    </w:rPr>
  </w:style>
  <w:style w:type="paragraph" w:styleId="9">
    <w:name w:val="Normal Indent"/>
    <w:basedOn w:val="1"/>
    <w:qFormat/>
    <w:uiPriority w:val="0"/>
    <w:pPr>
      <w:spacing w:line="360" w:lineRule="auto"/>
      <w:ind w:firstLine="480" w:firstLineChars="200"/>
    </w:pPr>
    <w:rPr>
      <w:sz w:val="24"/>
    </w:rPr>
  </w:style>
  <w:style w:type="paragraph" w:styleId="10">
    <w:name w:val="Document Map"/>
    <w:basedOn w:val="1"/>
    <w:link w:val="52"/>
    <w:qFormat/>
    <w:uiPriority w:val="0"/>
    <w:rPr>
      <w:rFonts w:ascii="宋体"/>
      <w:sz w:val="18"/>
      <w:szCs w:val="18"/>
    </w:rPr>
  </w:style>
  <w:style w:type="paragraph" w:styleId="11">
    <w:name w:val="annotation text"/>
    <w:basedOn w:val="1"/>
    <w:qFormat/>
    <w:uiPriority w:val="0"/>
    <w:pPr>
      <w:jc w:val="left"/>
    </w:pPr>
  </w:style>
  <w:style w:type="paragraph" w:styleId="12">
    <w:name w:val="Body Text Indent"/>
    <w:basedOn w:val="1"/>
    <w:next w:val="1"/>
    <w:qFormat/>
    <w:uiPriority w:val="0"/>
    <w:pPr>
      <w:spacing w:after="120"/>
      <w:ind w:left="420" w:leftChars="200"/>
    </w:pPr>
  </w:style>
  <w:style w:type="paragraph" w:styleId="13">
    <w:name w:val="toc 3"/>
    <w:basedOn w:val="1"/>
    <w:next w:val="1"/>
    <w:qFormat/>
    <w:uiPriority w:val="0"/>
    <w:pPr>
      <w:widowControl/>
      <w:spacing w:after="100" w:line="259" w:lineRule="auto"/>
      <w:ind w:left="440"/>
      <w:jc w:val="left"/>
    </w:pPr>
    <w:rPr>
      <w:rFonts w:ascii="Calibri" w:hAnsi="Calibri"/>
      <w:kern w:val="0"/>
      <w:sz w:val="22"/>
      <w:szCs w:val="22"/>
    </w:rPr>
  </w:style>
  <w:style w:type="paragraph" w:styleId="14">
    <w:name w:val="Plain Text"/>
    <w:basedOn w:val="1"/>
    <w:qFormat/>
    <w:uiPriority w:val="0"/>
    <w:pPr>
      <w:widowControl/>
      <w:spacing w:line="360" w:lineRule="auto"/>
      <w:jc w:val="left"/>
    </w:pPr>
    <w:rPr>
      <w:rFonts w:ascii="仿宋_GB2312" w:hAnsi="Courier New" w:eastAsia="仿宋_GB2312"/>
      <w:kern w:val="0"/>
      <w:sz w:val="32"/>
      <w:szCs w:val="21"/>
    </w:rPr>
  </w:style>
  <w:style w:type="paragraph" w:styleId="15">
    <w:name w:val="Date"/>
    <w:basedOn w:val="1"/>
    <w:next w:val="1"/>
    <w:qFormat/>
    <w:uiPriority w:val="0"/>
    <w:pPr>
      <w:adjustRightInd w:val="0"/>
      <w:spacing w:line="360" w:lineRule="atLeast"/>
      <w:textAlignment w:val="baseline"/>
    </w:pPr>
    <w:rPr>
      <w:kern w:val="0"/>
      <w:sz w:val="28"/>
      <w:szCs w:val="20"/>
    </w:rPr>
  </w:style>
  <w:style w:type="paragraph" w:styleId="16">
    <w:name w:val="Balloon Text"/>
    <w:basedOn w:val="1"/>
    <w:link w:val="58"/>
    <w:qFormat/>
    <w:uiPriority w:val="0"/>
    <w:rPr>
      <w:sz w:val="18"/>
      <w:szCs w:val="18"/>
    </w:rPr>
  </w:style>
  <w:style w:type="paragraph" w:styleId="17">
    <w:name w:val="footer"/>
    <w:basedOn w:val="1"/>
    <w:link w:val="55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18">
    <w:name w:val="header"/>
    <w:basedOn w:val="1"/>
    <w:link w:val="63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9">
    <w:name w:val="toc 1"/>
    <w:basedOn w:val="1"/>
    <w:next w:val="1"/>
    <w:qFormat/>
    <w:uiPriority w:val="0"/>
    <w:pPr>
      <w:tabs>
        <w:tab w:val="right" w:leader="dot" w:pos="9060"/>
      </w:tabs>
    </w:pPr>
    <w:rPr>
      <w:rFonts w:ascii="黑体" w:hAnsi="宋体" w:eastAsia="黑体"/>
      <w:szCs w:val="21"/>
    </w:rPr>
  </w:style>
  <w:style w:type="paragraph" w:styleId="20">
    <w:name w:val="toc 2"/>
    <w:basedOn w:val="1"/>
    <w:next w:val="1"/>
    <w:qFormat/>
    <w:uiPriority w:val="0"/>
    <w:pPr>
      <w:widowControl/>
      <w:spacing w:after="100" w:line="259" w:lineRule="auto"/>
      <w:ind w:left="220"/>
      <w:jc w:val="left"/>
    </w:pPr>
    <w:rPr>
      <w:rFonts w:ascii="Calibri" w:hAnsi="Calibri"/>
      <w:kern w:val="0"/>
      <w:sz w:val="22"/>
      <w:szCs w:val="22"/>
    </w:rPr>
  </w:style>
  <w:style w:type="paragraph" w:styleId="21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/>
      <w:kern w:val="0"/>
      <w:sz w:val="24"/>
    </w:rPr>
  </w:style>
  <w:style w:type="paragraph" w:styleId="22">
    <w:name w:val="Body Text First Indent"/>
    <w:basedOn w:val="1"/>
    <w:next w:val="1"/>
    <w:qFormat/>
    <w:uiPriority w:val="0"/>
    <w:pPr>
      <w:spacing w:beforeLines="50" w:line="360" w:lineRule="auto"/>
      <w:ind w:firstLine="200" w:firstLineChars="200"/>
    </w:pPr>
    <w:rPr>
      <w:sz w:val="24"/>
    </w:rPr>
  </w:style>
  <w:style w:type="paragraph" w:styleId="23">
    <w:name w:val="Body Text First Indent 2"/>
    <w:basedOn w:val="12"/>
    <w:next w:val="24"/>
    <w:unhideWhenUsed/>
    <w:qFormat/>
    <w:uiPriority w:val="99"/>
    <w:pPr>
      <w:ind w:firstLine="420" w:firstLineChars="200"/>
    </w:pPr>
    <w:rPr>
      <w:sz w:val="24"/>
    </w:rPr>
  </w:style>
  <w:style w:type="paragraph" w:customStyle="1" w:styleId="24">
    <w:name w:val="正文内容"/>
    <w:basedOn w:val="1"/>
    <w:qFormat/>
    <w:uiPriority w:val="0"/>
    <w:pPr>
      <w:ind w:firstLine="200" w:firstLineChars="200"/>
      <w:jc w:val="left"/>
    </w:pPr>
    <w:rPr>
      <w:rFonts w:eastAsia="仿宋_GB2312"/>
      <w:sz w:val="24"/>
    </w:rPr>
  </w:style>
  <w:style w:type="table" w:styleId="26">
    <w:name w:val="Table Grid"/>
    <w:basedOn w:val="2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8">
    <w:name w:val="Strong"/>
    <w:basedOn w:val="27"/>
    <w:qFormat/>
    <w:uiPriority w:val="0"/>
    <w:rPr>
      <w:b/>
      <w:bCs/>
    </w:rPr>
  </w:style>
  <w:style w:type="character" w:styleId="29">
    <w:name w:val="page number"/>
    <w:qFormat/>
    <w:uiPriority w:val="0"/>
    <w:rPr>
      <w:rFonts w:ascii="Times New Roman" w:hAnsi="Times New Roman" w:eastAsia="宋体"/>
      <w:sz w:val="18"/>
    </w:rPr>
  </w:style>
  <w:style w:type="character" w:styleId="30">
    <w:name w:val="FollowedHyperlink"/>
    <w:qFormat/>
    <w:uiPriority w:val="0"/>
    <w:rPr>
      <w:color w:val="3894C1"/>
      <w:u w:val="none"/>
    </w:rPr>
  </w:style>
  <w:style w:type="character" w:styleId="31">
    <w:name w:val="Hyperlink"/>
    <w:qFormat/>
    <w:uiPriority w:val="0"/>
    <w:rPr>
      <w:color w:val="3894C1"/>
      <w:u w:val="none"/>
    </w:rPr>
  </w:style>
  <w:style w:type="paragraph" w:customStyle="1" w:styleId="32">
    <w:name w:val="列出段落6"/>
    <w:basedOn w:val="1"/>
    <w:qFormat/>
    <w:uiPriority w:val="34"/>
    <w:pPr>
      <w:ind w:firstLine="420" w:firstLineChars="200"/>
    </w:pPr>
    <w:rPr>
      <w:rFonts w:ascii="Calibri" w:hAnsi="Calibri" w:cs="宋体"/>
      <w:szCs w:val="22"/>
    </w:rPr>
  </w:style>
  <w:style w:type="paragraph" w:styleId="33">
    <w:name w:val="List Paragraph"/>
    <w:basedOn w:val="1"/>
    <w:qFormat/>
    <w:uiPriority w:val="34"/>
    <w:pPr>
      <w:ind w:firstLine="420" w:firstLineChars="200"/>
    </w:pPr>
  </w:style>
  <w:style w:type="paragraph" w:customStyle="1" w:styleId="34">
    <w:name w:val="标准规范3级"/>
    <w:basedOn w:val="35"/>
    <w:qFormat/>
    <w:uiPriority w:val="0"/>
    <w:pPr>
      <w:numPr>
        <w:ilvl w:val="0"/>
        <w:numId w:val="0"/>
      </w:numPr>
      <w:spacing w:before="0"/>
      <w:ind w:firstLine="200" w:firstLineChars="200"/>
    </w:pPr>
  </w:style>
  <w:style w:type="paragraph" w:customStyle="1" w:styleId="35">
    <w:name w:val="标准规范2级"/>
    <w:basedOn w:val="1"/>
    <w:qFormat/>
    <w:uiPriority w:val="0"/>
    <w:pPr>
      <w:numPr>
        <w:ilvl w:val="1"/>
        <w:numId w:val="2"/>
      </w:numPr>
      <w:spacing w:before="120" w:line="360" w:lineRule="auto"/>
    </w:pPr>
    <w:rPr>
      <w:rFonts w:cs="宋体"/>
      <w:color w:val="000000"/>
      <w:sz w:val="24"/>
      <w:szCs w:val="20"/>
    </w:rPr>
  </w:style>
  <w:style w:type="paragraph" w:customStyle="1" w:styleId="36">
    <w:name w:val="列出段落5"/>
    <w:basedOn w:val="1"/>
    <w:unhideWhenUsed/>
    <w:qFormat/>
    <w:uiPriority w:val="99"/>
    <w:pPr>
      <w:spacing w:line="360" w:lineRule="auto"/>
      <w:ind w:firstLine="420" w:firstLineChars="200"/>
    </w:pPr>
    <w:rPr>
      <w:sz w:val="24"/>
    </w:rPr>
  </w:style>
  <w:style w:type="paragraph" w:customStyle="1" w:styleId="37">
    <w:name w:val="南网格式"/>
    <w:basedOn w:val="1"/>
    <w:qFormat/>
    <w:uiPriority w:val="0"/>
    <w:pPr>
      <w:widowControl/>
      <w:spacing w:before="120" w:line="360" w:lineRule="auto"/>
      <w:ind w:firstLine="400" w:firstLineChars="200"/>
      <w:jc w:val="left"/>
    </w:pPr>
    <w:rPr>
      <w:rFonts w:ascii="宋体" w:hAnsi="宋体"/>
      <w:kern w:val="0"/>
      <w:sz w:val="24"/>
      <w:szCs w:val="28"/>
      <w:lang w:val="zh-CN"/>
    </w:rPr>
  </w:style>
  <w:style w:type="paragraph" w:customStyle="1" w:styleId="38">
    <w:name w:val="A"/>
    <w:basedOn w:val="1"/>
    <w:qFormat/>
    <w:uiPriority w:val="0"/>
    <w:pPr>
      <w:adjustRightInd w:val="0"/>
      <w:spacing w:line="480" w:lineRule="atLeast"/>
      <w:ind w:firstLine="400" w:firstLineChars="200"/>
      <w:jc w:val="center"/>
      <w:textAlignment w:val="baseline"/>
    </w:pPr>
    <w:rPr>
      <w:rFonts w:ascii="宋体"/>
      <w:kern w:val="0"/>
      <w:sz w:val="32"/>
      <w:szCs w:val="20"/>
    </w:rPr>
  </w:style>
  <w:style w:type="paragraph" w:customStyle="1" w:styleId="39">
    <w:name w:val="_Style 2"/>
    <w:basedOn w:val="1"/>
    <w:qFormat/>
    <w:uiPriority w:val="34"/>
    <w:pPr>
      <w:ind w:firstLine="420" w:firstLineChars="200"/>
    </w:pPr>
  </w:style>
  <w:style w:type="paragraph" w:customStyle="1" w:styleId="40">
    <w:name w:val="表头"/>
    <w:basedOn w:val="1"/>
    <w:qFormat/>
    <w:uiPriority w:val="0"/>
    <w:pPr>
      <w:topLinePunct/>
      <w:spacing w:before="160" w:after="60" w:line="312" w:lineRule="exact"/>
      <w:jc w:val="center"/>
    </w:pPr>
    <w:rPr>
      <w:rFonts w:ascii="黑体" w:hAnsi="Monotype Corsiva" w:eastAsia="黑体"/>
      <w:snapToGrid w:val="0"/>
      <w:kern w:val="0"/>
    </w:rPr>
  </w:style>
  <w:style w:type="paragraph" w:customStyle="1" w:styleId="41">
    <w:name w:val="Default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Myriad Pro" w:hAnsi="Myriad Pro" w:eastAsia="Myriad Pro" w:cs="Times New Roman"/>
      <w:color w:val="000000"/>
      <w:sz w:val="24"/>
      <w:lang w:val="en-US" w:eastAsia="zh-CN" w:bidi="ar-SA"/>
    </w:rPr>
  </w:style>
  <w:style w:type="paragraph" w:customStyle="1" w:styleId="42">
    <w:name w:val="TOC 标题1"/>
    <w:basedOn w:val="4"/>
    <w:next w:val="1"/>
    <w:unhideWhenUsed/>
    <w:qFormat/>
    <w:uiPriority w:val="39"/>
    <w:pPr>
      <w:widowControl/>
      <w:spacing w:before="240" w:after="0" w:line="259" w:lineRule="auto"/>
      <w:jc w:val="left"/>
      <w:outlineLvl w:val="9"/>
    </w:pPr>
    <w:rPr>
      <w:rFonts w:ascii="Cambria" w:hAnsi="Cambria"/>
      <w:b w:val="0"/>
      <w:color w:val="366091"/>
      <w:kern w:val="0"/>
      <w:sz w:val="32"/>
      <w:szCs w:val="32"/>
    </w:rPr>
  </w:style>
  <w:style w:type="paragraph" w:customStyle="1" w:styleId="43">
    <w:name w:val="Pa3"/>
    <w:basedOn w:val="41"/>
    <w:next w:val="41"/>
    <w:unhideWhenUsed/>
    <w:qFormat/>
    <w:uiPriority w:val="99"/>
    <w:pPr>
      <w:spacing w:line="201" w:lineRule="atLeast"/>
    </w:pPr>
    <w:rPr>
      <w:rFonts w:hint="default"/>
    </w:rPr>
  </w:style>
  <w:style w:type="paragraph" w:customStyle="1" w:styleId="44">
    <w:name w:val="样式 标题 1 + 段前: 6 磅 段后: 6 磅 行距: 1.5 倍行距"/>
    <w:basedOn w:val="4"/>
    <w:next w:val="1"/>
    <w:qFormat/>
    <w:uiPriority w:val="0"/>
    <w:pPr>
      <w:keepLines w:val="0"/>
      <w:widowControl/>
      <w:numPr>
        <w:ilvl w:val="0"/>
        <w:numId w:val="1"/>
      </w:numPr>
      <w:spacing w:before="120" w:after="120" w:line="360" w:lineRule="auto"/>
      <w:jc w:val="left"/>
    </w:pPr>
    <w:rPr>
      <w:rFonts w:cs="宋体"/>
      <w:b w:val="0"/>
      <w:bCs/>
    </w:rPr>
  </w:style>
  <w:style w:type="paragraph" w:customStyle="1" w:styleId="45">
    <w:name w:val="正文_0"/>
    <w:next w:val="2"/>
    <w:qFormat/>
    <w:uiPriority w:val="0"/>
    <w:pPr>
      <w:spacing w:line="560" w:lineRule="exact"/>
      <w:jc w:val="both"/>
    </w:pPr>
    <w:rPr>
      <w:rFonts w:ascii="Times New Roman" w:hAnsi="Times New Roman" w:eastAsia="仿宋_GB2312" w:cs="仿宋_GB2312"/>
      <w:kern w:val="2"/>
      <w:sz w:val="32"/>
      <w:szCs w:val="32"/>
      <w:lang w:val="en-US" w:eastAsia="zh-CN" w:bidi="ar-SA"/>
    </w:rPr>
  </w:style>
  <w:style w:type="paragraph" w:customStyle="1" w:styleId="46">
    <w:name w:val="Pa6"/>
    <w:basedOn w:val="41"/>
    <w:next w:val="41"/>
    <w:unhideWhenUsed/>
    <w:qFormat/>
    <w:uiPriority w:val="99"/>
    <w:pPr>
      <w:spacing w:line="241" w:lineRule="atLeast"/>
    </w:pPr>
    <w:rPr>
      <w:rFonts w:hint="default"/>
    </w:rPr>
  </w:style>
  <w:style w:type="paragraph" w:customStyle="1" w:styleId="47">
    <w:name w:val="TitlePage_Header"/>
    <w:basedOn w:val="1"/>
    <w:qFormat/>
    <w:uiPriority w:val="0"/>
    <w:pPr>
      <w:widowControl/>
      <w:spacing w:before="240" w:after="240" w:line="360" w:lineRule="auto"/>
      <w:ind w:left="3240" w:firstLine="400" w:firstLineChars="200"/>
      <w:jc w:val="left"/>
    </w:pPr>
    <w:rPr>
      <w:rFonts w:ascii="Arial" w:hAnsi="Arial"/>
      <w:b/>
      <w:kern w:val="0"/>
      <w:sz w:val="32"/>
      <w:szCs w:val="20"/>
      <w:lang w:eastAsia="en-US"/>
    </w:rPr>
  </w:style>
  <w:style w:type="paragraph" w:customStyle="1" w:styleId="48">
    <w:name w:val="Pa5"/>
    <w:basedOn w:val="41"/>
    <w:next w:val="41"/>
    <w:unhideWhenUsed/>
    <w:qFormat/>
    <w:uiPriority w:val="99"/>
    <w:pPr>
      <w:spacing w:line="201" w:lineRule="atLeast"/>
    </w:pPr>
    <w:rPr>
      <w:rFonts w:hint="default"/>
    </w:rPr>
  </w:style>
  <w:style w:type="character" w:customStyle="1" w:styleId="49">
    <w:name w:val="标题 2 字符"/>
    <w:link w:val="5"/>
    <w:qFormat/>
    <w:uiPriority w:val="9"/>
    <w:rPr>
      <w:rFonts w:ascii="Cambria" w:hAnsi="Cambria" w:eastAsia="宋体" w:cs="Times New Roman"/>
      <w:b/>
      <w:bCs/>
      <w:sz w:val="32"/>
      <w:szCs w:val="32"/>
    </w:rPr>
  </w:style>
  <w:style w:type="character" w:customStyle="1" w:styleId="50">
    <w:name w:val="标题 3 字符"/>
    <w:link w:val="6"/>
    <w:qFormat/>
    <w:uiPriority w:val="9"/>
    <w:rPr>
      <w:rFonts w:ascii="Times New Roman" w:hAnsi="Times New Roman" w:eastAsia="宋体" w:cs="Times New Roman"/>
      <w:b/>
      <w:bCs/>
      <w:sz w:val="32"/>
      <w:szCs w:val="32"/>
    </w:rPr>
  </w:style>
  <w:style w:type="character" w:customStyle="1" w:styleId="51">
    <w:name w:val="正文文本 字符"/>
    <w:link w:val="2"/>
    <w:qFormat/>
    <w:uiPriority w:val="0"/>
    <w:rPr>
      <w:rFonts w:ascii="Times New Roman" w:hAnsi="Times New Roman" w:eastAsia="宋体" w:cs="Times New Roman"/>
    </w:rPr>
  </w:style>
  <w:style w:type="character" w:customStyle="1" w:styleId="52">
    <w:name w:val="文档结构图 字符"/>
    <w:link w:val="10"/>
    <w:qFormat/>
    <w:uiPriority w:val="0"/>
    <w:rPr>
      <w:rFonts w:ascii="宋体" w:hAnsi="Times New Roman" w:eastAsia="宋体" w:cs="Times New Roman"/>
      <w:kern w:val="2"/>
      <w:sz w:val="18"/>
      <w:szCs w:val="18"/>
    </w:rPr>
  </w:style>
  <w:style w:type="character" w:customStyle="1" w:styleId="53">
    <w:name w:val="标题 2 Char"/>
    <w:semiHidden/>
    <w:qFormat/>
    <w:uiPriority w:val="0"/>
    <w:rPr>
      <w:rFonts w:ascii="Arial" w:hAnsi="Arial" w:eastAsia="宋体" w:cs="Times New Roman"/>
      <w:sz w:val="28"/>
      <w:szCs w:val="28"/>
      <w:lang w:val="en-GB" w:eastAsia="en-US"/>
    </w:rPr>
  </w:style>
  <w:style w:type="character" w:customStyle="1" w:styleId="54">
    <w:name w:val="标题 1 Char"/>
    <w:qFormat/>
    <w:uiPriority w:val="0"/>
    <w:rPr>
      <w:rFonts w:ascii="Arial" w:hAnsi="Arial" w:eastAsia="宋体" w:cs="Times New Roman"/>
      <w:b/>
      <w:kern w:val="28"/>
      <w:sz w:val="28"/>
      <w:lang w:val="en-GB" w:eastAsia="en-US"/>
    </w:rPr>
  </w:style>
  <w:style w:type="character" w:customStyle="1" w:styleId="55">
    <w:name w:val="页脚 字符"/>
    <w:link w:val="17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56">
    <w:name w:val="页脚 Char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57">
    <w:name w:val="标题 1 字符"/>
    <w:link w:val="4"/>
    <w:qFormat/>
    <w:uiPriority w:val="0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58">
    <w:name w:val="批注框文本 字符"/>
    <w:link w:val="1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59">
    <w:name w:val="font01"/>
    <w:qFormat/>
    <w:uiPriority w:val="0"/>
    <w:rPr>
      <w:rFonts w:hint="eastAsia" w:ascii="宋体" w:hAnsi="宋体" w:eastAsia="宋体" w:cs="宋体"/>
      <w:color w:val="FF0000"/>
      <w:sz w:val="24"/>
      <w:szCs w:val="24"/>
      <w:u w:val="none"/>
    </w:rPr>
  </w:style>
  <w:style w:type="character" w:customStyle="1" w:styleId="60">
    <w:name w:val="标题 3 Char"/>
    <w:semiHidden/>
    <w:qFormat/>
    <w:uiPriority w:val="0"/>
    <w:rPr>
      <w:rFonts w:ascii="Arial" w:hAnsi="Arial" w:eastAsia="宋体" w:cs="Times New Roman"/>
      <w:sz w:val="28"/>
      <w:szCs w:val="28"/>
      <w:lang w:val="en-GB" w:eastAsia="en-US"/>
    </w:rPr>
  </w:style>
  <w:style w:type="character" w:customStyle="1" w:styleId="61">
    <w:name w:val="font11"/>
    <w:qFormat/>
    <w:uiPriority w:val="0"/>
    <w:rPr>
      <w:rFonts w:hint="default" w:ascii="Times New Roman" w:hAnsi="Times New Roman" w:cs="Times New Roman"/>
      <w:color w:val="FF0000"/>
      <w:sz w:val="24"/>
      <w:szCs w:val="24"/>
      <w:u w:val="none"/>
    </w:rPr>
  </w:style>
  <w:style w:type="character" w:customStyle="1" w:styleId="62">
    <w:name w:val="font21"/>
    <w:qFormat/>
    <w:uiPriority w:val="0"/>
    <w:rPr>
      <w:rFonts w:hint="default" w:ascii="Times New Roman" w:hAnsi="Times New Roman" w:cs="Times New Roman"/>
      <w:color w:val="FF0000"/>
      <w:sz w:val="24"/>
      <w:szCs w:val="24"/>
      <w:u w:val="none"/>
    </w:rPr>
  </w:style>
  <w:style w:type="character" w:customStyle="1" w:styleId="63">
    <w:name w:val="页眉 字符"/>
    <w:link w:val="18"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64">
    <w:name w:val="标题 5 字符"/>
    <w:link w:val="8"/>
    <w:semiHidden/>
    <w:qFormat/>
    <w:uiPriority w:val="0"/>
    <w:rPr>
      <w:rFonts w:ascii="Arial" w:hAnsi="Arial" w:eastAsia="宋体" w:cs="Times New Roman"/>
      <w:b/>
      <w:i/>
      <w:lang w:val="en-GB" w:eastAsia="en-US"/>
    </w:rPr>
  </w:style>
  <w:style w:type="character" w:customStyle="1" w:styleId="65">
    <w:name w:val="font31"/>
    <w:qFormat/>
    <w:uiPriority w:val="0"/>
    <w:rPr>
      <w:rFonts w:hint="eastAsia" w:ascii="宋体" w:hAnsi="宋体" w:eastAsia="宋体" w:cs="宋体"/>
      <w:color w:val="000000"/>
      <w:sz w:val="20"/>
      <w:szCs w:val="20"/>
      <w:u w:val="none"/>
    </w:rPr>
  </w:style>
  <w:style w:type="character" w:customStyle="1" w:styleId="66">
    <w:name w:val="标题 4 字符"/>
    <w:link w:val="7"/>
    <w:semiHidden/>
    <w:qFormat/>
    <w:uiPriority w:val="0"/>
    <w:rPr>
      <w:rFonts w:ascii="Arial" w:hAnsi="Arial" w:eastAsia="宋体" w:cs="Times New Roman"/>
      <w:lang w:val="en-GB" w:eastAsia="en-US"/>
    </w:rPr>
  </w:style>
  <w:style w:type="character" w:customStyle="1" w:styleId="67">
    <w:name w:val="页眉 Char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68">
    <w:name w:val="批注框文本 Char"/>
    <w:qFormat/>
    <w:uiPriority w:val="0"/>
    <w:rPr>
      <w:rFonts w:ascii="Times New Roman" w:hAnsi="Times New Roman" w:eastAsia="宋体" w:cs="Times New Roman"/>
      <w:kern w:val="2"/>
      <w:sz w:val="18"/>
      <w:szCs w:val="18"/>
    </w:rPr>
  </w:style>
  <w:style w:type="character" w:customStyle="1" w:styleId="69">
    <w:name w:val="A5"/>
    <w:unhideWhenUsed/>
    <w:qFormat/>
    <w:uiPriority w:val="99"/>
    <w:rPr>
      <w:rFonts w:hint="eastAsia"/>
      <w:sz w:val="18"/>
    </w:rPr>
  </w:style>
  <w:style w:type="character" w:customStyle="1" w:styleId="70">
    <w:name w:val="NormalCharacter"/>
    <w:semiHidden/>
    <w:qFormat/>
    <w:uiPriority w:val="0"/>
    <w:rPr>
      <w:rFonts w:eastAsia="仿宋_GB2312"/>
      <w:kern w:val="2"/>
      <w:sz w:val="32"/>
      <w:lang w:val="en-US" w:eastAsia="zh-CN" w:bidi="ar-SA"/>
    </w:rPr>
  </w:style>
  <w:style w:type="paragraph" w:customStyle="1" w:styleId="71">
    <w:name w:val="Table Text"/>
    <w:basedOn w:val="1"/>
    <w:semiHidden/>
    <w:qFormat/>
    <w:uiPriority w:val="0"/>
    <w:rPr>
      <w:rFonts w:ascii="宋体" w:hAnsi="宋体" w:eastAsia="宋体" w:cs="宋体"/>
      <w:sz w:val="24"/>
      <w:szCs w:val="24"/>
      <w:lang w:val="en-US" w:eastAsia="en-US" w:bidi="ar-SA"/>
    </w:rPr>
  </w:style>
  <w:style w:type="character" w:customStyle="1" w:styleId="72">
    <w:name w:val="font51"/>
    <w:basedOn w:val="27"/>
    <w:qFormat/>
    <w:uiPriority w:val="0"/>
    <w:rPr>
      <w:rFonts w:ascii="Calibri" w:hAnsi="Calibri" w:cs="Calibri"/>
      <w:color w:val="000000"/>
      <w:sz w:val="21"/>
      <w:szCs w:val="21"/>
      <w:u w:val="none"/>
    </w:rPr>
  </w:style>
  <w:style w:type="paragraph" w:customStyle="1" w:styleId="73">
    <w:name w:val="自编正文"/>
    <w:basedOn w:val="1"/>
    <w:qFormat/>
    <w:uiPriority w:val="0"/>
    <w:pPr>
      <w:spacing w:line="560" w:lineRule="exact"/>
      <w:ind w:firstLine="200" w:firstLineChars="200"/>
    </w:pPr>
    <w:rPr>
      <w:rFonts w:ascii="等线" w:hAnsi="等线" w:eastAsia="方正仿宋_GBK"/>
      <w:sz w:val="32"/>
      <w:szCs w:val="22"/>
    </w:rPr>
  </w:style>
  <w:style w:type="paragraph" w:customStyle="1" w:styleId="74">
    <w:name w:val="Table Paragraph"/>
    <w:basedOn w:val="1"/>
    <w:qFormat/>
    <w:uiPriority w:val="1"/>
  </w:style>
  <w:style w:type="paragraph" w:customStyle="1" w:styleId="75">
    <w:name w:val="段"/>
    <w:unhideWhenUsed/>
    <w:qFormat/>
    <w:uiPriority w:val="0"/>
    <w:pPr>
      <w:spacing w:beforeLines="0" w:afterLines="0"/>
      <w:ind w:firstLine="200" w:firstLineChars="200"/>
      <w:jc w:val="both"/>
    </w:pPr>
    <w:rPr>
      <w:rFonts w:hint="default" w:ascii="宋体" w:hAnsi="Times New Roman" w:eastAsia="宋体" w:cs="Times New Roman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Sky123.Org</Company>
  <Pages>10</Pages>
  <Words>6077</Words>
  <Characters>6314</Characters>
  <Lines>59</Lines>
  <Paragraphs>16</Paragraphs>
  <TotalTime>170</TotalTime>
  <ScaleCrop>false</ScaleCrop>
  <LinksUpToDate>false</LinksUpToDate>
  <CharactersWithSpaces>6370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2021-07-21T08:32:00Z</dcterms:created>
  <dc:creator>yuyue</dc:creator>
  <cp:lastModifiedBy>04DC9E59854B4C3185A3FE42B8A844B6</cp:lastModifiedBy>
  <cp:lastPrinted>2025-12-01T01:41:00Z</cp:lastPrinted>
  <dcterms:modified xsi:type="dcterms:W3CDTF">2026-09-04T08:34:35Z</dcterms:modified>
  <cp:revision>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9CFCE0A17F824DA09EA2C903E847C217</vt:lpwstr>
  </property>
  <property fmtid="{D5CDD505-2E9C-101B-9397-08002B2CF9AE}" pid="4" name="KSOTemplateDocerSaveRecord">
    <vt:lpwstr>eyJoZGlkIjoiYmNiMmYzMzkxYzJiYTRkYTZmNTZiMDNmMDA1NzY2YmMiLCJ1c2VySWQiOiIyNTMwOTQ0NDkifQ==</vt:lpwstr>
  </property>
</Properties>
</file>