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color w:val="auto"/>
          <w:sz w:val="52"/>
          <w:szCs w:val="52"/>
          <w:highlight w:val="none"/>
          <w:u w:val="single"/>
          <w:lang w:val="en-US" w:eastAsia="zh-CN"/>
        </w:rPr>
      </w:pPr>
      <w:bookmarkStart w:id="0" w:name="_Hlk77898732"/>
      <w:bookmarkEnd w:id="0"/>
      <w:r>
        <w:rPr>
          <w:rFonts w:hint="eastAsia" w:ascii="宋体" w:hAnsi="宋体" w:eastAsia="宋体" w:cs="宋体"/>
          <w:color w:val="auto"/>
          <w:kern w:val="2"/>
          <w:sz w:val="44"/>
          <w:szCs w:val="21"/>
          <w:highlight w:val="none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-925195</wp:posOffset>
            </wp:positionV>
            <wp:extent cx="7589520" cy="2769235"/>
            <wp:effectExtent l="0" t="0" r="5080" b="24765"/>
            <wp:wrapNone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520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color w:val="auto"/>
          <w:sz w:val="52"/>
          <w:szCs w:val="52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color w:val="auto"/>
          <w:sz w:val="52"/>
          <w:szCs w:val="52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color w:val="auto"/>
          <w:sz w:val="52"/>
          <w:szCs w:val="52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color w:val="auto"/>
          <w:sz w:val="52"/>
          <w:szCs w:val="52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52"/>
          <w:szCs w:val="52"/>
          <w:highlight w:val="none"/>
          <w:u w:val="single"/>
          <w:lang w:val="en-US" w:eastAsia="zh-CN"/>
        </w:rPr>
        <w:t>南方电网互联网服务有限公司“地线融冰自动接线装置远程控制系统-远程控制安全防护软件”检测服务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color w:val="auto"/>
          <w:sz w:val="52"/>
          <w:szCs w:val="52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52"/>
          <w:szCs w:val="52"/>
          <w:highlight w:val="none"/>
          <w:u w:val="single"/>
          <w:lang w:val="en-US" w:eastAsia="zh-CN"/>
        </w:rPr>
        <w:t>零星采购项目</w:t>
      </w:r>
    </w:p>
    <w:p>
      <w:pPr>
        <w:pStyle w:val="14"/>
        <w:pageBreakBefore w:val="0"/>
        <w:shd w:val="clear"/>
        <w:kinsoku/>
        <w:wordWrap/>
        <w:overflowPunct/>
        <w:topLinePunct w:val="0"/>
        <w:autoSpaceDE/>
        <w:autoSpaceDN/>
        <w:bidi w:val="0"/>
        <w:spacing w:line="400" w:lineRule="exact"/>
        <w:jc w:val="both"/>
        <w:rPr>
          <w:rStyle w:val="15"/>
          <w:rFonts w:hint="eastAsia" w:ascii="宋体" w:hAnsi="宋体" w:eastAsia="宋体" w:cs="宋体"/>
          <w:color w:val="auto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color w:val="auto"/>
          <w:sz w:val="52"/>
          <w:szCs w:val="52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52"/>
          <w:szCs w:val="52"/>
          <w:highlight w:val="none"/>
          <w:u w:val="none"/>
          <w:lang w:val="en-US" w:eastAsia="zh-CN"/>
        </w:rPr>
        <w:t>技术规范书</w:t>
      </w:r>
    </w:p>
    <w:p>
      <w:pPr>
        <w:pStyle w:val="2"/>
        <w:rPr>
          <w:rFonts w:hint="default"/>
          <w:lang w:val="en-US" w:eastAsia="zh-CN"/>
        </w:rPr>
      </w:pPr>
    </w:p>
    <w:p>
      <w:pPr>
        <w:pStyle w:val="9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14"/>
        <w:pageBreakBefore w:val="0"/>
        <w:shd w:val="clear"/>
        <w:kinsoku/>
        <w:wordWrap/>
        <w:overflowPunct/>
        <w:topLinePunct w:val="0"/>
        <w:autoSpaceDE/>
        <w:autoSpaceDN/>
        <w:bidi w:val="0"/>
        <w:spacing w:line="400" w:lineRule="exact"/>
        <w:rPr>
          <w:rStyle w:val="15"/>
          <w:rFonts w:hint="eastAsia" w:ascii="宋体" w:hAnsi="宋体" w:eastAsia="宋体" w:cs="宋体"/>
          <w:color w:val="auto"/>
          <w:highlight w:val="none"/>
        </w:rPr>
      </w:pPr>
      <w:r>
        <w:rPr>
          <w:rStyle w:val="15"/>
          <w:rFonts w:hint="eastAsia" w:ascii="宋体" w:hAnsi="宋体" w:eastAsia="宋体" w:cs="宋体"/>
          <w:color w:val="auto"/>
          <w:highlight w:val="none"/>
        </w:rPr>
        <w:t>南方电网互联网服务有限公司</w:t>
      </w:r>
    </w:p>
    <w:p>
      <w:pPr>
        <w:shd w:val="clear"/>
        <w:bidi w:val="0"/>
        <w:jc w:val="center"/>
        <w:rPr>
          <w:rStyle w:val="15"/>
          <w:rFonts w:hint="eastAsia" w:ascii="宋体" w:hAnsi="宋体" w:eastAsia="宋体" w:cs="宋体"/>
          <w:color w:val="auto"/>
          <w:highlight w:val="none"/>
        </w:rPr>
      </w:pPr>
      <w:bookmarkStart w:id="1" w:name="_Toc30850"/>
      <w:r>
        <w:rPr>
          <w:rStyle w:val="15"/>
          <w:rFonts w:hint="eastAsia" w:ascii="宋体" w:hAnsi="宋体" w:eastAsia="宋体" w:cs="宋体"/>
          <w:color w:val="auto"/>
          <w:highlight w:val="none"/>
        </w:rPr>
        <w:t>二〇二</w:t>
      </w:r>
      <w:r>
        <w:rPr>
          <w:rStyle w:val="15"/>
          <w:rFonts w:hint="eastAsia" w:ascii="宋体" w:hAnsi="宋体" w:eastAsia="宋体" w:cs="宋体"/>
          <w:color w:val="auto"/>
          <w:highlight w:val="none"/>
          <w:lang w:val="en-US" w:eastAsia="zh-CN"/>
        </w:rPr>
        <w:t>六</w:t>
      </w:r>
      <w:r>
        <w:rPr>
          <w:rStyle w:val="15"/>
          <w:rFonts w:hint="eastAsia" w:ascii="宋体" w:hAnsi="宋体" w:eastAsia="宋体" w:cs="宋体"/>
          <w:color w:val="auto"/>
          <w:highlight w:val="none"/>
        </w:rPr>
        <w:t>年</w:t>
      </w:r>
      <w:r>
        <w:rPr>
          <w:rStyle w:val="15"/>
          <w:rFonts w:hint="eastAsia" w:ascii="宋体" w:hAnsi="宋体" w:eastAsia="宋体" w:cs="宋体"/>
          <w:color w:val="auto"/>
          <w:highlight w:val="none"/>
          <w:lang w:val="en-US" w:eastAsia="zh-CN"/>
        </w:rPr>
        <w:t>九</w:t>
      </w:r>
      <w:r>
        <w:rPr>
          <w:rStyle w:val="15"/>
          <w:rFonts w:hint="eastAsia" w:ascii="宋体" w:hAnsi="宋体" w:eastAsia="宋体" w:cs="宋体"/>
          <w:color w:val="auto"/>
          <w:highlight w:val="none"/>
        </w:rPr>
        <w:t>月</w:t>
      </w:r>
      <w:bookmarkEnd w:id="1"/>
    </w:p>
    <w:p>
      <w:pPr>
        <w:pStyle w:val="9"/>
        <w:rPr>
          <w:rFonts w:hint="default"/>
          <w:lang w:val="en-US" w:eastAsia="zh-CN"/>
        </w:rPr>
        <w:sectPr>
          <w:footerReference r:id="rId5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425" w:num="1"/>
          <w:docGrid w:type="lines" w:linePitch="312" w:charSpace="0"/>
        </w:sectPr>
      </w:pPr>
    </w:p>
    <w:p>
      <w:pPr>
        <w:pStyle w:val="3"/>
        <w:keepNext w:val="0"/>
        <w:keepLines w:val="0"/>
        <w:shd w:val="clear"/>
        <w:autoSpaceDE/>
        <w:autoSpaceDN/>
        <w:bidi w:val="0"/>
        <w:adjustRightInd/>
        <w:spacing w:before="340" w:after="330"/>
        <w:jc w:val="left"/>
        <w:rPr>
          <w:rFonts w:hint="eastAsia" w:ascii="宋体" w:hAnsi="宋体" w:eastAsia="宋体" w:cs="宋体"/>
          <w:color w:val="auto"/>
          <w:kern w:val="44"/>
          <w:sz w:val="30"/>
          <w:highlight w:val="none"/>
          <w:lang w:val="en-US" w:eastAsia="zh-CN"/>
        </w:rPr>
      </w:pPr>
      <w:bookmarkStart w:id="2" w:name="_Toc1085715652"/>
      <w:bookmarkStart w:id="3" w:name="_Toc214023184"/>
      <w:bookmarkStart w:id="4" w:name="_Toc2024937932"/>
      <w:bookmarkStart w:id="5" w:name="_Toc618925366"/>
      <w:bookmarkStart w:id="6" w:name="_Toc276138328"/>
      <w:bookmarkStart w:id="7" w:name="_Toc1151926207"/>
      <w:bookmarkStart w:id="8" w:name="_Toc557529485"/>
      <w:bookmarkStart w:id="9" w:name="_Toc2106148808"/>
      <w:bookmarkStart w:id="10" w:name="_Toc886984022"/>
      <w:bookmarkStart w:id="11" w:name="_Toc177357500"/>
      <w:bookmarkStart w:id="12" w:name="_Toc1820370485"/>
      <w:bookmarkStart w:id="13" w:name="_Toc337583533"/>
      <w:bookmarkStart w:id="14" w:name="_Toc2117501168"/>
      <w:bookmarkStart w:id="15" w:name="_Toc1947878094"/>
      <w:bookmarkStart w:id="16" w:name="_Toc1718873064"/>
      <w:r>
        <w:rPr>
          <w:rFonts w:hint="eastAsia" w:ascii="宋体" w:hAnsi="宋体" w:cs="宋体"/>
          <w:color w:val="auto"/>
          <w:kern w:val="44"/>
          <w:sz w:val="30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kern w:val="44"/>
          <w:sz w:val="30"/>
          <w:highlight w:val="none"/>
          <w:lang w:val="en-US" w:eastAsia="zh-CN"/>
        </w:rPr>
        <w:t>、总则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1.1.1 本文件适用于南方电网互联网服务有限公司“地线融冰自动接线装置远程控制系统-远程控制安全防护软件”检测服务零星采购项目，本文件的最终解释权归采购人所有。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1.1.2 所有采购人认为属于本文件范围要求但被遗漏的项目，都被认为是包含在本次采购范围内，供应商的报价被视为包含此遗漏项目。供应商可以就采购人认为的遗漏项目提请采购人注意，并详细说明理由。采购人将就此进行澄清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1.1.3 供应商应保证所提供的所有资料真实、完整、准确无误，否则采购人将有权取消供应商的报价资格，由此产生的一切后果由供应商承担。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  <w:shd w:val="clear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  <w:shd w:val="clear"/>
          <w:lang w:val="en-US" w:eastAsia="zh-CN" w:bidi="ar-SA"/>
        </w:rPr>
        <w:t>1.1.4 本技术规范书经采购人、成交供应商双方确认后，作为合同签订的附件，与合同正文具有同等的法律效力。</w:t>
      </w:r>
    </w:p>
    <w:p>
      <w:pPr>
        <w:spacing w:after="0"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sectPr>
          <w:footerReference r:id="rId6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1.1.5 本规范书未尽事宜，双方可通过友好协商进行补充和完善，补充协议与本规范书具有同等法律效力。</w:t>
      </w:r>
    </w:p>
    <w:p>
      <w:pPr>
        <w:pStyle w:val="3"/>
        <w:spacing w:before="340" w:after="330"/>
        <w:jc w:val="left"/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  <w:t>2、遵循标准</w:t>
      </w:r>
    </w:p>
    <w:p>
      <w:pPr>
        <w:pStyle w:val="5"/>
        <w:spacing w:before="156" w:beforeLines="50" w:after="156" w:afterLines="50" w:line="360" w:lineRule="auto"/>
        <w:ind w:firstLine="487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eastAsia="宋体" w:cs="Times New Roman"/>
          <w:color w:val="auto"/>
          <w:sz w:val="24"/>
          <w:szCs w:val="22"/>
          <w:highlight w:val="none"/>
          <w:lang w:val="en-US" w:eastAsia="zh-CN"/>
        </w:rPr>
        <w:t>供应商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</w:rPr>
        <w:t>所提供的技术服务需按下列标准和</w:t>
      </w:r>
      <w:r>
        <w:rPr>
          <w:rFonts w:hint="eastAsia" w:eastAsia="宋体" w:cs="Times New Roman"/>
          <w:color w:val="auto"/>
          <w:sz w:val="24"/>
          <w:szCs w:val="22"/>
          <w:highlight w:val="none"/>
          <w:lang w:val="en-US" w:eastAsia="zh-CN"/>
        </w:rPr>
        <w:t>要求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</w:rPr>
        <w:t>进行检验。要求所用标准必须是最新版本，</w:t>
      </w:r>
      <w:r>
        <w:rPr>
          <w:rFonts w:hint="eastAsia" w:eastAsia="宋体" w:cs="Times New Roman"/>
          <w:color w:val="auto"/>
          <w:sz w:val="24"/>
          <w:szCs w:val="22"/>
          <w:highlight w:val="none"/>
          <w:lang w:val="en-US" w:eastAsia="zh-CN"/>
        </w:rPr>
        <w:t>若与此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</w:rPr>
        <w:t>标准有矛盾时，应按最高标准的条款执行或按双方商定的标准执行。如</w:t>
      </w:r>
      <w:r>
        <w:rPr>
          <w:rFonts w:hint="eastAsia" w:eastAsia="宋体" w:cs="Times New Roman"/>
          <w:color w:val="auto"/>
          <w:sz w:val="24"/>
          <w:szCs w:val="22"/>
          <w:highlight w:val="none"/>
          <w:lang w:val="en-US" w:eastAsia="zh-CN"/>
        </w:rPr>
        <w:t>供应商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</w:rPr>
        <w:t>选用本项目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eastAsia="zh-CN"/>
        </w:rPr>
        <w:t>技术规范书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</w:rPr>
        <w:t>规定以外的标准时，需提交所替换标准相当或优于本项目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eastAsia="zh-CN"/>
        </w:rPr>
        <w:t>技术规范书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</w:rPr>
        <w:t>规定的标准的</w:t>
      </w:r>
      <w:r>
        <w:rPr>
          <w:rFonts w:hint="eastAsia" w:ascii="宋体" w:hAnsi="宋体" w:eastAsia="宋体" w:cs="宋体"/>
          <w:sz w:val="24"/>
          <w:szCs w:val="24"/>
        </w:rPr>
        <w:t>证明。</w:t>
      </w:r>
    </w:p>
    <w:p>
      <w:pPr>
        <w:keepNext w:val="0"/>
        <w:keepLines w:val="0"/>
        <w:widowControl/>
        <w:spacing w:after="0" w:line="360" w:lineRule="auto"/>
        <w:ind w:firstLine="480" w:firstLineChars="200"/>
        <w:jc w:val="both"/>
        <w:outlineLvl w:val="9"/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</w:rPr>
        <w:t>适用标准：GB/T25000.51-2016《系统与软件工程系统与软件质量要求和评价(SQuaRE)第51部分:就绪可用软件产品(RUSP)的质量要求和测试细则》</w:t>
      </w:r>
      <w:r>
        <w:rPr>
          <w:rFonts w:hint="default" w:eastAsia="宋体" w:cs="Times New Roman"/>
          <w:color w:val="auto"/>
          <w:sz w:val="24"/>
          <w:szCs w:val="22"/>
          <w:highlight w:val="none"/>
          <w:lang w:eastAsia="zh-CN"/>
        </w:rPr>
        <w:t>。</w:t>
      </w:r>
    </w:p>
    <w:p>
      <w:pPr>
        <w:pStyle w:val="3"/>
        <w:keepNext w:val="0"/>
        <w:keepLines w:val="0"/>
        <w:autoSpaceDE/>
        <w:autoSpaceDN/>
        <w:adjustRightInd/>
        <w:spacing w:before="340" w:after="330"/>
        <w:jc w:val="left"/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kern w:val="44"/>
          <w:sz w:val="30"/>
          <w:szCs w:val="22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  <w:t>、服务范围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根据采购人要求</w:t>
      </w:r>
      <w:r>
        <w:rPr>
          <w:rFonts w:hint="eastAsia" w:cs="Times New Roman"/>
          <w:color w:val="auto"/>
          <w:sz w:val="24"/>
          <w:szCs w:val="22"/>
          <w:highlight w:val="none"/>
          <w:lang w:val="en-US" w:eastAsia="zh-CN"/>
        </w:rPr>
        <w:t>到指定地点（测试环境）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开展产品“地线融冰自动接线装置远程控制系统-远程控制安全防护软件”测试试验，包含功能性、性能效率和信息安全性测试，共192个测试项</w:t>
      </w:r>
      <w:r>
        <w:rPr>
          <w:rFonts w:hint="eastAsia" w:cs="Times New Roman"/>
          <w:color w:val="auto"/>
          <w:sz w:val="24"/>
          <w:szCs w:val="22"/>
          <w:highlight w:val="none"/>
          <w:lang w:val="en-US" w:eastAsia="zh-CN"/>
        </w:rPr>
        <w:t>（详见报价表）。</w:t>
      </w:r>
    </w:p>
    <w:p>
      <w:pPr>
        <w:pStyle w:val="3"/>
        <w:spacing w:before="340" w:after="330"/>
        <w:jc w:val="left"/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kern w:val="44"/>
          <w:sz w:val="30"/>
          <w:szCs w:val="22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  <w:t>、</w:t>
      </w:r>
      <w:r>
        <w:rPr>
          <w:rFonts w:hint="eastAsia" w:ascii="宋体" w:hAnsi="宋体" w:cs="宋体"/>
          <w:color w:val="auto"/>
          <w:kern w:val="44"/>
          <w:sz w:val="30"/>
          <w:szCs w:val="22"/>
          <w:highlight w:val="none"/>
          <w:lang w:val="en-US" w:eastAsia="zh-CN"/>
        </w:rPr>
        <w:t>合同</w:t>
      </w:r>
      <w:r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  <w:t>服务期限</w:t>
      </w:r>
    </w:p>
    <w:p>
      <w:pPr>
        <w:widowControl/>
        <w:autoSpaceDE/>
        <w:autoSpaceDN/>
        <w:adjustRightInd/>
        <w:spacing w:before="340" w:after="0" w:line="360" w:lineRule="auto"/>
        <w:ind w:firstLine="480" w:firstLineChars="200"/>
        <w:jc w:val="both"/>
        <w:outlineLvl w:val="9"/>
        <w:rPr>
          <w:rFonts w:hint="eastAsia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自合同签订</w:t>
      </w:r>
      <w:r>
        <w:rPr>
          <w:rFonts w:hint="eastAsia" w:cs="Times New Roman"/>
          <w:color w:val="auto"/>
          <w:sz w:val="24"/>
          <w:szCs w:val="22"/>
          <w:highlight w:val="none"/>
          <w:lang w:val="en-US" w:eastAsia="zh-CN"/>
        </w:rPr>
        <w:t>日</w:t>
      </w:r>
      <w:r>
        <w:rPr>
          <w:rFonts w:hint="eastAsia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起6个月内完成全部工作并通过验收。</w:t>
      </w:r>
    </w:p>
    <w:p>
      <w:pPr>
        <w:pStyle w:val="3"/>
        <w:spacing w:before="340" w:after="330"/>
        <w:jc w:val="left"/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kern w:val="44"/>
          <w:sz w:val="30"/>
          <w:szCs w:val="22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  <w:t>、资质要求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供应商须同时满足以下条件：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auto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（1）</w:t>
      </w:r>
      <w:r>
        <w:rPr>
          <w:rFonts w:hint="default" w:ascii="Times New Roman" w:hAnsi="Times New Roman" w:eastAsia="宋体" w:cs="Times New Roman"/>
          <w:color w:val="auto"/>
          <w:highlight w:val="none"/>
          <w:lang w:val="en-US" w:eastAsia="zh-CN"/>
        </w:rPr>
        <w:t>具有独立法人资格，持有有效的营业执照、税务登记证、组织机构代码证（或统一社会信用代码营业执照）。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highlight w:val="none"/>
          <w:lang w:val="en-US" w:eastAsia="zh-CN"/>
        </w:rPr>
        <w:t>（2）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须具备有效期内《中国合格评定国家认可委员会实验室认可证书》（CNAS）。</w:t>
      </w:r>
    </w:p>
    <w:p>
      <w:pPr>
        <w:pStyle w:val="3"/>
        <w:spacing w:before="340" w:after="330"/>
        <w:jc w:val="left"/>
        <w:rPr>
          <w:rFonts w:hint="default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kern w:val="44"/>
          <w:sz w:val="30"/>
          <w:szCs w:val="22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  <w:t>、</w:t>
      </w:r>
      <w:r>
        <w:rPr>
          <w:rFonts w:hint="eastAsia" w:ascii="宋体" w:hAnsi="宋体" w:cs="宋体"/>
          <w:color w:val="auto"/>
          <w:kern w:val="44"/>
          <w:sz w:val="30"/>
          <w:szCs w:val="22"/>
          <w:highlight w:val="none"/>
          <w:lang w:val="en-US" w:eastAsia="zh-CN"/>
        </w:rPr>
        <w:t>交付成果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严格依据国家相关标准开展检测工作，出具完整、真实、规范的检测报告，检测报告要求如下：</w:t>
      </w:r>
    </w:p>
    <w:p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</w:pPr>
      <w:r>
        <w:rPr>
          <w:rFonts w:hint="eastAsia" w:eastAsia="宋体" w:cs="Times New Roman"/>
          <w:color w:val="auto"/>
          <w:sz w:val="24"/>
          <w:szCs w:val="22"/>
          <w:highlight w:val="none"/>
          <w:lang w:val="en-US" w:eastAsia="zh-CN"/>
        </w:rPr>
        <w:t>（1）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检测报告须加盖供应商的检验检测专用章；</w:t>
      </w:r>
    </w:p>
    <w:p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</w:pPr>
      <w:r>
        <w:rPr>
          <w:rFonts w:hint="eastAsia" w:eastAsia="宋体" w:cs="Times New Roman"/>
          <w:color w:val="auto"/>
          <w:sz w:val="24"/>
          <w:szCs w:val="22"/>
          <w:highlight w:val="none"/>
          <w:lang w:val="en-US" w:eastAsia="zh-CN"/>
        </w:rPr>
        <w:t>（2）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检测报告封面上方适当位置须体现CNAS认可标识；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（3）检测报告中应包括</w:t>
      </w:r>
      <w:r>
        <w:rPr>
          <w:rFonts w:hint="eastAsia" w:cs="Times New Roman"/>
          <w:color w:val="auto"/>
          <w:sz w:val="24"/>
          <w:szCs w:val="22"/>
          <w:highlight w:val="none"/>
          <w:lang w:val="en-US" w:eastAsia="zh-CN"/>
        </w:rPr>
        <w:t>但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不限于：测试依据和标准、测试范围、测试工具、测试结论及相关人员签发等信息；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（4）检测报告提交方式为纸质版</w:t>
      </w:r>
      <w:r>
        <w:rPr>
          <w:rFonts w:hint="eastAsia" w:cs="Times New Roman"/>
          <w:color w:val="auto"/>
          <w:sz w:val="24"/>
          <w:szCs w:val="22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电子版和扫描件各一份，内容须完全一致。</w:t>
      </w:r>
    </w:p>
    <w:p>
      <w:pPr>
        <w:pStyle w:val="3"/>
        <w:spacing w:before="340" w:after="330"/>
        <w:jc w:val="left"/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  <w:t>7、检测</w:t>
      </w:r>
      <w:r>
        <w:rPr>
          <w:rFonts w:hint="eastAsia" w:ascii="宋体" w:hAnsi="宋体" w:cs="宋体"/>
          <w:color w:val="auto"/>
          <w:kern w:val="44"/>
          <w:sz w:val="30"/>
          <w:szCs w:val="22"/>
          <w:highlight w:val="none"/>
          <w:lang w:val="en-US" w:eastAsia="zh-CN"/>
        </w:rPr>
        <w:t>周期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</w:pPr>
      <w:r>
        <w:rPr>
          <w:rFonts w:hint="eastAsia" w:cs="Times New Roman"/>
          <w:color w:val="auto"/>
          <w:sz w:val="24"/>
          <w:szCs w:val="22"/>
          <w:highlight w:val="none"/>
          <w:lang w:val="en-US" w:eastAsia="zh-CN"/>
        </w:rPr>
        <w:t>（1）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在采购人下达检测任务后，原则上不超过7个工作日完成检测并出具报告。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="0" w:afterLines="0" w:line="360" w:lineRule="auto"/>
        <w:ind w:firstLine="480" w:firstLineChars="200"/>
        <w:jc w:val="both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</w:pPr>
      <w:r>
        <w:rPr>
          <w:rFonts w:hint="eastAsia" w:cs="Times New Roman"/>
          <w:color w:val="auto"/>
          <w:sz w:val="24"/>
          <w:szCs w:val="22"/>
          <w:highlight w:val="none"/>
          <w:lang w:val="en-US" w:eastAsia="zh-CN"/>
        </w:rPr>
        <w:t>（2）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若检测过程中发现</w:t>
      </w:r>
      <w:r>
        <w:rPr>
          <w:rFonts w:hint="eastAsia" w:cs="Times New Roman"/>
          <w:color w:val="auto"/>
          <w:sz w:val="24"/>
          <w:szCs w:val="22"/>
          <w:highlight w:val="none"/>
          <w:lang w:val="en-US" w:eastAsia="zh-CN"/>
        </w:rPr>
        <w:t>检测内容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不合格，供应商应立即暂停</w:t>
      </w:r>
      <w:r>
        <w:rPr>
          <w:rFonts w:hint="eastAsia" w:cs="Times New Roman"/>
          <w:color w:val="auto"/>
          <w:sz w:val="24"/>
          <w:szCs w:val="22"/>
          <w:highlight w:val="none"/>
          <w:lang w:val="en-US" w:eastAsia="zh-CN"/>
        </w:rPr>
        <w:t>检测工作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，并在检测当日以书面形式将检测结果告知采购人。</w:t>
      </w:r>
    </w:p>
    <w:p>
      <w:pPr>
        <w:widowControl/>
        <w:spacing w:beforeLines="0" w:after="0" w:afterLines="0" w:line="360" w:lineRule="auto"/>
        <w:ind w:firstLine="480" w:firstLineChars="200"/>
        <w:outlineLvl w:val="9"/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（3）如遇特殊情况导致交付延误，供应商应提前1个工作日书面通知采购人，并说明延误原因及预计交付时间，经采购人同意后方可延期。否则，采购人有权追究供应商的违约责任。</w:t>
      </w:r>
    </w:p>
    <w:p>
      <w:pPr>
        <w:pStyle w:val="3"/>
        <w:keepNext w:val="0"/>
        <w:keepLines w:val="0"/>
        <w:spacing w:before="340" w:after="330"/>
        <w:jc w:val="left"/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color w:val="auto"/>
          <w:kern w:val="44"/>
          <w:sz w:val="30"/>
          <w:szCs w:val="22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/>
          <w:color w:val="auto"/>
          <w:kern w:val="44"/>
          <w:sz w:val="30"/>
          <w:szCs w:val="22"/>
          <w:highlight w:val="none"/>
          <w:lang w:val="en-US" w:eastAsia="zh-CN"/>
        </w:rPr>
        <w:t>、验收标准</w:t>
      </w:r>
    </w:p>
    <w:p>
      <w:pPr>
        <w:keepNext w:val="0"/>
        <w:keepLines w:val="0"/>
        <w:widowControl/>
        <w:suppressLineNumbers w:val="0"/>
        <w:spacing w:beforeLines="0" w:after="0" w:afterLines="0" w:line="360" w:lineRule="auto"/>
        <w:ind w:firstLine="480" w:firstLineChars="200"/>
        <w:jc w:val="left"/>
        <w:outlineLvl w:val="9"/>
        <w:rPr>
          <w:rFonts w:hint="default" w:eastAsia="宋体"/>
          <w:color w:val="auto"/>
          <w:highlight w:val="none"/>
        </w:rPr>
      </w:pPr>
      <w:r>
        <w:rPr>
          <w:rFonts w:hint="eastAsia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供应商按期</w:t>
      </w:r>
      <w:r>
        <w:rPr>
          <w:rFonts w:hint="default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完成</w:t>
      </w:r>
      <w:r>
        <w:rPr>
          <w:rFonts w:hint="eastAsia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本项目服务内容</w:t>
      </w:r>
      <w:r>
        <w:rPr>
          <w:rFonts w:hint="default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，提交满足本技术规范书约定的交付成果。保证</w:t>
      </w:r>
      <w:r>
        <w:rPr>
          <w:rFonts w:hint="eastAsia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交付</w:t>
      </w:r>
      <w:r>
        <w:rPr>
          <w:rFonts w:hint="default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成果及验收材料齐全、</w:t>
      </w:r>
      <w:r>
        <w:rPr>
          <w:rFonts w:hint="eastAsia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满足本技术规范书及采购人</w:t>
      </w:r>
      <w:r>
        <w:rPr>
          <w:rFonts w:hint="default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相应标准。</w:t>
      </w:r>
    </w:p>
    <w:p>
      <w:pPr>
        <w:pStyle w:val="3"/>
        <w:spacing w:before="340" w:after="330"/>
        <w:jc w:val="left"/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kern w:val="44"/>
          <w:sz w:val="30"/>
          <w:szCs w:val="22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  <w:t>、费用结算</w:t>
      </w:r>
    </w:p>
    <w:p>
      <w:pPr>
        <w:widowControl/>
        <w:spacing w:beforeLines="0" w:after="0" w:afterLines="0" w:line="360" w:lineRule="auto"/>
        <w:ind w:firstLine="480" w:firstLineChars="200"/>
        <w:outlineLvl w:val="9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2"/>
          <w:highlight w:val="none"/>
          <w:lang w:val="en-US" w:eastAsia="zh-CN"/>
        </w:rPr>
        <w:t>采购人根据验收标准进行验收，验收无误后，成交供应商依据本项目成交金额向采购人开具等额、合规的增值税专用发票。采购人在收到发票且核实发票金额与应付金额一致后，于30个工作日内支付相应款项。若成交供应商逾期送达发票或验收材料，则采购人的付款时间相应顺延，直至收到完整、准确的结算资料为止。</w:t>
      </w:r>
    </w:p>
    <w:p>
      <w:pPr>
        <w:pStyle w:val="3"/>
        <w:spacing w:before="340" w:after="330"/>
        <w:jc w:val="left"/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color w:val="auto"/>
          <w:kern w:val="44"/>
          <w:sz w:val="30"/>
          <w:szCs w:val="22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b/>
          <w:color w:val="auto"/>
          <w:kern w:val="44"/>
          <w:sz w:val="30"/>
          <w:szCs w:val="22"/>
          <w:highlight w:val="none"/>
          <w:lang w:val="en-US" w:eastAsia="zh-CN"/>
        </w:rPr>
        <w:t>、报价响应要求</w:t>
      </w:r>
    </w:p>
    <w:p>
      <w:pPr>
        <w:keepNext w:val="0"/>
        <w:keepLines w:val="0"/>
        <w:widowControl/>
        <w:autoSpaceDE/>
        <w:autoSpaceDN/>
        <w:adjustRightInd/>
        <w:spacing w:beforeLines="0" w:after="0" w:afterLines="0" w:line="360" w:lineRule="auto"/>
        <w:ind w:firstLine="480" w:firstLineChars="200"/>
        <w:outlineLvl w:val="9"/>
        <w:rPr>
          <w:rFonts w:hint="eastAsia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供应商须按下列要求完整提交响应文件，材料缺失或不满足要求的，视为报价无效</w:t>
      </w:r>
      <w:r>
        <w:rPr>
          <w:rFonts w:hint="eastAsia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：</w:t>
      </w:r>
    </w:p>
    <w:p>
      <w:pPr>
        <w:keepNext w:val="0"/>
        <w:keepLines w:val="0"/>
        <w:widowControl/>
        <w:autoSpaceDE/>
        <w:autoSpaceDN/>
        <w:adjustRightInd/>
        <w:spacing w:beforeLines="0" w:after="0" w:afterLines="0" w:line="360" w:lineRule="auto"/>
        <w:ind w:firstLine="480" w:firstLineChars="200"/>
        <w:outlineLvl w:val="9"/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（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1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）企业</w:t>
      </w:r>
      <w:r>
        <w:rPr>
          <w:rFonts w:hint="eastAsia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有效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营业执照复印件（加盖单位公章</w:t>
      </w:r>
      <w:r>
        <w:rPr>
          <w:rFonts w:hint="eastAsia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）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；</w:t>
      </w:r>
    </w:p>
    <w:p>
      <w:pPr>
        <w:keepNext w:val="0"/>
        <w:keepLines w:val="0"/>
        <w:widowControl/>
        <w:autoSpaceDE/>
        <w:autoSpaceDN/>
        <w:adjustRightInd/>
        <w:spacing w:beforeLines="0" w:after="0" w:afterLines="0" w:line="360" w:lineRule="auto"/>
        <w:ind w:firstLine="480" w:firstLineChars="200"/>
        <w:outlineLvl w:val="9"/>
        <w:rPr>
          <w:rFonts w:hint="default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（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2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）在有效期内的</w:t>
      </w:r>
      <w:r>
        <w:rPr>
          <w:rFonts w:hint="default" w:ascii="Times New Roman" w:hAnsi="Times New Roman" w:eastAsia="宋体" w:cs="Times New Roman"/>
          <w:color w:val="auto"/>
          <w:sz w:val="24"/>
          <w:szCs w:val="22"/>
          <w:highlight w:val="none"/>
          <w:lang w:val="en-US" w:eastAsia="zh-CN"/>
        </w:rPr>
        <w:t>《中国合格评定国家认可委员会实验室认可证书》（CNAS）</w:t>
      </w:r>
      <w:r>
        <w:rPr>
          <w:rFonts w:hint="eastAsia" w:cs="Times New Roman"/>
          <w:color w:val="auto"/>
          <w:sz w:val="24"/>
          <w:szCs w:val="22"/>
          <w:highlight w:val="none"/>
          <w:lang w:val="en-US" w:eastAsia="zh-CN"/>
        </w:rPr>
        <w:t>复印件</w:t>
      </w:r>
      <w:bookmarkStart w:id="17" w:name="_GoBack"/>
      <w:bookmarkEnd w:id="17"/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；</w:t>
      </w:r>
    </w:p>
    <w:p>
      <w:pPr>
        <w:autoSpaceDE/>
        <w:autoSpaceDN/>
        <w:adjustRightInd/>
        <w:spacing w:beforeLines="0" w:afterLines="0" w:line="360" w:lineRule="auto"/>
        <w:ind w:firstLine="480" w:firstLineChars="200"/>
        <w:outlineLvl w:val="9"/>
        <w:rPr>
          <w:rFonts w:hint="eastAsia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（</w:t>
      </w:r>
      <w:r>
        <w:rPr>
          <w:rFonts w:hint="eastAsia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3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）报价表，格式详见附件</w:t>
      </w:r>
      <w:r>
        <w:rPr>
          <w:rFonts w:hint="eastAsia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1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《报价表</w:t>
      </w:r>
      <w:r>
        <w:rPr>
          <w:rFonts w:hint="eastAsia" w:eastAsia="宋体" w:cs="Times New Roman"/>
          <w:color w:val="auto"/>
          <w:kern w:val="2"/>
          <w:sz w:val="24"/>
          <w:szCs w:val="22"/>
          <w:highlight w:val="none"/>
          <w:lang w:val="en-US" w:eastAsia="zh-CN" w:bidi="ar-SA"/>
        </w:rPr>
        <w:t>》。</w:t>
      </w:r>
    </w:p>
    <w:p>
      <w:pPr>
        <w:pStyle w:val="3"/>
        <w:spacing w:before="340" w:after="330"/>
        <w:jc w:val="left"/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44"/>
          <w:sz w:val="30"/>
          <w:szCs w:val="22"/>
          <w:highlight w:val="none"/>
          <w:lang w:val="en-US" w:eastAsia="zh-CN" w:bidi="ar-SA"/>
        </w:rPr>
        <w:t>11、保密要求</w:t>
      </w:r>
    </w:p>
    <w:p>
      <w:pPr>
        <w:widowControl/>
        <w:spacing w:beforeLines="0" w:after="0" w:afterLines="0" w:line="360" w:lineRule="auto"/>
        <w:ind w:firstLine="480" w:firstLineChars="200"/>
        <w:outlineLvl w:val="9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（1）</w:t>
      </w: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供应商</w:t>
      </w:r>
      <w:r>
        <w:rPr>
          <w:rFonts w:hint="eastAsia"/>
          <w:color w:val="auto"/>
          <w:highlight w:val="none"/>
          <w:lang w:val="en-US" w:eastAsia="zh-CN"/>
        </w:rPr>
        <w:t>应严格遵守国家有关保密法律法规和采购</w:t>
      </w: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人</w:t>
      </w:r>
      <w:r>
        <w:rPr>
          <w:rFonts w:hint="eastAsia"/>
          <w:color w:val="auto"/>
          <w:highlight w:val="none"/>
          <w:lang w:val="en-US" w:eastAsia="zh-CN"/>
        </w:rPr>
        <w:t>的保密管理规定，对在项目实施过程中接触到的采购</w:t>
      </w: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人</w:t>
      </w:r>
      <w:r>
        <w:rPr>
          <w:rFonts w:hint="eastAsia"/>
          <w:color w:val="auto"/>
          <w:highlight w:val="none"/>
          <w:lang w:val="en-US" w:eastAsia="zh-CN"/>
        </w:rPr>
        <w:t>的涉密信息承担保密责任。​</w:t>
      </w:r>
    </w:p>
    <w:p>
      <w:pPr>
        <w:widowControl/>
        <w:spacing w:beforeLines="0" w:after="0" w:afterLines="0" w:line="360" w:lineRule="auto"/>
        <w:ind w:firstLine="480" w:firstLineChars="200"/>
        <w:outlineLvl w:val="9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（2）</w:t>
      </w: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供应商</w:t>
      </w:r>
      <w:r>
        <w:rPr>
          <w:rFonts w:hint="eastAsia"/>
          <w:color w:val="auto"/>
          <w:highlight w:val="none"/>
          <w:lang w:val="en-US" w:eastAsia="zh-CN"/>
        </w:rPr>
        <w:t>应与采购</w:t>
      </w: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人</w:t>
      </w:r>
      <w:r>
        <w:rPr>
          <w:rFonts w:hint="eastAsia"/>
          <w:color w:val="auto"/>
          <w:highlight w:val="none"/>
          <w:lang w:val="en-US" w:eastAsia="zh-CN"/>
        </w:rPr>
        <w:t>签订保密协议，明确保密义务和责任。未经采购</w:t>
      </w: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人</w:t>
      </w:r>
      <w:r>
        <w:rPr>
          <w:rFonts w:hint="eastAsia"/>
          <w:color w:val="auto"/>
          <w:highlight w:val="none"/>
          <w:lang w:val="en-US" w:eastAsia="zh-CN"/>
        </w:rPr>
        <w:t>书面同意，</w:t>
      </w: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供应商</w:t>
      </w:r>
      <w:r>
        <w:rPr>
          <w:rFonts w:hint="eastAsia"/>
          <w:color w:val="auto"/>
          <w:highlight w:val="none"/>
          <w:lang w:val="en-US" w:eastAsia="zh-CN"/>
        </w:rPr>
        <w:t>不得向任何第三方泄露采购</w:t>
      </w: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人</w:t>
      </w:r>
      <w:r>
        <w:rPr>
          <w:rFonts w:hint="eastAsia"/>
          <w:color w:val="auto"/>
          <w:highlight w:val="none"/>
          <w:lang w:val="en-US" w:eastAsia="zh-CN"/>
        </w:rPr>
        <w:t>的涉密信息。​</w:t>
      </w:r>
    </w:p>
    <w:p>
      <w:pPr>
        <w:widowControl/>
        <w:spacing w:beforeLines="0" w:after="0" w:afterLines="0" w:line="360" w:lineRule="auto"/>
        <w:ind w:firstLine="480" w:firstLineChars="200"/>
        <w:outlineLvl w:val="9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（3）</w:t>
      </w: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供应商</w:t>
      </w:r>
      <w:r>
        <w:rPr>
          <w:rFonts w:hint="eastAsia"/>
          <w:color w:val="auto"/>
          <w:highlight w:val="none"/>
          <w:lang w:val="en-US" w:eastAsia="zh-CN"/>
        </w:rPr>
        <w:t>的技术人员在项目实施过程中应遵守采购</w:t>
      </w: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人</w:t>
      </w:r>
      <w:r>
        <w:rPr>
          <w:rFonts w:hint="eastAsia"/>
          <w:color w:val="auto"/>
          <w:highlight w:val="none"/>
          <w:lang w:val="en-US" w:eastAsia="zh-CN"/>
        </w:rPr>
        <w:t>的涉密场所管理规定，不得私自记录、复制涉密信息。</w:t>
      </w:r>
    </w:p>
    <w:p>
      <w:pPr>
        <w:pStyle w:val="2"/>
        <w:widowControl/>
        <w:kinsoku w:val="0"/>
        <w:autoSpaceDE w:val="0"/>
        <w:autoSpaceDN w:val="0"/>
        <w:adjustRightInd w:val="0"/>
        <w:snapToGrid w:val="0"/>
        <w:spacing w:before="177" w:after="0" w:line="317" w:lineRule="auto"/>
        <w:ind w:right="150"/>
        <w:jc w:val="both"/>
        <w:textAlignment w:val="baseline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pStyle w:val="2"/>
        <w:widowControl/>
        <w:kinsoku w:val="0"/>
        <w:autoSpaceDE w:val="0"/>
        <w:autoSpaceDN w:val="0"/>
        <w:adjustRightInd w:val="0"/>
        <w:snapToGrid w:val="0"/>
        <w:spacing w:before="177" w:after="0" w:line="317" w:lineRule="auto"/>
        <w:ind w:right="150"/>
        <w:jc w:val="both"/>
        <w:textAlignment w:val="baseline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pStyle w:val="2"/>
        <w:widowControl/>
        <w:kinsoku w:val="0"/>
        <w:autoSpaceDE w:val="0"/>
        <w:autoSpaceDN w:val="0"/>
        <w:adjustRightInd w:val="0"/>
        <w:snapToGrid w:val="0"/>
        <w:spacing w:before="177" w:after="0" w:line="317" w:lineRule="auto"/>
        <w:ind w:right="150"/>
        <w:jc w:val="both"/>
        <w:textAlignment w:val="baseline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pStyle w:val="2"/>
        <w:widowControl/>
        <w:kinsoku w:val="0"/>
        <w:autoSpaceDE w:val="0"/>
        <w:autoSpaceDN w:val="0"/>
        <w:adjustRightInd w:val="0"/>
        <w:snapToGrid w:val="0"/>
        <w:spacing w:before="177" w:after="0" w:line="317" w:lineRule="auto"/>
        <w:ind w:right="150"/>
        <w:jc w:val="both"/>
        <w:textAlignment w:val="baseline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pStyle w:val="2"/>
        <w:widowControl/>
        <w:kinsoku w:val="0"/>
        <w:autoSpaceDE w:val="0"/>
        <w:autoSpaceDN w:val="0"/>
        <w:adjustRightInd w:val="0"/>
        <w:snapToGrid w:val="0"/>
        <w:spacing w:before="177" w:after="0" w:line="317" w:lineRule="auto"/>
        <w:ind w:right="150"/>
        <w:jc w:val="both"/>
        <w:textAlignment w:val="baseline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pStyle w:val="2"/>
        <w:widowControl/>
        <w:kinsoku w:val="0"/>
        <w:autoSpaceDE w:val="0"/>
        <w:autoSpaceDN w:val="0"/>
        <w:adjustRightInd w:val="0"/>
        <w:snapToGrid w:val="0"/>
        <w:spacing w:before="177" w:after="0" w:line="317" w:lineRule="auto"/>
        <w:ind w:right="150"/>
        <w:jc w:val="both"/>
        <w:textAlignment w:val="baseline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pStyle w:val="2"/>
        <w:widowControl/>
        <w:kinsoku w:val="0"/>
        <w:autoSpaceDE w:val="0"/>
        <w:autoSpaceDN w:val="0"/>
        <w:adjustRightInd w:val="0"/>
        <w:snapToGrid w:val="0"/>
        <w:spacing w:before="177" w:after="0" w:line="317" w:lineRule="auto"/>
        <w:ind w:right="150"/>
        <w:jc w:val="both"/>
        <w:textAlignment w:val="baseline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pStyle w:val="2"/>
        <w:widowControl/>
        <w:kinsoku w:val="0"/>
        <w:autoSpaceDE w:val="0"/>
        <w:autoSpaceDN w:val="0"/>
        <w:adjustRightInd w:val="0"/>
        <w:snapToGrid w:val="0"/>
        <w:spacing w:before="177" w:after="0" w:line="317" w:lineRule="auto"/>
        <w:ind w:right="150"/>
        <w:jc w:val="both"/>
        <w:textAlignment w:val="baseline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widowControl/>
        <w:kinsoku w:val="0"/>
        <w:autoSpaceDE w:val="0"/>
        <w:autoSpaceDN w:val="0"/>
        <w:adjustRightInd w:val="0"/>
        <w:snapToGrid w:val="0"/>
        <w:spacing w:before="177" w:after="0" w:line="317" w:lineRule="auto"/>
        <w:ind w:right="150"/>
        <w:jc w:val="both"/>
        <w:textAlignment w:val="baseline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</w:p>
    <w:p>
      <w:pPr>
        <w:pStyle w:val="2"/>
        <w:widowControl/>
        <w:kinsoku w:val="0"/>
        <w:autoSpaceDE w:val="0"/>
        <w:autoSpaceDN w:val="0"/>
        <w:adjustRightInd w:val="0"/>
        <w:snapToGrid w:val="0"/>
        <w:spacing w:before="177" w:after="0" w:line="317" w:lineRule="auto"/>
        <w:ind w:right="150"/>
        <w:jc w:val="both"/>
        <w:textAlignment w:val="baseline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附件1《报价表》</w:t>
      </w:r>
    </w:p>
    <w:p>
      <w:pPr>
        <w:pStyle w:val="2"/>
        <w:widowControl/>
        <w:kinsoku w:val="0"/>
        <w:autoSpaceDE w:val="0"/>
        <w:autoSpaceDN w:val="0"/>
        <w:adjustRightInd w:val="0"/>
        <w:snapToGrid w:val="0"/>
        <w:spacing w:before="177" w:after="0" w:line="317" w:lineRule="auto"/>
        <w:ind w:left="320" w:right="150" w:hanging="241" w:hangingChars="100"/>
        <w:jc w:val="center"/>
        <w:textAlignment w:val="baseline"/>
        <w:rPr>
          <w:rFonts w:hint="eastAsia" w:ascii="仿宋_GB2312" w:eastAsia="仿宋_GB2312" w:hAnsiTheme="minorEastAsia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4"/>
          <w:szCs w:val="24"/>
          <w:lang w:val="en-US" w:eastAsia="zh-CN" w:bidi="ar-SA"/>
        </w:rPr>
        <w:t>报价表</w:t>
      </w:r>
    </w:p>
    <w:p>
      <w:pPr>
        <w:pStyle w:val="9"/>
        <w:spacing w:before="0" w:after="0"/>
        <w:jc w:val="left"/>
        <w:rPr>
          <w:rFonts w:hint="default"/>
          <w:b w:val="0"/>
          <w:bCs/>
          <w:sz w:val="24"/>
          <w:szCs w:val="24"/>
          <w:u w:val="single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项目名称：</w:t>
      </w:r>
      <w:r>
        <w:rPr>
          <w:rFonts w:hint="eastAsia"/>
          <w:b w:val="0"/>
          <w:bCs/>
          <w:sz w:val="24"/>
          <w:szCs w:val="24"/>
          <w:u w:val="single"/>
          <w:lang w:val="en-US" w:eastAsia="zh-CN"/>
        </w:rPr>
        <w:t xml:space="preserve">                                                        </w:t>
      </w:r>
    </w:p>
    <w:p>
      <w:pPr>
        <w:pStyle w:val="9"/>
        <w:spacing w:before="0" w:after="0"/>
        <w:jc w:val="left"/>
        <w:rPr>
          <w:rFonts w:hint="default"/>
          <w:b w:val="0"/>
          <w:bCs/>
          <w:sz w:val="24"/>
          <w:szCs w:val="24"/>
          <w:u w:val="single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供应商：</w:t>
      </w:r>
      <w:r>
        <w:rPr>
          <w:rFonts w:hint="eastAsia"/>
          <w:b w:val="0"/>
          <w:bCs/>
          <w:sz w:val="24"/>
          <w:szCs w:val="24"/>
          <w:u w:val="single"/>
          <w:lang w:val="en-US" w:eastAsia="zh-CN"/>
        </w:rPr>
        <w:t xml:space="preserve">                       </w:t>
      </w: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  单位地址：</w:t>
      </w:r>
      <w:r>
        <w:rPr>
          <w:rFonts w:hint="eastAsia"/>
          <w:b w:val="0"/>
          <w:bCs/>
          <w:sz w:val="24"/>
          <w:szCs w:val="24"/>
          <w:u w:val="single"/>
          <w:lang w:val="en-US" w:eastAsia="zh-CN"/>
        </w:rPr>
        <w:t xml:space="preserve">                    </w:t>
      </w:r>
    </w:p>
    <w:p>
      <w:pPr>
        <w:rPr>
          <w:rFonts w:hint="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联系人：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      </w:t>
      </w:r>
      <w:r>
        <w:rPr>
          <w:rFonts w:hint="eastAsia"/>
          <w:sz w:val="24"/>
          <w:szCs w:val="24"/>
          <w:lang w:val="en-US" w:eastAsia="zh-CN"/>
        </w:rPr>
        <w:t xml:space="preserve">     联系电话：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   </w:t>
      </w:r>
    </w:p>
    <w:p>
      <w:pPr>
        <w:pStyle w:val="2"/>
        <w:jc w:val="right"/>
        <w:rPr>
          <w:rFonts w:hint="default"/>
          <w:sz w:val="22"/>
          <w:lang w:val="en-US" w:eastAsia="zh-CN"/>
        </w:rPr>
      </w:pPr>
      <w:r>
        <w:rPr>
          <w:rFonts w:hint="eastAsia"/>
          <w:sz w:val="22"/>
          <w:szCs w:val="22"/>
          <w:u w:val="single"/>
          <w:lang w:val="en-US" w:eastAsia="zh-CN"/>
        </w:rPr>
        <w:t>单位：元</w:t>
      </w:r>
    </w:p>
    <w:tbl>
      <w:tblPr>
        <w:tblStyle w:val="10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601"/>
        <w:gridCol w:w="1554"/>
        <w:gridCol w:w="1800"/>
        <w:gridCol w:w="289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测试对象</w:t>
            </w:r>
          </w:p>
        </w:tc>
        <w:tc>
          <w:tcPr>
            <w:tcW w:w="10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测试类型</w:t>
            </w: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测试模块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地线融冰自动接线装置远程控制系统-远程控制安全防护软件</w:t>
            </w:r>
          </w:p>
        </w:tc>
        <w:tc>
          <w:tcPr>
            <w:tcW w:w="91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密码服务管理平台Web端</w:t>
            </w:r>
          </w:p>
        </w:tc>
        <w:tc>
          <w:tcPr>
            <w:tcW w:w="105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功能性测试</w:t>
            </w: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应用管理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密钥管理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对称密钥管理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非对称密钥管理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证书管理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设备分组管理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设备配置管理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动态令牌发行管理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动态令牌认证接口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对接人脸识别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短信令牌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接入认证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服务统计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服务路由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服务调度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数据存储加密保护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数据传输加密保护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应用在线密钥申请服务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可靠性保障模块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密码安全监控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设备和计算安全服务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与第三方系统联动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性能效率测试</w:t>
            </w: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应用系统调用数据传输加密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应用系统调用数据传输解密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应用系统调用数据加密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应用系统调用数据解密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业务系统调用动态口令认证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新增应用记录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对称密钥生成操作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非对称密钥生成操作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签发证书操作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密码设备监测查询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SM2算法签名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SM2算法验签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信息安全性测试</w:t>
            </w: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信息安全性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密码服务管理平台CS端</w:t>
            </w:r>
          </w:p>
        </w:tc>
        <w:tc>
          <w:tcPr>
            <w:tcW w:w="105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功能性测试</w:t>
            </w: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应用管理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密钥管理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对称密钥管理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非对称密钥管理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证书管理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设备分组管理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设备配置管理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动态令牌发行管理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动态令牌认证接口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对接人脸识别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短信令牌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接入认证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34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服务统计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服务路由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服务调度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数据存储加密保护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数据传输加密保护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应用在线密钥申请服务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可靠性保障模块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密码安全监控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设备和计算安全服务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36" w:hRule="atLeast"/>
          <w:jc w:val="center"/>
        </w:trPr>
        <w:tc>
          <w:tcPr>
            <w:tcW w:w="3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93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与第三方系统联动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3303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/>
              </w:rPr>
              <w:t>最高限价总价</w:t>
            </w: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56"/>
                <w:sz w:val="21"/>
                <w:szCs w:val="21"/>
                <w:lang w:val="en-US" w:eastAsia="zh-CN" w:bidi="ar-SA"/>
              </w:rPr>
              <w:t>24167.00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3303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总报价</w:t>
            </w:r>
          </w:p>
        </w:tc>
        <w:tc>
          <w:tcPr>
            <w:tcW w:w="1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single"/>
                <w:lang w:val="en-US" w:eastAsia="zh-CN"/>
              </w:rPr>
              <w:t xml:space="preserve">      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>报价要求：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>1.总报价不得高于最高限价总价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kern w:val="56"/>
          <w:sz w:val="21"/>
          <w:szCs w:val="21"/>
          <w:lang w:val="en-US" w:eastAsia="zh-CN" w:bidi="ar-SA"/>
        </w:rPr>
        <w:t>24167.00元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>，否则将被视为无效报价。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>2.报价构成：本项目为综合包干价，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报价要求包含检测试验成本、人工费、材料/耗材费、仪器设备使用费、差旅费、税费及其他为完成检测任务所可能发生的全部费用。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2"/>
          <w:szCs w:val="22"/>
          <w:highlight w:val="none"/>
          <w:lang w:val="en-US" w:eastAsia="zh-CN"/>
        </w:rPr>
        <w:t>3.报价精度：按四舍五入原则精确到小数点后两位。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highlight w:val="none"/>
          <w:lang w:val="en-US" w:eastAsia="zh-CN"/>
        </w:rPr>
      </w:pPr>
    </w:p>
    <w:p>
      <w:pPr>
        <w:pStyle w:val="9"/>
        <w:jc w:val="both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wordWrap w:val="0"/>
        <w:bidi w:val="0"/>
        <w:spacing w:line="360" w:lineRule="auto"/>
        <w:jc w:val="right"/>
        <w:rPr>
          <w:rFonts w:hint="default" w:ascii="宋体" w:hAnsi="宋体" w:eastAsia="宋体" w:cs="宋体"/>
          <w:b w:val="0"/>
          <w:bCs/>
          <w:sz w:val="22"/>
          <w:szCs w:val="20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 w:val="0"/>
          <w:bCs/>
          <w:sz w:val="22"/>
          <w:szCs w:val="20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b w:val="0"/>
          <w:bCs/>
          <w:sz w:val="22"/>
          <w:szCs w:val="20"/>
          <w:highlight w:val="none"/>
          <w:lang w:val="en-US" w:eastAsia="zh-CN"/>
        </w:rPr>
        <w:t>（盖公章或电子签章）</w:t>
      </w:r>
      <w:r>
        <w:rPr>
          <w:rFonts w:hint="eastAsia" w:ascii="宋体" w:hAnsi="宋体" w:cs="宋体"/>
          <w:b w:val="0"/>
          <w:bCs/>
          <w:sz w:val="22"/>
          <w:szCs w:val="20"/>
          <w:highlight w:val="none"/>
          <w:lang w:val="en-US" w:eastAsia="zh-CN"/>
        </w:rPr>
        <w:t>：</w:t>
      </w:r>
      <w:r>
        <w:rPr>
          <w:rFonts w:hint="eastAsia" w:ascii="宋体" w:hAnsi="宋体" w:cs="宋体"/>
          <w:b w:val="0"/>
          <w:bCs/>
          <w:sz w:val="22"/>
          <w:szCs w:val="20"/>
          <w:highlight w:val="none"/>
          <w:u w:val="single"/>
          <w:lang w:val="en-US" w:eastAsia="zh-CN"/>
        </w:rPr>
        <w:t xml:space="preserve">                   </w:t>
      </w:r>
    </w:p>
    <w:p>
      <w:pPr>
        <w:pStyle w:val="3"/>
        <w:jc w:val="righ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24"/>
          <w:sz w:val="22"/>
          <w:szCs w:val="24"/>
          <w:highlight w:val="none"/>
          <w:lang w:val="en-US" w:eastAsia="zh-CN"/>
        </w:rPr>
        <w:t xml:space="preserve">                              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2"/>
          <w:szCs w:val="20"/>
          <w:highlight w:val="none"/>
          <w:lang w:val="en-US" w:eastAsia="zh-CN" w:bidi="ar-SA"/>
        </w:rPr>
        <w:t xml:space="preserve"> 日期： 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2"/>
          <w:szCs w:val="20"/>
          <w:highlight w:val="none"/>
          <w:u w:val="single"/>
          <w:lang w:val="en-US" w:eastAsia="zh-CN" w:bidi="ar-SA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2"/>
          <w:szCs w:val="20"/>
          <w:highlight w:val="none"/>
          <w:lang w:val="en-US" w:eastAsia="zh-CN" w:bidi="ar-SA"/>
        </w:rPr>
        <w:t xml:space="preserve">年 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2"/>
          <w:szCs w:val="20"/>
          <w:highlight w:val="none"/>
          <w:u w:val="single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2"/>
          <w:szCs w:val="20"/>
          <w:highlight w:val="none"/>
          <w:lang w:val="en-US" w:eastAsia="zh-CN" w:bidi="ar-SA"/>
        </w:rPr>
        <w:t>月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2"/>
          <w:szCs w:val="20"/>
          <w:highlight w:val="none"/>
          <w:u w:val="single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2"/>
          <w:szCs w:val="20"/>
          <w:highlight w:val="none"/>
          <w:lang w:val="en-US" w:eastAsia="zh-CN" w:bidi="ar-SA"/>
        </w:rPr>
        <w:t>日</w:t>
      </w:r>
    </w:p>
    <w:p>
      <w:pPr>
        <w:pStyle w:val="3"/>
        <w:jc w:val="righ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77F2115"/>
    <w:rsid w:val="017E3D6E"/>
    <w:rsid w:val="01FFF9A6"/>
    <w:rsid w:val="02AC7FF1"/>
    <w:rsid w:val="07EFF9A6"/>
    <w:rsid w:val="09DB5DCC"/>
    <w:rsid w:val="0F7C152C"/>
    <w:rsid w:val="14E867DD"/>
    <w:rsid w:val="14FB4178"/>
    <w:rsid w:val="1A7E2606"/>
    <w:rsid w:val="1B5D63F1"/>
    <w:rsid w:val="1B7C5409"/>
    <w:rsid w:val="1BFB52C9"/>
    <w:rsid w:val="1D7B8BC8"/>
    <w:rsid w:val="1E71A123"/>
    <w:rsid w:val="1EFBEDE4"/>
    <w:rsid w:val="1F5937DF"/>
    <w:rsid w:val="1FE1C476"/>
    <w:rsid w:val="1FFBBE3B"/>
    <w:rsid w:val="1FFF2869"/>
    <w:rsid w:val="267E2957"/>
    <w:rsid w:val="277503DF"/>
    <w:rsid w:val="2AF48F55"/>
    <w:rsid w:val="2BEEEAE8"/>
    <w:rsid w:val="2BFFEED2"/>
    <w:rsid w:val="2D4D255F"/>
    <w:rsid w:val="2DDD630D"/>
    <w:rsid w:val="2DF3E39C"/>
    <w:rsid w:val="2EE7E5E5"/>
    <w:rsid w:val="2F052ED8"/>
    <w:rsid w:val="2F6EFB7E"/>
    <w:rsid w:val="2F762305"/>
    <w:rsid w:val="2FB55B78"/>
    <w:rsid w:val="2FBB9F92"/>
    <w:rsid w:val="2FBDD269"/>
    <w:rsid w:val="2FBE7D3C"/>
    <w:rsid w:val="2FBEA577"/>
    <w:rsid w:val="2FEB11E2"/>
    <w:rsid w:val="2FEE4B18"/>
    <w:rsid w:val="2FF71876"/>
    <w:rsid w:val="31EF0608"/>
    <w:rsid w:val="336FB095"/>
    <w:rsid w:val="34CF5F34"/>
    <w:rsid w:val="35EE5E59"/>
    <w:rsid w:val="35EEEBBE"/>
    <w:rsid w:val="35F28515"/>
    <w:rsid w:val="35FF8EEF"/>
    <w:rsid w:val="36FF24DD"/>
    <w:rsid w:val="375015A1"/>
    <w:rsid w:val="37A6340C"/>
    <w:rsid w:val="37E5D321"/>
    <w:rsid w:val="37F7BE6A"/>
    <w:rsid w:val="39BB03A8"/>
    <w:rsid w:val="39DA042C"/>
    <w:rsid w:val="39DE749E"/>
    <w:rsid w:val="39EFEA6F"/>
    <w:rsid w:val="39FFFDA8"/>
    <w:rsid w:val="3AB9308C"/>
    <w:rsid w:val="3ABF0173"/>
    <w:rsid w:val="3AFD2FB5"/>
    <w:rsid w:val="3B3FAAF3"/>
    <w:rsid w:val="3BBBB7E5"/>
    <w:rsid w:val="3BDB392E"/>
    <w:rsid w:val="3BDE5419"/>
    <w:rsid w:val="3BFED6FC"/>
    <w:rsid w:val="3D4B2F9A"/>
    <w:rsid w:val="3DB44950"/>
    <w:rsid w:val="3DDD56C7"/>
    <w:rsid w:val="3DF7CC5E"/>
    <w:rsid w:val="3DFF1821"/>
    <w:rsid w:val="3DFFF4AB"/>
    <w:rsid w:val="3EDE4D55"/>
    <w:rsid w:val="3EEB0DEC"/>
    <w:rsid w:val="3F53165D"/>
    <w:rsid w:val="3F5F8C9B"/>
    <w:rsid w:val="3F7FC7D7"/>
    <w:rsid w:val="3F8DD373"/>
    <w:rsid w:val="3F97C0FD"/>
    <w:rsid w:val="3F996048"/>
    <w:rsid w:val="3FABB691"/>
    <w:rsid w:val="3FB9CD09"/>
    <w:rsid w:val="3FD311B0"/>
    <w:rsid w:val="3FDEE807"/>
    <w:rsid w:val="3FFDEEB7"/>
    <w:rsid w:val="3FFE7E51"/>
    <w:rsid w:val="3FFE9B52"/>
    <w:rsid w:val="3FFF2C4B"/>
    <w:rsid w:val="40274647"/>
    <w:rsid w:val="40912D48"/>
    <w:rsid w:val="458FDA65"/>
    <w:rsid w:val="4765C270"/>
    <w:rsid w:val="47DD9FB4"/>
    <w:rsid w:val="499BE14C"/>
    <w:rsid w:val="49F031DE"/>
    <w:rsid w:val="4CC69B7D"/>
    <w:rsid w:val="4D72A9A0"/>
    <w:rsid w:val="4DEE1A0D"/>
    <w:rsid w:val="4E56D54A"/>
    <w:rsid w:val="4FAF2B81"/>
    <w:rsid w:val="4FEB47AE"/>
    <w:rsid w:val="4FED9719"/>
    <w:rsid w:val="4FFC455D"/>
    <w:rsid w:val="4FFDEB46"/>
    <w:rsid w:val="4FFF63F8"/>
    <w:rsid w:val="4FFF9D4D"/>
    <w:rsid w:val="50B79BE5"/>
    <w:rsid w:val="51A105FC"/>
    <w:rsid w:val="52F953E9"/>
    <w:rsid w:val="538F68C3"/>
    <w:rsid w:val="55E65D7D"/>
    <w:rsid w:val="55FCD670"/>
    <w:rsid w:val="56479E28"/>
    <w:rsid w:val="56ECB513"/>
    <w:rsid w:val="56F665EA"/>
    <w:rsid w:val="56FBA24F"/>
    <w:rsid w:val="57B797CA"/>
    <w:rsid w:val="57BF5CDE"/>
    <w:rsid w:val="57EBD5B3"/>
    <w:rsid w:val="57FB4490"/>
    <w:rsid w:val="57FED7D1"/>
    <w:rsid w:val="597B280C"/>
    <w:rsid w:val="59BB569A"/>
    <w:rsid w:val="59FFAC3A"/>
    <w:rsid w:val="5A677AE0"/>
    <w:rsid w:val="5B2B6BC5"/>
    <w:rsid w:val="5B7F204E"/>
    <w:rsid w:val="5BBF20BB"/>
    <w:rsid w:val="5BBF67A8"/>
    <w:rsid w:val="5BFF3740"/>
    <w:rsid w:val="5C7D67B2"/>
    <w:rsid w:val="5CD9F475"/>
    <w:rsid w:val="5CDCDF96"/>
    <w:rsid w:val="5D1F2AE8"/>
    <w:rsid w:val="5DEEEDC2"/>
    <w:rsid w:val="5DF38E47"/>
    <w:rsid w:val="5DFBAB51"/>
    <w:rsid w:val="5DFCBE04"/>
    <w:rsid w:val="5DFE4BDF"/>
    <w:rsid w:val="5E5D112E"/>
    <w:rsid w:val="5EBE826A"/>
    <w:rsid w:val="5EEB2D87"/>
    <w:rsid w:val="5EEDB272"/>
    <w:rsid w:val="5EFBC752"/>
    <w:rsid w:val="5F5ECFB0"/>
    <w:rsid w:val="5F5F9E5A"/>
    <w:rsid w:val="5F715DB9"/>
    <w:rsid w:val="5FBE7812"/>
    <w:rsid w:val="5FDF09D0"/>
    <w:rsid w:val="5FF78980"/>
    <w:rsid w:val="5FF98F04"/>
    <w:rsid w:val="5FFE1AC0"/>
    <w:rsid w:val="5FFF08EE"/>
    <w:rsid w:val="5FFF6C4C"/>
    <w:rsid w:val="5FFF958F"/>
    <w:rsid w:val="5FFFF59E"/>
    <w:rsid w:val="61DFC7FB"/>
    <w:rsid w:val="62FF8ADB"/>
    <w:rsid w:val="63DD733F"/>
    <w:rsid w:val="65DFA6C6"/>
    <w:rsid w:val="66134DE1"/>
    <w:rsid w:val="673D0F67"/>
    <w:rsid w:val="675D77A6"/>
    <w:rsid w:val="677E64D1"/>
    <w:rsid w:val="67B6C2FC"/>
    <w:rsid w:val="6ABD8316"/>
    <w:rsid w:val="6B15AE67"/>
    <w:rsid w:val="6B2D9139"/>
    <w:rsid w:val="6B33FDB7"/>
    <w:rsid w:val="6B87059C"/>
    <w:rsid w:val="6B8C3281"/>
    <w:rsid w:val="6BEF3516"/>
    <w:rsid w:val="6BF22B61"/>
    <w:rsid w:val="6BFF644D"/>
    <w:rsid w:val="6BFFD38A"/>
    <w:rsid w:val="6CEF00A4"/>
    <w:rsid w:val="6CFFC720"/>
    <w:rsid w:val="6DEB4C03"/>
    <w:rsid w:val="6EBE3538"/>
    <w:rsid w:val="6EDF7347"/>
    <w:rsid w:val="6EFE7B23"/>
    <w:rsid w:val="6F7F53F5"/>
    <w:rsid w:val="6F9F073D"/>
    <w:rsid w:val="6FAD2986"/>
    <w:rsid w:val="6FB51216"/>
    <w:rsid w:val="6FBC83D8"/>
    <w:rsid w:val="6FDF59DB"/>
    <w:rsid w:val="6FEACC18"/>
    <w:rsid w:val="6FEDCD54"/>
    <w:rsid w:val="6FEF2ECA"/>
    <w:rsid w:val="6FFD6875"/>
    <w:rsid w:val="6FFEAD19"/>
    <w:rsid w:val="6FFFBBAD"/>
    <w:rsid w:val="70FBD223"/>
    <w:rsid w:val="73B60D39"/>
    <w:rsid w:val="73D39ECF"/>
    <w:rsid w:val="73DFD493"/>
    <w:rsid w:val="73FE0851"/>
    <w:rsid w:val="749D458C"/>
    <w:rsid w:val="7679A0E6"/>
    <w:rsid w:val="76CFF678"/>
    <w:rsid w:val="76F70BCB"/>
    <w:rsid w:val="76FF5AC1"/>
    <w:rsid w:val="772100C8"/>
    <w:rsid w:val="774B0FB9"/>
    <w:rsid w:val="776773AF"/>
    <w:rsid w:val="777AECFF"/>
    <w:rsid w:val="777FA614"/>
    <w:rsid w:val="77BB25ED"/>
    <w:rsid w:val="77BF5476"/>
    <w:rsid w:val="77C69403"/>
    <w:rsid w:val="77D69F10"/>
    <w:rsid w:val="77D7EEFA"/>
    <w:rsid w:val="77DC844F"/>
    <w:rsid w:val="77F1591C"/>
    <w:rsid w:val="77FE4790"/>
    <w:rsid w:val="77FEBA75"/>
    <w:rsid w:val="77FEC75C"/>
    <w:rsid w:val="77FF377A"/>
    <w:rsid w:val="77FFC7BB"/>
    <w:rsid w:val="78FEEE4E"/>
    <w:rsid w:val="799F744D"/>
    <w:rsid w:val="79B90C02"/>
    <w:rsid w:val="79BEFA23"/>
    <w:rsid w:val="7A7F318E"/>
    <w:rsid w:val="7ABD3E9B"/>
    <w:rsid w:val="7AEBDA2E"/>
    <w:rsid w:val="7AFF5385"/>
    <w:rsid w:val="7B3B0D19"/>
    <w:rsid w:val="7B582EC6"/>
    <w:rsid w:val="7B5BDAF6"/>
    <w:rsid w:val="7BDB0FD3"/>
    <w:rsid w:val="7BE10C7F"/>
    <w:rsid w:val="7BF730BA"/>
    <w:rsid w:val="7BFF2A86"/>
    <w:rsid w:val="7CBBF9FC"/>
    <w:rsid w:val="7CF64536"/>
    <w:rsid w:val="7D171C49"/>
    <w:rsid w:val="7D9D8C49"/>
    <w:rsid w:val="7DCBF1B8"/>
    <w:rsid w:val="7DF66CB6"/>
    <w:rsid w:val="7DF90E4D"/>
    <w:rsid w:val="7E7F8E24"/>
    <w:rsid w:val="7E926F37"/>
    <w:rsid w:val="7E9B5525"/>
    <w:rsid w:val="7E9F5E8B"/>
    <w:rsid w:val="7EBBE905"/>
    <w:rsid w:val="7EC1814B"/>
    <w:rsid w:val="7ED766F3"/>
    <w:rsid w:val="7EDF339C"/>
    <w:rsid w:val="7EE57B9C"/>
    <w:rsid w:val="7EEDFD8E"/>
    <w:rsid w:val="7EEEF3E5"/>
    <w:rsid w:val="7EF5C385"/>
    <w:rsid w:val="7EFD9898"/>
    <w:rsid w:val="7EFECCEF"/>
    <w:rsid w:val="7F3D2CF6"/>
    <w:rsid w:val="7F4FF40B"/>
    <w:rsid w:val="7F522AC8"/>
    <w:rsid w:val="7F58A995"/>
    <w:rsid w:val="7F5F1DE6"/>
    <w:rsid w:val="7F695B6D"/>
    <w:rsid w:val="7F738105"/>
    <w:rsid w:val="7F771CB0"/>
    <w:rsid w:val="7F7B9696"/>
    <w:rsid w:val="7F7FDAF9"/>
    <w:rsid w:val="7F7FF727"/>
    <w:rsid w:val="7F8FA002"/>
    <w:rsid w:val="7FB73873"/>
    <w:rsid w:val="7FBB84AF"/>
    <w:rsid w:val="7FBD7E95"/>
    <w:rsid w:val="7FBDC35D"/>
    <w:rsid w:val="7FBDE62A"/>
    <w:rsid w:val="7FBFAD8A"/>
    <w:rsid w:val="7FD7E8FD"/>
    <w:rsid w:val="7FDD11FD"/>
    <w:rsid w:val="7FDF8C26"/>
    <w:rsid w:val="7FE6D620"/>
    <w:rsid w:val="7FEBD38F"/>
    <w:rsid w:val="7FEC29EB"/>
    <w:rsid w:val="7FEFEA67"/>
    <w:rsid w:val="7FF746C9"/>
    <w:rsid w:val="7FFD04E9"/>
    <w:rsid w:val="7FFD6882"/>
    <w:rsid w:val="7FFD8A04"/>
    <w:rsid w:val="7FFE7AF7"/>
    <w:rsid w:val="7FFFCA1C"/>
    <w:rsid w:val="7FFFD518"/>
    <w:rsid w:val="8DDD22D4"/>
    <w:rsid w:val="8F249AA0"/>
    <w:rsid w:val="8F35AE75"/>
    <w:rsid w:val="8FCFD120"/>
    <w:rsid w:val="8FDBC187"/>
    <w:rsid w:val="8FF7F9D3"/>
    <w:rsid w:val="95FFF32F"/>
    <w:rsid w:val="9BBA0834"/>
    <w:rsid w:val="9BFC57CE"/>
    <w:rsid w:val="9E7FEDF9"/>
    <w:rsid w:val="9F5F08D8"/>
    <w:rsid w:val="9FD6B62E"/>
    <w:rsid w:val="9FD7615B"/>
    <w:rsid w:val="9FDFAFB5"/>
    <w:rsid w:val="9FEF4A76"/>
    <w:rsid w:val="9FF9BA24"/>
    <w:rsid w:val="9FFF5319"/>
    <w:rsid w:val="A3FFE52F"/>
    <w:rsid w:val="A7DF5E3B"/>
    <w:rsid w:val="AACF7E3C"/>
    <w:rsid w:val="AD67E1ED"/>
    <w:rsid w:val="AE7F5AC2"/>
    <w:rsid w:val="AFBB11C1"/>
    <w:rsid w:val="AFD6E996"/>
    <w:rsid w:val="AFFDDB60"/>
    <w:rsid w:val="B1F7C480"/>
    <w:rsid w:val="B34F91C7"/>
    <w:rsid w:val="B4FAEF6C"/>
    <w:rsid w:val="B77F5CF8"/>
    <w:rsid w:val="B7BF6E49"/>
    <w:rsid w:val="B7FF47F6"/>
    <w:rsid w:val="B9BF5204"/>
    <w:rsid w:val="B9E990E9"/>
    <w:rsid w:val="B9FBC48F"/>
    <w:rsid w:val="BA7BAF6F"/>
    <w:rsid w:val="BAB612BA"/>
    <w:rsid w:val="BB927D81"/>
    <w:rsid w:val="BCA5F874"/>
    <w:rsid w:val="BCF411BD"/>
    <w:rsid w:val="BCFFF4E0"/>
    <w:rsid w:val="BD46DB84"/>
    <w:rsid w:val="BD5183B8"/>
    <w:rsid w:val="BD9761FE"/>
    <w:rsid w:val="BDD75086"/>
    <w:rsid w:val="BDDEF991"/>
    <w:rsid w:val="BE1B85BA"/>
    <w:rsid w:val="BE2733B4"/>
    <w:rsid w:val="BE4F82C2"/>
    <w:rsid w:val="BEABA9E8"/>
    <w:rsid w:val="BEAF30A9"/>
    <w:rsid w:val="BEBB7D62"/>
    <w:rsid w:val="BEBEE8B8"/>
    <w:rsid w:val="BEC78CC0"/>
    <w:rsid w:val="BEEFD5B2"/>
    <w:rsid w:val="BEFBD08C"/>
    <w:rsid w:val="BEFF3CA2"/>
    <w:rsid w:val="BF776C24"/>
    <w:rsid w:val="BF7F5B62"/>
    <w:rsid w:val="BF9B075E"/>
    <w:rsid w:val="BFBDBEAA"/>
    <w:rsid w:val="BFC3F3CF"/>
    <w:rsid w:val="BFCC54DA"/>
    <w:rsid w:val="BFCFBBB6"/>
    <w:rsid w:val="BFF7BF65"/>
    <w:rsid w:val="BFFBC04F"/>
    <w:rsid w:val="BFFC0C8C"/>
    <w:rsid w:val="BFFF0CBA"/>
    <w:rsid w:val="C4CF8512"/>
    <w:rsid w:val="C7D5A55E"/>
    <w:rsid w:val="C7E521FA"/>
    <w:rsid w:val="CB7A95B4"/>
    <w:rsid w:val="CBC181FC"/>
    <w:rsid w:val="CC7DEFC2"/>
    <w:rsid w:val="CDFF3B8D"/>
    <w:rsid w:val="CDFFC31D"/>
    <w:rsid w:val="CDFFE146"/>
    <w:rsid w:val="CEAE6965"/>
    <w:rsid w:val="CEDFB72C"/>
    <w:rsid w:val="CF9BC442"/>
    <w:rsid w:val="CFBFA859"/>
    <w:rsid w:val="D5D66080"/>
    <w:rsid w:val="D6BB03C2"/>
    <w:rsid w:val="D6E675C4"/>
    <w:rsid w:val="D73D978C"/>
    <w:rsid w:val="D73E7BB9"/>
    <w:rsid w:val="D7BDE2EB"/>
    <w:rsid w:val="D96A27C0"/>
    <w:rsid w:val="D977EB02"/>
    <w:rsid w:val="DB36B83C"/>
    <w:rsid w:val="DB5F14A6"/>
    <w:rsid w:val="DB5FFAEB"/>
    <w:rsid w:val="DBFE50E7"/>
    <w:rsid w:val="DC7E402F"/>
    <w:rsid w:val="DD3E4B61"/>
    <w:rsid w:val="DD3EABA1"/>
    <w:rsid w:val="DD6B2B82"/>
    <w:rsid w:val="DDC359C2"/>
    <w:rsid w:val="DDDC8B22"/>
    <w:rsid w:val="DDE6B58F"/>
    <w:rsid w:val="DDEE4A77"/>
    <w:rsid w:val="DDEF07F5"/>
    <w:rsid w:val="DDFF84CD"/>
    <w:rsid w:val="DE35E238"/>
    <w:rsid w:val="DE974F84"/>
    <w:rsid w:val="DF3BDFAF"/>
    <w:rsid w:val="DF5E2900"/>
    <w:rsid w:val="DF7F2705"/>
    <w:rsid w:val="DF7F4EAB"/>
    <w:rsid w:val="DF7F8CE4"/>
    <w:rsid w:val="DFBF7BAA"/>
    <w:rsid w:val="DFDF524F"/>
    <w:rsid w:val="DFE375CB"/>
    <w:rsid w:val="DFEA1682"/>
    <w:rsid w:val="DFEE335A"/>
    <w:rsid w:val="DFF7D98D"/>
    <w:rsid w:val="DFFE7D5A"/>
    <w:rsid w:val="DFFEA301"/>
    <w:rsid w:val="DFFF463F"/>
    <w:rsid w:val="E5FF7077"/>
    <w:rsid w:val="E5FF7F0F"/>
    <w:rsid w:val="E77D2592"/>
    <w:rsid w:val="E7AF68DA"/>
    <w:rsid w:val="E7FF0F78"/>
    <w:rsid w:val="E8DF9690"/>
    <w:rsid w:val="E9FD0DF9"/>
    <w:rsid w:val="EAF443CB"/>
    <w:rsid w:val="EB7B52A4"/>
    <w:rsid w:val="EBBB2F84"/>
    <w:rsid w:val="EBDE01F6"/>
    <w:rsid w:val="EBE59A04"/>
    <w:rsid w:val="EBF533E0"/>
    <w:rsid w:val="EBF5E8DC"/>
    <w:rsid w:val="ECAE418A"/>
    <w:rsid w:val="EDBBDA77"/>
    <w:rsid w:val="EDEF57A2"/>
    <w:rsid w:val="EDEFF981"/>
    <w:rsid w:val="EDFFA8D7"/>
    <w:rsid w:val="EE2DD249"/>
    <w:rsid w:val="EEA3509E"/>
    <w:rsid w:val="EEBF6B00"/>
    <w:rsid w:val="EEDCB88A"/>
    <w:rsid w:val="EEFFE038"/>
    <w:rsid w:val="EF33A34C"/>
    <w:rsid w:val="EF3B83D8"/>
    <w:rsid w:val="EF3F0420"/>
    <w:rsid w:val="EF5DCC26"/>
    <w:rsid w:val="EF964E3D"/>
    <w:rsid w:val="EF9F3B20"/>
    <w:rsid w:val="EFBE317B"/>
    <w:rsid w:val="EFD75AE2"/>
    <w:rsid w:val="EFDD78A2"/>
    <w:rsid w:val="EFE5C096"/>
    <w:rsid w:val="EFE6EDEB"/>
    <w:rsid w:val="EFEB34FB"/>
    <w:rsid w:val="EFFF2498"/>
    <w:rsid w:val="F16F3337"/>
    <w:rsid w:val="F1CC1CA2"/>
    <w:rsid w:val="F1EA45CE"/>
    <w:rsid w:val="F32DA629"/>
    <w:rsid w:val="F33F0039"/>
    <w:rsid w:val="F49D6C40"/>
    <w:rsid w:val="F4E7CA51"/>
    <w:rsid w:val="F57A757F"/>
    <w:rsid w:val="F5CD9637"/>
    <w:rsid w:val="F5DE5F5F"/>
    <w:rsid w:val="F5F76F09"/>
    <w:rsid w:val="F5FEFA93"/>
    <w:rsid w:val="F5FF4E65"/>
    <w:rsid w:val="F5FFA278"/>
    <w:rsid w:val="F65F636A"/>
    <w:rsid w:val="F66FAFCD"/>
    <w:rsid w:val="F6762AF2"/>
    <w:rsid w:val="F6FC1820"/>
    <w:rsid w:val="F6FDB61C"/>
    <w:rsid w:val="F6FFB14E"/>
    <w:rsid w:val="F73F86DF"/>
    <w:rsid w:val="F757DAC5"/>
    <w:rsid w:val="F7674ADF"/>
    <w:rsid w:val="F77F2115"/>
    <w:rsid w:val="F77F428C"/>
    <w:rsid w:val="F79F3377"/>
    <w:rsid w:val="F79FAE33"/>
    <w:rsid w:val="F7BC756E"/>
    <w:rsid w:val="F7BF4238"/>
    <w:rsid w:val="F7BF44D4"/>
    <w:rsid w:val="F7CFCE0D"/>
    <w:rsid w:val="F7D6E0D9"/>
    <w:rsid w:val="F7DFC184"/>
    <w:rsid w:val="F7EFE1EA"/>
    <w:rsid w:val="F7F508D5"/>
    <w:rsid w:val="F7FF2F32"/>
    <w:rsid w:val="F9BF0F1E"/>
    <w:rsid w:val="F9DF73B3"/>
    <w:rsid w:val="F9FF4443"/>
    <w:rsid w:val="F9FF8043"/>
    <w:rsid w:val="FAD7DF3F"/>
    <w:rsid w:val="FAEFC012"/>
    <w:rsid w:val="FB377EF0"/>
    <w:rsid w:val="FB49337A"/>
    <w:rsid w:val="FB4B4BEA"/>
    <w:rsid w:val="FB77F9FA"/>
    <w:rsid w:val="FB7FBF46"/>
    <w:rsid w:val="FB97967B"/>
    <w:rsid w:val="FBAF9835"/>
    <w:rsid w:val="FBCF465E"/>
    <w:rsid w:val="FBE82886"/>
    <w:rsid w:val="FBEA67DF"/>
    <w:rsid w:val="FBED35DE"/>
    <w:rsid w:val="FBEE0235"/>
    <w:rsid w:val="FBF034EC"/>
    <w:rsid w:val="FBF5C397"/>
    <w:rsid w:val="FBFE7B6B"/>
    <w:rsid w:val="FBFF31BF"/>
    <w:rsid w:val="FBFF8102"/>
    <w:rsid w:val="FC599049"/>
    <w:rsid w:val="FCADC91D"/>
    <w:rsid w:val="FCBFB803"/>
    <w:rsid w:val="FCEFCCC1"/>
    <w:rsid w:val="FCF99C2A"/>
    <w:rsid w:val="FD03C736"/>
    <w:rsid w:val="FD6D4861"/>
    <w:rsid w:val="FDA29110"/>
    <w:rsid w:val="FDC98F7B"/>
    <w:rsid w:val="FDE6AB79"/>
    <w:rsid w:val="FDFDF283"/>
    <w:rsid w:val="FDFE31FC"/>
    <w:rsid w:val="FDFE460C"/>
    <w:rsid w:val="FDFFA6BA"/>
    <w:rsid w:val="FDFFEFFC"/>
    <w:rsid w:val="FDFFF7FC"/>
    <w:rsid w:val="FE3B3A54"/>
    <w:rsid w:val="FE3F6545"/>
    <w:rsid w:val="FE58C788"/>
    <w:rsid w:val="FE78D32F"/>
    <w:rsid w:val="FE7C802C"/>
    <w:rsid w:val="FE7F2A7E"/>
    <w:rsid w:val="FE9F3469"/>
    <w:rsid w:val="FEC6B119"/>
    <w:rsid w:val="FED5B576"/>
    <w:rsid w:val="FEEBFC15"/>
    <w:rsid w:val="FEFDC2E3"/>
    <w:rsid w:val="FEFE2A14"/>
    <w:rsid w:val="FEFEB444"/>
    <w:rsid w:val="FEFEE126"/>
    <w:rsid w:val="FEFF7835"/>
    <w:rsid w:val="FEFFB58F"/>
    <w:rsid w:val="FF1FFD3E"/>
    <w:rsid w:val="FF5F312E"/>
    <w:rsid w:val="FF5F4A7A"/>
    <w:rsid w:val="FF75A2E9"/>
    <w:rsid w:val="FFB7DF91"/>
    <w:rsid w:val="FFBA6137"/>
    <w:rsid w:val="FFBF2840"/>
    <w:rsid w:val="FFCAF6F3"/>
    <w:rsid w:val="FFD98C42"/>
    <w:rsid w:val="FFDBC30D"/>
    <w:rsid w:val="FFDBFA19"/>
    <w:rsid w:val="FFDD6187"/>
    <w:rsid w:val="FFECE3FB"/>
    <w:rsid w:val="FFED5FCA"/>
    <w:rsid w:val="FFEE941F"/>
    <w:rsid w:val="FFEF2BE1"/>
    <w:rsid w:val="FFEF5471"/>
    <w:rsid w:val="FFF58FF3"/>
    <w:rsid w:val="FFF5EB7B"/>
    <w:rsid w:val="FFFD2055"/>
    <w:rsid w:val="FFFDFBF6"/>
    <w:rsid w:val="FFFF11E3"/>
    <w:rsid w:val="FFFFC12D"/>
    <w:rsid w:val="FFFFD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400" w:lineRule="exact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2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5">
    <w:name w:val="Normal Indent"/>
    <w:basedOn w:val="1"/>
    <w:uiPriority w:val="0"/>
    <w:pPr>
      <w:ind w:firstLine="420" w:firstLine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首页日期"/>
    <w:basedOn w:val="1"/>
    <w:link w:val="15"/>
    <w:qFormat/>
    <w:uiPriority w:val="0"/>
    <w:pPr>
      <w:jc w:val="center"/>
    </w:pPr>
    <w:rPr>
      <w:rFonts w:eastAsia="楷体"/>
      <w:sz w:val="32"/>
    </w:rPr>
  </w:style>
  <w:style w:type="character" w:customStyle="1" w:styleId="15">
    <w:name w:val="首页日期 Char"/>
    <w:link w:val="14"/>
    <w:qFormat/>
    <w:uiPriority w:val="0"/>
    <w:rPr>
      <w:rFonts w:eastAsia="楷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2026-09-12T01:23:00Z</dcterms:created>
  <dc:creator>May</dc:creator>
  <cp:lastModifiedBy>E58743029DAD4BE0BA4DBEFBB64E73DD</cp:lastModifiedBy>
  <dcterms:modified xsi:type="dcterms:W3CDTF">2026-09-16T09:04:16Z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D6F9342FA12A161485CCA06ACEC63399_43</vt:lpwstr>
  </property>
</Properties>
</file>