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numPr>
          <w:ilvl w:val="0"/>
          <w:numId w:val="0"/>
        </w:numPr>
        <w:bidi w:val="0"/>
        <w:ind w:leftChars="0"/>
        <w:jc w:val="center"/>
        <w:rPr>
          <w:rFonts w:hint="eastAsia"/>
        </w:rPr>
      </w:pPr>
      <w:r>
        <w:rPr>
          <w:rFonts w:hint="eastAsia"/>
          <w:lang w:eastAsia="zh-CN"/>
        </w:rPr>
        <w:t>2026年</w:t>
      </w:r>
      <w:r>
        <w:rPr>
          <w:rFonts w:hint="eastAsia"/>
          <w:lang w:val="en-US" w:eastAsia="zh-CN"/>
        </w:rPr>
        <w:t>南方电网绿能</w:t>
      </w:r>
      <w:r>
        <w:rPr>
          <w:rFonts w:hint="eastAsia"/>
          <w:lang w:eastAsia="zh-CN"/>
        </w:rPr>
        <w:t>科技（广东）有限公司</w:t>
      </w:r>
      <w:r>
        <w:rPr>
          <w:rFonts w:hint="eastAsia"/>
          <w:lang w:val="en-US" w:eastAsia="zh-CN"/>
        </w:rPr>
        <w:t>应急装备购置</w:t>
      </w:r>
      <w:r>
        <w:rPr>
          <w:rFonts w:hint="eastAsia"/>
          <w:lang w:eastAsia="zh-CN"/>
        </w:rPr>
        <w:t>投标寻源项目</w:t>
      </w:r>
      <w:r>
        <w:rPr>
          <w:rFonts w:hint="eastAsia"/>
        </w:rPr>
        <w:t>寻源公告</w:t>
      </w:r>
    </w:p>
    <w:p>
      <w:pPr>
        <w:rPr>
          <w:rFonts w:hint="eastAsia"/>
        </w:rPr>
      </w:pPr>
    </w:p>
    <w:p>
      <w:pPr>
        <w:spacing w:line="360" w:lineRule="auto"/>
        <w:rPr>
          <w:rFonts w:hint="eastAsia" w:ascii="仿宋" w:hAnsi="仿宋" w:eastAsia="仿宋" w:cs="仿宋"/>
          <w:b/>
          <w:bCs/>
          <w:color w:val="auto"/>
          <w:sz w:val="24"/>
          <w:szCs w:val="24"/>
        </w:rPr>
      </w:pPr>
      <w:r>
        <w:rPr>
          <w:rFonts w:hint="eastAsia" w:ascii="仿宋" w:hAnsi="仿宋" w:eastAsia="仿宋" w:cs="仿宋"/>
          <w:b/>
          <w:bCs/>
          <w:color w:val="auto"/>
          <w:sz w:val="24"/>
          <w:szCs w:val="24"/>
          <w:lang w:val="en-US" w:eastAsia="zh-CN"/>
        </w:rPr>
        <w:t>各</w:t>
      </w:r>
      <w:r>
        <w:rPr>
          <w:rFonts w:hint="eastAsia" w:ascii="仿宋" w:hAnsi="仿宋" w:eastAsia="仿宋" w:cs="仿宋"/>
          <w:b/>
          <w:bCs/>
          <w:color w:val="auto"/>
          <w:sz w:val="24"/>
          <w:szCs w:val="24"/>
        </w:rPr>
        <w:t>供应商：</w:t>
      </w:r>
    </w:p>
    <w:p>
      <w:pPr>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color w:val="auto"/>
          <w:sz w:val="24"/>
          <w:szCs w:val="24"/>
        </w:rPr>
        <w:t>您好！</w:t>
      </w:r>
      <w:r>
        <w:rPr>
          <w:rFonts w:hint="eastAsia" w:ascii="仿宋" w:hAnsi="仿宋" w:eastAsia="仿宋" w:cs="仿宋"/>
          <w:color w:val="auto"/>
          <w:sz w:val="24"/>
          <w:szCs w:val="24"/>
          <w:lang w:eastAsia="zh-CN"/>
        </w:rPr>
        <w:t>南方电网绿能科技（广东）有限公司</w:t>
      </w: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以下</w:t>
      </w:r>
      <w:r>
        <w:rPr>
          <w:rFonts w:hint="eastAsia" w:ascii="仿宋" w:hAnsi="仿宋" w:eastAsia="仿宋" w:cs="仿宋"/>
          <w:color w:val="auto"/>
          <w:sz w:val="24"/>
          <w:szCs w:val="24"/>
        </w:rPr>
        <w:t>简称我公司）拟</w:t>
      </w:r>
      <w:r>
        <w:rPr>
          <w:rFonts w:hint="eastAsia" w:ascii="仿宋" w:hAnsi="仿宋" w:eastAsia="仿宋" w:cs="仿宋"/>
          <w:color w:val="auto"/>
          <w:sz w:val="24"/>
          <w:szCs w:val="24"/>
          <w:lang w:val="en-US" w:eastAsia="zh-CN"/>
        </w:rPr>
        <w:t>开展</w:t>
      </w:r>
      <w:r>
        <w:rPr>
          <w:rFonts w:hint="eastAsia" w:ascii="仿宋" w:hAnsi="仿宋" w:eastAsia="仿宋" w:cs="仿宋"/>
          <w:b/>
          <w:bCs/>
          <w:color w:val="0000EE"/>
          <w:sz w:val="24"/>
          <w:szCs w:val="24"/>
          <w:highlight w:val="none"/>
          <w:u w:val="single"/>
          <w:lang w:val="en-US" w:eastAsia="zh-CN"/>
        </w:rPr>
        <w:t>2026年南方电网绿能科技（广东）有限公司应急装备购置投标寻源工作</w:t>
      </w:r>
      <w:r>
        <w:rPr>
          <w:rFonts w:hint="eastAsia" w:ascii="仿宋" w:hAnsi="仿宋" w:eastAsia="仿宋" w:cs="仿宋"/>
          <w:sz w:val="24"/>
          <w:szCs w:val="24"/>
        </w:rPr>
        <w:t>，</w:t>
      </w:r>
      <w:r>
        <w:rPr>
          <w:rFonts w:hint="eastAsia" w:ascii="仿宋" w:hAnsi="仿宋" w:eastAsia="仿宋" w:cs="仿宋"/>
          <w:sz w:val="24"/>
          <w:szCs w:val="24"/>
          <w:lang w:eastAsia="zh-CN"/>
        </w:rPr>
        <w:t>现公开邀请有意向的合作单位参与</w:t>
      </w:r>
      <w:r>
        <w:rPr>
          <w:rFonts w:hint="eastAsia" w:ascii="仿宋" w:hAnsi="仿宋" w:eastAsia="仿宋" w:cs="仿宋"/>
          <w:sz w:val="24"/>
          <w:szCs w:val="24"/>
        </w:rPr>
        <w:t>我公司该项目设备投标</w:t>
      </w:r>
      <w:r>
        <w:rPr>
          <w:rFonts w:hint="eastAsia" w:ascii="仿宋" w:hAnsi="仿宋" w:eastAsia="仿宋" w:cs="仿宋"/>
          <w:sz w:val="24"/>
          <w:szCs w:val="24"/>
          <w:lang w:val="en-US" w:eastAsia="zh-CN"/>
        </w:rPr>
        <w:t>寻源</w:t>
      </w:r>
      <w:r>
        <w:rPr>
          <w:rFonts w:hint="eastAsia" w:ascii="仿宋" w:hAnsi="仿宋" w:eastAsia="仿宋" w:cs="仿宋"/>
          <w:sz w:val="24"/>
          <w:szCs w:val="24"/>
        </w:rPr>
        <w:t>，相关内容如下：</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0" w:name="_Toc24330"/>
      <w:r>
        <w:rPr>
          <w:rFonts w:hint="eastAsia" w:ascii="仿宋" w:hAnsi="仿宋" w:eastAsia="仿宋" w:cs="仿宋"/>
          <w:b/>
          <w:bCs/>
          <w:sz w:val="24"/>
          <w:szCs w:val="24"/>
          <w:lang w:val="en-US" w:eastAsia="zh-CN"/>
        </w:rPr>
        <w:t>项目概况</w:t>
      </w:r>
      <w:bookmarkEnd w:id="0"/>
      <w:r>
        <w:rPr>
          <w:rFonts w:hint="eastAsia" w:ascii="仿宋" w:hAnsi="仿宋" w:eastAsia="仿宋" w:cs="仿宋"/>
          <w:b/>
          <w:bCs/>
          <w:sz w:val="24"/>
          <w:szCs w:val="24"/>
          <w:lang w:val="en-US" w:eastAsia="zh-CN"/>
        </w:rPr>
        <w:t>：</w:t>
      </w:r>
    </w:p>
    <w:p>
      <w:pPr>
        <w:tabs>
          <w:tab w:val="left" w:pos="5880"/>
        </w:tabs>
        <w:snapToGrid w:val="0"/>
        <w:spacing w:line="360" w:lineRule="auto"/>
        <w:ind w:firstLine="480" w:firstLineChars="200"/>
        <w:outlineLvl w:val="9"/>
        <w:rPr>
          <w:rFonts w:hint="default" w:ascii="仿宋" w:hAnsi="仿宋" w:eastAsia="仿宋" w:cs="仿宋"/>
          <w:color w:val="auto"/>
          <w:sz w:val="24"/>
          <w:szCs w:val="24"/>
          <w:highlight w:val="none"/>
          <w:lang w:val="en-US" w:eastAsia="zh-CN"/>
        </w:rPr>
      </w:pPr>
      <w:bookmarkStart w:id="1" w:name="_Toc2664"/>
      <w:r>
        <w:rPr>
          <w:rFonts w:hint="eastAsia" w:ascii="仿宋" w:hAnsi="仿宋" w:eastAsia="仿宋" w:cs="仿宋"/>
          <w:sz w:val="24"/>
          <w:szCs w:val="24"/>
          <w:highlight w:val="none"/>
        </w:rPr>
        <w:t>根据项目需要，</w:t>
      </w:r>
      <w:r>
        <w:rPr>
          <w:rFonts w:hint="eastAsia" w:ascii="仿宋" w:hAnsi="仿宋" w:eastAsia="仿宋" w:cs="仿宋"/>
          <w:sz w:val="24"/>
          <w:szCs w:val="24"/>
          <w:highlight w:val="none"/>
          <w:lang w:val="en-US" w:eastAsia="zh-CN"/>
        </w:rPr>
        <w:t>我公司</w:t>
      </w:r>
      <w:r>
        <w:rPr>
          <w:rFonts w:hint="eastAsia" w:ascii="仿宋" w:hAnsi="仿宋" w:eastAsia="仿宋" w:cs="仿宋"/>
          <w:sz w:val="24"/>
          <w:szCs w:val="24"/>
          <w:highlight w:val="none"/>
        </w:rPr>
        <w:t>拟对下表所列产品进行</w:t>
      </w:r>
      <w:r>
        <w:rPr>
          <w:rFonts w:hint="eastAsia" w:ascii="仿宋" w:hAnsi="仿宋" w:eastAsia="仿宋" w:cs="仿宋"/>
          <w:sz w:val="24"/>
          <w:szCs w:val="24"/>
          <w:highlight w:val="none"/>
          <w:lang w:val="en-US" w:eastAsia="zh-CN"/>
        </w:rPr>
        <w:t>投标</w:t>
      </w:r>
      <w:r>
        <w:rPr>
          <w:rFonts w:hint="eastAsia" w:ascii="仿宋" w:hAnsi="仿宋" w:eastAsia="仿宋" w:cs="仿宋"/>
          <w:sz w:val="24"/>
          <w:szCs w:val="24"/>
          <w:highlight w:val="none"/>
        </w:rPr>
        <w:t>寻源</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本次投标寻源为1个标的，1个标包，每个标包需单独响应（1个标包1份响应文件）。标包明细如下；</w:t>
      </w:r>
    </w:p>
    <w:tbl>
      <w:tblPr>
        <w:tblStyle w:val="2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02"/>
        <w:gridCol w:w="820"/>
        <w:gridCol w:w="530"/>
        <w:gridCol w:w="2717"/>
        <w:gridCol w:w="555"/>
        <w:gridCol w:w="2682"/>
        <w:gridCol w:w="71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pPr>
            <w:r>
              <w:rPr>
                <w:rFonts w:hint="eastAsia"/>
                <w:lang w:val="en-US" w:eastAsia="zh-CN"/>
              </w:rPr>
              <w:t>序号</w:t>
            </w:r>
          </w:p>
        </w:tc>
        <w:tc>
          <w:tcPr>
            <w:tcW w:w="48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default"/>
                <w:lang w:val="en-US"/>
              </w:rPr>
            </w:pPr>
            <w:r>
              <w:rPr>
                <w:rFonts w:hint="eastAsia"/>
                <w:lang w:val="en-US" w:eastAsia="zh-CN"/>
              </w:rPr>
              <w:t>标包序号</w:t>
            </w:r>
          </w:p>
        </w:tc>
        <w:tc>
          <w:tcPr>
            <w:tcW w:w="3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r>
              <w:rPr>
                <w:rFonts w:hint="eastAsia"/>
                <w:lang w:val="en-US" w:eastAsia="zh-CN"/>
              </w:rPr>
              <w:t>物资名称</w:t>
            </w:r>
          </w:p>
        </w:tc>
        <w:tc>
          <w:tcPr>
            <w:tcW w:w="159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r>
              <w:rPr>
                <w:rFonts w:hint="eastAsia"/>
                <w:lang w:val="en-US" w:eastAsia="zh-CN"/>
              </w:rPr>
              <w:t>物资构成</w:t>
            </w:r>
          </w:p>
        </w:tc>
        <w:tc>
          <w:tcPr>
            <w:tcW w:w="32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r>
              <w:rPr>
                <w:rFonts w:hint="eastAsia"/>
                <w:lang w:val="en-US" w:eastAsia="zh-CN"/>
              </w:rPr>
              <w:t>预估数量</w:t>
            </w:r>
          </w:p>
        </w:tc>
        <w:tc>
          <w:tcPr>
            <w:tcW w:w="157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r>
              <w:rPr>
                <w:rFonts w:hint="eastAsia"/>
                <w:lang w:val="en-US" w:eastAsia="zh-CN"/>
              </w:rPr>
              <w:t>单价限价（万元）</w:t>
            </w:r>
          </w:p>
        </w:tc>
        <w:tc>
          <w:tcPr>
            <w:tcW w:w="41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r>
              <w:rPr>
                <w:rFonts w:hint="eastAsia"/>
                <w:lang w:val="en-US" w:eastAsia="zh-CN"/>
              </w:rPr>
              <w:t>预估总价（万元）</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6" w:hRule="atLeast"/>
        </w:trPr>
        <w:tc>
          <w:tcPr>
            <w:tcW w:w="294"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jc w:val="center"/>
              <w:rPr>
                <w:rFonts w:hint="eastAsia"/>
                <w:highlight w:val="none"/>
              </w:rPr>
            </w:pPr>
            <w:r>
              <w:rPr>
                <w:rFonts w:hint="eastAsia"/>
                <w:highlight w:val="none"/>
                <w:lang w:val="en-US" w:eastAsia="zh-CN"/>
              </w:rPr>
              <w:t>1</w:t>
            </w:r>
          </w:p>
        </w:tc>
        <w:tc>
          <w:tcPr>
            <w:tcW w:w="48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jc w:val="center"/>
              <w:rPr>
                <w:rFonts w:hint="default" w:eastAsia="仿宋"/>
                <w:highlight w:val="none"/>
                <w:lang w:val="en-US" w:eastAsia="zh-CN"/>
              </w:rPr>
            </w:pPr>
            <w:r>
              <w:rPr>
                <w:rFonts w:hint="eastAsia"/>
                <w:highlight w:val="none"/>
                <w:lang w:val="en-US" w:eastAsia="zh-CN"/>
              </w:rPr>
              <w:t>1-1</w:t>
            </w:r>
          </w:p>
        </w:tc>
        <w:tc>
          <w:tcPr>
            <w:tcW w:w="311"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jc w:val="center"/>
              <w:rPr>
                <w:rFonts w:hint="default"/>
                <w:highlight w:val="none"/>
                <w:lang w:val="en-US"/>
              </w:rPr>
            </w:pPr>
            <w:r>
              <w:rPr>
                <w:rFonts w:hint="eastAsia"/>
                <w:highlight w:val="none"/>
                <w:lang w:val="en-US" w:eastAsia="zh-CN"/>
              </w:rPr>
              <w:t>2026年应急装备购置</w:t>
            </w:r>
          </w:p>
        </w:tc>
        <w:tc>
          <w:tcPr>
            <w:tcW w:w="1595"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jc w:val="center"/>
              <w:rPr>
                <w:rFonts w:hint="eastAsia"/>
                <w:highlight w:val="none"/>
                <w:lang w:val="en-US" w:eastAsia="zh-CN"/>
              </w:rPr>
            </w:pPr>
            <w:r>
              <w:rPr>
                <w:rFonts w:hint="eastAsia"/>
                <w:highlight w:val="none"/>
                <w:lang w:val="en-US" w:eastAsia="zh-CN"/>
              </w:rPr>
              <w:t>0.4kV UPS电源车120kVA  2辆</w:t>
            </w:r>
          </w:p>
          <w:p>
            <w:pPr>
              <w:pStyle w:val="40"/>
              <w:bidi w:val="0"/>
              <w:jc w:val="center"/>
              <w:rPr>
                <w:rFonts w:hint="default"/>
                <w:highlight w:val="none"/>
                <w:lang w:val="en-US" w:eastAsia="zh-CN"/>
              </w:rPr>
            </w:pPr>
            <w:r>
              <w:rPr>
                <w:rFonts w:hint="eastAsia"/>
                <w:highlight w:val="none"/>
                <w:lang w:val="en-US" w:eastAsia="zh-CN"/>
              </w:rPr>
              <w:t>0.4kV UPS电源车500kVA  2辆</w:t>
            </w:r>
          </w:p>
          <w:p>
            <w:pPr>
              <w:pStyle w:val="40"/>
              <w:bidi w:val="0"/>
              <w:jc w:val="center"/>
              <w:rPr>
                <w:rFonts w:hint="eastAsia"/>
                <w:highlight w:val="none"/>
                <w:lang w:val="en-US" w:eastAsia="zh-CN"/>
              </w:rPr>
            </w:pPr>
            <w:r>
              <w:rPr>
                <w:rFonts w:hint="eastAsia"/>
                <w:highlight w:val="none"/>
                <w:lang w:val="en-US" w:eastAsia="zh-CN"/>
              </w:rPr>
              <w:t>10kV发电车1000kVA  2辆</w:t>
            </w:r>
          </w:p>
          <w:p>
            <w:pPr>
              <w:pStyle w:val="40"/>
              <w:bidi w:val="0"/>
              <w:jc w:val="center"/>
              <w:rPr>
                <w:rFonts w:hint="eastAsia"/>
                <w:highlight w:val="none"/>
                <w:lang w:val="en-US" w:eastAsia="zh-CN"/>
              </w:rPr>
            </w:pPr>
            <w:r>
              <w:rPr>
                <w:rFonts w:hint="eastAsia"/>
                <w:highlight w:val="none"/>
                <w:lang w:val="en-US" w:eastAsia="zh-CN"/>
              </w:rPr>
              <w:t>10kV发电车2000kVA  2辆</w:t>
            </w:r>
          </w:p>
          <w:p>
            <w:pPr>
              <w:pStyle w:val="40"/>
              <w:bidi w:val="0"/>
              <w:jc w:val="center"/>
              <w:rPr>
                <w:rFonts w:hint="default"/>
                <w:highlight w:val="none"/>
                <w:lang w:val="en-US" w:eastAsia="zh-CN"/>
              </w:rPr>
            </w:pPr>
            <w:r>
              <w:rPr>
                <w:rFonts w:hint="eastAsia"/>
                <w:highlight w:val="none"/>
                <w:lang w:val="en-US" w:eastAsia="zh-CN"/>
              </w:rPr>
              <w:t>0.4kV UPS电源车60kVA  1辆</w:t>
            </w:r>
          </w:p>
          <w:p>
            <w:pPr>
              <w:pStyle w:val="40"/>
              <w:bidi w:val="0"/>
              <w:jc w:val="center"/>
              <w:rPr>
                <w:rFonts w:hint="default"/>
                <w:highlight w:val="none"/>
                <w:lang w:val="en-US" w:eastAsia="zh-CN"/>
              </w:rPr>
            </w:pPr>
            <w:r>
              <w:rPr>
                <w:rFonts w:hint="eastAsia"/>
                <w:highlight w:val="none"/>
                <w:lang w:val="en-US" w:eastAsia="zh-CN"/>
              </w:rPr>
              <w:t>0.4kV UPS电源车250kVA  1辆</w:t>
            </w:r>
          </w:p>
          <w:p>
            <w:pPr>
              <w:pStyle w:val="40"/>
              <w:bidi w:val="0"/>
              <w:jc w:val="center"/>
              <w:rPr>
                <w:rFonts w:hint="default"/>
                <w:highlight w:val="none"/>
                <w:lang w:val="en-US" w:eastAsia="zh-CN"/>
              </w:rPr>
            </w:pPr>
          </w:p>
        </w:tc>
        <w:tc>
          <w:tcPr>
            <w:tcW w:w="325" w:type="pct"/>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jc w:val="center"/>
              <w:rPr>
                <w:rFonts w:hint="eastAsia"/>
                <w:highlight w:val="none"/>
              </w:rPr>
            </w:pPr>
            <w:r>
              <w:rPr>
                <w:rFonts w:hint="eastAsia"/>
                <w:highlight w:val="none"/>
                <w:lang w:val="en-US" w:eastAsia="zh-CN"/>
              </w:rPr>
              <w:t>10</w:t>
            </w:r>
          </w:p>
        </w:tc>
        <w:tc>
          <w:tcPr>
            <w:tcW w:w="1574"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jc w:val="center"/>
              <w:rPr>
                <w:rFonts w:hint="eastAsia" w:eastAsia="仿宋"/>
                <w:highlight w:val="none"/>
                <w:lang w:val="en-US" w:eastAsia="zh-CN"/>
              </w:rPr>
            </w:pPr>
            <w:r>
              <w:rPr>
                <w:rFonts w:hint="eastAsia"/>
                <w:highlight w:val="none"/>
                <w:lang w:val="en-US" w:eastAsia="zh-CN"/>
              </w:rPr>
              <w:t>/</w:t>
            </w:r>
          </w:p>
        </w:tc>
        <w:tc>
          <w:tcPr>
            <w:tcW w:w="416"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jc w:val="center"/>
              <w:rPr>
                <w:rFonts w:hint="default"/>
                <w:highlight w:val="none"/>
                <w:lang w:val="en-US"/>
              </w:rPr>
            </w:pPr>
            <w:r>
              <w:rPr>
                <w:rFonts w:hint="eastAsia"/>
                <w:highlight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6" w:hRule="atLeast"/>
        </w:trPr>
        <w:tc>
          <w:tcPr>
            <w:tcW w:w="29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8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11"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1595"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Style w:val="40"/>
              <w:bidi w:val="0"/>
              <w:rPr>
                <w:rFonts w:hint="eastAsia"/>
              </w:rPr>
            </w:pPr>
          </w:p>
        </w:tc>
        <w:tc>
          <w:tcPr>
            <w:tcW w:w="325"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1574"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c>
          <w:tcPr>
            <w:tcW w:w="416" w:type="pct"/>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pStyle w:val="40"/>
              <w:bidi w:val="0"/>
              <w:rPr>
                <w:rFonts w:hint="eastAsia"/>
              </w:rPr>
            </w:pPr>
          </w:p>
        </w:tc>
      </w:tr>
    </w:tbl>
    <w:p>
      <w:pPr>
        <w:tabs>
          <w:tab w:val="left" w:pos="5880"/>
        </w:tabs>
        <w:snapToGrid w:val="0"/>
        <w:spacing w:line="360" w:lineRule="auto"/>
        <w:ind w:firstLine="480" w:firstLineChars="200"/>
        <w:rPr>
          <w:rFonts w:hint="eastAsia" w:ascii="仿宋" w:hAnsi="仿宋" w:eastAsia="仿宋" w:cs="仿宋"/>
          <w:sz w:val="24"/>
          <w:szCs w:val="24"/>
          <w:highlight w:val="none"/>
        </w:rPr>
      </w:pPr>
    </w:p>
    <w:p>
      <w:pPr>
        <w:tabs>
          <w:tab w:val="left" w:pos="5880"/>
        </w:tabs>
        <w:snapToGrid w:val="0"/>
        <w:spacing w:line="360" w:lineRule="auto"/>
        <w:ind w:firstLine="480" w:firstLineChars="200"/>
        <w:rPr>
          <w:rFonts w:hint="eastAsia" w:ascii="仿宋" w:hAnsi="仿宋" w:eastAsia="仿宋" w:cs="仿宋"/>
          <w:sz w:val="24"/>
          <w:szCs w:val="24"/>
          <w:highlight w:val="none"/>
        </w:rPr>
      </w:pPr>
      <w:r>
        <w:rPr>
          <w:rFonts w:hint="eastAsia" w:ascii="仿宋" w:hAnsi="仿宋" w:eastAsia="仿宋" w:cs="仿宋"/>
          <w:sz w:val="24"/>
          <w:szCs w:val="24"/>
          <w:highlight w:val="none"/>
        </w:rPr>
        <w:t>本次</w:t>
      </w:r>
      <w:r>
        <w:rPr>
          <w:rFonts w:hint="eastAsia" w:ascii="仿宋" w:hAnsi="仿宋" w:eastAsia="仿宋" w:cs="仿宋"/>
          <w:sz w:val="24"/>
          <w:szCs w:val="24"/>
          <w:highlight w:val="none"/>
          <w:lang w:eastAsia="zh-CN"/>
        </w:rPr>
        <w:t>投标</w:t>
      </w:r>
      <w:r>
        <w:rPr>
          <w:rFonts w:hint="eastAsia" w:ascii="仿宋" w:hAnsi="仿宋" w:eastAsia="仿宋" w:cs="仿宋"/>
          <w:sz w:val="24"/>
          <w:szCs w:val="24"/>
          <w:highlight w:val="none"/>
        </w:rPr>
        <w:t>寻源为</w:t>
      </w:r>
      <w:r>
        <w:rPr>
          <w:rFonts w:hint="eastAsia" w:ascii="仿宋" w:hAnsi="仿宋" w:eastAsia="仿宋" w:cs="仿宋"/>
          <w:b/>
          <w:bCs/>
          <w:color w:val="0000EE"/>
          <w:sz w:val="24"/>
          <w:szCs w:val="24"/>
          <w:highlight w:val="none"/>
        </w:rPr>
        <w:t>意向寻源</w:t>
      </w:r>
      <w:r>
        <w:rPr>
          <w:rFonts w:hint="eastAsia" w:ascii="仿宋" w:hAnsi="仿宋" w:eastAsia="仿宋" w:cs="仿宋"/>
          <w:sz w:val="24"/>
          <w:szCs w:val="24"/>
          <w:highlight w:val="none"/>
        </w:rPr>
        <w:t>，我公司不承诺必然发生实质性采购需求。</w:t>
      </w:r>
      <w:bookmarkEnd w:id="1"/>
    </w:p>
    <w:p>
      <w:pPr>
        <w:tabs>
          <w:tab w:val="left" w:pos="5880"/>
        </w:tabs>
        <w:snapToGrid w:val="0"/>
        <w:spacing w:line="360" w:lineRule="auto"/>
        <w:ind w:firstLine="482" w:firstLineChars="200"/>
        <w:rPr>
          <w:rFonts w:hint="eastAsia" w:ascii="仿宋" w:hAnsi="仿宋" w:eastAsia="仿宋" w:cs="仿宋"/>
          <w:sz w:val="24"/>
          <w:szCs w:val="24"/>
        </w:rPr>
      </w:pPr>
      <w:r>
        <w:rPr>
          <w:rFonts w:hint="eastAsia" w:ascii="仿宋" w:hAnsi="仿宋" w:eastAsia="仿宋" w:cs="仿宋"/>
          <w:b/>
          <w:bCs/>
          <w:sz w:val="24"/>
          <w:szCs w:val="24"/>
        </w:rPr>
        <w:t>交货期：</w:t>
      </w:r>
      <w:r>
        <w:rPr>
          <w:rFonts w:hint="eastAsia" w:ascii="仿宋" w:hAnsi="仿宋" w:eastAsia="仿宋" w:cs="仿宋"/>
          <w:b/>
          <w:bCs/>
          <w:color w:val="0000FF"/>
          <w:sz w:val="24"/>
          <w:szCs w:val="24"/>
          <w:lang w:val="en-US" w:eastAsia="zh-CN"/>
        </w:rPr>
        <w:t>自合同签订之日起60日历天内</w:t>
      </w:r>
      <w:r>
        <w:rPr>
          <w:rFonts w:hint="eastAsia" w:ascii="仿宋" w:hAnsi="仿宋" w:eastAsia="仿宋" w:cs="仿宋"/>
          <w:sz w:val="24"/>
          <w:szCs w:val="24"/>
        </w:rPr>
        <w:t>，具体以双方签订的合同要求为准。</w:t>
      </w:r>
    </w:p>
    <w:p>
      <w:pPr>
        <w:tabs>
          <w:tab w:val="left" w:pos="5880"/>
        </w:tabs>
        <w:snapToGrid w:val="0"/>
        <w:spacing w:line="360" w:lineRule="auto"/>
        <w:ind w:firstLine="482" w:firstLineChars="200"/>
        <w:rPr>
          <w:rFonts w:hint="eastAsia" w:ascii="仿宋" w:hAnsi="仿宋" w:eastAsia="仿宋" w:cs="仿宋"/>
          <w:sz w:val="24"/>
          <w:szCs w:val="24"/>
          <w:highlight w:val="none"/>
        </w:rPr>
      </w:pPr>
      <w:r>
        <w:rPr>
          <w:rFonts w:hint="eastAsia" w:ascii="仿宋" w:hAnsi="仿宋" w:eastAsia="仿宋" w:cs="仿宋"/>
          <w:b/>
          <w:bCs/>
          <w:sz w:val="24"/>
          <w:szCs w:val="24"/>
          <w:highlight w:val="none"/>
        </w:rPr>
        <w:t>质保期</w:t>
      </w:r>
      <w:r>
        <w:rPr>
          <w:rFonts w:hint="eastAsia" w:ascii="仿宋" w:hAnsi="仿宋" w:eastAsia="仿宋" w:cs="仿宋"/>
          <w:sz w:val="24"/>
          <w:szCs w:val="24"/>
          <w:highlight w:val="none"/>
        </w:rPr>
        <w:t>：货物质保期</w:t>
      </w:r>
      <w:r>
        <w:rPr>
          <w:rFonts w:hint="eastAsia" w:ascii="仿宋" w:hAnsi="仿宋" w:eastAsia="仿宋" w:cs="仿宋"/>
          <w:b/>
          <w:bCs/>
          <w:color w:val="0000EE"/>
          <w:sz w:val="24"/>
          <w:szCs w:val="24"/>
          <w:highlight w:val="none"/>
          <w:u w:val="single"/>
          <w:lang w:val="en-US" w:eastAsia="zh-CN"/>
        </w:rPr>
        <w:t xml:space="preserve"> 3 </w:t>
      </w:r>
      <w:r>
        <w:rPr>
          <w:rFonts w:hint="eastAsia" w:ascii="仿宋" w:hAnsi="仿宋" w:eastAsia="仿宋" w:cs="仿宋"/>
          <w:b w:val="0"/>
          <w:bCs w:val="0"/>
          <w:sz w:val="24"/>
          <w:szCs w:val="24"/>
          <w:highlight w:val="none"/>
        </w:rPr>
        <w:t>年</w:t>
      </w:r>
      <w:r>
        <w:rPr>
          <w:rFonts w:hint="eastAsia" w:ascii="仿宋" w:hAnsi="仿宋" w:eastAsia="仿宋" w:cs="仿宋"/>
          <w:b/>
          <w:bCs/>
          <w:sz w:val="24"/>
          <w:szCs w:val="24"/>
          <w:highlight w:val="none"/>
        </w:rPr>
        <w:t>，</w:t>
      </w:r>
      <w:r>
        <w:rPr>
          <w:rFonts w:hint="eastAsia" w:ascii="仿宋" w:hAnsi="仿宋" w:eastAsia="仿宋" w:cs="仿宋"/>
          <w:sz w:val="24"/>
          <w:szCs w:val="24"/>
          <w:highlight w:val="none"/>
        </w:rPr>
        <w:t>具体以双方签订的合同要求为准。</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2" w:name="_Toc7071"/>
      <w:r>
        <w:rPr>
          <w:rFonts w:hint="eastAsia" w:ascii="仿宋" w:hAnsi="仿宋" w:eastAsia="仿宋" w:cs="仿宋"/>
          <w:b/>
          <w:bCs/>
          <w:sz w:val="24"/>
          <w:szCs w:val="24"/>
          <w:lang w:val="en-US" w:eastAsia="zh-CN"/>
        </w:rPr>
        <w:t>询价响应文件要求</w:t>
      </w:r>
      <w:bookmarkEnd w:id="2"/>
      <w:r>
        <w:rPr>
          <w:rFonts w:hint="eastAsia" w:ascii="仿宋" w:hAnsi="仿宋" w:eastAsia="仿宋" w:cs="仿宋"/>
          <w:b/>
          <w:bCs/>
          <w:sz w:val="24"/>
          <w:szCs w:val="24"/>
          <w:lang w:val="en-US" w:eastAsia="zh-CN"/>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询价响应文件需包含</w:t>
      </w:r>
      <w:r>
        <w:rPr>
          <w:rFonts w:hint="eastAsia" w:ascii="仿宋" w:hAnsi="仿宋" w:eastAsia="仿宋" w:cs="仿宋"/>
          <w:b/>
          <w:bCs/>
          <w:color w:val="0000FF"/>
          <w:sz w:val="24"/>
          <w:szCs w:val="24"/>
          <w:highlight w:val="none"/>
          <w:u w:val="single"/>
          <w:lang w:val="en-US" w:eastAsia="zh-CN"/>
        </w:rPr>
        <w:t>企业</w:t>
      </w:r>
      <w:r>
        <w:rPr>
          <w:rFonts w:hint="eastAsia" w:ascii="仿宋" w:hAnsi="仿宋" w:eastAsia="仿宋" w:cs="仿宋"/>
          <w:b/>
          <w:bCs/>
          <w:color w:val="0000FF"/>
          <w:sz w:val="24"/>
          <w:szCs w:val="24"/>
          <w:highlight w:val="none"/>
          <w:u w:val="single"/>
        </w:rPr>
        <w:t>简介</w:t>
      </w:r>
      <w:r>
        <w:rPr>
          <w:rFonts w:hint="eastAsia" w:ascii="仿宋" w:hAnsi="仿宋" w:eastAsia="仿宋" w:cs="仿宋"/>
          <w:b/>
          <w:bCs/>
          <w:color w:val="0000FF"/>
          <w:sz w:val="24"/>
          <w:szCs w:val="24"/>
          <w:highlight w:val="none"/>
          <w:u w:val="single"/>
          <w:lang w:val="en-US" w:eastAsia="zh-CN"/>
        </w:rPr>
        <w:t>和基本情况</w:t>
      </w:r>
      <w:r>
        <w:rPr>
          <w:rFonts w:hint="eastAsia" w:ascii="仿宋" w:hAnsi="仿宋" w:eastAsia="仿宋" w:cs="仿宋"/>
          <w:b/>
          <w:bCs/>
          <w:color w:val="0000FF"/>
          <w:sz w:val="24"/>
          <w:szCs w:val="24"/>
          <w:highlight w:val="none"/>
          <w:u w:val="single"/>
        </w:rPr>
        <w:t>、营业执照、近三年经审计的财务报告</w:t>
      </w:r>
      <w:r>
        <w:rPr>
          <w:rFonts w:hint="eastAsia" w:ascii="仿宋" w:hAnsi="仿宋" w:eastAsia="仿宋" w:cs="仿宋"/>
          <w:b/>
          <w:bCs/>
          <w:color w:val="0000FF"/>
          <w:sz w:val="24"/>
          <w:szCs w:val="24"/>
          <w:highlight w:val="none"/>
          <w:u w:val="single"/>
          <w:lang w:eastAsia="zh-CN"/>
        </w:rPr>
        <w:t>、</w:t>
      </w:r>
      <w:r>
        <w:rPr>
          <w:rFonts w:hint="eastAsia" w:ascii="仿宋" w:hAnsi="仿宋" w:eastAsia="仿宋" w:cs="仿宋"/>
          <w:b/>
          <w:bCs/>
          <w:color w:val="0000FF"/>
          <w:sz w:val="24"/>
          <w:szCs w:val="24"/>
          <w:highlight w:val="none"/>
          <w:u w:val="single"/>
        </w:rPr>
        <w:t>企业资质（质量管理体系认证</w:t>
      </w:r>
      <w:r>
        <w:rPr>
          <w:rFonts w:hint="eastAsia" w:ascii="仿宋" w:hAnsi="仿宋" w:eastAsia="仿宋" w:cs="仿宋"/>
          <w:b/>
          <w:bCs/>
          <w:color w:val="0000FF"/>
          <w:sz w:val="24"/>
          <w:szCs w:val="24"/>
          <w:highlight w:val="none"/>
          <w:u w:val="single"/>
          <w:lang w:val="en-US" w:eastAsia="zh-CN"/>
        </w:rPr>
        <w:t>等</w:t>
      </w:r>
      <w:r>
        <w:rPr>
          <w:rFonts w:hint="eastAsia" w:ascii="仿宋" w:hAnsi="仿宋" w:eastAsia="仿宋" w:cs="仿宋"/>
          <w:b/>
          <w:bCs/>
          <w:color w:val="0000FF"/>
          <w:sz w:val="24"/>
          <w:szCs w:val="24"/>
          <w:highlight w:val="none"/>
          <w:u w:val="single"/>
        </w:rPr>
        <w:t>）、产品技术资料（</w:t>
      </w:r>
      <w:r>
        <w:rPr>
          <w:rFonts w:hint="eastAsia" w:ascii="仿宋" w:hAnsi="仿宋" w:eastAsia="仿宋" w:cs="仿宋"/>
          <w:b/>
          <w:bCs/>
          <w:color w:val="0000FF"/>
          <w:sz w:val="24"/>
          <w:szCs w:val="24"/>
          <w:u w:val="single"/>
          <w:lang w:val="en-US" w:eastAsia="zh-CN"/>
        </w:rPr>
        <w:t>包括但不限于产品规格型号、产品相关资质证书</w:t>
      </w:r>
      <w:r>
        <w:rPr>
          <w:rFonts w:hint="eastAsia" w:ascii="仿宋" w:hAnsi="仿宋" w:eastAsia="仿宋" w:cs="仿宋"/>
          <w:b/>
          <w:bCs/>
          <w:color w:val="0000FF"/>
          <w:sz w:val="24"/>
          <w:szCs w:val="24"/>
          <w:highlight w:val="none"/>
          <w:u w:val="single"/>
          <w:lang w:val="en-US" w:eastAsia="zh-CN"/>
        </w:rPr>
        <w:t>）</w:t>
      </w:r>
      <w:r>
        <w:rPr>
          <w:rFonts w:hint="eastAsia" w:ascii="仿宋" w:hAnsi="仿宋" w:eastAsia="仿宋" w:cs="仿宋"/>
          <w:b/>
          <w:bCs/>
          <w:color w:val="0000FF"/>
          <w:sz w:val="24"/>
          <w:szCs w:val="24"/>
          <w:u w:val="single"/>
          <w:lang w:val="en-US" w:eastAsia="zh-CN"/>
        </w:rPr>
        <w:t>、</w:t>
      </w:r>
      <w:r>
        <w:rPr>
          <w:rFonts w:hint="eastAsia" w:ascii="仿宋" w:hAnsi="仿宋" w:eastAsia="仿宋" w:cs="仿宋"/>
          <w:b/>
          <w:bCs/>
          <w:strike w:val="0"/>
          <w:dstrike w:val="0"/>
          <w:color w:val="0000FF"/>
          <w:sz w:val="24"/>
          <w:szCs w:val="24"/>
          <w:highlight w:val="none"/>
          <w:u w:val="single"/>
        </w:rPr>
        <w:t>同</w:t>
      </w:r>
      <w:r>
        <w:rPr>
          <w:rFonts w:hint="eastAsia" w:ascii="仿宋" w:hAnsi="仿宋" w:eastAsia="仿宋" w:cs="仿宋"/>
          <w:b/>
          <w:bCs/>
          <w:strike w:val="0"/>
          <w:dstrike w:val="0"/>
          <w:color w:val="0000FF"/>
          <w:sz w:val="24"/>
          <w:szCs w:val="24"/>
          <w:highlight w:val="none"/>
          <w:u w:val="single"/>
          <w:lang w:val="en-US" w:eastAsia="zh-CN"/>
        </w:rPr>
        <w:t>类型</w:t>
      </w:r>
      <w:r>
        <w:rPr>
          <w:rFonts w:hint="eastAsia" w:ascii="仿宋" w:hAnsi="仿宋" w:eastAsia="仿宋" w:cs="仿宋"/>
          <w:b/>
          <w:bCs/>
          <w:strike w:val="0"/>
          <w:dstrike w:val="0"/>
          <w:color w:val="0000FF"/>
          <w:sz w:val="24"/>
          <w:szCs w:val="24"/>
          <w:highlight w:val="none"/>
          <w:u w:val="single"/>
        </w:rPr>
        <w:t>项目</w:t>
      </w:r>
      <w:r>
        <w:rPr>
          <w:rFonts w:hint="eastAsia" w:ascii="仿宋" w:hAnsi="仿宋" w:eastAsia="仿宋" w:cs="仿宋"/>
          <w:b/>
          <w:bCs/>
          <w:color w:val="0000FF"/>
          <w:sz w:val="24"/>
          <w:szCs w:val="24"/>
          <w:highlight w:val="none"/>
          <w:u w:val="single"/>
        </w:rPr>
        <w:t>业绩、报价文件</w:t>
      </w:r>
      <w:r>
        <w:rPr>
          <w:rFonts w:hint="eastAsia" w:ascii="仿宋" w:hAnsi="仿宋" w:eastAsia="仿宋" w:cs="仿宋"/>
          <w:color w:val="auto"/>
          <w:sz w:val="24"/>
          <w:szCs w:val="24"/>
          <w:highlight w:val="none"/>
        </w:rPr>
        <w:t>等，</w:t>
      </w:r>
      <w:r>
        <w:rPr>
          <w:rFonts w:hint="eastAsia" w:ascii="仿宋" w:hAnsi="仿宋" w:eastAsia="仿宋" w:cs="仿宋"/>
          <w:sz w:val="24"/>
          <w:szCs w:val="24"/>
        </w:rPr>
        <w:t>详见附件（响应文件格式及其</w:t>
      </w:r>
      <w:r>
        <w:rPr>
          <w:rFonts w:hint="eastAsia" w:ascii="仿宋" w:hAnsi="仿宋" w:eastAsia="仿宋" w:cs="仿宋"/>
          <w:sz w:val="24"/>
          <w:szCs w:val="24"/>
          <w:lang w:val="en-US" w:eastAsia="zh-CN"/>
        </w:rPr>
        <w:t>相关</w:t>
      </w:r>
      <w:r>
        <w:rPr>
          <w:rFonts w:hint="eastAsia" w:ascii="仿宋" w:hAnsi="仿宋" w:eastAsia="仿宋" w:cs="仿宋"/>
          <w:sz w:val="24"/>
          <w:szCs w:val="24"/>
        </w:rPr>
        <w:t>附件）。</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sz w:val="24"/>
          <w:szCs w:val="24"/>
        </w:rPr>
        <w:t>报价文件有效期为提交报价之日</w:t>
      </w:r>
      <w:r>
        <w:rPr>
          <w:rFonts w:hint="eastAsia" w:ascii="仿宋" w:hAnsi="仿宋" w:eastAsia="仿宋" w:cs="仿宋"/>
          <w:color w:val="auto"/>
          <w:sz w:val="24"/>
          <w:szCs w:val="24"/>
        </w:rPr>
        <w:t>起不低于</w:t>
      </w:r>
      <w:r>
        <w:rPr>
          <w:rFonts w:hint="eastAsia" w:ascii="仿宋" w:hAnsi="仿宋" w:eastAsia="仿宋" w:cs="仿宋"/>
          <w:b/>
          <w:bCs/>
          <w:color w:val="auto"/>
          <w:sz w:val="24"/>
          <w:szCs w:val="24"/>
          <w:u w:val="single"/>
          <w:lang w:val="en-US" w:eastAsia="zh-CN"/>
        </w:rPr>
        <w:t>120</w:t>
      </w:r>
      <w:r>
        <w:rPr>
          <w:rFonts w:hint="eastAsia" w:ascii="仿宋" w:hAnsi="仿宋" w:eastAsia="仿宋" w:cs="仿宋"/>
          <w:color w:val="auto"/>
          <w:sz w:val="24"/>
          <w:szCs w:val="24"/>
        </w:rPr>
        <w:t>个日历天。</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报价文件要求对货品询价单中的所有分项进行</w:t>
      </w:r>
      <w:r>
        <w:rPr>
          <w:rFonts w:hint="eastAsia" w:ascii="仿宋" w:hAnsi="仿宋" w:eastAsia="仿宋" w:cs="仿宋"/>
          <w:b/>
          <w:bCs/>
          <w:color w:val="auto"/>
          <w:sz w:val="24"/>
          <w:szCs w:val="24"/>
          <w:u w:val="single"/>
          <w:lang w:val="en-US" w:eastAsia="zh-CN"/>
        </w:rPr>
        <w:t>单价</w:t>
      </w:r>
      <w:r>
        <w:rPr>
          <w:rFonts w:hint="eastAsia" w:ascii="仿宋" w:hAnsi="仿宋" w:eastAsia="仿宋" w:cs="仿宋"/>
          <w:b/>
          <w:bCs/>
          <w:color w:val="auto"/>
          <w:sz w:val="24"/>
          <w:szCs w:val="24"/>
          <w:u w:val="single"/>
        </w:rPr>
        <w:t>报价</w:t>
      </w:r>
      <w:r>
        <w:rPr>
          <w:rFonts w:hint="eastAsia" w:ascii="仿宋" w:hAnsi="仿宋" w:eastAsia="仿宋" w:cs="仿宋"/>
          <w:b w:val="0"/>
          <w:bCs w:val="0"/>
          <w:color w:val="auto"/>
          <w:sz w:val="24"/>
          <w:szCs w:val="24"/>
          <w:u w:val="none"/>
          <w:lang w:val="en-US" w:eastAsia="zh-CN"/>
        </w:rPr>
        <w:t>和</w:t>
      </w:r>
      <w:r>
        <w:rPr>
          <w:rFonts w:hint="eastAsia" w:ascii="仿宋" w:hAnsi="仿宋" w:eastAsia="仿宋" w:cs="仿宋"/>
          <w:b/>
          <w:bCs/>
          <w:color w:val="auto"/>
          <w:sz w:val="24"/>
          <w:szCs w:val="24"/>
          <w:u w:val="single"/>
          <w:lang w:val="en-US" w:eastAsia="zh-CN"/>
        </w:rPr>
        <w:t>总价报价</w:t>
      </w:r>
      <w:r>
        <w:rPr>
          <w:rFonts w:hint="eastAsia" w:ascii="仿宋" w:hAnsi="仿宋" w:eastAsia="仿宋" w:cs="仿宋"/>
          <w:color w:val="auto"/>
          <w:sz w:val="24"/>
          <w:szCs w:val="24"/>
        </w:rPr>
        <w:t>。</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文件按照总价全包进行报价，应包括货到工地指定地点的一切税费（提供专用增值税发票）、设备包装、运输（包含二次运输）、卸货、保险、仓储、安装督导、调试、试运行、验收、培训、售后服务等所需费用。</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报价应为准确、可参考的有效报价，如经评审确认为投标合作供应商，此报价作为后续合同签订依据。</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b/>
          <w:bCs/>
          <w:color w:val="auto"/>
          <w:sz w:val="24"/>
          <w:szCs w:val="24"/>
          <w:highlight w:val="none"/>
        </w:rPr>
        <w:t>付款约定条款：</w:t>
      </w:r>
      <w:r>
        <w:rPr>
          <w:rFonts w:hint="eastAsia" w:ascii="仿宋" w:hAnsi="仿宋" w:eastAsia="仿宋" w:cs="仿宋"/>
          <w:color w:val="auto"/>
          <w:sz w:val="24"/>
          <w:szCs w:val="24"/>
          <w:highlight w:val="none"/>
        </w:rPr>
        <w:t>具体付款条款以双方签订的合同要求为准。</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rPr>
      </w:pPr>
      <w:r>
        <w:rPr>
          <w:rFonts w:hint="eastAsia" w:ascii="仿宋" w:hAnsi="仿宋" w:eastAsia="仿宋" w:cs="仿宋"/>
          <w:color w:val="auto"/>
          <w:sz w:val="24"/>
          <w:szCs w:val="24"/>
          <w:highlight w:val="none"/>
        </w:rPr>
        <w:t>本项目不收取质量保证金，不要求报价人提交质量保证保函（保险），不设立任何形式的“结清款”或类似性质的款项作为质量担保。报价人应严格按照寻源文件要求及合同约定履行质量保证义务。报价人应充分考虑采购人上述管理要求对投标报价的影响。</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报价产品</w:t>
      </w:r>
      <w:r>
        <w:rPr>
          <w:rFonts w:hint="eastAsia" w:ascii="仿宋" w:hAnsi="仿宋" w:eastAsia="仿宋" w:cs="仿宋"/>
          <w:color w:val="000000"/>
          <w:sz w:val="24"/>
          <w:szCs w:val="24"/>
          <w:highlight w:val="none"/>
        </w:rPr>
        <w:t>必须完全满足</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要求或优于</w:t>
      </w:r>
      <w:r>
        <w:rPr>
          <w:rFonts w:hint="eastAsia" w:ascii="仿宋" w:hAnsi="仿宋" w:eastAsia="仿宋" w:cs="仿宋"/>
          <w:color w:val="000000"/>
          <w:sz w:val="24"/>
          <w:szCs w:val="24"/>
          <w:highlight w:val="none"/>
          <w:lang w:val="en-US" w:eastAsia="zh-CN"/>
        </w:rPr>
        <w:t>技术参数偏离表技术参数</w:t>
      </w:r>
      <w:r>
        <w:rPr>
          <w:rFonts w:hint="eastAsia" w:ascii="仿宋" w:hAnsi="仿宋" w:eastAsia="仿宋" w:cs="仿宋"/>
          <w:color w:val="000000"/>
          <w:sz w:val="24"/>
          <w:szCs w:val="24"/>
          <w:highlight w:val="none"/>
        </w:rPr>
        <w:t>要求</w:t>
      </w:r>
      <w:r>
        <w:rPr>
          <w:rFonts w:hint="eastAsia" w:ascii="仿宋" w:hAnsi="仿宋" w:eastAsia="仿宋" w:cs="仿宋"/>
          <w:sz w:val="24"/>
          <w:szCs w:val="24"/>
          <w:highlight w:val="none"/>
        </w:rPr>
        <w:t>,</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详见附件《</w:t>
      </w:r>
      <w:r>
        <w:rPr>
          <w:rFonts w:hint="eastAsia" w:ascii="仿宋" w:hAnsi="仿宋" w:eastAsia="仿宋" w:cs="仿宋"/>
          <w:color w:val="000000"/>
          <w:sz w:val="24"/>
          <w:szCs w:val="24"/>
          <w:highlight w:val="none"/>
          <w:lang w:val="en-US" w:eastAsia="zh-CN"/>
        </w:rPr>
        <w:t>技术参数偏离表</w:t>
      </w:r>
      <w:r>
        <w:rPr>
          <w:rFonts w:hint="eastAsia" w:ascii="仿宋" w:hAnsi="仿宋" w:eastAsia="仿宋" w:cs="仿宋"/>
          <w:sz w:val="24"/>
          <w:szCs w:val="24"/>
          <w:highlight w:val="none"/>
        </w:rPr>
        <w:t>》，</w:t>
      </w:r>
      <w:r>
        <w:rPr>
          <w:rFonts w:hint="eastAsia" w:ascii="仿宋" w:hAnsi="仿宋" w:eastAsia="仿宋" w:cs="仿宋"/>
          <w:b/>
          <w:bCs/>
          <w:color w:val="0000FF"/>
          <w:sz w:val="24"/>
          <w:szCs w:val="24"/>
          <w:highlight w:val="none"/>
          <w:u w:val="single"/>
          <w:lang w:val="en-US" w:eastAsia="zh-CN"/>
        </w:rPr>
        <w:t>并在报价文件中列明每项偏差情况。</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贵司提交询价响应文件视同</w:t>
      </w:r>
      <w:r>
        <w:rPr>
          <w:rFonts w:hint="eastAsia" w:ascii="仿宋" w:hAnsi="仿宋" w:eastAsia="仿宋" w:cs="仿宋"/>
          <w:b/>
          <w:bCs/>
          <w:color w:val="0000FF"/>
          <w:sz w:val="24"/>
          <w:szCs w:val="24"/>
          <w:highlight w:val="none"/>
          <w:u w:val="single"/>
          <w:lang w:val="en-US" w:eastAsia="zh-CN"/>
        </w:rPr>
        <w:t>接受本项目交货期、质保期以及技术参数偏离表中的所有技术要求和本项目的付款约定条款。</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贵司应对收到的询价函及相关一切询价资料进行保密，不得向任何第三方透露与本询价有关的任何信息。</w:t>
      </w:r>
    </w:p>
    <w:p>
      <w:pPr>
        <w:keepNext w:val="0"/>
        <w:keepLines w:val="0"/>
        <w:pageBreakBefore w:val="0"/>
        <w:widowControl w:val="0"/>
        <w:numPr>
          <w:ilvl w:val="0"/>
          <w:numId w:val="3"/>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sz w:val="24"/>
          <w:szCs w:val="24"/>
        </w:rPr>
      </w:pPr>
      <w:r>
        <w:rPr>
          <w:rFonts w:hint="eastAsia" w:ascii="仿宋" w:hAnsi="仿宋" w:eastAsia="仿宋" w:cs="仿宋"/>
          <w:sz w:val="24"/>
          <w:szCs w:val="24"/>
          <w:highlight w:val="none"/>
        </w:rPr>
        <w:t>供应商必须承诺保证其交付</w:t>
      </w:r>
      <w:r>
        <w:rPr>
          <w:rFonts w:hint="eastAsia" w:ascii="仿宋" w:hAnsi="仿宋" w:eastAsia="仿宋" w:cs="仿宋"/>
          <w:sz w:val="24"/>
          <w:szCs w:val="24"/>
          <w:highlight w:val="none"/>
          <w:lang w:val="en-US" w:eastAsia="zh-CN"/>
        </w:rPr>
        <w:t>物</w:t>
      </w:r>
      <w:r>
        <w:rPr>
          <w:rFonts w:hint="eastAsia" w:ascii="仿宋" w:hAnsi="仿宋" w:eastAsia="仿宋" w:cs="仿宋"/>
          <w:sz w:val="24"/>
          <w:szCs w:val="24"/>
          <w:highlight w:val="none"/>
        </w:rPr>
        <w:t>无任何质量缺陷或瑕疵，无任何著作权、商标权、专利权或其他知识产权方面的权利限制或瑕疵，不会侵犯任何自然人、法人等主体的专利、商标、企业或贸易名称、版权、肖像权、技术秘密、商业秘密或其他任何权益。若我公司因供应商</w:t>
      </w:r>
      <w:r>
        <w:rPr>
          <w:rFonts w:hint="eastAsia" w:ascii="仿宋" w:hAnsi="仿宋" w:eastAsia="仿宋" w:cs="仿宋"/>
          <w:sz w:val="24"/>
          <w:szCs w:val="24"/>
          <w:highlight w:val="none"/>
          <w:lang w:val="en-US" w:eastAsia="zh-CN"/>
        </w:rPr>
        <w:t>的交付物</w:t>
      </w:r>
      <w:r>
        <w:rPr>
          <w:rFonts w:hint="eastAsia" w:ascii="仿宋" w:hAnsi="仿宋" w:eastAsia="仿宋" w:cs="仿宋"/>
          <w:sz w:val="24"/>
          <w:szCs w:val="24"/>
          <w:highlight w:val="none"/>
        </w:rPr>
        <w:t>侵害第三方的合法权益，我</w:t>
      </w:r>
      <w:r>
        <w:rPr>
          <w:rFonts w:hint="eastAsia" w:ascii="仿宋" w:hAnsi="仿宋" w:eastAsia="仿宋" w:cs="仿宋"/>
          <w:sz w:val="24"/>
          <w:szCs w:val="24"/>
          <w:highlight w:val="none"/>
          <w:lang w:val="en-US" w:eastAsia="zh-CN"/>
        </w:rPr>
        <w:t>公</w:t>
      </w:r>
      <w:r>
        <w:rPr>
          <w:rFonts w:hint="eastAsia" w:ascii="仿宋" w:hAnsi="仿宋" w:eastAsia="仿宋" w:cs="仿宋"/>
          <w:sz w:val="24"/>
          <w:szCs w:val="24"/>
          <w:highlight w:val="none"/>
        </w:rPr>
        <w:t>司有权解除合同，追究供应商违约、赔偿等责任；若我</w:t>
      </w:r>
      <w:r>
        <w:rPr>
          <w:rFonts w:hint="eastAsia" w:ascii="仿宋" w:hAnsi="仿宋" w:eastAsia="仿宋" w:cs="仿宋"/>
          <w:sz w:val="24"/>
          <w:szCs w:val="24"/>
          <w:highlight w:val="none"/>
          <w:lang w:val="en-US" w:eastAsia="zh-CN"/>
        </w:rPr>
        <w:t>公司</w:t>
      </w:r>
      <w:r>
        <w:rPr>
          <w:rFonts w:hint="eastAsia" w:ascii="仿宋" w:hAnsi="仿宋" w:eastAsia="仿宋" w:cs="仿宋"/>
          <w:sz w:val="24"/>
          <w:szCs w:val="24"/>
          <w:highlight w:val="none"/>
        </w:rPr>
        <w:t>侵害第三方的合法权被要求向第三方承担赔偿责任的，供应商对此承担全部责任。</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3" w:name="_Toc20153"/>
      <w:r>
        <w:rPr>
          <w:rFonts w:hint="eastAsia" w:ascii="仿宋" w:hAnsi="仿宋" w:eastAsia="仿宋" w:cs="仿宋"/>
          <w:b/>
          <w:bCs/>
          <w:sz w:val="24"/>
          <w:szCs w:val="24"/>
          <w:lang w:val="en-US" w:eastAsia="zh-CN"/>
        </w:rPr>
        <w:t>特别说明</w:t>
      </w:r>
      <w:bookmarkEnd w:id="3"/>
      <w:r>
        <w:rPr>
          <w:rFonts w:hint="eastAsia" w:ascii="仿宋" w:hAnsi="仿宋" w:eastAsia="仿宋" w:cs="仿宋"/>
          <w:b/>
          <w:bCs/>
          <w:sz w:val="24"/>
          <w:szCs w:val="24"/>
          <w:lang w:val="en-US" w:eastAsia="zh-CN"/>
        </w:rPr>
        <w:t>：</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本次</w:t>
      </w:r>
      <w:r>
        <w:rPr>
          <w:rFonts w:hint="eastAsia" w:ascii="仿宋" w:hAnsi="仿宋" w:eastAsia="仿宋" w:cs="仿宋"/>
          <w:color w:val="auto"/>
          <w:sz w:val="24"/>
          <w:szCs w:val="24"/>
          <w:lang w:eastAsia="zh-CN"/>
        </w:rPr>
        <w:t>投标</w:t>
      </w:r>
      <w:r>
        <w:rPr>
          <w:rFonts w:hint="eastAsia" w:ascii="仿宋" w:hAnsi="仿宋" w:eastAsia="仿宋" w:cs="仿宋"/>
          <w:color w:val="auto"/>
          <w:sz w:val="24"/>
          <w:szCs w:val="24"/>
        </w:rPr>
        <w:t>寻源主要为了寻源产品设备制造商授权我公司进行项目投标，</w:t>
      </w:r>
      <w:r>
        <w:rPr>
          <w:rFonts w:hint="eastAsia" w:ascii="仿宋" w:hAnsi="仿宋" w:eastAsia="仿宋" w:cs="仿宋"/>
          <w:b/>
          <w:bCs/>
          <w:color w:val="0000FF"/>
          <w:sz w:val="24"/>
          <w:szCs w:val="24"/>
          <w:u w:val="single"/>
          <w:lang w:val="en-US" w:eastAsia="zh-CN"/>
        </w:rPr>
        <w:t>2026年9月22日</w:t>
      </w:r>
      <w:r>
        <w:rPr>
          <w:rFonts w:hint="eastAsia" w:ascii="仿宋" w:hAnsi="仿宋" w:eastAsia="仿宋" w:cs="仿宋"/>
          <w:color w:val="auto"/>
          <w:sz w:val="24"/>
          <w:szCs w:val="24"/>
        </w:rPr>
        <w:t>前，我司将通知贵司是否为合作意向公司。若贵司为我司合作意向公司，贵司需全力配合我司开展投标准备工作。我公司不承诺必然发生实质性采购需求。</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lang w:val="en-US" w:eastAsia="zh-CN"/>
        </w:rPr>
        <w:t>当我公司发生实质性需求时，如中选方需在本项目后续的签约和履行阶段需委托其实施的，必须在寻源响应阶段提供相关授权文件，说明授权事项，并且被授权的经销商作为本次寻源响应方，提供报价文件、经制造商确认的产品技术资料和双方（制造商和被授权经销商）</w:t>
      </w:r>
      <w:r>
        <w:rPr>
          <w:rFonts w:hint="eastAsia" w:ascii="仿宋" w:hAnsi="仿宋" w:eastAsia="仿宋" w:cs="仿宋"/>
          <w:color w:val="auto"/>
          <w:sz w:val="24"/>
          <w:szCs w:val="24"/>
        </w:rPr>
        <w:t>的公司简介、营业执照、企业资质等文件作为寻源响应文件。</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当我公司发生实质性需求时，如出现中选方未能履行寻源响应的相关承诺，影响我公司项目开展的，我司有权对该中选单位进行违约追责。</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将按照格要求及评审办法，组织专家组对各供应商提交的响应文件进行评审，评审过程中专家组可讨论确定需谈判的品类，并与该品类进入价格评审的寻源对象进行线上谈判。谈判时贵司可进行二次报价(放弃二次报价的，以第一次报价为准)。第二次响应报价不得高于第一次响应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第二次响应报价，除</w:t>
      </w:r>
      <w:r>
        <w:rPr>
          <w:rFonts w:hint="eastAsia" w:ascii="仿宋" w:hAnsi="仿宋" w:eastAsia="仿宋" w:cs="仿宋"/>
          <w:b/>
          <w:bCs/>
          <w:color w:val="0000EE"/>
          <w:sz w:val="24"/>
          <w:szCs w:val="24"/>
          <w:highlight w:val="none"/>
          <w:u w:val="single"/>
          <w:lang w:val="en-US" w:eastAsia="zh-CN"/>
        </w:rPr>
        <w:t>意向招标单位</w:t>
      </w:r>
      <w:r>
        <w:rPr>
          <w:rFonts w:hint="eastAsia" w:ascii="仿宋" w:hAnsi="仿宋" w:eastAsia="仿宋" w:cs="仿宋"/>
          <w:color w:val="auto"/>
          <w:sz w:val="24"/>
          <w:szCs w:val="24"/>
        </w:rPr>
        <w:t>对招标内容进行正式变更澄清外，不允许修改技术文件，仅需确认二次报价。</w:t>
      </w:r>
    </w:p>
    <w:p>
      <w:pPr>
        <w:keepNext w:val="0"/>
        <w:keepLines w:val="0"/>
        <w:pageBreakBefore w:val="0"/>
        <w:widowControl w:val="0"/>
        <w:numPr>
          <w:ilvl w:val="0"/>
          <w:numId w:val="4"/>
        </w:numPr>
        <w:tabs>
          <w:tab w:val="left" w:pos="840"/>
        </w:tabs>
        <w:kinsoku/>
        <w:wordWrap/>
        <w:overflowPunct/>
        <w:topLinePunct w:val="0"/>
        <w:autoSpaceDE/>
        <w:autoSpaceDN/>
        <w:bidi w:val="0"/>
        <w:adjustRightInd/>
        <w:snapToGrid/>
        <w:spacing w:line="360" w:lineRule="auto"/>
        <w:ind w:left="0" w:leftChars="0" w:firstLine="482" w:firstLineChars="0"/>
        <w:jc w:val="left"/>
        <w:textAlignment w:val="auto"/>
        <w:rPr>
          <w:rFonts w:hint="eastAsia" w:ascii="仿宋" w:hAnsi="仿宋" w:eastAsia="仿宋" w:cs="仿宋"/>
          <w:color w:val="auto"/>
          <w:sz w:val="24"/>
          <w:szCs w:val="24"/>
        </w:rPr>
      </w:pPr>
      <w:r>
        <w:rPr>
          <w:rFonts w:hint="eastAsia" w:ascii="仿宋" w:hAnsi="仿宋" w:eastAsia="仿宋" w:cs="仿宋"/>
          <w:color w:val="auto"/>
          <w:sz w:val="24"/>
          <w:szCs w:val="24"/>
        </w:rPr>
        <w:t>我司有权根据投标策略调整投标价格。因此双方确定合作意向后，在投标前，我司有权与贵司再次开展价格谈判，确定贵司的最终成交价格。最终成交价应以双方确定合作意向时的价格为基础，予以下浮，并由贵司书面确认该下浮率(即:最终成交价格=双方确定合作意向时的价格*(1-下浮率))。若我司未投标或未中标，本次询价的采购工作自然终止，不再单独声明。当我公司发生实质性需求时，如出现中选方未能履行寻源响应的相关承诺，影响我公司项目开展的，我司有权对该中选单位进行违约追责。</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bookmarkStart w:id="4" w:name="_Toc24350"/>
      <w:r>
        <w:rPr>
          <w:rFonts w:hint="eastAsia" w:ascii="仿宋" w:hAnsi="仿宋" w:eastAsia="仿宋" w:cs="仿宋"/>
          <w:b/>
          <w:bCs/>
          <w:sz w:val="24"/>
          <w:szCs w:val="24"/>
          <w:lang w:val="en-US" w:eastAsia="zh-CN"/>
        </w:rPr>
        <w:t>询价响应文件提交</w:t>
      </w:r>
      <w:bookmarkEnd w:id="4"/>
      <w:r>
        <w:rPr>
          <w:rFonts w:hint="eastAsia" w:ascii="仿宋" w:hAnsi="仿宋" w:eastAsia="仿宋" w:cs="仿宋"/>
          <w:b/>
          <w:bCs/>
          <w:sz w:val="24"/>
          <w:szCs w:val="24"/>
          <w:lang w:val="en-US" w:eastAsia="zh-CN"/>
        </w:rPr>
        <w:t>：</w:t>
      </w:r>
    </w:p>
    <w:p>
      <w:pPr>
        <w:keepNext w:val="0"/>
        <w:keepLines w:val="0"/>
        <w:pageBreakBefore w:val="0"/>
        <w:widowControl w:val="0"/>
        <w:numPr>
          <w:ilvl w:val="0"/>
          <w:numId w:val="5"/>
        </w:numPr>
        <w:tabs>
          <w:tab w:val="left" w:pos="840"/>
        </w:tabs>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仿宋" w:hAnsi="仿宋" w:eastAsia="仿宋" w:cs="仿宋"/>
          <w:b w:val="0"/>
          <w:bCs w:val="0"/>
          <w:sz w:val="24"/>
          <w:szCs w:val="24"/>
        </w:rPr>
      </w:pPr>
      <w:r>
        <w:rPr>
          <w:rFonts w:hint="eastAsia" w:ascii="仿宋" w:hAnsi="仿宋" w:eastAsia="仿宋" w:cs="仿宋"/>
          <w:b w:val="0"/>
          <w:bCs w:val="0"/>
          <w:sz w:val="24"/>
          <w:szCs w:val="24"/>
          <w:highlight w:val="none"/>
        </w:rPr>
        <w:t>请于</w:t>
      </w:r>
      <w:r>
        <w:rPr>
          <w:rFonts w:hint="eastAsia" w:ascii="仿宋" w:hAnsi="仿宋" w:eastAsia="仿宋" w:cs="仿宋"/>
          <w:b/>
          <w:bCs/>
          <w:color w:val="0000FF"/>
          <w:sz w:val="24"/>
          <w:szCs w:val="24"/>
          <w:highlight w:val="none"/>
          <w:u w:val="single"/>
          <w:lang w:val="en-US" w:eastAsia="zh-CN"/>
        </w:rPr>
        <w:t xml:space="preserve"> 2026年9月20日 17：30</w:t>
      </w:r>
      <w:r>
        <w:rPr>
          <w:rFonts w:hint="eastAsia" w:ascii="仿宋" w:hAnsi="仿宋" w:eastAsia="仿宋" w:cs="仿宋"/>
          <w:b w:val="0"/>
          <w:bCs w:val="0"/>
          <w:sz w:val="24"/>
          <w:szCs w:val="24"/>
          <w:highlight w:val="none"/>
        </w:rPr>
        <w:t>前将电子版询价响应文件</w:t>
      </w:r>
      <w:r>
        <w:rPr>
          <w:rFonts w:hint="eastAsia" w:ascii="仿宋" w:hAnsi="仿宋" w:eastAsia="仿宋" w:cs="仿宋"/>
          <w:b w:val="0"/>
          <w:bCs w:val="0"/>
          <w:sz w:val="24"/>
          <w:szCs w:val="24"/>
          <w:highlight w:val="none"/>
          <w:lang w:eastAsia="zh-CN"/>
        </w:rPr>
        <w:t>（附件</w:t>
      </w:r>
      <w:r>
        <w:rPr>
          <w:rFonts w:hint="eastAsia" w:ascii="仿宋" w:hAnsi="仿宋" w:eastAsia="仿宋" w:cs="仿宋"/>
          <w:b w:val="0"/>
          <w:bCs w:val="0"/>
          <w:sz w:val="24"/>
          <w:szCs w:val="24"/>
          <w:highlight w:val="none"/>
          <w:lang w:val="en-US" w:eastAsia="zh-CN"/>
        </w:rPr>
        <w:t>1、附件2</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发送至</w:t>
      </w:r>
      <w:r>
        <w:rPr>
          <w:rFonts w:hint="eastAsia" w:ascii="仿宋" w:hAnsi="仿宋" w:eastAsia="仿宋" w:cs="仿宋"/>
          <w:b w:val="0"/>
          <w:bCs w:val="0"/>
          <w:sz w:val="24"/>
          <w:szCs w:val="24"/>
          <w:highlight w:val="none"/>
          <w:lang w:eastAsia="zh-CN"/>
        </w:rPr>
        <w:t>指定邮箱</w:t>
      </w:r>
      <w:r>
        <w:rPr>
          <w:rFonts w:hint="eastAsia" w:ascii="仿宋" w:hAnsi="仿宋" w:eastAsia="仿宋" w:cs="仿宋"/>
          <w:b w:val="0"/>
          <w:bCs w:val="0"/>
          <w:color w:val="auto"/>
          <w:sz w:val="24"/>
          <w:szCs w:val="24"/>
          <w:highlight w:val="none"/>
          <w:u w:val="single"/>
          <w:lang w:eastAsia="zh-CN"/>
        </w:rPr>
        <w:t>：</w:t>
      </w:r>
      <w:r>
        <w:rPr>
          <w:rFonts w:hint="eastAsia" w:ascii="仿宋" w:hAnsi="仿宋" w:eastAsia="仿宋" w:cs="仿宋"/>
          <w:b/>
          <w:bCs/>
          <w:color w:val="0000FF"/>
          <w:sz w:val="24"/>
          <w:szCs w:val="24"/>
          <w:highlight w:val="none"/>
          <w:u w:val="single"/>
          <w:lang w:val="en-US" w:eastAsia="zh-CN"/>
        </w:rPr>
        <w:t>1159982458</w:t>
      </w:r>
      <w:r>
        <w:rPr>
          <w:rFonts w:hint="eastAsia" w:ascii="仿宋" w:hAnsi="仿宋" w:eastAsia="仿宋" w:cs="仿宋"/>
          <w:b/>
          <w:bCs/>
          <w:color w:val="0000FF"/>
          <w:sz w:val="24"/>
          <w:szCs w:val="24"/>
          <w:highlight w:val="none"/>
          <w:u w:val="single"/>
          <w:lang w:eastAsia="zh-CN"/>
        </w:rPr>
        <w:t>@</w:t>
      </w:r>
      <w:r>
        <w:rPr>
          <w:rFonts w:hint="eastAsia" w:ascii="仿宋" w:hAnsi="仿宋" w:eastAsia="仿宋" w:cs="仿宋"/>
          <w:b/>
          <w:bCs/>
          <w:color w:val="0000FF"/>
          <w:sz w:val="24"/>
          <w:szCs w:val="24"/>
          <w:highlight w:val="none"/>
          <w:u w:val="single"/>
          <w:lang w:val="en-US" w:eastAsia="zh-CN"/>
        </w:rPr>
        <w:t>qq.com</w:t>
      </w:r>
      <w:r>
        <w:rPr>
          <w:rFonts w:hint="eastAsia" w:ascii="仿宋" w:hAnsi="仿宋" w:eastAsia="仿宋" w:cs="仿宋"/>
          <w:b w:val="0"/>
          <w:bCs w:val="0"/>
          <w:sz w:val="24"/>
          <w:szCs w:val="24"/>
          <w:highlight w:val="none"/>
          <w:lang w:eastAsia="zh-CN"/>
        </w:rPr>
        <w:t>。</w:t>
      </w:r>
    </w:p>
    <w:p>
      <w:pPr>
        <w:keepNext w:val="0"/>
        <w:keepLines w:val="0"/>
        <w:pageBreakBefore w:val="0"/>
        <w:widowControl w:val="0"/>
        <w:numPr>
          <w:ilvl w:val="0"/>
          <w:numId w:val="5"/>
        </w:numPr>
        <w:tabs>
          <w:tab w:val="left" w:pos="840"/>
        </w:tabs>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仿宋" w:hAnsi="仿宋" w:eastAsia="仿宋" w:cs="仿宋"/>
          <w:b w:val="0"/>
          <w:bCs w:val="0"/>
          <w:sz w:val="24"/>
          <w:szCs w:val="24"/>
        </w:rPr>
      </w:pPr>
      <w:r>
        <w:rPr>
          <w:rFonts w:hint="eastAsia" w:ascii="仿宋" w:hAnsi="仿宋" w:eastAsia="仿宋" w:cs="仿宋"/>
          <w:b/>
          <w:bCs/>
          <w:color w:val="0000FF"/>
          <w:sz w:val="24"/>
          <w:szCs w:val="24"/>
          <w:highlight w:val="none"/>
          <w:u w:val="single"/>
          <w:lang w:val="en-US" w:eastAsia="zh-CN"/>
        </w:rPr>
        <w:t>电子版询价响应文件（附件1、附件2）需每页加盖公司公章（或电子章）的PDF版本文件，同时另附Excel版本报价表，以盖章文件为准（Excel版文件无需加盖公章）。</w:t>
      </w:r>
    </w:p>
    <w:p>
      <w:pPr>
        <w:numPr>
          <w:ilvl w:val="0"/>
          <w:numId w:val="2"/>
        </w:numPr>
        <w:spacing w:line="360" w:lineRule="auto"/>
        <w:ind w:left="0" w:leftChars="0" w:firstLine="0" w:firstLine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联系方式：</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 系 人：</w:t>
      </w:r>
      <w:r>
        <w:rPr>
          <w:rFonts w:hint="eastAsia" w:ascii="仿宋" w:hAnsi="仿宋" w:eastAsia="仿宋" w:cs="仿宋"/>
          <w:sz w:val="24"/>
          <w:szCs w:val="24"/>
          <w:highlight w:val="none"/>
          <w:lang w:val="en-US" w:eastAsia="zh-CN"/>
        </w:rPr>
        <w:t>南方电网绿能</w:t>
      </w:r>
      <w:r>
        <w:rPr>
          <w:rFonts w:hint="eastAsia" w:ascii="仿宋" w:hAnsi="仿宋" w:eastAsia="仿宋" w:cs="仿宋"/>
          <w:sz w:val="24"/>
          <w:szCs w:val="24"/>
          <w:highlight w:val="none"/>
          <w:lang w:eastAsia="zh-CN"/>
        </w:rPr>
        <w:t>科技（广东）有限公司</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电子邮箱：</w:t>
      </w:r>
      <w:r>
        <w:rPr>
          <w:rFonts w:hint="eastAsia" w:ascii="仿宋" w:hAnsi="仿宋" w:eastAsia="仿宋" w:cs="仿宋"/>
          <w:sz w:val="24"/>
          <w:szCs w:val="24"/>
          <w:highlight w:val="none"/>
          <w:lang w:val="en-US" w:eastAsia="zh-CN"/>
        </w:rPr>
        <w:t>1159982458</w:t>
      </w:r>
      <w:r>
        <w:rPr>
          <w:rFonts w:hint="eastAsia" w:ascii="仿宋" w:hAnsi="仿宋" w:eastAsia="仿宋" w:cs="仿宋"/>
          <w:sz w:val="24"/>
          <w:szCs w:val="24"/>
          <w:highlight w:val="none"/>
        </w:rPr>
        <w:t>@</w:t>
      </w:r>
      <w:r>
        <w:rPr>
          <w:rFonts w:hint="eastAsia" w:ascii="仿宋" w:hAnsi="仿宋" w:eastAsia="仿宋" w:cs="仿宋"/>
          <w:sz w:val="24"/>
          <w:szCs w:val="24"/>
          <w:highlight w:val="none"/>
          <w:lang w:val="en-US" w:eastAsia="zh-CN"/>
        </w:rPr>
        <w:t>qq.com</w:t>
      </w:r>
      <w:r>
        <w:rPr>
          <w:rFonts w:hint="eastAsia" w:ascii="仿宋" w:hAnsi="仿宋" w:eastAsia="仿宋" w:cs="仿宋"/>
          <w:sz w:val="24"/>
          <w:szCs w:val="24"/>
          <w:highlight w:val="none"/>
        </w:rPr>
        <w:t xml:space="preserve">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联系电话：13925065218</w:t>
      </w:r>
      <w:r>
        <w:rPr>
          <w:rFonts w:hint="eastAsia" w:ascii="仿宋" w:hAnsi="仿宋" w:eastAsia="仿宋" w:cs="仿宋"/>
          <w:sz w:val="24"/>
          <w:szCs w:val="24"/>
          <w:highlight w:val="none"/>
          <w:lang w:val="en-US" w:eastAsia="zh-CN"/>
        </w:rPr>
        <w:t xml:space="preserve">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监督电话：020-36623696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监督邮箱：green-energy@csg.cn</w:t>
      </w:r>
    </w:p>
    <w:p>
      <w:pPr>
        <w:pStyle w:val="16"/>
        <w:spacing w:line="360" w:lineRule="auto"/>
        <w:rPr>
          <w:rFonts w:hint="eastAsia" w:ascii="仿宋" w:hAnsi="仿宋" w:eastAsia="仿宋" w:cs="仿宋"/>
          <w:sz w:val="24"/>
          <w:szCs w:val="24"/>
        </w:rPr>
      </w:pPr>
    </w:p>
    <w:p>
      <w:pPr>
        <w:pStyle w:val="16"/>
        <w:spacing w:line="360" w:lineRule="auto"/>
        <w:rPr>
          <w:rFonts w:hint="eastAsia" w:ascii="仿宋" w:hAnsi="仿宋" w:eastAsia="仿宋" w:cs="仿宋"/>
          <w:sz w:val="24"/>
          <w:szCs w:val="24"/>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bookmarkStart w:id="5" w:name="_Toc22276"/>
      <w:r>
        <w:rPr>
          <w:rFonts w:hint="eastAsia" w:ascii="仿宋" w:hAnsi="仿宋" w:eastAsia="仿宋" w:cs="仿宋"/>
          <w:sz w:val="24"/>
          <w:szCs w:val="24"/>
          <w:highlight w:val="none"/>
          <w:lang w:val="en-US" w:eastAsia="zh-CN"/>
        </w:rPr>
        <w:t>顺颂商祺！</w:t>
      </w:r>
      <w:bookmarkEnd w:id="5"/>
      <w:r>
        <w:rPr>
          <w:rFonts w:hint="eastAsia" w:ascii="仿宋" w:hAnsi="仿宋" w:eastAsia="仿宋" w:cs="仿宋"/>
          <w:sz w:val="24"/>
          <w:szCs w:val="24"/>
          <w:highlight w:val="none"/>
          <w:lang w:val="en-US" w:eastAsia="zh-CN"/>
        </w:rPr>
        <w:t xml:space="preserve">       </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lang w:val="en-US" w:eastAsia="zh-CN"/>
        </w:rPr>
      </w:pP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szCs w:val="24"/>
          <w:highlight w:val="none"/>
          <w:lang w:val="en-US" w:eastAsia="zh-CN"/>
        </w:rPr>
      </w:pPr>
    </w:p>
    <w:p>
      <w:pPr>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                </w:t>
      </w: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南方电网绿能</w:t>
      </w:r>
      <w:r>
        <w:rPr>
          <w:rFonts w:hint="eastAsia" w:ascii="仿宋" w:hAnsi="仿宋" w:eastAsia="仿宋" w:cs="仿宋"/>
          <w:sz w:val="24"/>
          <w:szCs w:val="24"/>
          <w:lang w:eastAsia="zh-CN"/>
        </w:rPr>
        <w:t>科技（广东）有限公司</w:t>
      </w:r>
    </w:p>
    <w:p>
      <w:pPr>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                                          </w:t>
      </w:r>
      <w:r>
        <w:rPr>
          <w:rFonts w:hint="eastAsia" w:ascii="仿宋" w:hAnsi="仿宋" w:eastAsia="仿宋" w:cs="仿宋"/>
          <w:b/>
          <w:bCs/>
          <w:color w:val="0000FF"/>
          <w:sz w:val="24"/>
          <w:szCs w:val="24"/>
          <w:highlight w:val="none"/>
          <w:u w:val="single"/>
          <w:lang w:val="en-US" w:eastAsia="zh-CN"/>
        </w:rPr>
        <w:t xml:space="preserve"> 2026年9月 17 日</w:t>
      </w:r>
    </w:p>
    <w:p>
      <w:pPr>
        <w:pStyle w:val="2"/>
        <w:numPr>
          <w:ilvl w:val="0"/>
          <w:numId w:val="0"/>
        </w:numPr>
        <w:bidi w:val="0"/>
        <w:ind w:leftChars="0"/>
        <w:jc w:val="center"/>
        <w:rPr>
          <w:rFonts w:hint="eastAsia"/>
          <w:lang w:val="en-US" w:eastAsia="zh-CN"/>
        </w:rPr>
        <w:sectPr>
          <w:headerReference r:id="rId3" w:type="default"/>
          <w:footerReference r:id="rId4" w:type="default"/>
          <w:pgSz w:w="11900" w:h="16820"/>
          <w:pgMar w:top="1440" w:right="1800" w:bottom="1440" w:left="1800" w:header="0" w:footer="358" w:gutter="0"/>
          <w:pgNumType w:fmt="decimal" w:start="1"/>
          <w:cols w:space="720" w:num="1"/>
        </w:sectPr>
      </w:pPr>
    </w:p>
    <w:p>
      <w:pPr>
        <w:pStyle w:val="2"/>
        <w:numPr>
          <w:ilvl w:val="0"/>
          <w:numId w:val="0"/>
        </w:numPr>
        <w:bidi w:val="0"/>
        <w:ind w:leftChars="0"/>
        <w:jc w:val="center"/>
        <w:rPr>
          <w:rFonts w:hint="eastAsia"/>
          <w:lang w:eastAsia="zh-CN"/>
        </w:rPr>
      </w:pPr>
      <w:r>
        <w:rPr>
          <w:rFonts w:hint="eastAsia"/>
          <w:lang w:val="en-US" w:eastAsia="zh-CN"/>
        </w:rPr>
        <w:t>资格要求及评审办法</w:t>
      </w:r>
    </w:p>
    <w:p>
      <w:pPr>
        <w:pStyle w:val="23"/>
        <w:spacing w:line="360" w:lineRule="auto"/>
        <w:ind w:firstLine="0" w:firstLineChars="0"/>
        <w:rPr>
          <w:rFonts w:hint="default" w:ascii="仿宋" w:hAnsi="仿宋" w:eastAsia="仿宋" w:cs="仿宋"/>
          <w:b/>
          <w:bCs/>
          <w:color w:val="0000FF"/>
          <w:kern w:val="2"/>
          <w:sz w:val="24"/>
          <w:szCs w:val="24"/>
          <w:highlight w:val="none"/>
          <w:u w:val="single"/>
          <w:lang w:val="en-US" w:eastAsia="zh-CN" w:bidi="ar-SA"/>
        </w:rPr>
      </w:pPr>
      <w:r>
        <w:rPr>
          <w:rFonts w:hint="eastAsia" w:ascii="仿宋" w:hAnsi="仿宋" w:eastAsia="仿宋" w:cs="仿宋"/>
          <w:b/>
          <w:bCs/>
          <w:sz w:val="24"/>
          <w:szCs w:val="24"/>
          <w:lang w:val="en-US" w:eastAsia="zh-CN"/>
        </w:rPr>
        <w:t>一、资格要求</w:t>
      </w:r>
    </w:p>
    <w:tbl>
      <w:tblPr>
        <w:tblStyle w:val="25"/>
        <w:tblW w:w="8006" w:type="dxa"/>
        <w:tblInd w:w="247" w:type="dxa"/>
        <w:tblLayout w:type="fixed"/>
        <w:tblCellMar>
          <w:top w:w="0" w:type="dxa"/>
          <w:left w:w="0" w:type="dxa"/>
          <w:bottom w:w="0" w:type="dxa"/>
          <w:right w:w="0" w:type="dxa"/>
        </w:tblCellMar>
      </w:tblPr>
      <w:tblGrid>
        <w:gridCol w:w="1477"/>
        <w:gridCol w:w="6529"/>
      </w:tblGrid>
      <w:tr>
        <w:tblPrEx>
          <w:tblCellMar>
            <w:top w:w="0" w:type="dxa"/>
            <w:left w:w="0" w:type="dxa"/>
            <w:bottom w:w="0" w:type="dxa"/>
            <w:right w:w="0" w:type="dxa"/>
          </w:tblCellMar>
        </w:tblPrEx>
        <w:trPr>
          <w:trHeight w:val="277" w:hRule="atLeast"/>
        </w:trPr>
        <w:tc>
          <w:tcPr>
            <w:tcW w:w="8006" w:type="dxa"/>
            <w:gridSpan w:val="2"/>
            <w:tcBorders>
              <w:top w:val="nil"/>
              <w:left w:val="nil"/>
              <w:bottom w:val="single" w:color="000000" w:sz="6" w:space="0"/>
              <w:right w:val="nil"/>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lang w:val="en-US" w:eastAsia="zh-CN"/>
              </w:rPr>
              <w:t>1.1</w:t>
            </w:r>
            <w:r>
              <w:rPr>
                <w:rFonts w:hint="eastAsia" w:ascii="仿宋" w:hAnsi="仿宋" w:eastAsia="仿宋" w:cs="仿宋"/>
                <w:b/>
                <w:sz w:val="24"/>
                <w:szCs w:val="24"/>
              </w:rPr>
              <w:t>通用资格：</w:t>
            </w:r>
          </w:p>
        </w:tc>
      </w:tr>
      <w:tr>
        <w:tblPrEx>
          <w:tblCellMar>
            <w:top w:w="0" w:type="dxa"/>
            <w:left w:w="0" w:type="dxa"/>
            <w:bottom w:w="0" w:type="dxa"/>
            <w:right w:w="0" w:type="dxa"/>
          </w:tblCellMar>
        </w:tblPrEx>
        <w:trPr>
          <w:trHeight w:val="213" w:hRule="atLeast"/>
        </w:trPr>
        <w:tc>
          <w:tcPr>
            <w:tcW w:w="8006"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通用资格要求</w:t>
            </w:r>
          </w:p>
        </w:tc>
      </w:tr>
      <w:tr>
        <w:tblPrEx>
          <w:tblCellMar>
            <w:top w:w="0" w:type="dxa"/>
            <w:left w:w="0" w:type="dxa"/>
            <w:bottom w:w="0" w:type="dxa"/>
            <w:right w:w="0" w:type="dxa"/>
          </w:tblCellMar>
        </w:tblPrEx>
        <w:trPr>
          <w:trHeight w:val="420" w:hRule="atLeast"/>
        </w:trPr>
        <w:tc>
          <w:tcPr>
            <w:tcW w:w="1477" w:type="dxa"/>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6529" w:type="dxa"/>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内容</w:t>
            </w:r>
          </w:p>
        </w:tc>
      </w:tr>
      <w:tr>
        <w:tblPrEx>
          <w:tblCellMar>
            <w:top w:w="0" w:type="dxa"/>
            <w:left w:w="0" w:type="dxa"/>
            <w:bottom w:w="0" w:type="dxa"/>
            <w:right w:w="0" w:type="dxa"/>
          </w:tblCellMar>
        </w:tblPrEx>
        <w:trPr>
          <w:trHeight w:val="1343" w:hRule="atLeast"/>
        </w:trPr>
        <w:tc>
          <w:tcPr>
            <w:tcW w:w="1477" w:type="dxa"/>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rPr>
              <w:t>1</w:t>
            </w:r>
          </w:p>
        </w:tc>
        <w:tc>
          <w:tcPr>
            <w:tcW w:w="6529" w:type="dxa"/>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投标人必须按照南方电网公司要求，在供应链统一服务平台（</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"https://www.bidding.csg.cn）" </w:instrText>
            </w:r>
            <w:r>
              <w:rPr>
                <w:rFonts w:hint="eastAsia" w:ascii="仿宋" w:hAnsi="仿宋" w:eastAsia="仿宋" w:cs="仿宋"/>
                <w:sz w:val="24"/>
                <w:szCs w:val="24"/>
              </w:rPr>
              <w:fldChar w:fldCharType="separate"/>
            </w:r>
            <w:r>
              <w:rPr>
                <w:rFonts w:hint="eastAsia" w:ascii="仿宋" w:hAnsi="仿宋" w:eastAsia="仿宋" w:cs="仿宋"/>
                <w:sz w:val="24"/>
                <w:szCs w:val="24"/>
              </w:rPr>
              <w:t>www.bidding.csg.cn）</w:t>
            </w:r>
            <w:r>
              <w:rPr>
                <w:rFonts w:hint="eastAsia" w:ascii="仿宋" w:hAnsi="仿宋" w:eastAsia="仿宋" w:cs="仿宋"/>
                <w:sz w:val="24"/>
                <w:szCs w:val="24"/>
              </w:rPr>
              <w:fldChar w:fldCharType="end"/>
            </w:r>
            <w:r>
              <w:rPr>
                <w:rFonts w:hint="eastAsia" w:ascii="仿宋" w:hAnsi="仿宋" w:eastAsia="仿宋" w:cs="仿宋"/>
                <w:sz w:val="24"/>
                <w:szCs w:val="24"/>
              </w:rPr>
              <w:t xml:space="preserve"> 上完成供应商登记。</w:t>
            </w:r>
          </w:p>
        </w:tc>
      </w:tr>
      <w:tr>
        <w:tblPrEx>
          <w:tblCellMar>
            <w:top w:w="0" w:type="dxa"/>
            <w:left w:w="0" w:type="dxa"/>
            <w:bottom w:w="0" w:type="dxa"/>
            <w:right w:w="0" w:type="dxa"/>
          </w:tblCellMar>
        </w:tblPrEx>
        <w:trPr>
          <w:trHeight w:val="960" w:hRule="atLeast"/>
        </w:trPr>
        <w:tc>
          <w:tcPr>
            <w:tcW w:w="1477" w:type="dxa"/>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rPr>
              <w:t>2</w:t>
            </w:r>
          </w:p>
        </w:tc>
        <w:tc>
          <w:tcPr>
            <w:tcW w:w="6529" w:type="dxa"/>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rPr>
              <w:t>中华人民共和国境内注册的企业法人，或具有企业法人授权，且具有独立履行合同的 能力的其他组织，提供合法有效的营业执照。</w:t>
            </w:r>
          </w:p>
        </w:tc>
      </w:tr>
      <w:tr>
        <w:tblPrEx>
          <w:tblCellMar>
            <w:top w:w="0" w:type="dxa"/>
            <w:left w:w="0" w:type="dxa"/>
            <w:bottom w:w="0" w:type="dxa"/>
            <w:right w:w="0" w:type="dxa"/>
          </w:tblCellMar>
        </w:tblPrEx>
        <w:trPr>
          <w:trHeight w:val="420" w:hRule="atLeast"/>
        </w:trPr>
        <w:tc>
          <w:tcPr>
            <w:tcW w:w="1477" w:type="dxa"/>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rPr>
              <w:t>3</w:t>
            </w:r>
          </w:p>
        </w:tc>
        <w:tc>
          <w:tcPr>
            <w:tcW w:w="6529" w:type="dxa"/>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单位负责人为同一人或者存在控股、管理关系的不同单位，不得同时参加同一标包的 投标。</w:t>
            </w:r>
          </w:p>
        </w:tc>
      </w:tr>
      <w:tr>
        <w:tblPrEx>
          <w:tblCellMar>
            <w:top w:w="0" w:type="dxa"/>
            <w:left w:w="0" w:type="dxa"/>
            <w:bottom w:w="0" w:type="dxa"/>
            <w:right w:w="0" w:type="dxa"/>
          </w:tblCellMar>
        </w:tblPrEx>
        <w:trPr>
          <w:trHeight w:val="420" w:hRule="atLeast"/>
        </w:trPr>
        <w:tc>
          <w:tcPr>
            <w:tcW w:w="1477" w:type="dxa"/>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rPr>
              <w:t>4</w:t>
            </w:r>
          </w:p>
        </w:tc>
        <w:tc>
          <w:tcPr>
            <w:tcW w:w="6529" w:type="dxa"/>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rPr>
              <w:t>投标人</w:t>
            </w:r>
            <w:r>
              <w:rPr>
                <w:rFonts w:hint="eastAsia" w:ascii="仿宋" w:hAnsi="仿宋" w:eastAsia="仿宋" w:cs="仿宋"/>
                <w:sz w:val="24"/>
                <w:szCs w:val="24"/>
                <w:lang w:eastAsia="zh-CN"/>
              </w:rPr>
              <w:t>不存在</w:t>
            </w:r>
            <w:r>
              <w:rPr>
                <w:rFonts w:hint="eastAsia" w:ascii="仿宋" w:hAnsi="仿宋" w:eastAsia="仿宋" w:cs="仿宋"/>
                <w:sz w:val="24"/>
                <w:szCs w:val="24"/>
              </w:rPr>
              <w:t>在中国南方电网有限责任公司</w:t>
            </w:r>
            <w:r>
              <w:rPr>
                <w:rFonts w:hint="eastAsia" w:ascii="仿宋" w:hAnsi="仿宋" w:eastAsia="仿宋" w:cs="仿宋"/>
                <w:sz w:val="24"/>
                <w:szCs w:val="24"/>
                <w:lang w:eastAsia="zh-CN"/>
              </w:rPr>
              <w:t>被暂停</w:t>
            </w:r>
            <w:r>
              <w:rPr>
                <w:rFonts w:hint="eastAsia" w:ascii="仿宋" w:hAnsi="仿宋" w:eastAsia="仿宋" w:cs="仿宋"/>
                <w:sz w:val="24"/>
                <w:szCs w:val="24"/>
              </w:rPr>
              <w:t>投标资格、取消投标资格、不接受</w:t>
            </w:r>
            <w:r>
              <w:rPr>
                <w:rFonts w:hint="eastAsia" w:ascii="仿宋" w:hAnsi="仿宋" w:eastAsia="仿宋" w:cs="仿宋"/>
                <w:sz w:val="24"/>
                <w:szCs w:val="24"/>
                <w:lang w:eastAsia="zh-CN"/>
              </w:rPr>
              <w:t>投标</w:t>
            </w:r>
            <w:r>
              <w:rPr>
                <w:rFonts w:hint="eastAsia" w:ascii="仿宋" w:hAnsi="仿宋" w:eastAsia="仿宋" w:cs="仿宋"/>
                <w:sz w:val="24"/>
                <w:szCs w:val="24"/>
              </w:rPr>
              <w:t>、市场禁入且未解除的</w:t>
            </w:r>
            <w:r>
              <w:rPr>
                <w:rFonts w:hint="eastAsia" w:ascii="仿宋" w:hAnsi="仿宋" w:eastAsia="仿宋" w:cs="仿宋"/>
                <w:sz w:val="24"/>
                <w:szCs w:val="24"/>
                <w:lang w:eastAsia="zh-CN"/>
              </w:rPr>
              <w:t>情况。</w:t>
            </w:r>
          </w:p>
        </w:tc>
      </w:tr>
    </w:tbl>
    <w:p>
      <w:pPr>
        <w:spacing w:line="360" w:lineRule="auto"/>
        <w:ind w:left="113" w:firstLine="241" w:firstLineChars="100"/>
        <w:rPr>
          <w:rFonts w:hint="eastAsia" w:ascii="仿宋" w:hAnsi="仿宋" w:eastAsia="仿宋" w:cs="仿宋"/>
          <w:b/>
          <w:sz w:val="24"/>
          <w:szCs w:val="24"/>
          <w:lang w:val="en-US" w:eastAsia="zh-CN"/>
        </w:rPr>
      </w:pPr>
      <w:r>
        <w:rPr>
          <w:rFonts w:hint="eastAsia" w:ascii="仿宋" w:hAnsi="仿宋" w:eastAsia="仿宋" w:cs="仿宋"/>
          <w:b/>
          <w:sz w:val="24"/>
          <w:szCs w:val="24"/>
          <w:lang w:val="en-US" w:eastAsia="zh-CN"/>
        </w:rPr>
        <w:t>1.2 专用资格</w:t>
      </w:r>
    </w:p>
    <w:p>
      <w:pPr>
        <w:spacing w:line="98" w:lineRule="exact"/>
      </w:pPr>
    </w:p>
    <w:tbl>
      <w:tblPr>
        <w:tblStyle w:val="42"/>
        <w:tblW w:w="8068" w:type="dxa"/>
        <w:tblInd w:w="2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00"/>
        <w:gridCol w:w="4247"/>
        <w:gridCol w:w="23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1" w:hRule="atLeast"/>
        </w:trPr>
        <w:tc>
          <w:tcPr>
            <w:tcW w:w="8068" w:type="dxa"/>
            <w:gridSpan w:val="3"/>
            <w:vAlign w:val="top"/>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专用资格要求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6" w:hRule="atLeast"/>
        </w:trPr>
        <w:tc>
          <w:tcPr>
            <w:tcW w:w="1500" w:type="dxa"/>
            <w:vAlign w:val="top"/>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序号</w:t>
            </w:r>
          </w:p>
        </w:tc>
        <w:tc>
          <w:tcPr>
            <w:tcW w:w="4247" w:type="dxa"/>
            <w:vAlign w:val="top"/>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内容</w:t>
            </w:r>
          </w:p>
        </w:tc>
        <w:tc>
          <w:tcPr>
            <w:tcW w:w="2321" w:type="dxa"/>
            <w:vAlign w:val="top"/>
          </w:tcPr>
          <w:p>
            <w:pPr>
              <w:spacing w:line="360" w:lineRule="auto"/>
              <w:jc w:val="center"/>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关联标的/标包/标段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7" w:hRule="atLeast"/>
        </w:trPr>
        <w:tc>
          <w:tcPr>
            <w:tcW w:w="1500" w:type="dxa"/>
            <w:vAlign w:val="top"/>
          </w:tcPr>
          <w:p>
            <w:pPr>
              <w:spacing w:line="360" w:lineRule="auto"/>
              <w:jc w:val="center"/>
              <w:rPr>
                <w:rFonts w:hint="eastAsia" w:ascii="仿宋" w:hAnsi="仿宋" w:eastAsia="仿宋" w:cs="仿宋"/>
                <w:sz w:val="24"/>
                <w:szCs w:val="24"/>
                <w:lang w:val="en-US" w:eastAsia="zh-CN"/>
              </w:rPr>
            </w:pPr>
          </w:p>
          <w:p>
            <w:pPr>
              <w:spacing w:line="360" w:lineRule="auto"/>
              <w:jc w:val="center"/>
              <w:rPr>
                <w:rFonts w:hint="eastAsia" w:ascii="仿宋" w:hAnsi="仿宋" w:eastAsia="仿宋" w:cs="仿宋"/>
                <w:sz w:val="24"/>
                <w:szCs w:val="24"/>
                <w:lang w:val="en-US" w:eastAsia="zh-CN"/>
              </w:rPr>
            </w:pPr>
          </w:p>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4247" w:type="dxa"/>
            <w:vAlign w:val="top"/>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投标人（供应商）须提供生产厂商针对本项 目的授权书和服务承诺函（如果生产厂商直 接投标，则不需要），并且同一生产厂商对 同一品牌同一型号的产品，只允许一个投标 人（供应商）参加投标。</w:t>
            </w:r>
          </w:p>
        </w:tc>
        <w:tc>
          <w:tcPr>
            <w:tcW w:w="2321" w:type="dxa"/>
            <w:vAlign w:val="top"/>
          </w:tcPr>
          <w:p>
            <w:pPr>
              <w:spacing w:line="360" w:lineRule="auto"/>
              <w:jc w:val="center"/>
              <w:rPr>
                <w:rFonts w:hint="eastAsia" w:ascii="仿宋" w:hAnsi="仿宋" w:eastAsia="仿宋" w:cs="仿宋"/>
                <w:sz w:val="24"/>
                <w:szCs w:val="24"/>
                <w:lang w:val="en-US" w:eastAsia="zh-CN"/>
              </w:rPr>
            </w:pPr>
          </w:p>
          <w:p>
            <w:pPr>
              <w:spacing w:line="360" w:lineRule="auto"/>
              <w:jc w:val="center"/>
              <w:rPr>
                <w:rFonts w:hint="eastAsia" w:ascii="仿宋" w:hAnsi="仿宋" w:eastAsia="仿宋" w:cs="仿宋"/>
                <w:sz w:val="24"/>
                <w:szCs w:val="24"/>
                <w:lang w:val="en-US" w:eastAsia="zh-CN"/>
              </w:rPr>
            </w:pPr>
          </w:p>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2026 年应急装备购置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1500" w:type="dxa"/>
            <w:vAlign w:val="top"/>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4247" w:type="dxa"/>
            <w:vAlign w:val="top"/>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不接受联合体投标。</w:t>
            </w:r>
          </w:p>
        </w:tc>
        <w:tc>
          <w:tcPr>
            <w:tcW w:w="2321" w:type="dxa"/>
            <w:vAlign w:val="top"/>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2026 年应急装备购置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500" w:type="dxa"/>
            <w:vAlign w:val="top"/>
          </w:tcPr>
          <w:p>
            <w:pPr>
              <w:spacing w:line="360" w:lineRule="auto"/>
              <w:jc w:val="center"/>
              <w:rPr>
                <w:rFonts w:hint="eastAsia" w:ascii="仿宋" w:hAnsi="仿宋" w:eastAsia="仿宋" w:cs="仿宋"/>
                <w:sz w:val="24"/>
                <w:szCs w:val="24"/>
                <w:lang w:val="en-US" w:eastAsia="zh-CN"/>
              </w:rPr>
            </w:pPr>
          </w:p>
          <w:p>
            <w:pPr>
              <w:spacing w:line="360" w:lineRule="auto"/>
              <w:jc w:val="center"/>
              <w:rPr>
                <w:rFonts w:hint="eastAsia" w:ascii="仿宋" w:hAnsi="仿宋" w:eastAsia="仿宋" w:cs="仿宋"/>
                <w:sz w:val="24"/>
                <w:szCs w:val="24"/>
                <w:lang w:val="en-US" w:eastAsia="zh-CN"/>
              </w:rPr>
            </w:pPr>
          </w:p>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4247" w:type="dxa"/>
            <w:vAlign w:val="top"/>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投标人（供应商）须提供国家认可试验室出 具的产品型式试验报告，或国家认可试验室 出具的含有产品型式试验内容的检验/检测  报告。</w:t>
            </w:r>
          </w:p>
        </w:tc>
        <w:tc>
          <w:tcPr>
            <w:tcW w:w="2321" w:type="dxa"/>
            <w:vAlign w:val="top"/>
          </w:tcPr>
          <w:p>
            <w:pPr>
              <w:spacing w:line="360" w:lineRule="auto"/>
              <w:jc w:val="center"/>
              <w:rPr>
                <w:rFonts w:hint="eastAsia" w:ascii="仿宋" w:hAnsi="仿宋" w:eastAsia="仿宋" w:cs="仿宋"/>
                <w:sz w:val="24"/>
                <w:szCs w:val="24"/>
                <w:lang w:val="en-US" w:eastAsia="zh-CN"/>
              </w:rPr>
            </w:pPr>
          </w:p>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2026 年应急装备购置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9" w:hRule="atLeast"/>
        </w:trPr>
        <w:tc>
          <w:tcPr>
            <w:tcW w:w="1500" w:type="dxa"/>
            <w:vAlign w:val="top"/>
          </w:tcPr>
          <w:p>
            <w:pPr>
              <w:spacing w:line="360" w:lineRule="auto"/>
              <w:jc w:val="center"/>
              <w:rPr>
                <w:rFonts w:hint="eastAsia" w:ascii="仿宋" w:hAnsi="仿宋" w:eastAsia="仿宋" w:cs="仿宋"/>
                <w:sz w:val="24"/>
                <w:szCs w:val="24"/>
                <w:lang w:val="en-US" w:eastAsia="zh-CN"/>
              </w:rPr>
            </w:pPr>
          </w:p>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4247" w:type="dxa"/>
            <w:vAlign w:val="top"/>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所投产品必须是国家工业和信息化部《道路 机动车辆生产企业及产品公告》 目录内的产 品（在道路机动车辆生产企业及产品信息查询系统中的查询结果为“有效 ”状态，需提 供查询截图），必须是《免征车辆购置税的 设有固定装置的非运输专用作业车辆目录》 内的产品且没有被撤销。</w:t>
            </w:r>
          </w:p>
        </w:tc>
        <w:tc>
          <w:tcPr>
            <w:tcW w:w="2321" w:type="dxa"/>
            <w:vAlign w:val="top"/>
          </w:tcPr>
          <w:p>
            <w:pPr>
              <w:spacing w:line="360" w:lineRule="auto"/>
              <w:jc w:val="center"/>
              <w:rPr>
                <w:rFonts w:hint="eastAsia" w:ascii="仿宋" w:hAnsi="仿宋" w:eastAsia="仿宋" w:cs="仿宋"/>
                <w:sz w:val="24"/>
                <w:szCs w:val="24"/>
                <w:lang w:val="en-US" w:eastAsia="zh-CN"/>
              </w:rPr>
            </w:pPr>
          </w:p>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2026 年应急装备购置</w:t>
            </w:r>
          </w:p>
        </w:tc>
      </w:tr>
    </w:tbl>
    <w:p>
      <w:pPr>
        <w:spacing w:line="360" w:lineRule="auto"/>
        <w:jc w:val="both"/>
        <w:rPr>
          <w:rFonts w:hint="eastAsia" w:ascii="仿宋" w:hAnsi="仿宋" w:eastAsia="仿宋" w:cs="仿宋"/>
          <w:sz w:val="24"/>
          <w:szCs w:val="24"/>
          <w:lang w:val="en-US" w:eastAsia="zh-CN"/>
        </w:rPr>
      </w:pPr>
    </w:p>
    <w:p>
      <w:pPr>
        <w:spacing w:line="360" w:lineRule="auto"/>
        <w:jc w:val="both"/>
        <w:rPr>
          <w:rFonts w:hint="eastAsia" w:ascii="仿宋" w:hAnsi="仿宋" w:eastAsia="仿宋" w:cs="仿宋"/>
          <w:sz w:val="24"/>
          <w:szCs w:val="24"/>
          <w:lang w:val="en-US" w:eastAsia="zh-CN"/>
        </w:rPr>
        <w:sectPr>
          <w:footerReference r:id="rId5" w:type="default"/>
          <w:pgSz w:w="11900" w:h="16820"/>
          <w:pgMar w:top="1440" w:right="1800" w:bottom="1440" w:left="1800" w:header="0" w:footer="358" w:gutter="0"/>
          <w:pgNumType w:fmt="decimal" w:start="1"/>
          <w:cols w:space="720" w:num="1"/>
        </w:sectPr>
      </w:pPr>
      <w:bookmarkStart w:id="7" w:name="_GoBack"/>
      <w:bookmarkEnd w:id="7"/>
    </w:p>
    <w:p>
      <w:pPr>
        <w:pStyle w:val="23"/>
        <w:adjustRightInd w:val="0"/>
        <w:snapToGrid w:val="0"/>
        <w:ind w:firstLine="480"/>
        <w:rPr>
          <w:rFonts w:hint="eastAsia"/>
          <w:color w:val="auto"/>
        </w:rPr>
      </w:pPr>
    </w:p>
    <w:p>
      <w:pPr>
        <w:spacing w:beforeLines="0" w:afterLines="0" w:line="360" w:lineRule="auto"/>
        <w:ind w:left="113" w:leftChars="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2）评审办法</w:t>
      </w:r>
    </w:p>
    <w:p>
      <w:pPr>
        <w:pStyle w:val="23"/>
        <w:adjustRightInd w:val="0"/>
        <w:snapToGrid w:val="0"/>
        <w:spacing w:line="360" w:lineRule="auto"/>
        <w:ind w:left="0" w:leftChars="0" w:firstLine="420" w:firstLineChars="0"/>
        <w:rPr>
          <w:rFonts w:hint="eastAsia" w:ascii="仿宋" w:hAnsi="仿宋" w:eastAsia="仿宋" w:cs="仿宋"/>
          <w:color w:val="000000"/>
          <w:sz w:val="24"/>
          <w:szCs w:val="24"/>
        </w:rPr>
      </w:pPr>
      <w:r>
        <w:rPr>
          <w:rFonts w:hint="eastAsia" w:ascii="仿宋" w:hAnsi="仿宋" w:eastAsia="仿宋" w:cs="仿宋"/>
          <w:color w:val="000000"/>
          <w:sz w:val="24"/>
          <w:szCs w:val="24"/>
        </w:rPr>
        <w:t>寻源评审组按照以下规定的方法、评审因素、标准和程序对响应文件进行评审。</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w:t>
      </w:r>
      <w:r>
        <w:rPr>
          <w:rFonts w:hint="eastAsia" w:ascii="仿宋" w:hAnsi="仿宋" w:eastAsia="仿宋" w:cs="仿宋"/>
          <w:sz w:val="24"/>
          <w:szCs w:val="24"/>
        </w:rPr>
        <w:t>寻源评审组对参与供应商提交的响应文件的有效性、完整性等进行确认。</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2</w:t>
      </w:r>
      <w:r>
        <w:rPr>
          <w:rFonts w:hint="eastAsia" w:ascii="仿宋" w:hAnsi="仿宋" w:eastAsia="仿宋" w:cs="仿宋"/>
          <w:sz w:val="24"/>
          <w:szCs w:val="24"/>
          <w:lang w:eastAsia="zh-CN"/>
        </w:rPr>
        <w:t>）</w:t>
      </w:r>
      <w:r>
        <w:rPr>
          <w:rFonts w:hint="eastAsia" w:ascii="仿宋" w:hAnsi="仿宋" w:eastAsia="仿宋" w:cs="仿宋"/>
          <w:sz w:val="24"/>
          <w:szCs w:val="24"/>
        </w:rPr>
        <w:t>寻源评审组对供应商的商务条件、技术条件和报价进行确认。</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寻源评审组应对报价进行详细复核，包括检查是否有计算上的错误或报价范围上的错误。如发现有错误的，将进行修正。</w:t>
      </w:r>
    </w:p>
    <w:p>
      <w:pPr>
        <w:pStyle w:val="23"/>
        <w:adjustRightInd w:val="0"/>
        <w:snapToGrid w:val="0"/>
        <w:spacing w:line="360" w:lineRule="auto"/>
        <w:ind w:firstLine="480"/>
        <w:outlineLvl w:val="9"/>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a.</w:t>
      </w: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b.</w:t>
      </w:r>
      <w:r>
        <w:rPr>
          <w:rFonts w:hint="eastAsia" w:ascii="仿宋" w:hAnsi="仿宋" w:eastAsia="仿宋" w:cs="仿宋"/>
          <w:sz w:val="24"/>
          <w:szCs w:val="24"/>
        </w:rPr>
        <w:t>如果用数字表示的金额与用文字表示的金额不一致，应以文字表示的金额为准。</w:t>
      </w:r>
    </w:p>
    <w:p>
      <w:pPr>
        <w:adjustRightInd w:val="0"/>
        <w:snapToGrid w:val="0"/>
        <w:spacing w:line="360" w:lineRule="auto"/>
        <w:ind w:firstLine="420" w:firstLineChars="0"/>
        <w:rPr>
          <w:rFonts w:hint="eastAsia" w:ascii="仿宋" w:hAnsi="仿宋" w:eastAsia="仿宋" w:cs="仿宋"/>
          <w:color w:val="000000"/>
          <w:kern w:val="0"/>
          <w:sz w:val="24"/>
          <w:szCs w:val="24"/>
        </w:rPr>
      </w:pPr>
      <w:r>
        <w:rPr>
          <w:rFonts w:hint="eastAsia" w:ascii="仿宋" w:hAnsi="仿宋" w:eastAsia="仿宋" w:cs="仿宋"/>
          <w:color w:val="000000"/>
          <w:kern w:val="0"/>
          <w:sz w:val="24"/>
          <w:szCs w:val="24"/>
        </w:rPr>
        <w:t>在评</w:t>
      </w:r>
      <w:r>
        <w:rPr>
          <w:rFonts w:hint="eastAsia" w:ascii="仿宋" w:hAnsi="仿宋" w:eastAsia="仿宋" w:cs="仿宋"/>
          <w:color w:val="000000"/>
          <w:kern w:val="0"/>
          <w:sz w:val="24"/>
          <w:szCs w:val="24"/>
          <w:lang w:val="en-US" w:eastAsia="zh-CN"/>
        </w:rPr>
        <w:t>审</w:t>
      </w:r>
      <w:r>
        <w:rPr>
          <w:rFonts w:hint="eastAsia" w:ascii="仿宋" w:hAnsi="仿宋" w:eastAsia="仿宋" w:cs="仿宋"/>
          <w:color w:val="000000"/>
          <w:kern w:val="0"/>
          <w:sz w:val="24"/>
          <w:szCs w:val="24"/>
        </w:rPr>
        <w:t>过程中，寻源评审组可以书面形式要求参与供应商对所提交响应文件中不明确的内容进行书面澄清或说明，或者对细微偏差进行补正。寻源评审组要求参与供应商提供的澄清文件作为响应文件的组成部分。</w:t>
      </w:r>
    </w:p>
    <w:p>
      <w:pPr>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color w:val="000000"/>
          <w:sz w:val="24"/>
          <w:szCs w:val="24"/>
        </w:rPr>
        <w:t>初审项列表如下：</w:t>
      </w:r>
      <w:bookmarkStart w:id="6" w:name="XmInfoEntity_cbscTable_1_1"/>
    </w:p>
    <w:tbl>
      <w:tblPr>
        <w:tblStyle w:val="25"/>
        <w:tblW w:w="9175" w:type="dxa"/>
        <w:jc w:val="center"/>
        <w:tblLayout w:type="fixed"/>
        <w:tblCellMar>
          <w:top w:w="0" w:type="dxa"/>
          <w:left w:w="0" w:type="dxa"/>
          <w:bottom w:w="0" w:type="dxa"/>
          <w:right w:w="0" w:type="dxa"/>
        </w:tblCellMar>
      </w:tblPr>
      <w:tblGrid>
        <w:gridCol w:w="687"/>
        <w:gridCol w:w="1445"/>
        <w:gridCol w:w="7043"/>
      </w:tblGrid>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序号</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初评要素</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b/>
                <w:bCs/>
                <w:sz w:val="24"/>
                <w:szCs w:val="24"/>
              </w:rPr>
            </w:pPr>
            <w:r>
              <w:rPr>
                <w:rFonts w:hint="eastAsia" w:ascii="仿宋" w:hAnsi="仿宋" w:eastAsia="仿宋" w:cs="仿宋"/>
                <w:b/>
                <w:bCs/>
                <w:sz w:val="24"/>
                <w:szCs w:val="24"/>
              </w:rPr>
              <w:t>详细内容</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初评要素1</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1.1  报价文件格式是否满足寻源文件要求（主要审查：报价文件的签署以及法人代表授权书等）</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初评要素2</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2.1  质量</w:t>
            </w:r>
            <w:r>
              <w:rPr>
                <w:rFonts w:hint="eastAsia" w:ascii="仿宋" w:hAnsi="仿宋" w:eastAsia="仿宋" w:cs="仿宋"/>
                <w:sz w:val="24"/>
                <w:szCs w:val="24"/>
                <w:lang w:eastAsia="zh-CN"/>
              </w:rPr>
              <w:t>、</w:t>
            </w:r>
            <w:r>
              <w:rPr>
                <w:rFonts w:hint="eastAsia" w:ascii="仿宋" w:hAnsi="仿宋" w:eastAsia="仿宋" w:cs="仿宋"/>
                <w:sz w:val="24"/>
                <w:szCs w:val="24"/>
              </w:rPr>
              <w:t>服务</w:t>
            </w:r>
            <w:r>
              <w:rPr>
                <w:rFonts w:hint="eastAsia" w:ascii="仿宋" w:hAnsi="仿宋" w:eastAsia="仿宋" w:cs="仿宋"/>
                <w:sz w:val="24"/>
                <w:szCs w:val="24"/>
                <w:lang w:val="en-US" w:eastAsia="zh-CN"/>
              </w:rPr>
              <w:t>和工期</w:t>
            </w:r>
            <w:r>
              <w:rPr>
                <w:rFonts w:hint="eastAsia" w:ascii="仿宋" w:hAnsi="仿宋" w:eastAsia="仿宋" w:cs="仿宋"/>
                <w:sz w:val="24"/>
                <w:szCs w:val="24"/>
              </w:rPr>
              <w:t>是否满足要求</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初评要素3</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3.1  是否存在“无效报价”的情形</w:t>
            </w:r>
          </w:p>
        </w:tc>
      </w:tr>
      <w:tr>
        <w:tblPrEx>
          <w:tblCellMar>
            <w:top w:w="0" w:type="dxa"/>
            <w:left w:w="0" w:type="dxa"/>
            <w:bottom w:w="0" w:type="dxa"/>
            <w:right w:w="0" w:type="dxa"/>
          </w:tblCellMar>
        </w:tblPrEx>
        <w:trPr>
          <w:trHeight w:val="64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初评要素4</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4.1  报价是否合理且在最高限价范围内</w:t>
            </w:r>
          </w:p>
        </w:tc>
      </w:tr>
      <w:tr>
        <w:tblPrEx>
          <w:tblCellMar>
            <w:top w:w="0" w:type="dxa"/>
            <w:left w:w="0" w:type="dxa"/>
            <w:bottom w:w="0" w:type="dxa"/>
            <w:right w:w="0" w:type="dxa"/>
          </w:tblCellMar>
        </w:tblPrEx>
        <w:trPr>
          <w:trHeight w:val="42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初评要素5</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5.1  具有独立承担民事责任的能力</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6</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lang w:eastAsia="zh-CN"/>
              </w:rPr>
            </w:pPr>
            <w:r>
              <w:rPr>
                <w:rFonts w:hint="eastAsia" w:ascii="仿宋" w:hAnsi="仿宋" w:eastAsia="仿宋" w:cs="仿宋"/>
                <w:sz w:val="24"/>
                <w:szCs w:val="24"/>
              </w:rPr>
              <w:t>初评要素</w:t>
            </w:r>
            <w:r>
              <w:rPr>
                <w:rFonts w:hint="eastAsia" w:ascii="仿宋" w:hAnsi="仿宋" w:eastAsia="仿宋" w:cs="仿宋"/>
                <w:sz w:val="24"/>
                <w:szCs w:val="24"/>
                <w:lang w:val="en-US" w:eastAsia="zh-CN"/>
              </w:rPr>
              <w:t>6</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.1  按报价文件要求提供有效的营业执照（组织机构代码证、税务登记证）等相关证书的复印件</w:t>
            </w:r>
          </w:p>
        </w:tc>
      </w:tr>
      <w:tr>
        <w:tblPrEx>
          <w:tblCellMar>
            <w:top w:w="0" w:type="dxa"/>
            <w:left w:w="0" w:type="dxa"/>
            <w:bottom w:w="0" w:type="dxa"/>
            <w:right w:w="0" w:type="dxa"/>
          </w:tblCellMar>
        </w:tblPrEx>
        <w:trPr>
          <w:trHeight w:val="960" w:hRule="atLeast"/>
          <w:jc w:val="center"/>
        </w:trPr>
        <w:tc>
          <w:tcPr>
            <w:tcW w:w="687"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445"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rPr>
            </w:pPr>
            <w:r>
              <w:rPr>
                <w:rFonts w:hint="eastAsia" w:ascii="仿宋" w:hAnsi="仿宋" w:eastAsia="仿宋" w:cs="仿宋"/>
                <w:sz w:val="24"/>
                <w:szCs w:val="24"/>
              </w:rPr>
              <w:t>初评要素7</w:t>
            </w:r>
          </w:p>
        </w:tc>
        <w:tc>
          <w:tcPr>
            <w:tcW w:w="704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7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7.1  如授权代理商，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tc>
      </w:tr>
      <w:bookmarkEnd w:id="6"/>
    </w:tbl>
    <w:p>
      <w:pPr>
        <w:pStyle w:val="23"/>
        <w:adjustRightInd w:val="0"/>
        <w:snapToGrid w:val="0"/>
        <w:spacing w:before="156" w:line="360" w:lineRule="auto"/>
        <w:ind w:firstLine="480"/>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详细评审</w:t>
      </w:r>
      <w:r>
        <w:rPr>
          <w:rFonts w:hint="eastAsia" w:ascii="仿宋" w:hAnsi="仿宋" w:eastAsia="仿宋" w:cs="仿宋"/>
          <w:color w:val="000000"/>
          <w:sz w:val="24"/>
          <w:szCs w:val="24"/>
          <w:lang w:eastAsia="zh-CN"/>
        </w:rPr>
        <w:t>：</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寻源评审组按照寻源文件的详细评审要素，对应邀供应商提交的响应文件进行技术、商务详细评审，详见技术商务评审要素。</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价格评分前应对各应邀供应商的最终报价进行详细复核，检查是否有计算上的错误或报价范围上的错误。如未发现错误，则该报价作为最后的评审价格，如发现错误，将进行修正，修正后的价格作为最后的评审价格。应邀供应商不接受修正价格的，采购工作组会应当否决其报价。</w:t>
      </w:r>
    </w:p>
    <w:p>
      <w:pPr>
        <w:pStyle w:val="23"/>
        <w:spacing w:line="360" w:lineRule="auto"/>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报价错误修正的原则如下：</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a.</w:t>
      </w:r>
      <w:r>
        <w:rPr>
          <w:rFonts w:hint="eastAsia" w:ascii="仿宋" w:hAnsi="仿宋" w:eastAsia="仿宋" w:cs="仿宋"/>
          <w:sz w:val="24"/>
          <w:szCs w:val="24"/>
        </w:rPr>
        <w:t>总价金额与依据单价计算出的结果不一致的，以单价金额为准修正总价，但单价金额小数点有明显错误的除外。</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b.</w:t>
      </w:r>
      <w:r>
        <w:rPr>
          <w:rFonts w:hint="eastAsia" w:ascii="仿宋" w:hAnsi="仿宋" w:eastAsia="仿宋" w:cs="仿宋"/>
          <w:sz w:val="24"/>
          <w:szCs w:val="24"/>
        </w:rPr>
        <w:t>如果用数字表示的金额与用文字表示的金额不一致，应以文字表示的金额为准。</w:t>
      </w:r>
    </w:p>
    <w:p>
      <w:pPr>
        <w:keepNext w:val="0"/>
        <w:keepLines w:val="0"/>
        <w:pageBreakBefore w:val="0"/>
        <w:widowControl w:val="0"/>
        <w:numPr>
          <w:ilvl w:val="0"/>
          <w:numId w:val="0"/>
        </w:numPr>
        <w:tabs>
          <w:tab w:val="left" w:pos="840"/>
        </w:tabs>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技术、商务、价格评审要素</w:t>
      </w:r>
    </w:p>
    <w:tbl>
      <w:tblPr>
        <w:tblStyle w:val="25"/>
        <w:tblW w:w="9143" w:type="dxa"/>
        <w:jc w:val="center"/>
        <w:tblLayout w:type="fixed"/>
        <w:tblCellMar>
          <w:top w:w="0" w:type="dxa"/>
          <w:left w:w="0" w:type="dxa"/>
          <w:bottom w:w="0" w:type="dxa"/>
          <w:right w:w="0" w:type="dxa"/>
        </w:tblCellMar>
      </w:tblPr>
      <w:tblGrid>
        <w:gridCol w:w="684"/>
        <w:gridCol w:w="1996"/>
        <w:gridCol w:w="1830"/>
        <w:gridCol w:w="4633"/>
      </w:tblGrid>
      <w:tr>
        <w:tblPrEx>
          <w:tblCellMar>
            <w:top w:w="0" w:type="dxa"/>
            <w:left w:w="0" w:type="dxa"/>
            <w:bottom w:w="0" w:type="dxa"/>
            <w:right w:w="0" w:type="dxa"/>
          </w:tblCellMar>
        </w:tblPrEx>
        <w:trPr>
          <w:trHeight w:val="216" w:hRule="atLeast"/>
          <w:jc w:val="center"/>
        </w:trPr>
        <w:tc>
          <w:tcPr>
            <w:tcW w:w="9143" w:type="dxa"/>
            <w:gridSpan w:val="4"/>
            <w:tcBorders>
              <w:top w:val="single" w:color="auto" w:sz="4" w:space="0"/>
              <w:left w:val="single" w:color="auto" w:sz="4" w:space="0"/>
              <w:bottom w:val="single" w:color="auto" w:sz="4" w:space="0"/>
              <w:right w:val="single" w:color="000000" w:sz="6" w:space="0"/>
            </w:tcBorders>
            <w:shd w:val="clear" w:color="auto" w:fill="FFFFFF"/>
            <w:noWrap w:val="0"/>
            <w:vAlign w:val="center"/>
          </w:tcPr>
          <w:p>
            <w:pPr>
              <w:spacing w:line="360" w:lineRule="auto"/>
              <w:jc w:val="left"/>
              <w:rPr>
                <w:rFonts w:hint="eastAsia"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bCs/>
                <w:sz w:val="24"/>
                <w:szCs w:val="24"/>
                <w:lang w:val="en-US" w:eastAsia="zh-CN"/>
              </w:rPr>
              <w:t>一</w:t>
            </w:r>
            <w:r>
              <w:rPr>
                <w:rFonts w:hint="eastAsia" w:ascii="仿宋" w:hAnsi="仿宋" w:eastAsia="仿宋" w:cs="仿宋"/>
                <w:b/>
                <w:bCs/>
                <w:sz w:val="24"/>
                <w:szCs w:val="24"/>
              </w:rPr>
              <w:t>）、</w:t>
            </w:r>
            <w:r>
              <w:rPr>
                <w:rFonts w:hint="eastAsia" w:ascii="仿宋" w:hAnsi="仿宋" w:eastAsia="仿宋" w:cs="仿宋"/>
                <w:b/>
                <w:bCs/>
                <w:sz w:val="24"/>
                <w:szCs w:val="24"/>
                <w:lang w:val="en-US" w:eastAsia="zh-CN"/>
              </w:rPr>
              <w:t>技术</w:t>
            </w:r>
            <w:r>
              <w:rPr>
                <w:rFonts w:hint="eastAsia" w:ascii="仿宋" w:hAnsi="仿宋" w:eastAsia="仿宋" w:cs="仿宋"/>
                <w:b/>
                <w:bCs/>
                <w:sz w:val="24"/>
                <w:szCs w:val="24"/>
              </w:rPr>
              <w:t>评审</w:t>
            </w:r>
          </w:p>
        </w:tc>
      </w:tr>
      <w:tr>
        <w:tblPrEx>
          <w:tblCellMar>
            <w:top w:w="0" w:type="dxa"/>
            <w:left w:w="0" w:type="dxa"/>
            <w:bottom w:w="0" w:type="dxa"/>
            <w:right w:w="0" w:type="dxa"/>
          </w:tblCellMar>
        </w:tblPrEx>
        <w:trPr>
          <w:trHeight w:val="216"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评审要素</w:t>
            </w:r>
          </w:p>
        </w:tc>
        <w:tc>
          <w:tcPr>
            <w:tcW w:w="1830"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详细评审项</w:t>
            </w:r>
          </w:p>
        </w:tc>
        <w:tc>
          <w:tcPr>
            <w:tcW w:w="463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技术详细评审分项要素</w:t>
            </w:r>
          </w:p>
        </w:tc>
      </w:tr>
      <w:tr>
        <w:tblPrEx>
          <w:tblCellMar>
            <w:top w:w="0" w:type="dxa"/>
            <w:left w:w="0" w:type="dxa"/>
            <w:bottom w:w="0" w:type="dxa"/>
            <w:right w:w="0" w:type="dxa"/>
          </w:tblCellMar>
        </w:tblPrEx>
        <w:trPr>
          <w:trHeight w:val="480"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996"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技术参数响应情况</w:t>
            </w:r>
          </w:p>
        </w:tc>
        <w:tc>
          <w:tcPr>
            <w:tcW w:w="1830" w:type="dxa"/>
            <w:tcBorders>
              <w:top w:val="single" w:color="000000" w:sz="6" w:space="0"/>
              <w:left w:val="single" w:color="auto" w:sz="4"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技术参数响应情况</w:t>
            </w:r>
          </w:p>
        </w:tc>
        <w:tc>
          <w:tcPr>
            <w:tcW w:w="463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lang w:val="en-US" w:eastAsia="zh-CN"/>
              </w:rPr>
              <w:t>供应商应</w:t>
            </w:r>
            <w:r>
              <w:rPr>
                <w:rFonts w:hint="eastAsia" w:ascii="仿宋" w:hAnsi="仿宋" w:eastAsia="仿宋" w:cs="仿宋"/>
                <w:sz w:val="24"/>
                <w:szCs w:val="24"/>
              </w:rPr>
              <w:t>满足本项目技术</w:t>
            </w:r>
            <w:r>
              <w:rPr>
                <w:rFonts w:hint="eastAsia" w:ascii="仿宋" w:hAnsi="仿宋" w:eastAsia="仿宋" w:cs="仿宋"/>
                <w:sz w:val="24"/>
                <w:szCs w:val="24"/>
                <w:lang w:val="en-US" w:eastAsia="zh-CN"/>
              </w:rPr>
              <w:t>参数要求</w:t>
            </w:r>
            <w:r>
              <w:rPr>
                <w:rFonts w:hint="eastAsia" w:ascii="仿宋" w:hAnsi="仿宋" w:eastAsia="仿宋" w:cs="仿宋"/>
                <w:sz w:val="24"/>
                <w:szCs w:val="24"/>
                <w:lang w:eastAsia="zh-CN"/>
              </w:rPr>
              <w:t>。</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left"/>
              <w:rPr>
                <w:rFonts w:hint="eastAsia" w:ascii="仿宋" w:hAnsi="仿宋" w:eastAsia="仿宋" w:cs="仿宋"/>
                <w:b/>
                <w:bCs/>
                <w:sz w:val="24"/>
                <w:szCs w:val="24"/>
              </w:rPr>
            </w:pPr>
            <w:r>
              <w:rPr>
                <w:rFonts w:hint="eastAsia" w:ascii="仿宋" w:hAnsi="仿宋" w:eastAsia="仿宋" w:cs="仿宋"/>
                <w:b/>
                <w:bCs/>
                <w:sz w:val="24"/>
                <w:szCs w:val="24"/>
              </w:rPr>
              <w:t>（二）、商务评审</w:t>
            </w:r>
          </w:p>
        </w:tc>
      </w:tr>
      <w:tr>
        <w:tblPrEx>
          <w:tblCellMar>
            <w:top w:w="0" w:type="dxa"/>
            <w:left w:w="0" w:type="dxa"/>
            <w:bottom w:w="0" w:type="dxa"/>
            <w:right w:w="0" w:type="dxa"/>
          </w:tblCellMar>
        </w:tblPrEx>
        <w:trPr>
          <w:trHeight w:val="90" w:hRule="atLeast"/>
          <w:jc w:val="center"/>
        </w:trPr>
        <w:tc>
          <w:tcPr>
            <w:tcW w:w="684"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序号</w:t>
            </w:r>
          </w:p>
        </w:tc>
        <w:tc>
          <w:tcPr>
            <w:tcW w:w="1996"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b/>
                <w:sz w:val="24"/>
                <w:szCs w:val="24"/>
              </w:rPr>
              <w:t>评分要素</w:t>
            </w:r>
          </w:p>
        </w:tc>
        <w:tc>
          <w:tcPr>
            <w:tcW w:w="183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rPr>
              <w:t>详细评审项</w:t>
            </w:r>
          </w:p>
        </w:tc>
        <w:tc>
          <w:tcPr>
            <w:tcW w:w="463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b/>
                <w:sz w:val="24"/>
                <w:szCs w:val="24"/>
                <w:lang w:val="en-US" w:eastAsia="zh-CN"/>
              </w:rPr>
              <w:t>商务</w:t>
            </w:r>
            <w:r>
              <w:rPr>
                <w:rFonts w:hint="eastAsia" w:ascii="仿宋" w:hAnsi="仿宋" w:eastAsia="仿宋" w:cs="仿宋"/>
                <w:b/>
                <w:sz w:val="24"/>
                <w:szCs w:val="24"/>
              </w:rPr>
              <w:t>详细评审分项要素</w:t>
            </w:r>
          </w:p>
        </w:tc>
      </w:tr>
      <w:tr>
        <w:tblPrEx>
          <w:tblCellMar>
            <w:top w:w="0" w:type="dxa"/>
            <w:left w:w="0" w:type="dxa"/>
            <w:bottom w:w="0" w:type="dxa"/>
            <w:right w:w="0" w:type="dxa"/>
          </w:tblCellMar>
        </w:tblPrEx>
        <w:trPr>
          <w:trHeight w:val="208" w:hRule="atLeast"/>
          <w:jc w:val="center"/>
        </w:trPr>
        <w:tc>
          <w:tcPr>
            <w:tcW w:w="684" w:type="dxa"/>
            <w:vMerge w:val="restart"/>
            <w:tcBorders>
              <w:top w:val="single" w:color="000000" w:sz="6" w:space="0"/>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996" w:type="dxa"/>
            <w:vMerge w:val="restart"/>
            <w:tcBorders>
              <w:top w:val="single" w:color="000000" w:sz="6" w:space="0"/>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商务部分</w:t>
            </w:r>
          </w:p>
        </w:tc>
        <w:tc>
          <w:tcPr>
            <w:tcW w:w="183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质量管理体系认证</w:t>
            </w:r>
          </w:p>
        </w:tc>
        <w:tc>
          <w:tcPr>
            <w:tcW w:w="463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供应商</w:t>
            </w:r>
            <w:r>
              <w:rPr>
                <w:rFonts w:hint="eastAsia" w:ascii="仿宋" w:hAnsi="仿宋" w:eastAsia="仿宋" w:cs="仿宋"/>
                <w:sz w:val="24"/>
                <w:szCs w:val="24"/>
              </w:rPr>
              <w:t>具备质量管理体系认证有效证明文件。（如中选方需在本项目后续的签约和履行阶段需委托其经销商实施的，需同时提供原厂商及授权经销商质量管理体系认证有效证明文件。）</w:t>
            </w:r>
          </w:p>
        </w:tc>
      </w:tr>
      <w:tr>
        <w:tblPrEx>
          <w:tblCellMar>
            <w:top w:w="0" w:type="dxa"/>
            <w:left w:w="0" w:type="dxa"/>
            <w:bottom w:w="0" w:type="dxa"/>
            <w:right w:w="0" w:type="dxa"/>
          </w:tblCellMar>
        </w:tblPrEx>
        <w:trPr>
          <w:trHeight w:val="1113"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183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制造商授权和质保期内原厂售后服务承诺函、自主可控证明材料</w:t>
            </w:r>
          </w:p>
          <w:p/>
        </w:tc>
        <w:tc>
          <w:tcPr>
            <w:tcW w:w="463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sz w:val="24"/>
                <w:szCs w:val="24"/>
                <w:lang w:val="en-US" w:eastAsia="zh-CN"/>
              </w:rPr>
            </w:pPr>
            <w:r>
              <w:rPr>
                <w:rFonts w:hint="eastAsia" w:ascii="仿宋" w:hAnsi="仿宋" w:eastAsia="仿宋" w:cs="仿宋"/>
                <w:sz w:val="24"/>
                <w:szCs w:val="24"/>
              </w:rPr>
              <w:t>制造商承诺本寻源项目中选后提供</w:t>
            </w:r>
            <w:r>
              <w:rPr>
                <w:rFonts w:hint="eastAsia" w:ascii="仿宋" w:hAnsi="仿宋" w:eastAsia="仿宋" w:cs="仿宋"/>
                <w:sz w:val="24"/>
                <w:szCs w:val="24"/>
                <w:lang w:val="en-US" w:eastAsia="zh-CN"/>
              </w:rPr>
              <w:t>针对2026年南方电网绿能科技（广东）有限公司应急装备购置投标寻源项目，</w:t>
            </w:r>
            <w:r>
              <w:rPr>
                <w:rFonts w:hint="eastAsia" w:ascii="仿宋" w:hAnsi="仿宋" w:eastAsia="仿宋" w:cs="仿宋"/>
                <w:sz w:val="24"/>
                <w:szCs w:val="24"/>
              </w:rPr>
              <w:t>设备制造商</w:t>
            </w:r>
            <w:r>
              <w:rPr>
                <w:rFonts w:hint="eastAsia" w:ascii="仿宋" w:hAnsi="仿宋" w:eastAsia="仿宋" w:cs="仿宋"/>
                <w:sz w:val="24"/>
                <w:szCs w:val="24"/>
                <w:lang w:val="en-US" w:eastAsia="zh-CN"/>
              </w:rPr>
              <w:t>授权函（标包1：2026年应急装备购置）、</w:t>
            </w:r>
            <w:r>
              <w:rPr>
                <w:rFonts w:hint="eastAsia" w:ascii="仿宋" w:hAnsi="仿宋" w:eastAsia="仿宋" w:cs="仿宋"/>
                <w:sz w:val="24"/>
                <w:szCs w:val="24"/>
              </w:rPr>
              <w:t>原厂售后服务承诺函，提供证明材料并盖制造商公章。</w:t>
            </w:r>
          </w:p>
        </w:tc>
      </w:tr>
      <w:tr>
        <w:tblPrEx>
          <w:tblCellMar>
            <w:top w:w="0" w:type="dxa"/>
            <w:left w:w="0" w:type="dxa"/>
            <w:bottom w:w="0" w:type="dxa"/>
            <w:right w:w="0" w:type="dxa"/>
          </w:tblCellMar>
        </w:tblPrEx>
        <w:trPr>
          <w:trHeight w:val="208"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183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未使用美光公司产品（包括含有美光芯片的产品）的承诺函</w:t>
            </w:r>
          </w:p>
        </w:tc>
        <w:tc>
          <w:tcPr>
            <w:tcW w:w="463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eastAsia" w:ascii="仿宋" w:hAnsi="仿宋" w:eastAsia="仿宋" w:cs="仿宋"/>
                <w:kern w:val="2"/>
                <w:sz w:val="24"/>
                <w:szCs w:val="24"/>
                <w:lang w:val="en-US" w:eastAsia="zh-CN" w:bidi="ar-SA"/>
              </w:rPr>
            </w:pPr>
            <w:r>
              <w:rPr>
                <w:rFonts w:hint="eastAsia" w:ascii="仿宋" w:hAnsi="仿宋" w:eastAsia="仿宋" w:cs="仿宋"/>
                <w:sz w:val="24"/>
                <w:szCs w:val="24"/>
                <w:lang w:val="en-US" w:eastAsia="zh-CN"/>
              </w:rPr>
              <w:t>制造商提供未使用美光公司产品（包括含有美光芯片的产品）的承诺函。</w:t>
            </w:r>
          </w:p>
        </w:tc>
      </w:tr>
      <w:tr>
        <w:tblPrEx>
          <w:tblCellMar>
            <w:top w:w="0" w:type="dxa"/>
            <w:left w:w="0" w:type="dxa"/>
            <w:bottom w:w="0" w:type="dxa"/>
            <w:right w:w="0" w:type="dxa"/>
          </w:tblCellMar>
        </w:tblPrEx>
        <w:trPr>
          <w:trHeight w:val="208" w:hRule="atLeast"/>
          <w:jc w:val="center"/>
        </w:trPr>
        <w:tc>
          <w:tcPr>
            <w:tcW w:w="684" w:type="dxa"/>
            <w:vMerge w:val="continue"/>
            <w:tcBorders>
              <w:left w:val="single" w:color="000000" w:sz="6" w:space="0"/>
              <w:right w:val="single" w:color="000000" w:sz="6" w:space="0"/>
            </w:tcBorders>
            <w:shd w:val="clear" w:color="auto" w:fill="FFFFFF"/>
            <w:noWrap w:val="0"/>
            <w:vAlign w:val="center"/>
          </w:tcPr>
          <w:p>
            <w:pPr>
              <w:spacing w:line="360" w:lineRule="auto"/>
              <w:jc w:val="center"/>
              <w:rPr>
                <w:rFonts w:hint="eastAsia" w:ascii="仿宋" w:hAnsi="仿宋" w:eastAsia="仿宋" w:cs="仿宋"/>
                <w:sz w:val="24"/>
                <w:szCs w:val="24"/>
              </w:rPr>
            </w:pPr>
          </w:p>
        </w:tc>
        <w:tc>
          <w:tcPr>
            <w:tcW w:w="1996" w:type="dxa"/>
            <w:vMerge w:val="continue"/>
            <w:tcBorders>
              <w:left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eastAsia" w:ascii="仿宋" w:hAnsi="仿宋" w:eastAsia="仿宋" w:cs="仿宋"/>
                <w:sz w:val="24"/>
                <w:szCs w:val="24"/>
                <w:lang w:val="en-US" w:eastAsia="zh-CN"/>
              </w:rPr>
            </w:pPr>
          </w:p>
        </w:tc>
        <w:tc>
          <w:tcPr>
            <w:tcW w:w="1830"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center"/>
              <w:rPr>
                <w:rFonts w:hint="default" w:ascii="仿宋" w:hAnsi="仿宋" w:eastAsia="仿宋" w:cs="仿宋"/>
                <w:sz w:val="24"/>
                <w:szCs w:val="24"/>
                <w:lang w:val="en-US" w:eastAsia="zh-CN"/>
              </w:rPr>
            </w:pPr>
            <w:r>
              <w:rPr>
                <w:rFonts w:hint="eastAsia" w:ascii="仿宋" w:hAnsi="仿宋" w:eastAsia="仿宋" w:cs="仿宋"/>
                <w:i w:val="0"/>
                <w:iCs w:val="0"/>
                <w:color w:val="000000" w:themeColor="text1"/>
                <w:sz w:val="24"/>
                <w:szCs w:val="24"/>
                <w:lang w:val="en-US" w:eastAsia="zh-CN"/>
                <w14:textFill>
                  <w14:solidFill>
                    <w14:schemeClr w14:val="tx1"/>
                  </w14:solidFill>
                </w14:textFill>
              </w:rPr>
              <w:t>所提供产品满足自主可控要求</w:t>
            </w:r>
          </w:p>
        </w:tc>
        <w:tc>
          <w:tcPr>
            <w:tcW w:w="4633" w:type="dxa"/>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keepNext w:val="0"/>
              <w:keepLines w:val="0"/>
              <w:widowControl/>
              <w:suppressLineNumbers w:val="0"/>
              <w:spacing w:line="360" w:lineRule="auto"/>
              <w:jc w:val="left"/>
              <w:rPr>
                <w:rFonts w:hint="default" w:ascii="仿宋" w:hAnsi="仿宋" w:eastAsia="仿宋" w:cs="仿宋"/>
                <w:sz w:val="24"/>
                <w:szCs w:val="24"/>
                <w:lang w:val="en-US" w:eastAsia="zh-CN"/>
              </w:rPr>
            </w:pPr>
            <w:r>
              <w:rPr>
                <w:rFonts w:hint="eastAsia" w:ascii="仿宋" w:hAnsi="仿宋" w:eastAsia="仿宋" w:cs="仿宋"/>
                <w:sz w:val="24"/>
                <w:szCs w:val="24"/>
              </w:rPr>
              <w:t>制造商承诺</w:t>
            </w:r>
            <w:r>
              <w:rPr>
                <w:rFonts w:hint="eastAsia" w:ascii="仿宋" w:hAnsi="仿宋" w:eastAsia="仿宋" w:cs="仿宋"/>
                <w:i w:val="0"/>
                <w:iCs w:val="0"/>
                <w:color w:val="000000" w:themeColor="text1"/>
                <w:sz w:val="24"/>
                <w:szCs w:val="24"/>
                <w:lang w:val="en-US" w:eastAsia="zh-CN"/>
                <w14:textFill>
                  <w14:solidFill>
                    <w14:schemeClr w14:val="tx1"/>
                  </w14:solidFill>
                </w14:textFill>
              </w:rPr>
              <w:t>提供产品自主可控承诺函。</w:t>
            </w:r>
          </w:p>
        </w:tc>
      </w:tr>
      <w:tr>
        <w:tblPrEx>
          <w:tblCellMar>
            <w:top w:w="0" w:type="dxa"/>
            <w:left w:w="0" w:type="dxa"/>
            <w:bottom w:w="0" w:type="dxa"/>
            <w:right w:w="0" w:type="dxa"/>
          </w:tblCellMar>
        </w:tblPrEx>
        <w:trPr>
          <w:trHeight w:val="118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center"/>
              <w:rPr>
                <w:rFonts w:hint="eastAsia" w:ascii="仿宋" w:hAnsi="仿宋" w:eastAsia="仿宋" w:cs="仿宋"/>
                <w:b/>
                <w:sz w:val="24"/>
                <w:szCs w:val="24"/>
              </w:rPr>
            </w:pPr>
            <w:r>
              <w:rPr>
                <w:rFonts w:hint="eastAsia" w:ascii="仿宋" w:hAnsi="仿宋" w:eastAsia="仿宋" w:cs="仿宋"/>
                <w:b/>
                <w:sz w:val="24"/>
                <w:szCs w:val="24"/>
              </w:rPr>
              <w:t>技术、商务评审</w:t>
            </w:r>
          </w:p>
          <w:p>
            <w:pPr>
              <w:spacing w:line="360" w:lineRule="auto"/>
              <w:ind w:left="113"/>
              <w:jc w:val="center"/>
              <w:rPr>
                <w:rFonts w:hint="eastAsia" w:ascii="仿宋" w:hAnsi="仿宋" w:eastAsia="仿宋" w:cs="仿宋"/>
                <w:sz w:val="24"/>
                <w:szCs w:val="24"/>
              </w:rPr>
            </w:pPr>
            <w:r>
              <w:rPr>
                <w:rFonts w:hint="eastAsia" w:ascii="仿宋" w:hAnsi="仿宋" w:eastAsia="仿宋" w:cs="仿宋"/>
                <w:b/>
                <w:sz w:val="24"/>
                <w:szCs w:val="24"/>
              </w:rPr>
              <w:t>方法</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jc w:val="both"/>
              <w:rPr>
                <w:rFonts w:hint="eastAsia" w:ascii="仿宋" w:hAnsi="仿宋" w:eastAsia="仿宋" w:cs="仿宋"/>
                <w:sz w:val="24"/>
                <w:szCs w:val="24"/>
              </w:rPr>
            </w:pPr>
            <w:r>
              <w:rPr>
                <w:rFonts w:hint="eastAsia" w:ascii="仿宋" w:hAnsi="仿宋" w:eastAsia="仿宋" w:cs="仿宋"/>
                <w:sz w:val="24"/>
                <w:szCs w:val="24"/>
              </w:rPr>
              <w:t>寻源评审专家对各供应商技术、商务应答进行逐项评审，不满足</w:t>
            </w:r>
            <w:r>
              <w:rPr>
                <w:rFonts w:hint="eastAsia" w:ascii="仿宋" w:hAnsi="仿宋" w:eastAsia="仿宋" w:cs="仿宋"/>
                <w:sz w:val="24"/>
                <w:szCs w:val="24"/>
                <w:lang w:eastAsia="zh-CN"/>
              </w:rPr>
              <w:t>投标</w:t>
            </w:r>
            <w:r>
              <w:rPr>
                <w:rFonts w:hint="eastAsia" w:ascii="仿宋" w:hAnsi="仿宋" w:eastAsia="仿宋" w:cs="仿宋"/>
                <w:sz w:val="24"/>
                <w:szCs w:val="24"/>
              </w:rPr>
              <w:t>寻源商务和技术条款（参数），其寻源响应将被拒绝，不进入下一步评审。</w:t>
            </w:r>
          </w:p>
        </w:tc>
      </w:tr>
      <w:tr>
        <w:tblPrEx>
          <w:tblCellMar>
            <w:top w:w="0" w:type="dxa"/>
            <w:left w:w="0" w:type="dxa"/>
            <w:bottom w:w="0" w:type="dxa"/>
            <w:right w:w="0" w:type="dxa"/>
          </w:tblCellMar>
        </w:tblPrEx>
        <w:trPr>
          <w:trHeight w:val="90" w:hRule="atLeast"/>
          <w:jc w:val="center"/>
        </w:trPr>
        <w:tc>
          <w:tcPr>
            <w:tcW w:w="9143" w:type="dxa"/>
            <w:gridSpan w:val="4"/>
            <w:tcBorders>
              <w:top w:val="single" w:color="000000" w:sz="6" w:space="0"/>
              <w:left w:val="single" w:color="000000" w:sz="6" w:space="0"/>
              <w:bottom w:val="single" w:color="000000" w:sz="6" w:space="0"/>
              <w:right w:val="single" w:color="000000" w:sz="6" w:space="0"/>
            </w:tcBorders>
            <w:shd w:val="clear" w:color="auto" w:fill="FFFFFF"/>
            <w:noWrap w:val="0"/>
            <w:vAlign w:val="top"/>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w:t>
            </w:r>
            <w:r>
              <w:rPr>
                <w:rFonts w:hint="eastAsia" w:ascii="仿宋" w:hAnsi="仿宋" w:eastAsia="仿宋" w:cs="仿宋"/>
                <w:b/>
                <w:sz w:val="24"/>
                <w:szCs w:val="24"/>
                <w:lang w:val="en-US" w:eastAsia="zh-CN"/>
              </w:rPr>
              <w:t>三</w:t>
            </w:r>
            <w:r>
              <w:rPr>
                <w:rFonts w:hint="eastAsia" w:ascii="仿宋" w:hAnsi="仿宋" w:eastAsia="仿宋" w:cs="仿宋"/>
                <w:b/>
                <w:sz w:val="24"/>
                <w:szCs w:val="24"/>
              </w:rPr>
              <w:t>）、价格评审</w:t>
            </w:r>
          </w:p>
        </w:tc>
      </w:tr>
      <w:tr>
        <w:tblPrEx>
          <w:tblCellMar>
            <w:top w:w="0" w:type="dxa"/>
            <w:left w:w="0" w:type="dxa"/>
            <w:bottom w:w="0" w:type="dxa"/>
            <w:right w:w="0" w:type="dxa"/>
          </w:tblCellMar>
        </w:tblPrEx>
        <w:trPr>
          <w:trHeight w:val="740" w:hRule="atLeast"/>
          <w:jc w:val="center"/>
        </w:trPr>
        <w:tc>
          <w:tcPr>
            <w:tcW w:w="2680"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b/>
                <w:sz w:val="24"/>
                <w:szCs w:val="24"/>
              </w:rPr>
              <w:t>价格评审名称</w:t>
            </w:r>
          </w:p>
        </w:tc>
        <w:tc>
          <w:tcPr>
            <w:tcW w:w="6463" w:type="dxa"/>
            <w:gridSpan w:val="2"/>
            <w:tcBorders>
              <w:top w:val="single" w:color="000000" w:sz="6" w:space="0"/>
              <w:left w:val="single" w:color="000000" w:sz="6" w:space="0"/>
              <w:bottom w:val="single" w:color="000000" w:sz="6" w:space="0"/>
              <w:right w:val="single" w:color="000000" w:sz="6" w:space="0"/>
            </w:tcBorders>
            <w:shd w:val="clear" w:color="auto" w:fill="FFFFFF"/>
            <w:noWrap w:val="0"/>
            <w:vAlign w:val="center"/>
          </w:tcPr>
          <w:p>
            <w:pPr>
              <w:spacing w:line="360" w:lineRule="auto"/>
              <w:ind w:left="113"/>
              <w:rPr>
                <w:rFonts w:hint="eastAsia" w:ascii="仿宋" w:hAnsi="仿宋" w:eastAsia="仿宋" w:cs="仿宋"/>
                <w:sz w:val="24"/>
                <w:szCs w:val="24"/>
              </w:rPr>
            </w:pPr>
            <w:r>
              <w:rPr>
                <w:rFonts w:hint="eastAsia" w:ascii="仿宋" w:hAnsi="仿宋" w:eastAsia="仿宋" w:cs="仿宋"/>
                <w:sz w:val="24"/>
                <w:szCs w:val="24"/>
                <w:u w:val="single"/>
                <w:lang w:val="en-US" w:eastAsia="zh-CN"/>
              </w:rPr>
              <w:t>合理均价基准差径靶心法。</w:t>
            </w:r>
            <w:r>
              <w:rPr>
                <w:rFonts w:hint="eastAsia" w:ascii="仿宋" w:hAnsi="仿宋" w:eastAsia="仿宋" w:cs="仿宋"/>
                <w:sz w:val="24"/>
                <w:szCs w:val="24"/>
              </w:rPr>
              <w:t>在商务、技术条款均满足寻源文件要求时，</w:t>
            </w:r>
            <w:r>
              <w:rPr>
                <w:rFonts w:hint="eastAsia" w:ascii="仿宋" w:hAnsi="仿宋" w:eastAsia="仿宋" w:cs="仿宋"/>
                <w:sz w:val="24"/>
                <w:szCs w:val="24"/>
                <w:lang w:val="en-US" w:eastAsia="zh-CN"/>
              </w:rPr>
              <w:t>剔除部分高低异常报价，经下浮调整得出基准价，以基准价为靶心，按报价偏离程度梯度扣分，实现价格合理评审</w:t>
            </w:r>
            <w:r>
              <w:rPr>
                <w:rFonts w:hint="eastAsia" w:ascii="仿宋" w:hAnsi="仿宋" w:eastAsia="仿宋" w:cs="仿宋"/>
                <w:sz w:val="24"/>
                <w:szCs w:val="24"/>
              </w:rPr>
              <w:t>。</w:t>
            </w:r>
          </w:p>
        </w:tc>
      </w:tr>
    </w:tbl>
    <w:p>
      <w:pPr>
        <w:pStyle w:val="23"/>
        <w:spacing w:line="360" w:lineRule="auto"/>
        <w:ind w:firstLine="0" w:firstLineChars="0"/>
        <w:rPr>
          <w:rFonts w:hint="eastAsia" w:ascii="仿宋" w:hAnsi="仿宋" w:eastAsia="仿宋" w:cs="仿宋"/>
          <w:b/>
          <w:bCs/>
          <w:color w:val="0000FF"/>
          <w:kern w:val="2"/>
          <w:sz w:val="24"/>
          <w:szCs w:val="24"/>
          <w:highlight w:val="none"/>
          <w:u w:val="single"/>
          <w:lang w:val="en-US" w:eastAsia="zh-CN" w:bidi="ar-SA"/>
        </w:rPr>
      </w:pPr>
      <w:r>
        <w:rPr>
          <w:rFonts w:hint="eastAsia" w:ascii="仿宋" w:hAnsi="仿宋" w:eastAsia="仿宋" w:cs="仿宋"/>
          <w:b/>
          <w:bCs/>
          <w:color w:val="0000FF"/>
          <w:kern w:val="2"/>
          <w:sz w:val="24"/>
          <w:szCs w:val="24"/>
          <w:highlight w:val="none"/>
          <w:u w:val="single"/>
          <w:lang w:val="en-US" w:eastAsia="zh-CN" w:bidi="ar-SA"/>
        </w:rPr>
        <w:t>评分办法名称：合理均价基准差径靶心法</w:t>
      </w:r>
    </w:p>
    <w:p>
      <w:pPr>
        <w:pStyle w:val="23"/>
        <w:spacing w:line="360" w:lineRule="auto"/>
        <w:ind w:firstLine="0" w:firstLineChars="0"/>
        <w:rPr>
          <w:rFonts w:hint="eastAsia" w:ascii="仿宋" w:hAnsi="仿宋" w:eastAsia="仿宋" w:cs="仿宋"/>
          <w:b/>
          <w:bCs/>
          <w:color w:val="0000FF"/>
          <w:kern w:val="2"/>
          <w:sz w:val="24"/>
          <w:szCs w:val="24"/>
          <w:highlight w:val="none"/>
          <w:u w:val="single"/>
          <w:lang w:val="en-US" w:eastAsia="zh-CN" w:bidi="ar-SA"/>
        </w:rPr>
      </w:pPr>
    </w:p>
    <w:p>
      <w:pPr>
        <w:numPr>
          <w:ilvl w:val="0"/>
          <w:numId w:val="6"/>
        </w:numPr>
        <w:spacing w:line="360" w:lineRule="auto"/>
        <w:ind w:leftChars="0"/>
        <w:outlineLvl w:val="1"/>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技术参数偏离表（见附件）</w:t>
      </w:r>
    </w:p>
    <w:p>
      <w:pPr>
        <w:spacing w:line="360" w:lineRule="auto"/>
        <w:rPr>
          <w:rFonts w:hint="eastAsia"/>
          <w:lang w:val="en-US" w:eastAsia="zh-CN"/>
        </w:rPr>
      </w:pPr>
      <w:r>
        <w:rPr>
          <w:rFonts w:hint="eastAsia" w:ascii="仿宋" w:hAnsi="仿宋" w:eastAsia="仿宋" w:cs="仿宋"/>
          <w:i/>
          <w:iCs/>
          <w:color w:val="0000FF"/>
          <w:kern w:val="0"/>
          <w:sz w:val="24"/>
          <w:szCs w:val="24"/>
          <w:u w:val="single"/>
          <w:lang w:val="en-US" w:eastAsia="zh-CN" w:bidi="ar"/>
        </w:rPr>
        <w:t>（说明：需提供盖章版技术参数偏离响应表。）</w:t>
      </w:r>
    </w:p>
    <w:p>
      <w:pPr>
        <w:pStyle w:val="24"/>
        <w:spacing w:line="360" w:lineRule="auto"/>
        <w:ind w:left="0" w:leftChars="0" w:firstLine="0" w:firstLineChars="0"/>
        <w:rPr>
          <w:rFonts w:hint="eastAsia" w:ascii="仿宋" w:hAnsi="仿宋" w:eastAsia="仿宋" w:cs="仿宋"/>
          <w:sz w:val="24"/>
          <w:szCs w:val="24"/>
          <w:lang w:val="en-US" w:eastAsia="zh-CN"/>
        </w:rPr>
      </w:pPr>
    </w:p>
    <w:sectPr>
      <w:pgSz w:w="11906" w:h="16838"/>
      <w:pgMar w:top="1440" w:right="1080" w:bottom="1440" w:left="108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1" w:fontKey="{7966AE1E-B77C-4B23-82CB-9E32180D853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5" w:line="200" w:lineRule="auto"/>
      <w:ind w:left="9610"/>
      <w:rPr>
        <w:rFonts w:ascii="宋体" w:hAnsi="宋体" w:eastAsia="宋体" w:cs="宋体"/>
        <w:sz w:val="28"/>
        <w:szCs w:val="28"/>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mc:Fallback>
      </mc:AlternateContent>
    </w:r>
    <w:r>
      <mc:AlternateContent>
        <mc:Choice Requires="wps">
          <w:drawing>
            <wp:anchor distT="0" distB="0" distL="114300" distR="114300" simplePos="0" relativeHeight="251659264" behindDoc="1" locked="0" layoutInCell="0" allowOverlap="1">
              <wp:simplePos x="0" y="0"/>
              <wp:positionH relativeFrom="page">
                <wp:posOffset>508000</wp:posOffset>
              </wp:positionH>
              <wp:positionV relativeFrom="page">
                <wp:posOffset>10219055</wp:posOffset>
              </wp:positionV>
              <wp:extent cx="6540500" cy="9525"/>
              <wp:effectExtent l="0" t="0" r="0" b="0"/>
              <wp:wrapNone/>
              <wp:docPr id="1" name="任意多边形 1"/>
              <wp:cNvGraphicFramePr/>
              <a:graphic xmlns:a="http://schemas.openxmlformats.org/drawingml/2006/main">
                <a:graphicData uri="http://schemas.microsoft.com/office/word/2010/wordprocessingShape">
                  <wps:wsp>
                    <wps:cNvSpPr/>
                    <wps:spPr>
                      <a:xfrm>
                        <a:off x="0" y="0"/>
                        <a:ext cx="6540500" cy="9525"/>
                      </a:xfrm>
                      <a:custGeom>
                        <a:avLst/>
                        <a:gdLst/>
                        <a:ahLst/>
                        <a:cxnLst/>
                        <a:pathLst>
                          <a:path w="10300" h="15">
                            <a:moveTo>
                              <a:pt x="0" y="7"/>
                            </a:moveTo>
                            <a:lnTo>
                              <a:pt x="10300"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4.65pt;height:0.75pt;width:515pt;mso-position-horizontal-relative:page;mso-position-vertical-relative:page;z-index:-251657216;mso-width-relative:page;mso-height-relative:page;" filled="f" stroked="t" coordsize="10300,15" o:allowincell="f" o:gfxdata="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uhX+TdkAAAANAQAADwAAAAAA&#10;AAABACAAAAAiAAAAZHJzL2Rvd25yZXYueG1sUEsBAhQAFAAAAAgAh07iQBvDR2ZLAgAAxwQAAA4A&#10;AAAAAAAAAQAgAAAAKAEAAGRycy9lMm9Eb2MueG1sUEsFBgAAAAAGAAYAWQEAAOUFAAAAAA==&#10;" path="m0,7l10300,7e">
              <v:fill on="f" focussize="0,0"/>
              <v:stroke color="#000000" opacity="32895f" miterlimit="10" joinstyle="miter"/>
              <v:imagedata o:title=""/>
              <o:lock v:ext="edit" aspectratio="f"/>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before="55" w:line="200" w:lineRule="auto"/>
      <w:ind w:left="9610"/>
      <w:rPr>
        <w:rFonts w:ascii="宋体" w:hAnsi="宋体" w:eastAsia="宋体" w:cs="宋体"/>
        <w:sz w:val="28"/>
        <w:szCs w:val="28"/>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7"/>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7"/>
                    </w:pPr>
                    <w:r>
                      <w:fldChar w:fldCharType="begin"/>
                    </w:r>
                    <w:r>
                      <w:instrText xml:space="preserve"> PAGE  \* MERGEFORMAT </w:instrText>
                    </w:r>
                    <w:r>
                      <w:fldChar w:fldCharType="separate"/>
                    </w:r>
                    <w:r>
                      <w:t>5</w:t>
                    </w:r>
                    <w:r>
                      <w:fldChar w:fldCharType="end"/>
                    </w:r>
                  </w:p>
                </w:txbxContent>
              </v:textbox>
            </v:shape>
          </w:pict>
        </mc:Fallback>
      </mc:AlternateContent>
    </w:r>
    <w:r>
      <mc:AlternateContent>
        <mc:Choice Requires="wps">
          <w:drawing>
            <wp:anchor distT="0" distB="0" distL="114300" distR="114300" simplePos="0" relativeHeight="251660288" behindDoc="1" locked="0" layoutInCell="0" allowOverlap="1">
              <wp:simplePos x="0" y="0"/>
              <wp:positionH relativeFrom="page">
                <wp:posOffset>508000</wp:posOffset>
              </wp:positionH>
              <wp:positionV relativeFrom="page">
                <wp:posOffset>10219055</wp:posOffset>
              </wp:positionV>
              <wp:extent cx="6540500"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6540500" cy="9525"/>
                      </a:xfrm>
                      <a:custGeom>
                        <a:avLst/>
                        <a:gdLst/>
                        <a:ahLst/>
                        <a:cxnLst/>
                        <a:pathLst>
                          <a:path w="10300" h="15">
                            <a:moveTo>
                              <a:pt x="0" y="7"/>
                            </a:moveTo>
                            <a:lnTo>
                              <a:pt x="10300" y="7"/>
                            </a:lnTo>
                          </a:path>
                        </a:pathLst>
                      </a:custGeom>
                      <a:noFill/>
                      <a:ln w="9525" cap="flat" cmpd="sng">
                        <a:solidFill>
                          <a:srgbClr val="000000">
                            <a:alpha val="50195"/>
                          </a:srgbClr>
                        </a:solidFill>
                        <a:prstDash val="solid"/>
                        <a:miter lim="1000000"/>
                        <a:headEnd type="none" w="med" len="med"/>
                        <a:tailEnd type="none" w="med" len="med"/>
                      </a:ln>
                    </wps:spPr>
                    <wps:bodyPr upright="1"/>
                  </wps:wsp>
                </a:graphicData>
              </a:graphic>
            </wp:anchor>
          </w:drawing>
        </mc:Choice>
        <mc:Fallback>
          <w:pict>
            <v:shape id="_x0000_s1026" o:spid="_x0000_s1026" o:spt="100" style="position:absolute;left:0pt;margin-left:40pt;margin-top:804.65pt;height:0.75pt;width:515pt;mso-position-horizontal-relative:page;mso-position-vertical-relative:page;z-index:-251656192;mso-width-relative:page;mso-height-relative:page;" filled="f" stroked="t" coordsize="10300,15" o:allowincell="f" o:gfxdata="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" path="m0,7l10300,7e">
              <v:fill on="f" focussize="0,0"/>
              <v:stroke color="#000000" opacity="32895f" miterlimit="10" joinstyle="miter"/>
              <v:imagedata o:title=""/>
              <o:lock v:ext="edit" aspectratio="f"/>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B30766"/>
    <w:multiLevelType w:val="singleLevel"/>
    <w:tmpl w:val="94B30766"/>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abstractNum w:abstractNumId="1">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2">
    <w:nsid w:val="F448C7D1"/>
    <w:multiLevelType w:val="singleLevel"/>
    <w:tmpl w:val="F448C7D1"/>
    <w:lvl w:ilvl="0" w:tentative="0">
      <w:start w:val="3"/>
      <w:numFmt w:val="chineseCounting"/>
      <w:suff w:val="nothing"/>
      <w:lvlText w:val="%1、"/>
      <w:lvlJc w:val="left"/>
      <w:rPr>
        <w:rFonts w:hint="eastAsia"/>
      </w:rPr>
    </w:lvl>
  </w:abstractNum>
  <w:abstractNum w:abstractNumId="3">
    <w:nsid w:val="15F1D197"/>
    <w:multiLevelType w:val="singleLevel"/>
    <w:tmpl w:val="15F1D197"/>
    <w:lvl w:ilvl="0" w:tentative="0">
      <w:start w:val="1"/>
      <w:numFmt w:val="decimal"/>
      <w:suff w:val="nothing"/>
      <w:lvlText w:val="%1、"/>
      <w:lvlJc w:val="left"/>
      <w:pPr>
        <w:ind w:left="1350" w:hanging="450"/>
      </w:pPr>
      <w:rPr>
        <w:rFonts w:hint="default"/>
        <w:sz w:val="22"/>
        <w:szCs w:val="22"/>
      </w:rPr>
    </w:lvl>
  </w:abstractNum>
  <w:abstractNum w:abstractNumId="4">
    <w:nsid w:val="2BACDB66"/>
    <w:multiLevelType w:val="singleLevel"/>
    <w:tmpl w:val="2BACDB66"/>
    <w:lvl w:ilvl="0" w:tentative="0">
      <w:start w:val="1"/>
      <w:numFmt w:val="chineseCounting"/>
      <w:suff w:val="space"/>
      <w:lvlText w:val="%1、"/>
      <w:lvlJc w:val="left"/>
      <w:pPr>
        <w:ind w:left="0" w:firstLine="0"/>
      </w:pPr>
      <w:rPr>
        <w:rFonts w:hint="eastAsia"/>
      </w:rPr>
    </w:lvl>
  </w:abstractNum>
  <w:abstractNum w:abstractNumId="5">
    <w:nsid w:val="74C5B661"/>
    <w:multiLevelType w:val="singleLevel"/>
    <w:tmpl w:val="74C5B661"/>
    <w:lvl w:ilvl="0" w:tentative="0">
      <w:start w:val="1"/>
      <w:numFmt w:val="decimal"/>
      <w:suff w:val="nothing"/>
      <w:lvlText w:val="%1、"/>
      <w:lvlJc w:val="left"/>
      <w:pPr>
        <w:ind w:left="0" w:leftChars="0" w:firstLine="482" w:firstLineChars="0"/>
      </w:pPr>
      <w:rPr>
        <w:rFonts w:hint="default" w:ascii="宋体" w:hAnsi="宋体" w:eastAsia="宋体" w:cs="宋体"/>
        <w:sz w:val="22"/>
        <w:szCs w:val="22"/>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4F05B62"/>
    <w:rsid w:val="05012BA9"/>
    <w:rsid w:val="052B53BF"/>
    <w:rsid w:val="05B1344A"/>
    <w:rsid w:val="05CD222A"/>
    <w:rsid w:val="05D754E1"/>
    <w:rsid w:val="06280796"/>
    <w:rsid w:val="066B6A19"/>
    <w:rsid w:val="06B855CD"/>
    <w:rsid w:val="07EA0E72"/>
    <w:rsid w:val="086D0F1B"/>
    <w:rsid w:val="087234E3"/>
    <w:rsid w:val="08760957"/>
    <w:rsid w:val="08B60D54"/>
    <w:rsid w:val="08D12FC0"/>
    <w:rsid w:val="08F03EF5"/>
    <w:rsid w:val="0954227F"/>
    <w:rsid w:val="098E125F"/>
    <w:rsid w:val="09BF22CB"/>
    <w:rsid w:val="09F27EC2"/>
    <w:rsid w:val="0A155B81"/>
    <w:rsid w:val="0A8D3055"/>
    <w:rsid w:val="0A8E1F88"/>
    <w:rsid w:val="0A917A7B"/>
    <w:rsid w:val="0AA55977"/>
    <w:rsid w:val="0AC550EB"/>
    <w:rsid w:val="0B0667F2"/>
    <w:rsid w:val="0B0C348B"/>
    <w:rsid w:val="0B5C2086"/>
    <w:rsid w:val="0B8F6344"/>
    <w:rsid w:val="0BF20216"/>
    <w:rsid w:val="0CA2430D"/>
    <w:rsid w:val="0D1F336B"/>
    <w:rsid w:val="0D904269"/>
    <w:rsid w:val="0DBA12E6"/>
    <w:rsid w:val="0E6F20D1"/>
    <w:rsid w:val="0E896B03"/>
    <w:rsid w:val="0EAC6998"/>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056513"/>
    <w:rsid w:val="173F2D66"/>
    <w:rsid w:val="17690205"/>
    <w:rsid w:val="17BE19D3"/>
    <w:rsid w:val="17CD1C16"/>
    <w:rsid w:val="181276B9"/>
    <w:rsid w:val="1815568F"/>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D0F23"/>
    <w:rsid w:val="1C337A24"/>
    <w:rsid w:val="1C406E5A"/>
    <w:rsid w:val="1C632B49"/>
    <w:rsid w:val="1C6F14EE"/>
    <w:rsid w:val="1CEF0DD8"/>
    <w:rsid w:val="1D110939"/>
    <w:rsid w:val="1D13456F"/>
    <w:rsid w:val="1D24052A"/>
    <w:rsid w:val="1D29242A"/>
    <w:rsid w:val="1D440485"/>
    <w:rsid w:val="1D8A4831"/>
    <w:rsid w:val="1DA476B9"/>
    <w:rsid w:val="1DBE1AF6"/>
    <w:rsid w:val="1DCA2B07"/>
    <w:rsid w:val="1DD01C2C"/>
    <w:rsid w:val="1DD404D0"/>
    <w:rsid w:val="1E967206"/>
    <w:rsid w:val="1EB545B9"/>
    <w:rsid w:val="1ED32208"/>
    <w:rsid w:val="1F4A5FC5"/>
    <w:rsid w:val="1F574BE7"/>
    <w:rsid w:val="1F5E630A"/>
    <w:rsid w:val="1F901EA7"/>
    <w:rsid w:val="1FD85EB4"/>
    <w:rsid w:val="202D09E2"/>
    <w:rsid w:val="20594F87"/>
    <w:rsid w:val="208F03B0"/>
    <w:rsid w:val="208F7B8F"/>
    <w:rsid w:val="20C46AC7"/>
    <w:rsid w:val="20DA7947"/>
    <w:rsid w:val="211720D7"/>
    <w:rsid w:val="211865F8"/>
    <w:rsid w:val="215B1A02"/>
    <w:rsid w:val="21656CD6"/>
    <w:rsid w:val="21696E53"/>
    <w:rsid w:val="21761B89"/>
    <w:rsid w:val="217D79BF"/>
    <w:rsid w:val="21831A24"/>
    <w:rsid w:val="21940070"/>
    <w:rsid w:val="21AE2AB8"/>
    <w:rsid w:val="21F77707"/>
    <w:rsid w:val="224014D9"/>
    <w:rsid w:val="224C18D3"/>
    <w:rsid w:val="2254161B"/>
    <w:rsid w:val="22831952"/>
    <w:rsid w:val="229939E0"/>
    <w:rsid w:val="23A07B3C"/>
    <w:rsid w:val="23AF3653"/>
    <w:rsid w:val="23BB54C2"/>
    <w:rsid w:val="23C20FAF"/>
    <w:rsid w:val="23C245F9"/>
    <w:rsid w:val="23C465C3"/>
    <w:rsid w:val="23C91E2B"/>
    <w:rsid w:val="240A0463"/>
    <w:rsid w:val="2446522A"/>
    <w:rsid w:val="244A6AC8"/>
    <w:rsid w:val="24E46F1D"/>
    <w:rsid w:val="24E94533"/>
    <w:rsid w:val="25A42208"/>
    <w:rsid w:val="25D56865"/>
    <w:rsid w:val="25DC4098"/>
    <w:rsid w:val="26132ECE"/>
    <w:rsid w:val="268312DA"/>
    <w:rsid w:val="26AB4CBF"/>
    <w:rsid w:val="26EC6D72"/>
    <w:rsid w:val="274176DD"/>
    <w:rsid w:val="274D3E81"/>
    <w:rsid w:val="27781878"/>
    <w:rsid w:val="27FA6F96"/>
    <w:rsid w:val="28203476"/>
    <w:rsid w:val="282E58E6"/>
    <w:rsid w:val="292F0661"/>
    <w:rsid w:val="293C5506"/>
    <w:rsid w:val="294A08D7"/>
    <w:rsid w:val="2A314286"/>
    <w:rsid w:val="2A814869"/>
    <w:rsid w:val="2B3A34A2"/>
    <w:rsid w:val="2B4D3342"/>
    <w:rsid w:val="2B65794F"/>
    <w:rsid w:val="2BB97692"/>
    <w:rsid w:val="2C320FD7"/>
    <w:rsid w:val="2CBF201D"/>
    <w:rsid w:val="2CF134CA"/>
    <w:rsid w:val="2D1103C5"/>
    <w:rsid w:val="2D2C76B3"/>
    <w:rsid w:val="2D480265"/>
    <w:rsid w:val="2DA44F15"/>
    <w:rsid w:val="2DB256DE"/>
    <w:rsid w:val="2DE53FC1"/>
    <w:rsid w:val="2DF61A6F"/>
    <w:rsid w:val="2E321F11"/>
    <w:rsid w:val="2E3E6240"/>
    <w:rsid w:val="2E4A3E2D"/>
    <w:rsid w:val="2EE2477F"/>
    <w:rsid w:val="2F1D06C4"/>
    <w:rsid w:val="2F7C41F6"/>
    <w:rsid w:val="30896BCA"/>
    <w:rsid w:val="30C97C19"/>
    <w:rsid w:val="312B1A2F"/>
    <w:rsid w:val="32456B21"/>
    <w:rsid w:val="324A05DB"/>
    <w:rsid w:val="328E3BC4"/>
    <w:rsid w:val="32917FB8"/>
    <w:rsid w:val="32DB75FB"/>
    <w:rsid w:val="335039CF"/>
    <w:rsid w:val="33CF7CBE"/>
    <w:rsid w:val="33FE78CF"/>
    <w:rsid w:val="34B561E0"/>
    <w:rsid w:val="34FD1C7B"/>
    <w:rsid w:val="354B3A06"/>
    <w:rsid w:val="35A61FCC"/>
    <w:rsid w:val="35D70AF0"/>
    <w:rsid w:val="36405F7D"/>
    <w:rsid w:val="3660664C"/>
    <w:rsid w:val="36643468"/>
    <w:rsid w:val="3699661F"/>
    <w:rsid w:val="36D52B69"/>
    <w:rsid w:val="36DB793C"/>
    <w:rsid w:val="37476E97"/>
    <w:rsid w:val="37920A4E"/>
    <w:rsid w:val="379540A7"/>
    <w:rsid w:val="37D87A19"/>
    <w:rsid w:val="384B0C09"/>
    <w:rsid w:val="38DA2865"/>
    <w:rsid w:val="38EC5F48"/>
    <w:rsid w:val="3922196A"/>
    <w:rsid w:val="3925145A"/>
    <w:rsid w:val="39382F3B"/>
    <w:rsid w:val="39785A2E"/>
    <w:rsid w:val="39C240B8"/>
    <w:rsid w:val="39CC0C76"/>
    <w:rsid w:val="3A45454A"/>
    <w:rsid w:val="3A4E5ED7"/>
    <w:rsid w:val="3AC86541"/>
    <w:rsid w:val="3AD268EA"/>
    <w:rsid w:val="3AF36399"/>
    <w:rsid w:val="3B2B7407"/>
    <w:rsid w:val="3B4E6A46"/>
    <w:rsid w:val="3B7657EE"/>
    <w:rsid w:val="3B8C57C0"/>
    <w:rsid w:val="3B985F13"/>
    <w:rsid w:val="3BE13381"/>
    <w:rsid w:val="3C055CF8"/>
    <w:rsid w:val="3C0C519E"/>
    <w:rsid w:val="3C750F2E"/>
    <w:rsid w:val="3C9D5708"/>
    <w:rsid w:val="3D3D6D72"/>
    <w:rsid w:val="3D820C29"/>
    <w:rsid w:val="3E0419F9"/>
    <w:rsid w:val="3E2B152F"/>
    <w:rsid w:val="3E9C21BE"/>
    <w:rsid w:val="3EAA48DB"/>
    <w:rsid w:val="3F020E1D"/>
    <w:rsid w:val="3F6A324D"/>
    <w:rsid w:val="3F784273"/>
    <w:rsid w:val="3F7D40ED"/>
    <w:rsid w:val="3FAE412E"/>
    <w:rsid w:val="40095632"/>
    <w:rsid w:val="40BB2DD0"/>
    <w:rsid w:val="40DF6356"/>
    <w:rsid w:val="40F87666"/>
    <w:rsid w:val="41BF069E"/>
    <w:rsid w:val="41C04416"/>
    <w:rsid w:val="422704F3"/>
    <w:rsid w:val="422F6EA6"/>
    <w:rsid w:val="426E4AEA"/>
    <w:rsid w:val="42A62E30"/>
    <w:rsid w:val="42C11714"/>
    <w:rsid w:val="42C84DBE"/>
    <w:rsid w:val="42E543FC"/>
    <w:rsid w:val="42EB0859"/>
    <w:rsid w:val="42F6512B"/>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340AED"/>
    <w:rsid w:val="45563563"/>
    <w:rsid w:val="45B54E7A"/>
    <w:rsid w:val="45E11139"/>
    <w:rsid w:val="462008E0"/>
    <w:rsid w:val="463F7FFF"/>
    <w:rsid w:val="4668391F"/>
    <w:rsid w:val="469C2E0B"/>
    <w:rsid w:val="46BA2CDD"/>
    <w:rsid w:val="475950F1"/>
    <w:rsid w:val="47841A42"/>
    <w:rsid w:val="47AB7859"/>
    <w:rsid w:val="481F60CE"/>
    <w:rsid w:val="48223734"/>
    <w:rsid w:val="48624C7F"/>
    <w:rsid w:val="487A531F"/>
    <w:rsid w:val="48E362E2"/>
    <w:rsid w:val="48EA2F86"/>
    <w:rsid w:val="48F475D7"/>
    <w:rsid w:val="49206CAB"/>
    <w:rsid w:val="49BD30FA"/>
    <w:rsid w:val="49F53858"/>
    <w:rsid w:val="4A071323"/>
    <w:rsid w:val="4A140F17"/>
    <w:rsid w:val="4A236ED5"/>
    <w:rsid w:val="4AB4556F"/>
    <w:rsid w:val="4AD45CF1"/>
    <w:rsid w:val="4C4D68A6"/>
    <w:rsid w:val="4C8C526A"/>
    <w:rsid w:val="4C9C6DE9"/>
    <w:rsid w:val="4D09474F"/>
    <w:rsid w:val="4D2B07D6"/>
    <w:rsid w:val="4D552378"/>
    <w:rsid w:val="4D5C3245"/>
    <w:rsid w:val="4D6D5452"/>
    <w:rsid w:val="4E47547C"/>
    <w:rsid w:val="4E4F4B57"/>
    <w:rsid w:val="4EB956A7"/>
    <w:rsid w:val="4EE130C3"/>
    <w:rsid w:val="4EE15203"/>
    <w:rsid w:val="4EF92D15"/>
    <w:rsid w:val="4F2064F4"/>
    <w:rsid w:val="4F46432B"/>
    <w:rsid w:val="4F6748F3"/>
    <w:rsid w:val="4F6B434D"/>
    <w:rsid w:val="4F8E7901"/>
    <w:rsid w:val="50197233"/>
    <w:rsid w:val="50A458F7"/>
    <w:rsid w:val="51385D77"/>
    <w:rsid w:val="51511CBE"/>
    <w:rsid w:val="517B5C63"/>
    <w:rsid w:val="51A513DA"/>
    <w:rsid w:val="51AB479B"/>
    <w:rsid w:val="51C812BB"/>
    <w:rsid w:val="51E333FD"/>
    <w:rsid w:val="527D69BB"/>
    <w:rsid w:val="52935D4B"/>
    <w:rsid w:val="52BF281F"/>
    <w:rsid w:val="537B1F4B"/>
    <w:rsid w:val="539D6365"/>
    <w:rsid w:val="53A00470"/>
    <w:rsid w:val="53A21BCD"/>
    <w:rsid w:val="53AF7E46"/>
    <w:rsid w:val="54353EFA"/>
    <w:rsid w:val="548A17D5"/>
    <w:rsid w:val="54A651D7"/>
    <w:rsid w:val="552705DC"/>
    <w:rsid w:val="55A63A05"/>
    <w:rsid w:val="55CA76DF"/>
    <w:rsid w:val="55F2496C"/>
    <w:rsid w:val="566F1681"/>
    <w:rsid w:val="56B57E6A"/>
    <w:rsid w:val="56EF6DF2"/>
    <w:rsid w:val="572B7505"/>
    <w:rsid w:val="575E6C7E"/>
    <w:rsid w:val="580531F2"/>
    <w:rsid w:val="584D3E3E"/>
    <w:rsid w:val="58CB44FD"/>
    <w:rsid w:val="59060509"/>
    <w:rsid w:val="59092CF6"/>
    <w:rsid w:val="5911563C"/>
    <w:rsid w:val="59837DAB"/>
    <w:rsid w:val="59A23C51"/>
    <w:rsid w:val="59A57D21"/>
    <w:rsid w:val="59AE4278"/>
    <w:rsid w:val="59E00D5A"/>
    <w:rsid w:val="5A0667C2"/>
    <w:rsid w:val="5A1A070F"/>
    <w:rsid w:val="5A1C53FF"/>
    <w:rsid w:val="5A5C434E"/>
    <w:rsid w:val="5A6574B1"/>
    <w:rsid w:val="5A971D60"/>
    <w:rsid w:val="5B4E6197"/>
    <w:rsid w:val="5B527A35"/>
    <w:rsid w:val="5BA3470D"/>
    <w:rsid w:val="5C3942F1"/>
    <w:rsid w:val="5C81334F"/>
    <w:rsid w:val="5C826E66"/>
    <w:rsid w:val="5C8A31FF"/>
    <w:rsid w:val="5C8C51C9"/>
    <w:rsid w:val="5D0905C7"/>
    <w:rsid w:val="5D5932D1"/>
    <w:rsid w:val="5D845EA0"/>
    <w:rsid w:val="5DA07D5A"/>
    <w:rsid w:val="5DB1394D"/>
    <w:rsid w:val="5E826883"/>
    <w:rsid w:val="5EAF73F9"/>
    <w:rsid w:val="5EB809CA"/>
    <w:rsid w:val="5EC450EE"/>
    <w:rsid w:val="5F610B6B"/>
    <w:rsid w:val="5F9C1BC7"/>
    <w:rsid w:val="603911C4"/>
    <w:rsid w:val="608F405C"/>
    <w:rsid w:val="60C97425"/>
    <w:rsid w:val="6108329D"/>
    <w:rsid w:val="611556AE"/>
    <w:rsid w:val="61331F98"/>
    <w:rsid w:val="614624FC"/>
    <w:rsid w:val="61985A8C"/>
    <w:rsid w:val="619967BD"/>
    <w:rsid w:val="61D75138"/>
    <w:rsid w:val="61E15FB7"/>
    <w:rsid w:val="625A3EAB"/>
    <w:rsid w:val="62E278F0"/>
    <w:rsid w:val="63777811"/>
    <w:rsid w:val="63867E92"/>
    <w:rsid w:val="63B27C28"/>
    <w:rsid w:val="653E102A"/>
    <w:rsid w:val="655B398A"/>
    <w:rsid w:val="656947A4"/>
    <w:rsid w:val="657F3D1A"/>
    <w:rsid w:val="658F090C"/>
    <w:rsid w:val="65921346"/>
    <w:rsid w:val="65931376"/>
    <w:rsid w:val="66173356"/>
    <w:rsid w:val="6673430D"/>
    <w:rsid w:val="667A5E00"/>
    <w:rsid w:val="66AA700F"/>
    <w:rsid w:val="67717495"/>
    <w:rsid w:val="677D5E3A"/>
    <w:rsid w:val="67BA0E3C"/>
    <w:rsid w:val="67C747DA"/>
    <w:rsid w:val="681625A3"/>
    <w:rsid w:val="68182B58"/>
    <w:rsid w:val="689773CF"/>
    <w:rsid w:val="689A7E71"/>
    <w:rsid w:val="68D20407"/>
    <w:rsid w:val="694D0F2B"/>
    <w:rsid w:val="6A0F7894"/>
    <w:rsid w:val="6A310DC4"/>
    <w:rsid w:val="6A5D4F0E"/>
    <w:rsid w:val="6A6C0D55"/>
    <w:rsid w:val="6A9857D5"/>
    <w:rsid w:val="6AA10091"/>
    <w:rsid w:val="6AAA6557"/>
    <w:rsid w:val="6AD12253"/>
    <w:rsid w:val="6AD422C3"/>
    <w:rsid w:val="6AE301E8"/>
    <w:rsid w:val="6B0D6064"/>
    <w:rsid w:val="6B18238A"/>
    <w:rsid w:val="6B182A49"/>
    <w:rsid w:val="6BD27D58"/>
    <w:rsid w:val="6BD34BC2"/>
    <w:rsid w:val="6C765447"/>
    <w:rsid w:val="6CAE2F39"/>
    <w:rsid w:val="6CDF3F86"/>
    <w:rsid w:val="6CF8654C"/>
    <w:rsid w:val="6D033285"/>
    <w:rsid w:val="6D351F98"/>
    <w:rsid w:val="6D9E3567"/>
    <w:rsid w:val="6DFD7C82"/>
    <w:rsid w:val="6E26547D"/>
    <w:rsid w:val="6EAA25F1"/>
    <w:rsid w:val="6EAC5256"/>
    <w:rsid w:val="6EE83DD3"/>
    <w:rsid w:val="6EF908E0"/>
    <w:rsid w:val="6F1B2E85"/>
    <w:rsid w:val="6F2F600D"/>
    <w:rsid w:val="6F360CBA"/>
    <w:rsid w:val="6F59081C"/>
    <w:rsid w:val="6FA755D9"/>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AD7DBE"/>
    <w:rsid w:val="76EC2FDC"/>
    <w:rsid w:val="780F6D3D"/>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E91898"/>
    <w:rsid w:val="7C1868E6"/>
    <w:rsid w:val="7C5070BA"/>
    <w:rsid w:val="7CB50EE6"/>
    <w:rsid w:val="7CB9602C"/>
    <w:rsid w:val="7CFC55FB"/>
    <w:rsid w:val="7D2B1642"/>
    <w:rsid w:val="7D7F127A"/>
    <w:rsid w:val="7DB84B82"/>
    <w:rsid w:val="7DD00AAE"/>
    <w:rsid w:val="7E9B797F"/>
    <w:rsid w:val="7F030EC3"/>
    <w:rsid w:val="7F247113"/>
    <w:rsid w:val="7F4A64A2"/>
    <w:rsid w:val="7F4C0ABC"/>
    <w:rsid w:val="7F54C3E6"/>
    <w:rsid w:val="7F74591C"/>
    <w:rsid w:val="7F9B327E"/>
    <w:rsid w:val="7FAFCC80"/>
    <w:rsid w:val="F7DB4B7B"/>
    <w:rsid w:val="FD7763D4"/>
    <w:rsid w:val="FDE777DF"/>
    <w:rsid w:val="FFFF1FF0"/>
    <w:rsid w:val="FFFFC7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29"/>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33"/>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7">
    <w:name w:val="Default Paragraph Font"/>
    <w:semiHidden/>
    <w:qFormat/>
    <w:uiPriority w:val="0"/>
  </w:style>
  <w:style w:type="table" w:default="1" w:styleId="25">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qFormat/>
    <w:uiPriority w:val="0"/>
    <w:pPr>
      <w:widowControl w:val="0"/>
      <w:spacing w:after="120"/>
      <w:jc w:val="both"/>
    </w:pPr>
    <w:rPr>
      <w:rFonts w:ascii="Arial" w:hAnsi="Arial" w:eastAsia="宋体" w:cs="Times New Roman"/>
      <w:sz w:val="21"/>
    </w:rPr>
  </w:style>
  <w:style w:type="paragraph" w:styleId="14">
    <w:name w:val="Body Text Indent"/>
    <w:basedOn w:val="1"/>
    <w:next w:val="15"/>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5">
    <w:name w:val="envelope return"/>
    <w:basedOn w:val="1"/>
    <w:unhideWhenUsed/>
    <w:qFormat/>
    <w:uiPriority w:val="99"/>
    <w:rPr>
      <w:rFonts w:ascii="Arial" w:hAnsi="Arial"/>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20">
    <w:name w:val="Body Text 2"/>
    <w:basedOn w:val="1"/>
    <w:qFormat/>
    <w:uiPriority w:val="0"/>
    <w:pPr>
      <w:spacing w:after="120" w:afterLines="0" w:afterAutospacing="0" w:line="480" w:lineRule="auto"/>
    </w:pPr>
  </w:style>
  <w:style w:type="paragraph" w:styleId="21">
    <w:name w:val="Normal (Web)"/>
    <w:basedOn w:val="1"/>
    <w:qFormat/>
    <w:uiPriority w:val="0"/>
    <w:pPr>
      <w:spacing w:beforeAutospacing="1" w:afterAutospacing="1"/>
      <w:jc w:val="left"/>
    </w:pPr>
    <w:rPr>
      <w:kern w:val="0"/>
      <w:sz w:val="24"/>
    </w:rPr>
  </w:style>
  <w:style w:type="paragraph" w:styleId="22">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23">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4">
    <w:name w:val="Body Text First Indent 2"/>
    <w:basedOn w:val="14"/>
    <w:next w:val="1"/>
    <w:qFormat/>
    <w:uiPriority w:val="0"/>
    <w:pPr>
      <w:spacing w:before="0" w:after="120" w:line="240" w:lineRule="auto"/>
      <w:ind w:left="420" w:firstLine="0" w:firstLineChars="0"/>
    </w:pPr>
    <w:rPr>
      <w:rFonts w:ascii="Times New Roman" w:hAnsi="Times New Roman"/>
      <w:szCs w:val="20"/>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page number"/>
    <w:qFormat/>
    <w:uiPriority w:val="0"/>
    <w:rPr>
      <w:rFonts w:ascii="Times New Roman" w:hAnsi="Times New Roman" w:eastAsia="宋体"/>
      <w:sz w:val="18"/>
    </w:rPr>
  </w:style>
  <w:style w:type="character" w:customStyle="1" w:styleId="29">
    <w:name w:val="标题 1 Char"/>
    <w:link w:val="2"/>
    <w:qFormat/>
    <w:uiPriority w:val="0"/>
    <w:rPr>
      <w:b/>
      <w:kern w:val="44"/>
      <w:sz w:val="44"/>
    </w:rPr>
  </w:style>
  <w:style w:type="paragraph" w:customStyle="1" w:styleId="3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33">
    <w:name w:val="标题 4 Char"/>
    <w:link w:val="5"/>
    <w:qFormat/>
    <w:uiPriority w:val="0"/>
    <w:rPr>
      <w:rFonts w:ascii="Arial" w:hAnsi="Arial" w:eastAsia="黑体"/>
      <w:sz w:val="28"/>
    </w:rPr>
  </w:style>
  <w:style w:type="paragraph" w:customStyle="1" w:styleId="34">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5">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6">
    <w:name w:val="font21"/>
    <w:basedOn w:val="27"/>
    <w:qFormat/>
    <w:uiPriority w:val="0"/>
    <w:rPr>
      <w:rFonts w:hint="eastAsia" w:ascii="宋体" w:hAnsi="宋体" w:eastAsia="宋体" w:cs="宋体"/>
      <w:color w:val="000000"/>
      <w:sz w:val="21"/>
      <w:szCs w:val="21"/>
      <w:u w:val="none"/>
    </w:rPr>
  </w:style>
  <w:style w:type="character" w:customStyle="1" w:styleId="37">
    <w:name w:val="font31"/>
    <w:basedOn w:val="27"/>
    <w:qFormat/>
    <w:uiPriority w:val="0"/>
    <w:rPr>
      <w:rFonts w:ascii="Calibri" w:hAnsi="Calibri" w:cs="Calibri"/>
      <w:color w:val="000000"/>
      <w:sz w:val="21"/>
      <w:szCs w:val="21"/>
      <w:u w:val="none"/>
    </w:rPr>
  </w:style>
  <w:style w:type="character" w:customStyle="1" w:styleId="38">
    <w:name w:val="16"/>
    <w:qFormat/>
    <w:uiPriority w:val="0"/>
    <w:rPr>
      <w:rFonts w:hint="default" w:ascii="Calibri" w:hAnsi="Calibri" w:cs="Calibri"/>
      <w:color w:val="000000"/>
      <w:sz w:val="22"/>
      <w:szCs w:val="22"/>
    </w:rPr>
  </w:style>
  <w:style w:type="character" w:customStyle="1" w:styleId="39">
    <w:name w:val="15"/>
    <w:qFormat/>
    <w:uiPriority w:val="0"/>
    <w:rPr>
      <w:rFonts w:hint="eastAsia" w:ascii="宋体" w:hAnsi="宋体" w:eastAsia="宋体"/>
      <w:color w:val="000000"/>
      <w:sz w:val="22"/>
      <w:szCs w:val="22"/>
    </w:rPr>
  </w:style>
  <w:style w:type="paragraph" w:customStyle="1" w:styleId="40">
    <w:name w:val="表格形式-2"/>
    <w:basedOn w:val="1"/>
    <w:qFormat/>
    <w:uiPriority w:val="0"/>
    <w:pPr>
      <w:spacing w:line="240" w:lineRule="auto"/>
      <w:ind w:firstLine="0" w:firstLineChars="0"/>
    </w:pPr>
    <w:rPr>
      <w:rFonts w:hint="eastAsia" w:ascii="Times New Roman" w:hAnsi="Times New Roman" w:eastAsia="仿宋" w:cs="Times New Roman"/>
      <w:sz w:val="18"/>
      <w:szCs w:val="21"/>
    </w:rPr>
  </w:style>
  <w:style w:type="paragraph" w:customStyle="1" w:styleId="41">
    <w:name w:val="Table Text"/>
    <w:basedOn w:val="1"/>
    <w:semiHidden/>
    <w:qFormat/>
    <w:uiPriority w:val="0"/>
    <w:rPr>
      <w:rFonts w:ascii="宋体" w:hAnsi="宋体" w:eastAsia="宋体" w:cs="宋体"/>
      <w:sz w:val="21"/>
      <w:szCs w:val="21"/>
      <w:lang w:val="en-US" w:eastAsia="en-US" w:bidi="ar-SA"/>
    </w:rPr>
  </w:style>
  <w:style w:type="table" w:customStyle="1" w:styleId="42">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4301</Words>
  <Characters>4533</Characters>
  <Lines>0</Lines>
  <Paragraphs>0</Paragraphs>
  <TotalTime>0</TotalTime>
  <ScaleCrop>false</ScaleCrop>
  <LinksUpToDate>false</LinksUpToDate>
  <CharactersWithSpaces>4680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2023-10-20T17:32:00Z</dcterms:created>
  <dc:creator>风影</dc:creator>
  <cp:lastModifiedBy>00030079_cgy</cp:lastModifiedBy>
  <cp:lastPrinted>2026-09-16T06:31:00Z</cp:lastPrinted>
  <dcterms:modified xsi:type="dcterms:W3CDTF">2026-09-17T05:01:28Z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88C05DA1A92C44308DC28300E4780EEA_13</vt:lpwstr>
  </property>
  <property fmtid="{D5CDD505-2E9C-101B-9397-08002B2CF9AE}" pid="4" name="KSOTemplateDocerSaveRecord">
    <vt:lpwstr>eyJoZGlkIjoiMzBiZjQ4OTE1OWZhZThlMmNjNWZiZTZmMzJmZjQxOGUiLCJ1c2VySWQiOiIxMDQzOTE2ODQzIn0=</vt:lpwstr>
  </property>
</Properties>
</file>