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839DC">
      <w:r>
        <w:drawing>
          <wp:anchor distT="0" distB="0" distL="114300" distR="114300" simplePos="0" relativeHeight="251659264" behindDoc="1" locked="0" layoutInCell="1" allowOverlap="1">
            <wp:simplePos x="0" y="0"/>
            <wp:positionH relativeFrom="page">
              <wp:posOffset>-3175</wp:posOffset>
            </wp:positionH>
            <wp:positionV relativeFrom="paragraph">
              <wp:posOffset>-807720</wp:posOffset>
            </wp:positionV>
            <wp:extent cx="7569835" cy="7791450"/>
            <wp:effectExtent l="0" t="0" r="24765" b="6350"/>
            <wp:wrapNone/>
            <wp:docPr id="2" name="图片 4"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p>
    <w:p w14:paraId="23B9B597"/>
    <w:p w14:paraId="768A83CF"/>
    <w:p w14:paraId="5E26BD79"/>
    <w:p w14:paraId="7E6B4B0D"/>
    <w:p w14:paraId="32D1A617">
      <w:pPr>
        <w:pStyle w:val="39"/>
        <w:rPr>
          <w:rFonts w:hint="eastAsia"/>
          <w:b/>
          <w:bCs/>
          <w:sz w:val="44"/>
          <w:szCs w:val="44"/>
        </w:rPr>
      </w:pPr>
    </w:p>
    <w:p w14:paraId="1A9E2B05">
      <w:pPr>
        <w:pStyle w:val="39"/>
        <w:rPr>
          <w:rFonts w:hint="eastAsia"/>
          <w:b/>
          <w:bCs/>
          <w:sz w:val="44"/>
          <w:szCs w:val="44"/>
        </w:rPr>
      </w:pPr>
    </w:p>
    <w:p w14:paraId="43749C9F">
      <w:pPr>
        <w:pStyle w:val="39"/>
        <w:rPr>
          <w:rFonts w:hint="eastAsia"/>
          <w:b/>
          <w:bCs/>
          <w:sz w:val="44"/>
          <w:szCs w:val="44"/>
        </w:rPr>
      </w:pPr>
    </w:p>
    <w:p w14:paraId="7CC07A52">
      <w:pPr>
        <w:pStyle w:val="39"/>
        <w:jc w:val="right"/>
        <w:rPr>
          <w:rFonts w:hint="eastAsia"/>
          <w:b/>
          <w:bCs/>
          <w:sz w:val="44"/>
          <w:szCs w:val="44"/>
        </w:rPr>
      </w:pPr>
      <w:bookmarkStart w:id="78" w:name="_GoBack"/>
      <w:bookmarkEnd w:id="78"/>
      <w:r>
        <w:rPr>
          <w:sz w:val="32"/>
        </w:rPr>
        <mc:AlternateContent>
          <mc:Choice Requires="wps">
            <w:drawing>
              <wp:anchor distT="0" distB="0" distL="114300" distR="114300" simplePos="0" relativeHeight="251661312" behindDoc="0" locked="0" layoutInCell="1" allowOverlap="1">
                <wp:simplePos x="0" y="0"/>
                <wp:positionH relativeFrom="column">
                  <wp:posOffset>-77470</wp:posOffset>
                </wp:positionH>
                <wp:positionV relativeFrom="paragraph">
                  <wp:posOffset>262890</wp:posOffset>
                </wp:positionV>
                <wp:extent cx="5932805" cy="1274445"/>
                <wp:effectExtent l="0" t="0" r="10795" b="20955"/>
                <wp:wrapNone/>
                <wp:docPr id="4" name="文本框 4"/>
                <wp:cNvGraphicFramePr/>
                <a:graphic xmlns:a="http://schemas.openxmlformats.org/drawingml/2006/main">
                  <a:graphicData uri="http://schemas.microsoft.com/office/word/2010/wordprocessingShape">
                    <wps:wsp>
                      <wps:cNvSpPr txBox="1"/>
                      <wps:spPr>
                        <a:xfrm>
                          <a:off x="1224915" y="8533765"/>
                          <a:ext cx="5932805" cy="12744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EA8D9DF">
                            <w:pPr>
                              <w:pStyle w:val="39"/>
                              <w:jc w:val="right"/>
                              <w:rPr>
                                <w:rFonts w:hint="eastAsia"/>
                                <w:b/>
                                <w:bCs/>
                                <w:sz w:val="44"/>
                                <w:szCs w:val="44"/>
                              </w:rPr>
                            </w:pPr>
                            <w:r>
                              <w:rPr>
                                <w:rFonts w:hint="eastAsia"/>
                                <w:b/>
                                <w:bCs/>
                                <w:sz w:val="44"/>
                                <w:szCs w:val="44"/>
                              </w:rPr>
                              <w:t>南网产业发展集团2026-2028年信息化项目</w:t>
                            </w:r>
                          </w:p>
                          <w:p w14:paraId="066FEBB2">
                            <w:pPr>
                              <w:pStyle w:val="39"/>
                              <w:jc w:val="right"/>
                              <w:rPr>
                                <w:rFonts w:hint="eastAsia"/>
                                <w:b/>
                                <w:bCs/>
                                <w:sz w:val="44"/>
                                <w:szCs w:val="44"/>
                              </w:rPr>
                            </w:pPr>
                            <w:r>
                              <w:rPr>
                                <w:rFonts w:hint="eastAsia"/>
                                <w:b/>
                                <w:bCs/>
                                <w:sz w:val="44"/>
                                <w:szCs w:val="44"/>
                              </w:rPr>
                              <w:t>前期专项与过程管控及验收结算等</w:t>
                            </w:r>
                          </w:p>
                          <w:p w14:paraId="4DEDFD76">
                            <w:pPr>
                              <w:pStyle w:val="39"/>
                              <w:jc w:val="right"/>
                              <w:rPr>
                                <w:rFonts w:hint="eastAsia"/>
                                <w:b/>
                                <w:bCs/>
                                <w:sz w:val="44"/>
                                <w:szCs w:val="44"/>
                              </w:rPr>
                            </w:pPr>
                            <w:r>
                              <w:rPr>
                                <w:rFonts w:hint="eastAsia"/>
                                <w:b/>
                                <w:bCs/>
                                <w:sz w:val="44"/>
                                <w:szCs w:val="44"/>
                              </w:rPr>
                              <w:t>技术支持服务项目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1pt;margin-top:20.7pt;height:100.35pt;width:467.15pt;z-index:251661312;mso-width-relative:page;mso-height-relative:page;" fillcolor="#FFFFFF [3201]" filled="t" stroked="f" coordsize="21600,21600" o:gfxdata="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Gmc&#10;QCHVAAAACgEAAA8AAAAAAAAAAQAgAAAAIgAAAGRycy9kb3ducmV2LnhtbFBLAQIUABQAAAAIAIdO&#10;4kBXrVv7XwIAAJwEAAAOAAAAAAAAAAEAIAAAACQBAABkcnMvZTJvRG9jLnhtbFBLBQYAAAAABgAG&#10;AFkBAAD1BQAAAAA=&#10;">
                <v:fill on="t" focussize="0,0"/>
                <v:stroke on="f" weight="0.5pt"/>
                <v:imagedata o:title=""/>
                <o:lock v:ext="edit" aspectratio="f"/>
                <v:textbox>
                  <w:txbxContent>
                    <w:p w14:paraId="2EA8D9DF">
                      <w:pPr>
                        <w:pStyle w:val="39"/>
                        <w:jc w:val="right"/>
                        <w:rPr>
                          <w:rFonts w:hint="eastAsia"/>
                          <w:b/>
                          <w:bCs/>
                          <w:sz w:val="44"/>
                          <w:szCs w:val="44"/>
                        </w:rPr>
                      </w:pPr>
                      <w:r>
                        <w:rPr>
                          <w:rFonts w:hint="eastAsia"/>
                          <w:b/>
                          <w:bCs/>
                          <w:sz w:val="44"/>
                          <w:szCs w:val="44"/>
                        </w:rPr>
                        <w:t>南网产业发展集团2026-2028年信息化项目</w:t>
                      </w:r>
                    </w:p>
                    <w:p w14:paraId="066FEBB2">
                      <w:pPr>
                        <w:pStyle w:val="39"/>
                        <w:jc w:val="right"/>
                        <w:rPr>
                          <w:rFonts w:hint="eastAsia"/>
                          <w:b/>
                          <w:bCs/>
                          <w:sz w:val="44"/>
                          <w:szCs w:val="44"/>
                        </w:rPr>
                      </w:pPr>
                      <w:r>
                        <w:rPr>
                          <w:rFonts w:hint="eastAsia"/>
                          <w:b/>
                          <w:bCs/>
                          <w:sz w:val="44"/>
                          <w:szCs w:val="44"/>
                        </w:rPr>
                        <w:t>前期专项与过程管控及验收结算等</w:t>
                      </w:r>
                    </w:p>
                    <w:p w14:paraId="4DEDFD76">
                      <w:pPr>
                        <w:pStyle w:val="39"/>
                        <w:jc w:val="right"/>
                        <w:rPr>
                          <w:rFonts w:hint="eastAsia"/>
                          <w:b/>
                          <w:bCs/>
                          <w:sz w:val="44"/>
                          <w:szCs w:val="44"/>
                        </w:rPr>
                      </w:pPr>
                      <w:r>
                        <w:rPr>
                          <w:rFonts w:hint="eastAsia"/>
                          <w:b/>
                          <w:bCs/>
                          <w:sz w:val="44"/>
                          <w:szCs w:val="44"/>
                        </w:rPr>
                        <w:t>技术支持服务项目</w:t>
                      </w:r>
                    </w:p>
                  </w:txbxContent>
                </v:textbox>
              </v:shape>
            </w:pict>
          </mc:Fallback>
        </mc:AlternateContent>
      </w:r>
    </w:p>
    <w:p w14:paraId="533D13AB">
      <w:pPr>
        <w:pStyle w:val="39"/>
        <w:jc w:val="both"/>
      </w:pPr>
    </w:p>
    <w:p w14:paraId="2D40D7F9">
      <w:pPr>
        <w:pStyle w:val="40"/>
      </w:pPr>
    </w:p>
    <w:p w14:paraId="5C10B841"/>
    <w:p w14:paraId="42077B8D">
      <w:r>
        <w:rPr>
          <w:sz w:val="24"/>
        </w:rPr>
        <mc:AlternateContent>
          <mc:Choice Requires="wps">
            <w:drawing>
              <wp:anchor distT="0" distB="0" distL="114300" distR="114300" simplePos="0" relativeHeight="251660288" behindDoc="0" locked="0" layoutInCell="1" allowOverlap="1">
                <wp:simplePos x="0" y="0"/>
                <wp:positionH relativeFrom="column">
                  <wp:posOffset>2294890</wp:posOffset>
                </wp:positionH>
                <wp:positionV relativeFrom="paragraph">
                  <wp:posOffset>252730</wp:posOffset>
                </wp:positionV>
                <wp:extent cx="3484880" cy="914400"/>
                <wp:effectExtent l="0" t="0" r="20320" b="0"/>
                <wp:wrapNone/>
                <wp:docPr id="3" name="文本框 3"/>
                <wp:cNvGraphicFramePr/>
                <a:graphic xmlns:a="http://schemas.openxmlformats.org/drawingml/2006/main">
                  <a:graphicData uri="http://schemas.microsoft.com/office/word/2010/wordprocessingShape">
                    <wps:wsp>
                      <wps:cNvSpPr txBox="1"/>
                      <wps:spPr>
                        <a:xfrm>
                          <a:off x="2954020" y="5687695"/>
                          <a:ext cx="3484880" cy="9144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F3D119F">
                            <w:pPr>
                              <w:spacing w:line="240" w:lineRule="auto"/>
                              <w:jc w:val="right"/>
                              <w:rPr>
                                <w:rFonts w:hint="default" w:ascii="Calibri" w:hAnsi="Calibri" w:eastAsia="宋体" w:cs="Times New Roman"/>
                                <w:b/>
                                <w:sz w:val="72"/>
                                <w:szCs w:val="22"/>
                                <w:lang w:val="en-US" w:eastAsia="zh-CN"/>
                              </w:rPr>
                            </w:pPr>
                            <w:r>
                              <w:rPr>
                                <w:rFonts w:hint="eastAsia" w:ascii="Calibri" w:hAnsi="Calibri" w:eastAsia="宋体" w:cs="Times New Roman"/>
                                <w:b/>
                                <w:sz w:val="72"/>
                                <w:szCs w:val="22"/>
                                <w:lang w:val="en-US" w:eastAsia="zh-CN"/>
                              </w:rPr>
                              <w:t>技术规范书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0.7pt;margin-top:19.9pt;height:72pt;width:274.4pt;z-index:251660288;mso-width-relative:page;mso-height-relative:page;" fillcolor="#FFFFFF [3201]" filled="t" stroked="f" coordsize="21600,21600" o:gfxdata="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I+TSc/V&#10;AAAACgEAAA8AAAAAAAAAAQAgAAAAIgAAAGRycy9kb3ducmV2LnhtbFBLAQIUABQAAAAIAIdO4kBw&#10;+tnIXAIAAJsEAAAOAAAAAAAAAAEAIAAAACQBAABkcnMvZTJvRG9jLnhtbFBLBQYAAAAABgAGAFkB&#10;AADyBQAAAAA=&#10;">
                <v:fill on="t" focussize="0,0"/>
                <v:stroke on="f" weight="0.5pt"/>
                <v:imagedata o:title=""/>
                <o:lock v:ext="edit" aspectratio="f"/>
                <v:textbox>
                  <w:txbxContent>
                    <w:p w14:paraId="0F3D119F">
                      <w:pPr>
                        <w:spacing w:line="240" w:lineRule="auto"/>
                        <w:jc w:val="right"/>
                        <w:rPr>
                          <w:rFonts w:hint="default" w:ascii="Calibri" w:hAnsi="Calibri" w:eastAsia="宋体" w:cs="Times New Roman"/>
                          <w:b/>
                          <w:sz w:val="72"/>
                          <w:szCs w:val="22"/>
                          <w:lang w:val="en-US" w:eastAsia="zh-CN"/>
                        </w:rPr>
                      </w:pPr>
                      <w:r>
                        <w:rPr>
                          <w:rFonts w:hint="eastAsia" w:ascii="Calibri" w:hAnsi="Calibri" w:eastAsia="宋体" w:cs="Times New Roman"/>
                          <w:b/>
                          <w:sz w:val="72"/>
                          <w:szCs w:val="22"/>
                          <w:lang w:val="en-US" w:eastAsia="zh-CN"/>
                        </w:rPr>
                        <w:t>技术规范书</w:t>
                      </w:r>
                    </w:p>
                  </w:txbxContent>
                </v:textbox>
              </v:shape>
            </w:pict>
          </mc:Fallback>
        </mc:AlternateContent>
      </w:r>
    </w:p>
    <w:p w14:paraId="5EA177A6"/>
    <w:p w14:paraId="07C27C7C"/>
    <w:p w14:paraId="21C530FA"/>
    <w:p w14:paraId="00349EB8"/>
    <w:p w14:paraId="0F72AF14"/>
    <w:p w14:paraId="1C257F32">
      <w:pPr>
        <w:pStyle w:val="42"/>
        <w:adjustRightInd w:val="0"/>
        <w:snapToGrid w:val="0"/>
        <w:rPr>
          <w:rFonts w:hint="eastAsia" w:hAnsi="Times New Roman"/>
        </w:rPr>
      </w:pPr>
    </w:p>
    <w:p w14:paraId="76662370">
      <w:pPr>
        <w:pStyle w:val="42"/>
        <w:adjustRightInd w:val="0"/>
        <w:snapToGrid w:val="0"/>
        <w:rPr>
          <w:rFonts w:hint="eastAsia" w:hAnsi="Times New Roman"/>
        </w:rPr>
      </w:pPr>
    </w:p>
    <w:p w14:paraId="1F9F5431">
      <w:pPr>
        <w:pStyle w:val="42"/>
        <w:adjustRightInd w:val="0"/>
        <w:snapToGrid w:val="0"/>
        <w:rPr>
          <w:rFonts w:hint="eastAsia" w:hAnsi="Times New Roman"/>
        </w:rPr>
      </w:pPr>
    </w:p>
    <w:p w14:paraId="3D53EA06">
      <w:pPr>
        <w:pStyle w:val="42"/>
        <w:adjustRightInd w:val="0"/>
        <w:snapToGrid w:val="0"/>
        <w:rPr>
          <w:rFonts w:hint="eastAsia" w:hAnsi="Times New Roman"/>
        </w:rPr>
      </w:pPr>
    </w:p>
    <w:p w14:paraId="7696375C">
      <w:pPr>
        <w:pStyle w:val="42"/>
        <w:adjustRightInd w:val="0"/>
        <w:snapToGrid w:val="0"/>
        <w:rPr>
          <w:rFonts w:hint="eastAsia" w:hAnsi="Times New Roman"/>
        </w:rPr>
      </w:pPr>
    </w:p>
    <w:p w14:paraId="0079876C">
      <w:pPr>
        <w:pStyle w:val="42"/>
        <w:adjustRightInd w:val="0"/>
        <w:snapToGrid w:val="0"/>
        <w:rPr>
          <w:rFonts w:hint="eastAsia" w:hAnsi="Times New Roman"/>
        </w:rPr>
      </w:pPr>
    </w:p>
    <w:p w14:paraId="5E4A608B">
      <w:pPr>
        <w:pStyle w:val="42"/>
        <w:adjustRightInd w:val="0"/>
        <w:snapToGrid w:val="0"/>
        <w:rPr>
          <w:rFonts w:hint="eastAsia" w:hAnsi="Times New Roman"/>
        </w:rPr>
      </w:pPr>
    </w:p>
    <w:p w14:paraId="4DA94596">
      <w:pPr>
        <w:pStyle w:val="44"/>
      </w:pPr>
      <w:r>
        <w:rPr>
          <w:rFonts w:hint="eastAsia"/>
          <w:b/>
        </w:rPr>
        <w:t>20</w:t>
      </w:r>
      <w:r>
        <w:rPr>
          <w:b/>
        </w:rPr>
        <w:t>2</w:t>
      </w:r>
      <w:r>
        <w:rPr>
          <w:rFonts w:hint="eastAsia"/>
          <w:b/>
          <w:lang w:val="en-US" w:eastAsia="zh-CN"/>
        </w:rPr>
        <w:t>6</w:t>
      </w:r>
      <w:r>
        <w:rPr>
          <w:rFonts w:hint="eastAsia"/>
          <w:b/>
        </w:rPr>
        <w:t>年</w:t>
      </w:r>
      <w:r>
        <w:rPr>
          <w:rFonts w:hint="eastAsia"/>
          <w:b/>
          <w:lang w:val="en-US" w:eastAsia="zh-CN"/>
        </w:rPr>
        <w:t>09</w:t>
      </w:r>
      <w:r>
        <w:rPr>
          <w:rFonts w:hint="eastAsia"/>
          <w:b/>
        </w:rPr>
        <w:t>月</w:t>
      </w:r>
    </w:p>
    <w:p w14:paraId="144C8AB0">
      <w:pPr>
        <w:pStyle w:val="48"/>
        <w:rPr>
          <w:rFonts w:hint="eastAsia"/>
        </w:rPr>
        <w:sectPr>
          <w:headerReference r:id="rId5" w:type="default"/>
          <w:footerReference r:id="rId6" w:type="default"/>
          <w:pgSz w:w="11906" w:h="16838"/>
          <w:pgMar w:top="1134" w:right="1134" w:bottom="1134" w:left="1134" w:header="851" w:footer="964" w:gutter="0"/>
          <w:pgNumType w:fmt="lowerRoman" w:start="1"/>
          <w:cols w:space="425" w:num="1"/>
          <w:docGrid w:type="lines" w:linePitch="326" w:charSpace="0"/>
        </w:sectPr>
      </w:pPr>
    </w:p>
    <w:p w14:paraId="35462982">
      <w:pPr>
        <w:pStyle w:val="4"/>
      </w:pPr>
      <w:bookmarkStart w:id="0" w:name="_Toc1470645090"/>
      <w:r>
        <w:rPr>
          <w:rFonts w:hint="eastAsia"/>
          <w:lang w:val="en-US" w:eastAsia="zh-CN"/>
        </w:rPr>
        <w:t>总则</w:t>
      </w:r>
      <w:bookmarkEnd w:id="0"/>
    </w:p>
    <w:p w14:paraId="462EF4F6">
      <w:pPr>
        <w:pStyle w:val="5"/>
        <w:tabs>
          <w:tab w:val="clear" w:pos="2428"/>
        </w:tabs>
        <w:ind w:left="0"/>
        <w:rPr>
          <w:rFonts w:hint="eastAsia"/>
          <w:lang w:val="en-US" w:eastAsia="zh-CN"/>
        </w:rPr>
      </w:pPr>
      <w:bookmarkStart w:id="1" w:name="_Toc1742734307"/>
      <w:r>
        <w:rPr>
          <w:rFonts w:hint="eastAsia"/>
          <w:lang w:val="en-US" w:eastAsia="zh-CN"/>
        </w:rPr>
        <w:t>概述</w:t>
      </w:r>
      <w:bookmarkEnd w:id="1"/>
    </w:p>
    <w:p w14:paraId="53F7E895">
      <w:pPr>
        <w:autoSpaceDE w:val="0"/>
        <w:autoSpaceDN w:val="0"/>
        <w:adjustRightInd w:val="0"/>
        <w:spacing w:line="360" w:lineRule="auto"/>
        <w:ind w:left="123" w:right="67" w:firstLine="421"/>
        <w:jc w:val="left"/>
        <w:rPr>
          <w:rFonts w:ascii="宋体" w:hAnsi="Times New Roman" w:cs="宋体"/>
          <w:kern w:val="0"/>
          <w:szCs w:val="21"/>
        </w:rPr>
      </w:pPr>
      <w:r>
        <w:rPr>
          <w:rFonts w:hint="eastAsia" w:ascii="宋体" w:hAnsi="Times New Roman" w:cs="宋体"/>
          <w:spacing w:val="1"/>
          <w:kern w:val="0"/>
          <w:szCs w:val="21"/>
        </w:rPr>
        <w:t>本</w:t>
      </w:r>
      <w:r>
        <w:rPr>
          <w:rFonts w:hint="eastAsia" w:ascii="宋体" w:hAnsi="Times New Roman" w:cs="宋体"/>
          <w:spacing w:val="1"/>
          <w:kern w:val="0"/>
          <w:szCs w:val="21"/>
          <w:lang w:val="en-US" w:eastAsia="zh-CN"/>
        </w:rPr>
        <w:t>文件</w:t>
      </w:r>
      <w:r>
        <w:rPr>
          <w:rFonts w:hint="eastAsia" w:ascii="宋体" w:hAnsi="Times New Roman" w:cs="宋体"/>
          <w:spacing w:val="1"/>
          <w:kern w:val="0"/>
          <w:szCs w:val="21"/>
        </w:rPr>
        <w:t>作为</w:t>
      </w:r>
      <w:r>
        <w:rPr>
          <w:rFonts w:hint="eastAsia" w:ascii="宋体" w:cs="宋体"/>
          <w:spacing w:val="1"/>
          <w:kern w:val="0"/>
          <w:szCs w:val="21"/>
          <w:lang w:eastAsia="zh-CN"/>
        </w:rPr>
        <w:t>南网产业发展集团2026-2028年信息化项目可研及估算编制与过程管控及验收结算等技术支持服务项目</w:t>
      </w:r>
      <w:r>
        <w:rPr>
          <w:rFonts w:hint="eastAsia" w:ascii="宋体" w:hAnsi="Times New Roman" w:cs="宋体"/>
          <w:spacing w:val="1"/>
          <w:kern w:val="0"/>
          <w:szCs w:val="21"/>
        </w:rPr>
        <w:t>招标的技术规范</w:t>
      </w:r>
      <w:r>
        <w:rPr>
          <w:rFonts w:hint="eastAsia" w:ascii="宋体" w:hAnsi="Times New Roman" w:cs="宋体"/>
          <w:kern w:val="0"/>
          <w:szCs w:val="21"/>
        </w:rPr>
        <w:t>书</w:t>
      </w:r>
      <w:r>
        <w:rPr>
          <w:rFonts w:hint="eastAsia" w:ascii="宋体" w:hAnsi="Times New Roman" w:cs="宋体"/>
          <w:kern w:val="0"/>
          <w:szCs w:val="21"/>
          <w:lang w:eastAsia="zh-CN"/>
        </w:rPr>
        <w:t>，</w:t>
      </w:r>
      <w:r>
        <w:rPr>
          <w:rFonts w:hint="eastAsia" w:ascii="宋体" w:hAnsi="Times New Roman" w:cs="宋体"/>
          <w:kern w:val="0"/>
          <w:szCs w:val="21"/>
          <w:lang w:val="en-US" w:eastAsia="zh-CN"/>
        </w:rPr>
        <w:t>是</w:t>
      </w:r>
      <w:r>
        <w:rPr>
          <w:rFonts w:hint="eastAsia" w:ascii="宋体" w:hAnsi="Times New Roman" w:cs="宋体"/>
          <w:spacing w:val="1"/>
          <w:kern w:val="0"/>
          <w:szCs w:val="21"/>
        </w:rPr>
        <w:t>投标人编写应答文件的依据。投标人必须认真阅读以下内容：</w:t>
      </w:r>
    </w:p>
    <w:p w14:paraId="3B462C4F">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本招标文件适用于</w:t>
      </w:r>
      <w:r>
        <w:rPr>
          <w:rFonts w:hint="eastAsia" w:ascii="宋体" w:cs="宋体"/>
          <w:kern w:val="0"/>
          <w:szCs w:val="21"/>
          <w:lang w:eastAsia="zh-CN"/>
        </w:rPr>
        <w:t>南网产业发展集团2026-2028年信息化项目可研及估算编制与过程管控及验收结算等技术支持服务项目</w:t>
      </w:r>
      <w:r>
        <w:rPr>
          <w:rFonts w:hint="eastAsia" w:ascii="宋体" w:cs="宋体"/>
          <w:kern w:val="0"/>
          <w:szCs w:val="21"/>
        </w:rPr>
        <w:t>，本招标文件的最终解释权归招标人。</w:t>
      </w:r>
    </w:p>
    <w:p w14:paraId="6EEA573A">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本招标文件提出了需求的广度、深度和技术指标要求，可供投标人编写投标文件之用。</w:t>
      </w:r>
    </w:p>
    <w:p w14:paraId="01345FD7">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本招标书中，凡标有“</w:t>
      </w:r>
      <w:r>
        <w:rPr>
          <w:rFonts w:ascii="宋体" w:cs="宋体"/>
          <w:kern w:val="0"/>
          <w:szCs w:val="21"/>
        </w:rPr>
        <w:t>*</w:t>
      </w:r>
      <w:r>
        <w:rPr>
          <w:rFonts w:hint="eastAsia" w:ascii="宋体" w:cs="宋体"/>
          <w:kern w:val="0"/>
          <w:szCs w:val="21"/>
        </w:rPr>
        <w:t>”的地方均被视为重要的响应要求、技术指标要求，投标人必须对此实质回答并完全满足这些要求，否则将严重影响评标结果。</w:t>
      </w:r>
    </w:p>
    <w:p w14:paraId="109CCACF">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ascii="宋体" w:cs="宋体"/>
          <w:kern w:val="0"/>
          <w:szCs w:val="21"/>
        </w:rPr>
        <w:t>*</w:t>
      </w:r>
      <w:r>
        <w:rPr>
          <w:rFonts w:hint="eastAsia" w:ascii="宋体" w:cs="宋体"/>
          <w:kern w:val="0"/>
          <w:szCs w:val="21"/>
        </w:rPr>
        <w:t>投标人应按照本招标文件要求提供详细、完整的方案。对于本招标文件中的某些部分，投标人如不能满足要求或有修改建议，应在方案中指出修改的理由以及与原要求的差别；否则招标人即认为投标人可以满足本招标文件的要求。</w:t>
      </w:r>
    </w:p>
    <w:p w14:paraId="40FB1949">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所有招标人认为是本招标文件范围所要求而被遗漏的项目，都被认为是包含在本次招标范围内，投标人的报价被视为包含此遗漏项目的报价。投标人可以就投标人认为的遗漏项目提请招标人注意，并详细说明理由，招标人将就此进行澄清。</w:t>
      </w:r>
    </w:p>
    <w:p w14:paraId="36838581">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投标人应保证所提供的所有资料真实、准确无误，否则招标人将有权取消投标人的中标资格，由此产生的一切后果由投标人承担。</w:t>
      </w:r>
    </w:p>
    <w:p w14:paraId="7F188EA1">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投标人必须具有满足本招标书要求的信息化</w:t>
      </w:r>
      <w:r>
        <w:rPr>
          <w:rFonts w:hint="eastAsia" w:ascii="宋体" w:cs="宋体"/>
          <w:kern w:val="0"/>
          <w:szCs w:val="21"/>
          <w:lang w:eastAsia="zh-CN"/>
        </w:rPr>
        <w:t>可研及估算编制服务</w:t>
      </w:r>
      <w:r>
        <w:rPr>
          <w:rFonts w:hint="eastAsia" w:ascii="宋体" w:cs="宋体"/>
          <w:kern w:val="0"/>
          <w:szCs w:val="21"/>
        </w:rPr>
        <w:t>的能力和经验。</w:t>
      </w:r>
    </w:p>
    <w:p w14:paraId="4C5AA7F8">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ascii="宋体" w:cs="宋体"/>
          <w:kern w:val="0"/>
          <w:szCs w:val="21"/>
        </w:rPr>
      </w:pPr>
      <w:r>
        <w:rPr>
          <w:rFonts w:hint="eastAsia" w:ascii="宋体" w:cs="宋体"/>
          <w:kern w:val="0"/>
          <w:szCs w:val="21"/>
        </w:rPr>
        <w:t>如果投标人中选，投标人的应答文件将作为项目合同的重要附件，与合同具有同样的法律效力。</w:t>
      </w:r>
    </w:p>
    <w:p w14:paraId="2404F893">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hint="eastAsia" w:ascii="宋体" w:cs="宋体"/>
          <w:kern w:val="0"/>
          <w:szCs w:val="21"/>
        </w:rPr>
      </w:pPr>
      <w:r>
        <w:rPr>
          <w:rFonts w:hint="eastAsia" w:ascii="宋体" w:cs="宋体"/>
          <w:kern w:val="0"/>
          <w:szCs w:val="21"/>
        </w:rPr>
        <w:t>投标人应保证对本次投标所有技术说明文件的保密，不得向其他单位公布有关材料。</w:t>
      </w:r>
    </w:p>
    <w:p w14:paraId="54C25E09">
      <w:pPr>
        <w:pStyle w:val="5"/>
        <w:tabs>
          <w:tab w:val="clear" w:pos="2428"/>
        </w:tabs>
        <w:ind w:left="0"/>
        <w:rPr>
          <w:rFonts w:hint="eastAsia"/>
          <w:lang w:val="en-US" w:eastAsia="zh-CN"/>
        </w:rPr>
      </w:pPr>
      <w:bookmarkStart w:id="2" w:name="_Toc606036316"/>
      <w:r>
        <w:rPr>
          <w:rFonts w:hint="eastAsia"/>
          <w:lang w:val="en-US" w:eastAsia="zh-CN"/>
        </w:rPr>
        <w:t>定义</w:t>
      </w:r>
      <w:bookmarkEnd w:id="2"/>
    </w:p>
    <w:p w14:paraId="6346AAC2">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hint="eastAsia" w:ascii="宋体" w:cs="宋体"/>
          <w:kern w:val="0"/>
          <w:szCs w:val="21"/>
        </w:rPr>
      </w:pPr>
      <w:r>
        <w:rPr>
          <w:rFonts w:hint="eastAsia" w:ascii="宋体" w:cs="宋体"/>
          <w:kern w:val="0"/>
          <w:szCs w:val="21"/>
        </w:rPr>
        <w:t>招标人：南方电网产业发展集团有限责任公司。</w:t>
      </w:r>
    </w:p>
    <w:p w14:paraId="39DD1182">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hint="eastAsia" w:ascii="宋体" w:cs="宋体"/>
          <w:kern w:val="0"/>
          <w:szCs w:val="21"/>
        </w:rPr>
      </w:pPr>
      <w:r>
        <w:rPr>
          <w:rFonts w:hint="eastAsia" w:ascii="宋体" w:cs="宋体"/>
          <w:kern w:val="0"/>
          <w:szCs w:val="21"/>
        </w:rPr>
        <w:t>投标人：向采购代理机构提交应答文件，响应招标，参与投标的法人。</w:t>
      </w:r>
    </w:p>
    <w:p w14:paraId="269C7911">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firstLine="480" w:firstLineChars="200"/>
        <w:jc w:val="left"/>
        <w:textAlignment w:val="auto"/>
        <w:rPr>
          <w:rFonts w:hint="eastAsia" w:ascii="宋体" w:cs="宋体"/>
          <w:kern w:val="0"/>
          <w:szCs w:val="21"/>
        </w:rPr>
      </w:pPr>
      <w:r>
        <w:rPr>
          <w:rFonts w:hint="eastAsia" w:ascii="宋体" w:cs="宋体"/>
          <w:kern w:val="0"/>
          <w:szCs w:val="21"/>
        </w:rPr>
        <w:t>中标人：经过评标，被授予合同的投标人。</w:t>
      </w:r>
    </w:p>
    <w:p w14:paraId="37C6FDB8">
      <w:pPr>
        <w:rPr>
          <w:rFonts w:hint="eastAsia"/>
          <w:lang w:val="en-US" w:eastAsia="zh-CN"/>
        </w:rPr>
      </w:pPr>
    </w:p>
    <w:p w14:paraId="3AF6A12E">
      <w:pPr>
        <w:pStyle w:val="5"/>
        <w:bidi w:val="0"/>
        <w:rPr>
          <w:rFonts w:hint="eastAsia"/>
          <w:lang w:val="en-US" w:eastAsia="zh-CN"/>
        </w:rPr>
      </w:pPr>
      <w:bookmarkStart w:id="3" w:name="_Toc137425291"/>
      <w:r>
        <w:rPr>
          <w:rFonts w:hint="eastAsia"/>
          <w:lang w:val="en-US" w:eastAsia="zh-CN"/>
        </w:rPr>
        <w:t>项目规模及范围</w:t>
      </w:r>
      <w:bookmarkEnd w:id="3"/>
    </w:p>
    <w:p w14:paraId="18529961">
      <w:pPr>
        <w:ind w:firstLine="480" w:firstLineChars="200"/>
        <w:rPr>
          <w:rFonts w:hint="default"/>
          <w:lang w:val="en-US"/>
        </w:rPr>
      </w:pPr>
      <w:r>
        <w:rPr>
          <w:rFonts w:hint="eastAsia" w:ascii="宋体" w:hAnsi="宋体"/>
        </w:rPr>
        <w:t>本项目</w:t>
      </w:r>
      <w:r>
        <w:rPr>
          <w:rFonts w:hint="eastAsia" w:ascii="宋体" w:hAnsi="宋体"/>
          <w:lang w:val="en-US" w:eastAsia="zh-CN"/>
        </w:rPr>
        <w:t>中信息化项目前期工作专项、结算编审</w:t>
      </w:r>
      <w:r>
        <w:rPr>
          <w:rFonts w:hint="eastAsia" w:hAnsi="宋体"/>
        </w:rPr>
        <w:t>属于年度例行</w:t>
      </w:r>
      <w:r>
        <w:rPr>
          <w:rFonts w:hint="eastAsia" w:hAnsi="宋体"/>
          <w:lang w:val="en-US" w:eastAsia="zh-CN"/>
        </w:rPr>
        <w:t>工作以及</w:t>
      </w:r>
      <w:r>
        <w:rPr>
          <w:rFonts w:hint="eastAsia"/>
          <w:lang w:val="en-US" w:eastAsia="zh-CN"/>
        </w:rPr>
        <w:t>信息化</w:t>
      </w:r>
      <w:r>
        <w:rPr>
          <w:rFonts w:hint="eastAsia" w:ascii="宋体" w:hAnsi="宋体" w:eastAsia="宋体" w:cs="宋体"/>
          <w:color w:val="auto"/>
        </w:rPr>
        <w:t>项目前期</w:t>
      </w:r>
      <w:r>
        <w:rPr>
          <w:rFonts w:hint="eastAsia" w:ascii="宋体" w:hAnsi="宋体" w:eastAsia="宋体" w:cs="宋体"/>
          <w:color w:val="auto"/>
          <w:lang w:val="en-US" w:eastAsia="zh-CN"/>
        </w:rPr>
        <w:t>和</w:t>
      </w:r>
      <w:r>
        <w:rPr>
          <w:rFonts w:hint="eastAsia" w:ascii="宋体" w:hAnsi="宋体" w:eastAsia="宋体" w:cs="宋体"/>
          <w:color w:val="auto"/>
        </w:rPr>
        <w:t>项目建设过程管控</w:t>
      </w:r>
      <w:r>
        <w:rPr>
          <w:rFonts w:hint="eastAsia" w:ascii="宋体" w:hAnsi="宋体" w:eastAsia="宋体" w:cs="宋体"/>
          <w:color w:val="auto"/>
          <w:lang w:val="en-US" w:eastAsia="zh-CN"/>
        </w:rPr>
        <w:t>技术支持工作</w:t>
      </w:r>
      <w:r>
        <w:rPr>
          <w:rFonts w:hint="eastAsia" w:ascii="宋体" w:hAnsi="宋体" w:cs="宋体"/>
          <w:color w:val="auto"/>
          <w:lang w:val="en-US" w:eastAsia="zh-CN"/>
        </w:rPr>
        <w:t>，具体如下：</w:t>
      </w:r>
    </w:p>
    <w:p w14:paraId="5433C2F6">
      <w:pPr>
        <w:ind w:firstLine="482" w:firstLineChars="200"/>
        <w:rPr>
          <w:rFonts w:hint="eastAsia"/>
          <w:b/>
          <w:bCs/>
        </w:rPr>
      </w:pPr>
      <w:r>
        <w:rPr>
          <w:rFonts w:hint="eastAsia"/>
          <w:b/>
          <w:bCs/>
          <w:lang w:val="en-US" w:eastAsia="zh-CN"/>
        </w:rPr>
        <w:t>1、技术服务</w:t>
      </w:r>
      <w:r>
        <w:rPr>
          <w:rFonts w:hint="eastAsia"/>
          <w:b/>
          <w:bCs/>
        </w:rPr>
        <w:t>内容：</w:t>
      </w:r>
    </w:p>
    <w:p w14:paraId="1BD1F500">
      <w:pPr>
        <w:ind w:left="480" w:leftChars="200" w:firstLine="480" w:firstLineChars="200"/>
        <w:rPr>
          <w:rFonts w:hint="eastAsia" w:ascii="宋体" w:hAnsi="宋体"/>
          <w:lang w:eastAsia="zh-CN"/>
        </w:rPr>
      </w:pPr>
      <w:r>
        <w:rPr>
          <w:rFonts w:hint="eastAsia"/>
          <w:lang w:val="en-US" w:eastAsia="zh-CN"/>
        </w:rPr>
        <w:t>（1）信息化项目前期专项工作：</w:t>
      </w:r>
      <w:r>
        <w:rPr>
          <w:rFonts w:hint="eastAsia"/>
        </w:rPr>
        <w:t>南方电网产业发展集团有限责任公司</w:t>
      </w:r>
      <w:r>
        <w:t>本部</w:t>
      </w:r>
      <w:r>
        <w:rPr>
          <w:rFonts w:hint="eastAsia"/>
          <w:lang w:eastAsia="zh-CN"/>
        </w:rPr>
        <w:t>、南方电网电动汽车服务有限公司</w:t>
      </w:r>
      <w:r>
        <w:rPr>
          <w:rFonts w:hint="eastAsia"/>
          <w:lang w:val="en-US" w:eastAsia="zh-CN"/>
        </w:rPr>
        <w:t>和</w:t>
      </w:r>
      <w:r>
        <w:rPr>
          <w:rFonts w:hint="eastAsia"/>
          <w:lang w:eastAsia="zh-CN"/>
        </w:rPr>
        <w:t>南方电网通用航空服务有限公司</w:t>
      </w:r>
      <w:r>
        <w:rPr>
          <w:rFonts w:hint="eastAsia"/>
          <w:lang w:val="en-US" w:eastAsia="zh-CN"/>
        </w:rPr>
        <w:t>于</w:t>
      </w:r>
      <w:r>
        <w:rPr>
          <w:rFonts w:hint="eastAsia" w:ascii="宋体" w:hAnsi="宋体"/>
          <w:lang w:val="en-US" w:eastAsia="zh-CN"/>
        </w:rPr>
        <w:t>2026年下半年、2027年全年和2028年上半年</w:t>
      </w:r>
      <w:r>
        <w:rPr>
          <w:rFonts w:hint="eastAsia"/>
          <w:lang w:val="en-US" w:eastAsia="zh-CN"/>
        </w:rPr>
        <w:t>开展</w:t>
      </w:r>
      <w:r>
        <w:rPr>
          <w:rFonts w:hint="eastAsia" w:ascii="宋体" w:hAnsi="宋体"/>
        </w:rPr>
        <w:t>2</w:t>
      </w:r>
      <w:r>
        <w:rPr>
          <w:rFonts w:ascii="宋体" w:hAnsi="宋体"/>
        </w:rPr>
        <w:t>02</w:t>
      </w:r>
      <w:r>
        <w:rPr>
          <w:rFonts w:hint="eastAsia" w:ascii="宋体" w:hAnsi="宋体"/>
          <w:lang w:val="en-US" w:eastAsia="zh-CN"/>
        </w:rPr>
        <w:t>7</w:t>
      </w:r>
      <w:r>
        <w:rPr>
          <w:rFonts w:hint="eastAsia" w:ascii="宋体" w:hAnsi="宋体"/>
        </w:rPr>
        <w:t>、</w:t>
      </w:r>
      <w:r>
        <w:rPr>
          <w:rFonts w:ascii="宋体" w:hAnsi="宋体"/>
        </w:rPr>
        <w:t>202</w:t>
      </w:r>
      <w:r>
        <w:rPr>
          <w:rFonts w:hint="eastAsia" w:ascii="宋体" w:hAnsi="宋体"/>
          <w:lang w:val="en-US" w:eastAsia="zh-CN"/>
        </w:rPr>
        <w:t>8</w:t>
      </w:r>
      <w:r>
        <w:rPr>
          <w:rFonts w:hint="eastAsia" w:ascii="宋体" w:hAnsi="宋体"/>
        </w:rPr>
        <w:t>年拟立项的</w:t>
      </w:r>
      <w:r>
        <w:rPr>
          <w:rFonts w:hint="eastAsia" w:ascii="宋体" w:hAnsi="宋体"/>
          <w:szCs w:val="21"/>
        </w:rPr>
        <w:t>信息化</w:t>
      </w:r>
      <w:r>
        <w:rPr>
          <w:rFonts w:hint="eastAsia" w:ascii="宋体" w:hAnsi="宋体" w:cs="宋体"/>
          <w:kern w:val="0"/>
          <w:szCs w:val="21"/>
        </w:rPr>
        <w:t>项目</w:t>
      </w:r>
      <w:r>
        <w:rPr>
          <w:rFonts w:hint="eastAsia" w:ascii="宋体" w:hAnsi="宋体"/>
        </w:rPr>
        <w:t>前期可行性研究工作</w:t>
      </w:r>
      <w:r>
        <w:rPr>
          <w:rFonts w:hint="eastAsia" w:ascii="宋体" w:hAnsi="宋体"/>
          <w:lang w:eastAsia="zh-CN"/>
        </w:rPr>
        <w:t>，</w:t>
      </w:r>
      <w:r>
        <w:rPr>
          <w:rFonts w:hint="eastAsia"/>
          <w:lang w:eastAsia="zh-CN"/>
        </w:rPr>
        <w:t>南方电网绿能科技有限公司</w:t>
      </w:r>
      <w:r>
        <w:rPr>
          <w:rFonts w:hint="eastAsia"/>
          <w:lang w:val="en-US" w:eastAsia="zh-CN"/>
        </w:rPr>
        <w:t>于</w:t>
      </w:r>
      <w:r>
        <w:rPr>
          <w:rFonts w:hint="eastAsia" w:ascii="宋体" w:hAnsi="宋体"/>
          <w:lang w:val="en-US" w:eastAsia="zh-CN"/>
        </w:rPr>
        <w:t>2027年下半年和2028年上半年开展</w:t>
      </w:r>
      <w:r>
        <w:rPr>
          <w:rFonts w:ascii="宋体" w:hAnsi="宋体"/>
        </w:rPr>
        <w:t>202</w:t>
      </w:r>
      <w:r>
        <w:rPr>
          <w:rFonts w:hint="eastAsia" w:ascii="宋体" w:hAnsi="宋体"/>
          <w:lang w:val="en-US" w:eastAsia="zh-CN"/>
        </w:rPr>
        <w:t>8</w:t>
      </w:r>
      <w:r>
        <w:rPr>
          <w:rFonts w:hint="eastAsia" w:ascii="宋体" w:hAnsi="宋体"/>
        </w:rPr>
        <w:t>年拟立项的</w:t>
      </w:r>
      <w:r>
        <w:rPr>
          <w:rFonts w:hint="eastAsia" w:ascii="宋体" w:hAnsi="宋体"/>
          <w:szCs w:val="21"/>
        </w:rPr>
        <w:t>信息化</w:t>
      </w:r>
      <w:r>
        <w:rPr>
          <w:rFonts w:hint="eastAsia" w:ascii="宋体" w:hAnsi="宋体" w:cs="宋体"/>
          <w:kern w:val="0"/>
          <w:szCs w:val="21"/>
        </w:rPr>
        <w:t>项目</w:t>
      </w:r>
      <w:r>
        <w:rPr>
          <w:rFonts w:hint="eastAsia" w:ascii="宋体" w:hAnsi="宋体"/>
        </w:rPr>
        <w:t>前期可行性研究工作</w:t>
      </w:r>
      <w:r>
        <w:rPr>
          <w:rFonts w:hint="eastAsia" w:ascii="宋体" w:hAnsi="宋体"/>
          <w:lang w:eastAsia="zh-CN"/>
        </w:rPr>
        <w:t>；</w:t>
      </w:r>
    </w:p>
    <w:p w14:paraId="38BF6C32">
      <w:pPr>
        <w:ind w:left="480" w:leftChars="200" w:firstLine="480" w:firstLineChars="200"/>
        <w:rPr>
          <w:rFonts w:hint="eastAsia" w:ascii="宋体" w:hAnsi="宋体" w:cs="宋体"/>
          <w:b w:val="0"/>
          <w:bCs w:val="0"/>
          <w:color w:val="000000"/>
          <w:sz w:val="24"/>
          <w:szCs w:val="24"/>
          <w:lang w:val="en-US" w:eastAsia="zh-CN"/>
        </w:rPr>
      </w:pPr>
      <w:r>
        <w:rPr>
          <w:rFonts w:hint="eastAsia" w:ascii="宋体" w:hAnsi="宋体"/>
          <w:lang w:val="en-US" w:eastAsia="zh-CN"/>
        </w:rPr>
        <w:t>（2）结算编审工作是开展2026年下半年、2027年全年和2028年上半年拟结项的</w:t>
      </w:r>
      <w:r>
        <w:rPr>
          <w:rFonts w:ascii="宋体" w:hAnsi="宋体" w:eastAsia="宋体" w:cs="宋体"/>
          <w:b w:val="0"/>
          <w:bCs w:val="0"/>
          <w:color w:val="000000"/>
          <w:sz w:val="24"/>
          <w:szCs w:val="24"/>
        </w:rPr>
        <w:t>信息化项目结算报告</w:t>
      </w:r>
      <w:r>
        <w:rPr>
          <w:rFonts w:hint="eastAsia" w:ascii="宋体" w:hAnsi="宋体" w:eastAsia="宋体" w:cs="宋体"/>
          <w:b w:val="0"/>
          <w:bCs w:val="0"/>
          <w:color w:val="000000"/>
          <w:sz w:val="24"/>
          <w:szCs w:val="24"/>
          <w:lang w:val="en-US" w:eastAsia="zh-CN"/>
        </w:rPr>
        <w:t>编制</w:t>
      </w:r>
      <w:r>
        <w:rPr>
          <w:rFonts w:hint="eastAsia" w:ascii="宋体" w:hAnsi="宋体" w:cs="宋体"/>
          <w:b w:val="0"/>
          <w:bCs w:val="0"/>
          <w:color w:val="000000"/>
          <w:sz w:val="24"/>
          <w:szCs w:val="24"/>
          <w:lang w:val="en-US" w:eastAsia="zh-CN"/>
        </w:rPr>
        <w:t>；</w:t>
      </w:r>
    </w:p>
    <w:p w14:paraId="0B46BC53">
      <w:pPr>
        <w:ind w:left="480" w:leftChars="200" w:firstLine="480" w:firstLineChars="200"/>
        <w:rPr>
          <w:rFonts w:hint="eastAsia" w:asciiTheme="minorEastAsia" w:hAnsiTheme="minorEastAsia" w:eastAsiaTheme="minorEastAsia" w:cstheme="minorEastAsia"/>
          <w:i w:val="0"/>
          <w:iCs w:val="0"/>
          <w:color w:val="auto"/>
          <w:kern w:val="0"/>
        </w:rPr>
      </w:pPr>
      <w:r>
        <w:rPr>
          <w:rFonts w:hint="eastAsia" w:ascii="宋体" w:hAnsi="宋体" w:cs="宋体"/>
          <w:b w:val="0"/>
          <w:bCs w:val="0"/>
          <w:color w:val="000000"/>
          <w:sz w:val="24"/>
          <w:szCs w:val="24"/>
          <w:lang w:val="en-US" w:eastAsia="zh-CN"/>
        </w:rPr>
        <w:t>（3）配合</w:t>
      </w:r>
      <w:r>
        <w:rPr>
          <w:rFonts w:hint="eastAsia"/>
        </w:rPr>
        <w:t>南方电网产业发展集团有限责任公司</w:t>
      </w:r>
      <w:r>
        <w:t>本部</w:t>
      </w:r>
      <w:r>
        <w:rPr>
          <w:rFonts w:hint="eastAsia" w:ascii="宋体" w:hAnsi="宋体" w:cs="宋体"/>
          <w:b w:val="0"/>
          <w:bCs w:val="0"/>
          <w:color w:val="000000"/>
          <w:sz w:val="24"/>
          <w:szCs w:val="24"/>
          <w:lang w:val="en-US" w:eastAsia="zh-CN"/>
        </w:rPr>
        <w:t>开展</w:t>
      </w:r>
      <w:r>
        <w:rPr>
          <w:rFonts w:hint="eastAsia"/>
          <w:lang w:val="en-US" w:eastAsia="zh-CN"/>
        </w:rPr>
        <w:t>信息化</w:t>
      </w:r>
      <w:r>
        <w:rPr>
          <w:rFonts w:hint="eastAsia" w:ascii="宋体" w:hAnsi="宋体" w:eastAsia="宋体" w:cs="宋体"/>
          <w:color w:val="auto"/>
        </w:rPr>
        <w:t>项目</w:t>
      </w:r>
      <w:r>
        <w:rPr>
          <w:rFonts w:hint="eastAsia" w:ascii="宋体" w:hAnsi="宋体" w:eastAsia="宋体" w:cs="宋体"/>
          <w:color w:val="auto"/>
          <w:lang w:val="en-US" w:eastAsia="zh-CN"/>
        </w:rPr>
        <w:t>需求</w:t>
      </w:r>
      <w:r>
        <w:rPr>
          <w:rFonts w:hint="eastAsia" w:ascii="宋体" w:hAnsi="宋体" w:eastAsia="宋体" w:cs="宋体"/>
          <w:color w:val="auto"/>
        </w:rPr>
        <w:t>管理、项目建设过程管控</w:t>
      </w:r>
      <w:r>
        <w:rPr>
          <w:rFonts w:hint="eastAsia" w:ascii="宋体" w:hAnsi="宋体" w:eastAsia="宋体" w:cs="宋体"/>
          <w:color w:val="auto"/>
          <w:lang w:val="en-US" w:eastAsia="zh-CN"/>
        </w:rPr>
        <w:t>等工作，技术支持自</w:t>
      </w:r>
      <w:r>
        <w:rPr>
          <w:rFonts w:hint="eastAsia" w:ascii="宋体" w:hAnsi="宋体"/>
          <w:lang w:val="en-US" w:eastAsia="zh-CN"/>
        </w:rPr>
        <w:t>2026年下半年至2028年上半年</w:t>
      </w:r>
      <w:r>
        <w:rPr>
          <w:rFonts w:hint="eastAsia" w:asciiTheme="minorEastAsia" w:hAnsiTheme="minorEastAsia" w:eastAsiaTheme="minorEastAsia" w:cstheme="minorEastAsia"/>
          <w:i w:val="0"/>
          <w:iCs w:val="0"/>
          <w:color w:val="auto"/>
          <w:kern w:val="0"/>
        </w:rPr>
        <w:t>。</w:t>
      </w:r>
    </w:p>
    <w:p w14:paraId="40393E2C">
      <w:pPr>
        <w:ind w:firstLine="482" w:firstLineChars="200"/>
        <w:rPr>
          <w:rFonts w:hint="eastAsia" w:asciiTheme="minorEastAsia" w:hAnsiTheme="minorEastAsia" w:eastAsiaTheme="minorEastAsia" w:cstheme="minorEastAsia"/>
          <w:b/>
          <w:bCs/>
          <w:i w:val="0"/>
          <w:iCs w:val="0"/>
          <w:color w:val="auto"/>
          <w:kern w:val="0"/>
          <w:lang w:val="en-US" w:eastAsia="zh-CN"/>
        </w:rPr>
      </w:pPr>
      <w:r>
        <w:rPr>
          <w:rFonts w:hint="eastAsia" w:asciiTheme="minorEastAsia" w:hAnsiTheme="minorEastAsia" w:eastAsiaTheme="minorEastAsia" w:cstheme="minorEastAsia"/>
          <w:b/>
          <w:bCs/>
          <w:i w:val="0"/>
          <w:iCs w:val="0"/>
          <w:color w:val="auto"/>
          <w:kern w:val="0"/>
          <w:lang w:val="en-US" w:eastAsia="zh-CN"/>
        </w:rPr>
        <w:t>2、实施周期：</w:t>
      </w:r>
    </w:p>
    <w:p w14:paraId="4EAB1708">
      <w:pPr>
        <w:ind w:firstLine="480" w:firstLineChars="200"/>
        <w:rPr>
          <w:rFonts w:hint="default" w:ascii="宋体" w:hAnsi="宋体" w:eastAsia="宋体"/>
          <w:lang w:val="en-US" w:eastAsia="zh-CN"/>
        </w:rPr>
      </w:pPr>
      <w:r>
        <w:rPr>
          <w:rFonts w:hint="eastAsia" w:asciiTheme="minorEastAsia" w:hAnsiTheme="minorEastAsia" w:eastAsiaTheme="minorEastAsia" w:cstheme="minorEastAsia"/>
          <w:i w:val="0"/>
          <w:iCs w:val="0"/>
          <w:color w:val="auto"/>
          <w:kern w:val="0"/>
          <w:lang w:val="en-US" w:eastAsia="zh-CN"/>
        </w:rPr>
        <w:t>整体</w:t>
      </w:r>
      <w:r>
        <w:rPr>
          <w:rFonts w:hint="eastAsia" w:ascii="宋体" w:hAnsi="宋体"/>
        </w:rPr>
        <w:t>周期为</w:t>
      </w:r>
      <w:r>
        <w:rPr>
          <w:rFonts w:hint="eastAsia" w:ascii="宋体" w:hAnsi="宋体"/>
          <w:lang w:val="en-US" w:eastAsia="zh-CN"/>
        </w:rPr>
        <w:t>2年</w:t>
      </w:r>
      <w:r>
        <w:rPr>
          <w:rFonts w:hint="eastAsia" w:ascii="宋体" w:hAnsi="宋体"/>
        </w:rPr>
        <w:t>（2026年</w:t>
      </w:r>
      <w:r>
        <w:rPr>
          <w:rFonts w:hint="eastAsia" w:ascii="宋体" w:hAnsi="宋体"/>
          <w:lang w:val="en-US" w:eastAsia="zh-CN"/>
        </w:rPr>
        <w:t>8</w:t>
      </w:r>
      <w:r>
        <w:rPr>
          <w:rFonts w:hint="eastAsia" w:ascii="宋体" w:hAnsi="宋体"/>
        </w:rPr>
        <w:t>月1</w:t>
      </w:r>
      <w:r>
        <w:rPr>
          <w:rFonts w:hint="eastAsia" w:ascii="宋体" w:hAnsi="宋体"/>
          <w:lang w:val="en-US" w:eastAsia="zh-CN"/>
        </w:rPr>
        <w:t>6</w:t>
      </w:r>
      <w:r>
        <w:rPr>
          <w:rFonts w:hint="eastAsia" w:ascii="宋体" w:hAnsi="宋体"/>
        </w:rPr>
        <w:t>日至202</w:t>
      </w:r>
      <w:r>
        <w:rPr>
          <w:rFonts w:hint="eastAsia" w:ascii="宋体" w:hAnsi="宋体"/>
          <w:lang w:val="en-US" w:eastAsia="zh-CN"/>
        </w:rPr>
        <w:t>8</w:t>
      </w:r>
      <w:r>
        <w:rPr>
          <w:rFonts w:hint="eastAsia" w:ascii="宋体" w:hAnsi="宋体"/>
        </w:rPr>
        <w:t>年</w:t>
      </w:r>
      <w:r>
        <w:rPr>
          <w:rFonts w:hint="eastAsia" w:ascii="宋体" w:hAnsi="宋体"/>
          <w:lang w:val="en-US" w:eastAsia="zh-CN"/>
        </w:rPr>
        <w:t>8</w:t>
      </w:r>
      <w:r>
        <w:rPr>
          <w:rFonts w:hint="eastAsia" w:ascii="宋体" w:hAnsi="宋体"/>
        </w:rPr>
        <w:t>月</w:t>
      </w:r>
      <w:r>
        <w:rPr>
          <w:rFonts w:hint="eastAsia" w:ascii="宋体" w:hAnsi="宋体"/>
          <w:lang w:val="en-US" w:eastAsia="zh-CN"/>
        </w:rPr>
        <w:t>15</w:t>
      </w:r>
      <w:r>
        <w:rPr>
          <w:rFonts w:hint="eastAsia" w:ascii="宋体" w:hAnsi="宋体"/>
        </w:rPr>
        <w:t>日），实际</w:t>
      </w:r>
      <w:r>
        <w:rPr>
          <w:rFonts w:hint="eastAsia" w:ascii="宋体" w:hAnsi="宋体"/>
          <w:lang w:val="en-US" w:eastAsia="zh-CN"/>
        </w:rPr>
        <w:t>实施</w:t>
      </w:r>
      <w:r>
        <w:rPr>
          <w:rFonts w:hint="eastAsia" w:ascii="宋体" w:hAnsi="宋体"/>
        </w:rPr>
        <w:t>周期以合同约定的服务起始日起</w:t>
      </w:r>
      <w:r>
        <w:rPr>
          <w:rFonts w:hint="eastAsia" w:ascii="宋体" w:hAnsi="宋体"/>
          <w:lang w:val="en-US" w:eastAsia="zh-CN"/>
        </w:rPr>
        <w:t>至2028年8月15日。各单位各项工作详细实施周期如下：</w:t>
      </w:r>
    </w:p>
    <w:p w14:paraId="69B7E60E">
      <w:pPr>
        <w:ind w:left="480" w:leftChars="200" w:firstLine="480" w:firstLineChars="200"/>
        <w:rPr>
          <w:rFonts w:hint="eastAsia" w:ascii="宋体" w:hAnsi="宋体"/>
          <w:lang w:eastAsia="zh-CN"/>
        </w:rPr>
      </w:pPr>
      <w:r>
        <w:rPr>
          <w:rFonts w:hint="eastAsia"/>
          <w:lang w:val="en-US" w:eastAsia="zh-CN"/>
        </w:rPr>
        <w:t>（1）信息化项目前期专项工作：</w:t>
      </w:r>
      <w:r>
        <w:rPr>
          <w:rFonts w:hint="eastAsia"/>
        </w:rPr>
        <w:t>南方电网产业发展集团有限责任公司</w:t>
      </w:r>
      <w:r>
        <w:t>本部</w:t>
      </w:r>
      <w:r>
        <w:rPr>
          <w:rFonts w:hint="eastAsia"/>
          <w:lang w:eastAsia="zh-CN"/>
        </w:rPr>
        <w:t>、南方电网电动汽车服务有限公司</w:t>
      </w:r>
      <w:r>
        <w:rPr>
          <w:rFonts w:hint="eastAsia"/>
          <w:lang w:val="en-US" w:eastAsia="zh-CN"/>
        </w:rPr>
        <w:t>和</w:t>
      </w:r>
      <w:r>
        <w:rPr>
          <w:rFonts w:hint="eastAsia"/>
          <w:lang w:eastAsia="zh-CN"/>
        </w:rPr>
        <w:t>南方电网通用航空服务有限公司</w:t>
      </w:r>
      <w:r>
        <w:rPr>
          <w:rFonts w:hint="eastAsia" w:ascii="宋体" w:hAnsi="宋体"/>
          <w:lang w:val="en-US" w:eastAsia="zh-CN"/>
        </w:rPr>
        <w:t>实施周期为2年</w:t>
      </w:r>
      <w:r>
        <w:rPr>
          <w:rFonts w:hint="eastAsia" w:ascii="宋体" w:hAnsi="宋体"/>
        </w:rPr>
        <w:t>（2026年</w:t>
      </w:r>
      <w:r>
        <w:rPr>
          <w:rFonts w:hint="eastAsia" w:ascii="宋体" w:hAnsi="宋体"/>
          <w:lang w:val="en-US" w:eastAsia="zh-CN"/>
        </w:rPr>
        <w:t>8</w:t>
      </w:r>
      <w:r>
        <w:rPr>
          <w:rFonts w:hint="eastAsia" w:ascii="宋体" w:hAnsi="宋体"/>
        </w:rPr>
        <w:t>月1</w:t>
      </w:r>
      <w:r>
        <w:rPr>
          <w:rFonts w:hint="eastAsia" w:ascii="宋体" w:hAnsi="宋体"/>
          <w:lang w:val="en-US" w:eastAsia="zh-CN"/>
        </w:rPr>
        <w:t>6</w:t>
      </w:r>
      <w:r>
        <w:rPr>
          <w:rFonts w:hint="eastAsia" w:ascii="宋体" w:hAnsi="宋体"/>
        </w:rPr>
        <w:t>日至202</w:t>
      </w:r>
      <w:r>
        <w:rPr>
          <w:rFonts w:hint="eastAsia" w:ascii="宋体" w:hAnsi="宋体"/>
          <w:lang w:val="en-US" w:eastAsia="zh-CN"/>
        </w:rPr>
        <w:t>8</w:t>
      </w:r>
      <w:r>
        <w:rPr>
          <w:rFonts w:hint="eastAsia" w:ascii="宋体" w:hAnsi="宋体"/>
        </w:rPr>
        <w:t>年</w:t>
      </w:r>
      <w:r>
        <w:rPr>
          <w:rFonts w:hint="eastAsia" w:ascii="宋体" w:hAnsi="宋体"/>
          <w:lang w:val="en-US" w:eastAsia="zh-CN"/>
        </w:rPr>
        <w:t>8</w:t>
      </w:r>
      <w:r>
        <w:rPr>
          <w:rFonts w:hint="eastAsia" w:ascii="宋体" w:hAnsi="宋体"/>
        </w:rPr>
        <w:t>月</w:t>
      </w:r>
      <w:r>
        <w:rPr>
          <w:rFonts w:hint="eastAsia" w:ascii="宋体" w:hAnsi="宋体"/>
          <w:lang w:val="en-US" w:eastAsia="zh-CN"/>
        </w:rPr>
        <w:t>15</w:t>
      </w:r>
      <w:r>
        <w:rPr>
          <w:rFonts w:hint="eastAsia" w:ascii="宋体" w:hAnsi="宋体"/>
        </w:rPr>
        <w:t>日），实际</w:t>
      </w:r>
      <w:r>
        <w:rPr>
          <w:rFonts w:hint="eastAsia" w:ascii="宋体" w:hAnsi="宋体"/>
          <w:lang w:val="en-US" w:eastAsia="zh-CN"/>
        </w:rPr>
        <w:t>实施</w:t>
      </w:r>
      <w:r>
        <w:rPr>
          <w:rFonts w:hint="eastAsia" w:ascii="宋体" w:hAnsi="宋体"/>
        </w:rPr>
        <w:t>周期以合同约定的服务起始日起</w:t>
      </w:r>
      <w:r>
        <w:rPr>
          <w:rFonts w:hint="eastAsia" w:ascii="宋体" w:hAnsi="宋体"/>
          <w:lang w:val="en-US" w:eastAsia="zh-CN"/>
        </w:rPr>
        <w:t>至2028年8月15日；</w:t>
      </w:r>
      <w:r>
        <w:rPr>
          <w:rFonts w:hint="eastAsia"/>
          <w:lang w:eastAsia="zh-CN"/>
        </w:rPr>
        <w:t>南方电网绿能科技有限公司</w:t>
      </w:r>
      <w:r>
        <w:rPr>
          <w:rFonts w:hint="eastAsia" w:ascii="宋体" w:hAnsi="宋体"/>
          <w:lang w:val="en-US" w:eastAsia="zh-CN"/>
        </w:rPr>
        <w:t>实施周期为1年多</w:t>
      </w:r>
      <w:r>
        <w:rPr>
          <w:rFonts w:hint="eastAsia" w:ascii="宋体" w:hAnsi="宋体"/>
        </w:rPr>
        <w:t>（202</w:t>
      </w:r>
      <w:r>
        <w:rPr>
          <w:rFonts w:hint="eastAsia" w:ascii="宋体" w:hAnsi="宋体"/>
          <w:lang w:val="en-US" w:eastAsia="zh-CN"/>
        </w:rPr>
        <w:t>7</w:t>
      </w:r>
      <w:r>
        <w:rPr>
          <w:rFonts w:hint="eastAsia" w:ascii="宋体" w:hAnsi="宋体"/>
        </w:rPr>
        <w:t>年</w:t>
      </w:r>
      <w:r>
        <w:rPr>
          <w:rFonts w:hint="eastAsia" w:ascii="宋体" w:hAnsi="宋体"/>
          <w:lang w:val="en-US" w:eastAsia="zh-CN"/>
        </w:rPr>
        <w:t>6月25</w:t>
      </w:r>
      <w:r>
        <w:rPr>
          <w:rFonts w:hint="eastAsia" w:ascii="宋体" w:hAnsi="宋体"/>
        </w:rPr>
        <w:t>日至202</w:t>
      </w:r>
      <w:r>
        <w:rPr>
          <w:rFonts w:hint="eastAsia" w:ascii="宋体" w:hAnsi="宋体"/>
          <w:lang w:val="en-US" w:eastAsia="zh-CN"/>
        </w:rPr>
        <w:t>8</w:t>
      </w:r>
      <w:r>
        <w:rPr>
          <w:rFonts w:hint="eastAsia" w:ascii="宋体" w:hAnsi="宋体"/>
        </w:rPr>
        <w:t>年</w:t>
      </w:r>
      <w:r>
        <w:rPr>
          <w:rFonts w:hint="eastAsia" w:ascii="宋体" w:hAnsi="宋体"/>
          <w:lang w:val="en-US" w:eastAsia="zh-CN"/>
        </w:rPr>
        <w:t>8</w:t>
      </w:r>
      <w:r>
        <w:rPr>
          <w:rFonts w:hint="eastAsia" w:ascii="宋体" w:hAnsi="宋体"/>
        </w:rPr>
        <w:t>月</w:t>
      </w:r>
      <w:r>
        <w:rPr>
          <w:rFonts w:hint="eastAsia" w:ascii="宋体" w:hAnsi="宋体"/>
          <w:lang w:val="en-US" w:eastAsia="zh-CN"/>
        </w:rPr>
        <w:t>15</w:t>
      </w:r>
      <w:r>
        <w:rPr>
          <w:rFonts w:hint="eastAsia" w:ascii="宋体" w:hAnsi="宋体"/>
        </w:rPr>
        <w:t>日），实际</w:t>
      </w:r>
      <w:r>
        <w:rPr>
          <w:rFonts w:hint="eastAsia" w:ascii="宋体" w:hAnsi="宋体"/>
          <w:lang w:val="en-US" w:eastAsia="zh-CN"/>
        </w:rPr>
        <w:t>实施</w:t>
      </w:r>
      <w:r>
        <w:rPr>
          <w:rFonts w:hint="eastAsia" w:ascii="宋体" w:hAnsi="宋体"/>
        </w:rPr>
        <w:t>周期以合同约定的服务起始日起</w:t>
      </w:r>
      <w:r>
        <w:rPr>
          <w:rFonts w:hint="eastAsia" w:ascii="宋体" w:hAnsi="宋体"/>
          <w:lang w:val="en-US" w:eastAsia="zh-CN"/>
        </w:rPr>
        <w:t>至2028年8月15日</w:t>
      </w:r>
      <w:r>
        <w:rPr>
          <w:rFonts w:hint="eastAsia" w:ascii="宋体" w:hAnsi="宋体"/>
          <w:lang w:eastAsia="zh-CN"/>
        </w:rPr>
        <w:t>；</w:t>
      </w:r>
    </w:p>
    <w:p w14:paraId="384BCBFB">
      <w:pPr>
        <w:ind w:left="480" w:leftChars="200" w:firstLine="480" w:firstLineChars="200"/>
        <w:rPr>
          <w:rFonts w:hint="eastAsia" w:ascii="宋体" w:hAnsi="宋体" w:cs="宋体"/>
          <w:b w:val="0"/>
          <w:bCs w:val="0"/>
          <w:color w:val="000000"/>
          <w:sz w:val="24"/>
          <w:szCs w:val="24"/>
          <w:lang w:val="en-US" w:eastAsia="zh-CN"/>
        </w:rPr>
      </w:pPr>
      <w:r>
        <w:rPr>
          <w:rFonts w:hint="eastAsia" w:ascii="宋体" w:hAnsi="宋体"/>
          <w:lang w:val="en-US" w:eastAsia="zh-CN"/>
        </w:rPr>
        <w:t>（2）结算编审工作：</w:t>
      </w:r>
      <w:r>
        <w:rPr>
          <w:rFonts w:hint="eastAsia"/>
        </w:rPr>
        <w:t>南方电网产业发展集团有限责任公司</w:t>
      </w:r>
      <w:r>
        <w:t>本部</w:t>
      </w:r>
      <w:r>
        <w:rPr>
          <w:rFonts w:hint="eastAsia"/>
          <w:lang w:eastAsia="zh-CN"/>
        </w:rPr>
        <w:t>、南方电网电动汽车服务有限公司</w:t>
      </w:r>
      <w:r>
        <w:rPr>
          <w:rFonts w:hint="eastAsia"/>
          <w:lang w:val="en-US" w:eastAsia="zh-CN"/>
        </w:rPr>
        <w:t>、</w:t>
      </w:r>
      <w:r>
        <w:rPr>
          <w:rFonts w:hint="eastAsia"/>
          <w:lang w:eastAsia="zh-CN"/>
        </w:rPr>
        <w:t>南方电网通用航空服务有限公司</w:t>
      </w:r>
      <w:r>
        <w:rPr>
          <w:rFonts w:hint="eastAsia"/>
          <w:lang w:val="en-US" w:eastAsia="zh-CN"/>
        </w:rPr>
        <w:t>和</w:t>
      </w:r>
      <w:r>
        <w:rPr>
          <w:rFonts w:hint="eastAsia"/>
          <w:lang w:eastAsia="zh-CN"/>
        </w:rPr>
        <w:t>南方电网绿能科技有限公司</w:t>
      </w:r>
      <w:r>
        <w:rPr>
          <w:rFonts w:hint="eastAsia" w:ascii="宋体" w:hAnsi="宋体"/>
          <w:lang w:val="en-US" w:eastAsia="zh-CN"/>
        </w:rPr>
        <w:t>实施</w:t>
      </w:r>
      <w:r>
        <w:rPr>
          <w:rFonts w:hint="eastAsia" w:ascii="宋体" w:hAnsi="宋体"/>
        </w:rPr>
        <w:t>周期</w:t>
      </w:r>
      <w:r>
        <w:rPr>
          <w:rFonts w:hint="eastAsia" w:ascii="宋体" w:hAnsi="宋体"/>
          <w:lang w:val="en-US" w:eastAsia="zh-CN"/>
        </w:rPr>
        <w:t>均</w:t>
      </w:r>
      <w:r>
        <w:rPr>
          <w:rFonts w:hint="eastAsia" w:ascii="宋体" w:hAnsi="宋体"/>
        </w:rPr>
        <w:t>为</w:t>
      </w:r>
      <w:r>
        <w:rPr>
          <w:rFonts w:hint="eastAsia" w:ascii="宋体" w:hAnsi="宋体"/>
          <w:lang w:val="en-US" w:eastAsia="zh-CN"/>
        </w:rPr>
        <w:t>2年左右</w:t>
      </w:r>
      <w:r>
        <w:rPr>
          <w:rFonts w:hint="eastAsia" w:ascii="宋体" w:hAnsi="宋体"/>
        </w:rPr>
        <w:t>，实际</w:t>
      </w:r>
      <w:r>
        <w:rPr>
          <w:rFonts w:hint="eastAsia" w:ascii="宋体" w:hAnsi="宋体"/>
          <w:lang w:val="en-US" w:eastAsia="zh-CN"/>
        </w:rPr>
        <w:t>实施</w:t>
      </w:r>
      <w:r>
        <w:rPr>
          <w:rFonts w:hint="eastAsia" w:ascii="宋体" w:hAnsi="宋体"/>
        </w:rPr>
        <w:t>周期以合同约定的服务起始日起</w:t>
      </w:r>
      <w:r>
        <w:rPr>
          <w:rFonts w:hint="eastAsia" w:ascii="宋体" w:hAnsi="宋体"/>
          <w:lang w:val="en-US" w:eastAsia="zh-CN"/>
        </w:rPr>
        <w:t>至2028年8月15日</w:t>
      </w:r>
      <w:r>
        <w:rPr>
          <w:rFonts w:hint="eastAsia" w:ascii="宋体" w:hAnsi="宋体" w:cs="宋体"/>
          <w:b w:val="0"/>
          <w:bCs w:val="0"/>
          <w:color w:val="000000"/>
          <w:sz w:val="24"/>
          <w:szCs w:val="24"/>
          <w:lang w:val="en-US" w:eastAsia="zh-CN"/>
        </w:rPr>
        <w:t>；</w:t>
      </w:r>
    </w:p>
    <w:p w14:paraId="78945D67">
      <w:pPr>
        <w:ind w:left="480" w:leftChars="200" w:firstLine="480" w:firstLineChars="200"/>
        <w:rPr>
          <w:rFonts w:hint="eastAsia"/>
          <w:lang w:val="en-US" w:eastAsia="zh-CN"/>
        </w:rPr>
      </w:pPr>
      <w:r>
        <w:rPr>
          <w:rFonts w:hint="eastAsia"/>
          <w:lang w:val="en-US" w:eastAsia="zh-CN"/>
        </w:rPr>
        <w:t>（3）配合南方电网产业发展集团有限责任公司本部开展信息化项目需求管理、项目建设过程管控等工作：实施周期为2年左右，实际实施周期以合同约定的服务起始日起至2028年8月15日。</w:t>
      </w:r>
    </w:p>
    <w:p w14:paraId="65CA1362">
      <w:pPr>
        <w:pStyle w:val="5"/>
        <w:bidi w:val="0"/>
        <w:rPr>
          <w:rFonts w:hint="default"/>
          <w:lang w:val="en-US" w:eastAsia="zh-CN"/>
        </w:rPr>
      </w:pPr>
      <w:bookmarkStart w:id="4" w:name="_Toc1161945312"/>
      <w:r>
        <w:rPr>
          <w:rFonts w:hint="eastAsia"/>
          <w:lang w:val="en-US" w:eastAsia="zh-CN"/>
        </w:rPr>
        <w:t>参考文件</w:t>
      </w:r>
      <w:bookmarkEnd w:id="4"/>
    </w:p>
    <w:p w14:paraId="7B597BE5">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hint="eastAsia" w:ascii="宋体" w:cs="宋体"/>
          <w:kern w:val="0"/>
          <w:szCs w:val="21"/>
        </w:rPr>
        <w:t>《</w:t>
      </w:r>
      <w:r>
        <w:rPr>
          <w:rFonts w:ascii="宋体" w:cs="宋体"/>
          <w:kern w:val="0"/>
          <w:szCs w:val="21"/>
        </w:rPr>
        <w:t>中国南方电网有限责任公司中长期发展战略</w:t>
      </w:r>
      <w:r>
        <w:rPr>
          <w:rFonts w:hint="eastAsia" w:ascii="宋体" w:cs="宋体"/>
          <w:kern w:val="0"/>
          <w:szCs w:val="21"/>
        </w:rPr>
        <w:t>》</w:t>
      </w:r>
    </w:p>
    <w:p w14:paraId="4308CB62">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hint="eastAsia" w:ascii="宋体" w:hAnsi="宋体"/>
        </w:rPr>
        <w:t>《</w:t>
      </w:r>
      <w:r>
        <w:rPr>
          <w:rFonts w:ascii="宋体" w:cs="宋体"/>
          <w:kern w:val="0"/>
          <w:szCs w:val="21"/>
        </w:rPr>
        <w:t>南方电网公司“十四五”数字化规划</w:t>
      </w:r>
      <w:r>
        <w:rPr>
          <w:rFonts w:hint="eastAsia" w:ascii="宋体" w:hAnsi="宋体"/>
        </w:rPr>
        <w:t>》</w:t>
      </w:r>
    </w:p>
    <w:p w14:paraId="1E4D683E">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hint="eastAsia" w:ascii="宋体" w:cs="宋体"/>
          <w:kern w:val="0"/>
          <w:szCs w:val="21"/>
        </w:rPr>
        <w:t>《南方电网公司新兴业务“十四五”数字化规划实施计划》</w:t>
      </w:r>
    </w:p>
    <w:p w14:paraId="11D0F436">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hint="eastAsia" w:ascii="宋体" w:cs="宋体"/>
          <w:kern w:val="0"/>
          <w:szCs w:val="21"/>
        </w:rPr>
        <w:t>《</w:t>
      </w:r>
      <w:r>
        <w:rPr>
          <w:rFonts w:ascii="宋体" w:cs="宋体"/>
          <w:kern w:val="0"/>
          <w:szCs w:val="21"/>
        </w:rPr>
        <w:t>中国南方电网有限责任公司</w:t>
      </w:r>
      <w:r>
        <w:rPr>
          <w:rFonts w:hint="eastAsia" w:ascii="宋体" w:cs="宋体"/>
          <w:kern w:val="0"/>
          <w:szCs w:val="21"/>
        </w:rPr>
        <w:t>信息化项目投资管理细则》</w:t>
      </w:r>
    </w:p>
    <w:p w14:paraId="39FD6D1B">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ascii="宋体" w:cs="宋体"/>
          <w:kern w:val="0"/>
          <w:szCs w:val="21"/>
        </w:rPr>
        <w:t>《中国南方电网有限责任公司</w:t>
      </w:r>
      <w:r>
        <w:rPr>
          <w:rFonts w:hint="eastAsia" w:ascii="宋体" w:cs="宋体"/>
          <w:kern w:val="0"/>
          <w:szCs w:val="21"/>
        </w:rPr>
        <w:t>信息化项目建设管理细则</w:t>
      </w:r>
      <w:r>
        <w:rPr>
          <w:rFonts w:ascii="宋体" w:cs="宋体"/>
          <w:kern w:val="0"/>
          <w:szCs w:val="21"/>
        </w:rPr>
        <w:t>》</w:t>
      </w:r>
    </w:p>
    <w:p w14:paraId="3672A46C">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ascii="宋体" w:cs="宋体"/>
          <w:kern w:val="0"/>
          <w:szCs w:val="21"/>
        </w:rPr>
        <w:t>《</w:t>
      </w:r>
      <w:r>
        <w:rPr>
          <w:rFonts w:hint="eastAsia" w:ascii="宋体" w:cs="宋体"/>
          <w:kern w:val="0"/>
          <w:szCs w:val="21"/>
        </w:rPr>
        <w:t>中国南方电网有限责任公司信息化项目预算编制与计算方法》</w:t>
      </w:r>
    </w:p>
    <w:p w14:paraId="33270AED">
      <w:pPr>
        <w:numPr>
          <w:ilvl w:val="0"/>
          <w:numId w:val="6"/>
        </w:numPr>
        <w:autoSpaceDE w:val="0"/>
        <w:autoSpaceDN w:val="0"/>
        <w:adjustRightInd w:val="0"/>
        <w:spacing w:line="360" w:lineRule="auto"/>
        <w:ind w:left="0" w:leftChars="0" w:right="-20" w:firstLine="403" w:firstLineChars="0"/>
        <w:jc w:val="left"/>
        <w:rPr>
          <w:rFonts w:ascii="宋体" w:cs="宋体"/>
          <w:kern w:val="0"/>
          <w:szCs w:val="21"/>
        </w:rPr>
      </w:pPr>
      <w:r>
        <w:rPr>
          <w:rFonts w:ascii="宋体" w:cs="宋体"/>
          <w:kern w:val="0"/>
          <w:szCs w:val="21"/>
        </w:rPr>
        <w:t>《电网工程建设预算编制与计算标准》</w:t>
      </w:r>
    </w:p>
    <w:p w14:paraId="22D4C8E2">
      <w:pPr>
        <w:numPr>
          <w:ilvl w:val="0"/>
          <w:numId w:val="6"/>
        </w:numPr>
        <w:autoSpaceDE w:val="0"/>
        <w:autoSpaceDN w:val="0"/>
        <w:adjustRightInd w:val="0"/>
        <w:spacing w:line="360" w:lineRule="auto"/>
        <w:ind w:left="0" w:leftChars="0" w:right="-20" w:firstLine="403" w:firstLineChars="0"/>
        <w:jc w:val="left"/>
        <w:rPr>
          <w:rFonts w:hint="eastAsia" w:ascii="宋体" w:cs="宋体"/>
          <w:kern w:val="0"/>
          <w:szCs w:val="21"/>
        </w:rPr>
      </w:pPr>
      <w:r>
        <w:rPr>
          <w:rFonts w:ascii="宋体" w:cs="宋体"/>
          <w:kern w:val="0"/>
          <w:szCs w:val="21"/>
        </w:rPr>
        <w:t>《</w:t>
      </w:r>
      <w:r>
        <w:rPr>
          <w:rFonts w:hint="eastAsia" w:ascii="宋体" w:cs="宋体"/>
          <w:kern w:val="0"/>
          <w:szCs w:val="21"/>
        </w:rPr>
        <w:t>电网</w:t>
      </w:r>
      <w:r>
        <w:rPr>
          <w:rFonts w:ascii="宋体" w:cs="宋体"/>
          <w:kern w:val="0"/>
          <w:szCs w:val="21"/>
        </w:rPr>
        <w:t>技术改造工程预算编制与计算标准》</w:t>
      </w:r>
    </w:p>
    <w:p w14:paraId="531F7359">
      <w:pPr>
        <w:rPr>
          <w:rFonts w:hint="eastAsia"/>
          <w:lang w:val="en-US" w:eastAsia="zh-CN"/>
        </w:rPr>
      </w:pPr>
    </w:p>
    <w:p w14:paraId="518289BF">
      <w:pPr>
        <w:pStyle w:val="4"/>
        <w:rPr>
          <w:rFonts w:hint="default" w:ascii="Times New Roman" w:hAnsi="Times New Roman"/>
          <w:lang w:val="en-US" w:eastAsia="zh-CN"/>
        </w:rPr>
      </w:pPr>
      <w:bookmarkStart w:id="5" w:name="_Toc1746056613"/>
      <w:r>
        <w:rPr>
          <w:rFonts w:hint="eastAsia" w:ascii="Times New Roman" w:hAnsi="Times New Roman"/>
          <w:lang w:val="en-US" w:eastAsia="zh-CN"/>
        </w:rPr>
        <w:t>项目描述</w:t>
      </w:r>
      <w:bookmarkEnd w:id="5"/>
    </w:p>
    <w:p w14:paraId="65F27833">
      <w:pPr>
        <w:pStyle w:val="5"/>
        <w:tabs>
          <w:tab w:val="clear" w:pos="2428"/>
        </w:tabs>
        <w:ind w:left="0"/>
      </w:pPr>
      <w:bookmarkStart w:id="6" w:name="_Toc609458436"/>
      <w:r>
        <w:rPr>
          <w:rFonts w:hint="eastAsia"/>
        </w:rPr>
        <w:t>项目背景</w:t>
      </w:r>
      <w:bookmarkEnd w:id="6"/>
    </w:p>
    <w:p w14:paraId="61730366">
      <w:pPr>
        <w:spacing w:line="360" w:lineRule="auto"/>
        <w:ind w:firstLine="480"/>
        <w:rPr>
          <w:rFonts w:hint="eastAsia"/>
          <w:lang w:val="en-US" w:eastAsia="zh-CN"/>
        </w:rPr>
      </w:pPr>
      <w:r>
        <w:rPr>
          <w:rFonts w:hint="eastAsia" w:ascii="宋体" w:hAnsi="宋体"/>
        </w:rPr>
        <w:t>公司贯彻落实网公司</w:t>
      </w:r>
      <w:r>
        <w:rPr>
          <w:rFonts w:hint="eastAsia"/>
        </w:rPr>
        <w:t>数字化转型要求</w:t>
      </w:r>
      <w:r>
        <w:rPr>
          <w:rFonts w:hAnsi="宋体"/>
        </w:rPr>
        <w:t>，大力推</w:t>
      </w:r>
      <w:r>
        <w:rPr>
          <w:rFonts w:hint="eastAsia"/>
        </w:rPr>
        <w:t>进公司数字化建设，</w:t>
      </w:r>
      <w:r>
        <w:rPr>
          <w:rFonts w:hint="eastAsia"/>
          <w:lang w:val="en-US" w:eastAsia="zh-CN"/>
        </w:rPr>
        <w:t>持续提升公司数字化应用及服务水平，打造新能源汽车充换电服</w:t>
      </w:r>
      <w:r>
        <w:rPr>
          <w:rFonts w:hint="eastAsia" w:ascii="宋体" w:hAnsi="宋体"/>
          <w:lang w:val="en-US" w:eastAsia="zh-CN"/>
        </w:rPr>
        <w:t>务、通用航空服务、</w:t>
      </w:r>
      <w:r>
        <w:rPr>
          <w:rFonts w:hint="eastAsia" w:ascii="宋体" w:hAnsi="宋体"/>
        </w:rPr>
        <w:t>资</w:t>
      </w:r>
      <w:r>
        <w:rPr>
          <w:rFonts w:hint="eastAsia"/>
          <w:lang w:val="en-US" w:eastAsia="zh-CN"/>
        </w:rPr>
        <w:t>产运营服务、土地投资开发服务、数字电网服务及生态创新服务等核心数字化产品，为用户提供便捷的数字化服务。</w:t>
      </w:r>
    </w:p>
    <w:p w14:paraId="5561EBE5">
      <w:pPr>
        <w:spacing w:line="360" w:lineRule="auto"/>
        <w:ind w:firstLine="480"/>
        <w:rPr>
          <w:rFonts w:hint="eastAsia" w:ascii="宋体" w:hAnsi="宋体"/>
        </w:rPr>
      </w:pPr>
      <w:r>
        <w:rPr>
          <w:rFonts w:hint="eastAsia" w:ascii="宋体" w:hAnsi="宋体"/>
          <w:lang w:val="en-GB"/>
        </w:rPr>
        <w:t>经过大力发展，公司信息化建设有了一定基础，但信息化项目的开展，仍需要继续深入调查了解</w:t>
      </w:r>
      <w:r>
        <w:rPr>
          <w:rFonts w:hint="eastAsia" w:ascii="宋体" w:hAnsi="宋体"/>
          <w:lang w:val="en-US" w:eastAsia="zh-CN"/>
        </w:rPr>
        <w:t>各单位、</w:t>
      </w:r>
      <w:r>
        <w:rPr>
          <w:rFonts w:hint="eastAsia" w:ascii="宋体" w:hAnsi="宋体"/>
          <w:lang w:val="en-GB"/>
        </w:rPr>
        <w:t>各部门对信息化的意见和建议，</w:t>
      </w:r>
      <w:r>
        <w:rPr>
          <w:rFonts w:hint="eastAsia" w:ascii="宋体" w:hAnsi="宋体"/>
        </w:rPr>
        <w:t>需要运用科学的信息化项目管理方法，才能提高项目管理的工作效率和工作质量。</w:t>
      </w:r>
    </w:p>
    <w:p w14:paraId="12BAB7EB">
      <w:pPr>
        <w:ind w:firstLine="480" w:firstLineChars="200"/>
        <w:rPr>
          <w:rFonts w:hint="default" w:ascii="宋体" w:hAnsi="宋体" w:cs="Times New Roman"/>
          <w:lang w:val="en-US" w:eastAsia="zh-CN"/>
        </w:rPr>
      </w:pPr>
      <w:r>
        <w:rPr>
          <w:rFonts w:hint="eastAsia" w:ascii="宋体" w:hAnsi="宋体"/>
        </w:rPr>
        <w:t>在</w:t>
      </w:r>
      <w:r>
        <w:rPr>
          <w:rFonts w:hint="eastAsia" w:ascii="宋体" w:hAnsi="宋体" w:cs="Times New Roman"/>
        </w:rPr>
        <w:t>信息化项目前期</w:t>
      </w:r>
      <w:r>
        <w:rPr>
          <w:rFonts w:hint="eastAsia" w:ascii="宋体" w:hAnsi="宋体" w:cs="Times New Roman"/>
          <w:lang w:val="en-US" w:eastAsia="zh-CN"/>
        </w:rPr>
        <w:t>专项方面</w:t>
      </w:r>
      <w:r>
        <w:rPr>
          <w:rFonts w:hint="eastAsia" w:ascii="宋体" w:hAnsi="宋体" w:cs="Times New Roman"/>
        </w:rPr>
        <w:t>，</w:t>
      </w:r>
      <w:r>
        <w:rPr>
          <w:rFonts w:hint="eastAsia" w:ascii="宋体" w:hAnsi="宋体" w:cs="Times New Roman"/>
          <w:lang w:val="en-US" w:eastAsia="zh-CN"/>
        </w:rPr>
        <w:t>网公司印发《中国南方电网有限责任公司</w:t>
      </w:r>
      <w:r>
        <w:rPr>
          <w:rFonts w:hint="eastAsia" w:ascii="宋体" w:hAnsi="宋体" w:cs="Times New Roman"/>
        </w:rPr>
        <w:t>信息化项目投资管理细则</w:t>
      </w:r>
      <w:r>
        <w:rPr>
          <w:rFonts w:hint="eastAsia" w:ascii="宋体" w:hAnsi="宋体" w:cs="Times New Roman"/>
          <w:lang w:val="en-US" w:eastAsia="zh-CN"/>
        </w:rPr>
        <w:t>（2025</w:t>
      </w:r>
      <w:r>
        <w:rPr>
          <w:rFonts w:hint="eastAsia" w:ascii="宋体" w:hAnsi="宋体" w:eastAsia="宋体" w:cs="Times New Roman"/>
          <w:lang w:val="en-US" w:eastAsia="zh-CN"/>
        </w:rPr>
        <w:t>年版）》</w:t>
      </w:r>
      <w:r>
        <w:rPr>
          <w:rFonts w:hint="eastAsia" w:ascii="宋体" w:hAnsi="宋体" w:cs="Times New Roman"/>
          <w:lang w:val="en-US" w:eastAsia="zh-CN"/>
        </w:rPr>
        <w:t>，明确</w:t>
      </w:r>
      <w:r>
        <w:rPr>
          <w:rFonts w:hint="eastAsia" w:ascii="宋体" w:hAnsi="宋体" w:eastAsia="宋体" w:cs="Times New Roman"/>
          <w:lang w:val="en-US" w:eastAsia="zh-CN"/>
        </w:rPr>
        <w:t>“项目前期储备库中出库的项目需求由数字化管理部门或建设单位组织具备资质的设计单位（非管制类业务单位可结合实际参照执行）编制可研报告及可研估算书。</w:t>
      </w:r>
      <w:r>
        <w:rPr>
          <w:rFonts w:hint="eastAsia" w:ascii="宋体" w:hAnsi="宋体" w:eastAsia="宋体" w:cs="Times New Roman"/>
          <w:lang w:eastAsia="zh-CN"/>
        </w:rPr>
        <w:t>”</w:t>
      </w:r>
      <w:r>
        <w:rPr>
          <w:rFonts w:hint="eastAsia" w:ascii="宋体" w:hAnsi="宋体" w:eastAsia="宋体" w:cs="Times New Roman"/>
          <w:lang w:val="en-US" w:eastAsia="zh-CN"/>
        </w:rPr>
        <w:t>，并且建</w:t>
      </w:r>
      <w:r>
        <w:rPr>
          <w:rFonts w:hint="eastAsia" w:ascii="宋体" w:hAnsi="宋体" w:eastAsia="宋体" w:cs="Times New Roman"/>
        </w:rPr>
        <w:t>设单位尚不能完全清楚自己的需求，只能提出初步的设想和要求，随着项目的进展，</w:t>
      </w:r>
      <w:r>
        <w:rPr>
          <w:rFonts w:hint="eastAsia" w:ascii="宋体" w:hAnsi="宋体"/>
        </w:rPr>
        <w:t>借助开发原型等逐步认清自己的需求。</w:t>
      </w:r>
      <w:r>
        <w:rPr>
          <w:rFonts w:hint="eastAsia" w:ascii="宋体" w:hAnsi="宋体"/>
          <w:lang w:val="en-US" w:eastAsia="zh-CN"/>
        </w:rPr>
        <w:t>同时</w:t>
      </w:r>
      <w:r>
        <w:rPr>
          <w:rFonts w:hint="eastAsia" w:ascii="宋体" w:hAnsi="宋体" w:cs="Times New Roman"/>
          <w:lang w:val="en-US" w:eastAsia="zh-CN"/>
        </w:rPr>
        <w:t>《中国南方电网有限责任公司</w:t>
      </w:r>
      <w:r>
        <w:rPr>
          <w:rFonts w:hint="eastAsia" w:ascii="宋体" w:hAnsi="宋体" w:cs="Times New Roman"/>
        </w:rPr>
        <w:t>信息化项目投资管理细则</w:t>
      </w:r>
      <w:r>
        <w:rPr>
          <w:rFonts w:hint="eastAsia" w:ascii="宋体" w:hAnsi="宋体" w:cs="Times New Roman"/>
          <w:lang w:val="en-US" w:eastAsia="zh-CN"/>
        </w:rPr>
        <w:t>（2025</w:t>
      </w:r>
      <w:r>
        <w:rPr>
          <w:rFonts w:hint="eastAsia" w:ascii="宋体" w:hAnsi="宋体" w:eastAsia="宋体" w:cs="Times New Roman"/>
          <w:lang w:val="en-US" w:eastAsia="zh-CN"/>
        </w:rPr>
        <w:t>年版）》明确“由数字化管理部门或者委托第三方评审单位组织技术专家、业务专家及技经专家召开评审会议。”，从而在信息化项目建设过程中对可研开展专业评审，确保信息化项目顺利实施</w:t>
      </w:r>
      <w:r>
        <w:rPr>
          <w:rFonts w:hint="eastAsia" w:ascii="宋体" w:hAnsi="宋体" w:cs="Times New Roman"/>
          <w:lang w:val="en-US" w:eastAsia="zh-CN"/>
        </w:rPr>
        <w:t>以</w:t>
      </w:r>
      <w:r>
        <w:rPr>
          <w:rFonts w:hint="eastAsia" w:ascii="宋体" w:hAnsi="宋体" w:eastAsia="宋体" w:cs="Times New Roman"/>
          <w:lang w:val="en-US" w:eastAsia="zh-CN"/>
        </w:rPr>
        <w:t>达到预期目标。因此，对信息化项目前期工作进行专项的研究与管理，进一步提高信息化项目管理水平是公司面临的迫切要求。</w:t>
      </w:r>
    </w:p>
    <w:p w14:paraId="727F0419">
      <w:pPr>
        <w:ind w:firstLine="480" w:firstLineChars="200"/>
        <w:rPr>
          <w:rFonts w:hint="eastAsia" w:ascii="宋体" w:hAnsi="宋体" w:cs="Times New Roman"/>
          <w:lang w:val="en-US" w:eastAsia="zh-CN"/>
        </w:rPr>
      </w:pPr>
      <w:r>
        <w:rPr>
          <w:rFonts w:hint="eastAsia" w:ascii="宋体" w:hAnsi="宋体" w:cs="Times New Roman"/>
          <w:lang w:val="en-US" w:eastAsia="zh-CN"/>
        </w:rPr>
        <w:t>在信息化项目结算编审方面，网公司印发《中国南方电网有限责任公司信息化项目建设管理细则（2025年版）》明确“</w:t>
      </w:r>
      <w:r>
        <w:rPr>
          <w:rFonts w:hint="eastAsia" w:ascii="宋体" w:hAnsi="宋体" w:cs="Times New Roman"/>
        </w:rPr>
        <w:t>建设单位</w:t>
      </w:r>
      <w:r>
        <w:rPr>
          <w:rFonts w:hint="eastAsia" w:ascii="宋体" w:hAnsi="宋体" w:cs="Times New Roman"/>
          <w:lang w:val="en-US" w:eastAsia="zh-CN"/>
        </w:rPr>
        <w:t>应当</w:t>
      </w:r>
      <w:r>
        <w:rPr>
          <w:rFonts w:hint="eastAsia" w:ascii="宋体" w:hAnsi="宋体" w:cs="Times New Roman"/>
        </w:rPr>
        <w:t>在完成竣工验收后</w:t>
      </w:r>
      <w:r>
        <w:rPr>
          <w:rFonts w:hint="eastAsia" w:ascii="宋体" w:hAnsi="宋体" w:cs="Times New Roman"/>
          <w:lang w:val="en-US" w:eastAsia="zh-CN"/>
        </w:rPr>
        <w:t>2个月内</w:t>
      </w:r>
      <w:r>
        <w:rPr>
          <w:rFonts w:hint="eastAsia" w:ascii="宋体" w:hAnsi="宋体" w:cs="Times New Roman"/>
        </w:rPr>
        <w:t>完成</w:t>
      </w:r>
      <w:r>
        <w:rPr>
          <w:rFonts w:hint="eastAsia" w:ascii="宋体" w:hAnsi="宋体" w:cs="Times New Roman"/>
          <w:lang w:val="en-US" w:eastAsia="zh-CN"/>
        </w:rPr>
        <w:t>项目</w:t>
      </w:r>
      <w:r>
        <w:rPr>
          <w:rFonts w:hint="eastAsia" w:ascii="宋体" w:hAnsi="宋体" w:cs="Times New Roman"/>
        </w:rPr>
        <w:t>结算</w:t>
      </w:r>
      <w:r>
        <w:rPr>
          <w:rFonts w:hint="eastAsia" w:ascii="宋体" w:hAnsi="宋体" w:cs="Times New Roman"/>
          <w:lang w:eastAsia="zh-CN"/>
        </w:rPr>
        <w:t>。结算价与暂定价不一致的，</w:t>
      </w:r>
      <w:r>
        <w:rPr>
          <w:rFonts w:hint="eastAsia" w:ascii="宋体" w:hAnsi="宋体" w:cs="Times New Roman"/>
          <w:lang w:val="en-US" w:eastAsia="zh-CN"/>
        </w:rPr>
        <w:t>应当</w:t>
      </w:r>
      <w:r>
        <w:rPr>
          <w:rFonts w:hint="eastAsia" w:ascii="宋体" w:hAnsi="宋体" w:cs="Times New Roman"/>
          <w:lang w:eastAsia="zh-CN"/>
        </w:rPr>
        <w:t>由具有资质的第三方出具结算价审核报告。开发实施类、实施类、工程建设类项目应</w:t>
      </w:r>
      <w:r>
        <w:rPr>
          <w:rFonts w:hint="eastAsia" w:ascii="宋体" w:hAnsi="宋体" w:cs="Times New Roman"/>
          <w:lang w:val="en-US" w:eastAsia="zh-CN"/>
        </w:rPr>
        <w:t>当</w:t>
      </w:r>
      <w:r>
        <w:rPr>
          <w:rFonts w:hint="eastAsia" w:ascii="宋体" w:hAnsi="宋体" w:cs="Times New Roman"/>
          <w:lang w:eastAsia="zh-CN"/>
        </w:rPr>
        <w:t>委托第三方项目结算编审，单一购置类项目和其他项目可</w:t>
      </w:r>
      <w:r>
        <w:rPr>
          <w:rFonts w:hint="eastAsia" w:ascii="宋体" w:hAnsi="宋体" w:cs="Times New Roman"/>
          <w:lang w:val="en-US" w:eastAsia="zh-CN"/>
        </w:rPr>
        <w:t>以</w:t>
      </w:r>
      <w:r>
        <w:rPr>
          <w:rFonts w:hint="eastAsia" w:ascii="宋体" w:hAnsi="宋体" w:cs="Times New Roman"/>
          <w:lang w:eastAsia="zh-CN"/>
        </w:rPr>
        <w:t>由建设单位自行审核。”，</w:t>
      </w:r>
      <w:r>
        <w:rPr>
          <w:rFonts w:hint="eastAsia" w:ascii="宋体" w:hAnsi="宋体" w:cs="Times New Roman"/>
          <w:lang w:val="en-US" w:eastAsia="zh-CN"/>
        </w:rPr>
        <w:t>并且在信息化项目实施过程中，可能会出现需求变更、技术调整、工期延误等情况，这些都会对项目的最终结算产生影响。例如，由于业务发展需要，项目在实施过程中增加了新的功能模块，这就需要对新增部分的成本进行核算和审核。</w:t>
      </w:r>
    </w:p>
    <w:p w14:paraId="4A64EF5E">
      <w:pPr>
        <w:ind w:firstLine="480" w:firstLineChars="200"/>
        <w:rPr>
          <w:rFonts w:hint="default" w:ascii="宋体" w:hAnsi="宋体" w:cs="Times New Roman"/>
          <w:lang w:val="en-US" w:eastAsia="zh-CN"/>
        </w:rPr>
      </w:pPr>
      <w:r>
        <w:rPr>
          <w:rFonts w:hint="eastAsia" w:ascii="宋体" w:hAnsi="宋体" w:cs="Times New Roman"/>
          <w:lang w:val="en-US" w:eastAsia="zh-CN"/>
        </w:rPr>
        <w:t>在信息化项目过程管理方面，网公司印发《南方电网公司数字化建设全过程管理规范（2025年版）》明确“IT架构管控是为了落实《中国南方电网有限责任公司IT架构管理细则》的要求，确保IT架构在数字化建设各环节得到严格执行，而开展的一系列数字化技术管理控制与审查活动，主要包括应用架构、数据架构、技术</w:t>
      </w:r>
      <w:r>
        <w:rPr>
          <w:rFonts w:hint="eastAsia" w:ascii="宋体" w:hAnsi="宋体" w:eastAsia="宋体" w:cs="Times New Roman"/>
          <w:lang w:val="en-US" w:eastAsia="zh-CN"/>
        </w:rPr>
        <w:t>架构及安全架构四个方面。”及“技术标准管控主要依据数字化总体技术导则的要求，落实各项建设标准，如数据管理标准、微服务标准、自主可控标准、信息安全标准等，着重把关建设过程是否满足各类技术标准和规范。”，推动企</w:t>
      </w:r>
      <w:r>
        <w:rPr>
          <w:rFonts w:hint="eastAsia"/>
          <w:color w:val="000000" w:themeColor="text1"/>
          <w14:textFill>
            <w14:solidFill>
              <w14:schemeClr w14:val="tx1"/>
            </w14:solidFill>
          </w14:textFill>
        </w:rPr>
        <w:t>业架构</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技术标准</w:t>
      </w:r>
      <w:r>
        <w:rPr>
          <w:rFonts w:hint="eastAsia"/>
          <w:color w:val="000000" w:themeColor="text1"/>
          <w14:textFill>
            <w14:solidFill>
              <w14:schemeClr w14:val="tx1"/>
            </w14:solidFill>
          </w14:textFill>
        </w:rPr>
        <w:t>常态管控，支撑公司战略落地“不打折、不走样”。</w:t>
      </w:r>
    </w:p>
    <w:p w14:paraId="0492A89E"/>
    <w:p w14:paraId="6D947A54">
      <w:pPr>
        <w:pStyle w:val="5"/>
        <w:tabs>
          <w:tab w:val="clear" w:pos="2428"/>
        </w:tabs>
        <w:ind w:left="0"/>
      </w:pPr>
      <w:bookmarkStart w:id="7" w:name="_Toc1818421309"/>
      <w:r>
        <w:rPr>
          <w:rFonts w:hint="eastAsia"/>
        </w:rPr>
        <w:t>项目目标</w:t>
      </w:r>
      <w:bookmarkEnd w:id="7"/>
    </w:p>
    <w:p w14:paraId="603F085E">
      <w:pPr>
        <w:ind w:firstLine="480" w:firstLineChars="200"/>
        <w:rPr>
          <w:rFonts w:hint="eastAsia"/>
        </w:rPr>
      </w:pPr>
      <w:r>
        <w:rPr>
          <w:rFonts w:hint="eastAsia"/>
          <w:lang w:val="en-US" w:eastAsia="zh-CN"/>
        </w:rPr>
        <w:t>1、</w:t>
      </w:r>
      <w:r>
        <w:rPr>
          <w:rFonts w:hint="eastAsia"/>
        </w:rPr>
        <w:t>通过信息化项目前期工作专项，基于南方电网产业发展集团有限责任公司战略</w:t>
      </w:r>
      <w:r>
        <w:rPr>
          <w:rFonts w:hint="eastAsia"/>
          <w:lang w:eastAsia="zh-CN"/>
        </w:rPr>
        <w:t>、业务和</w:t>
      </w:r>
      <w:r>
        <w:rPr>
          <w:rFonts w:hint="eastAsia"/>
        </w:rPr>
        <w:t>数字化现状，按照南方电网公司相关管理办法，贯彻落实网公司数</w:t>
      </w:r>
      <w:r>
        <w:rPr>
          <w:rFonts w:hint="eastAsia"/>
          <w:lang w:val="en-US" w:eastAsia="zh-CN"/>
        </w:rPr>
        <w:t>智</w:t>
      </w:r>
      <w:r>
        <w:rPr>
          <w:rFonts w:hint="eastAsia"/>
        </w:rPr>
        <w:t>化规划，提出2</w:t>
      </w:r>
      <w:r>
        <w:t>02</w:t>
      </w:r>
      <w:r>
        <w:rPr>
          <w:rFonts w:hint="eastAsia"/>
          <w:lang w:val="en-US" w:eastAsia="zh-CN"/>
        </w:rPr>
        <w:t>7年、</w:t>
      </w:r>
      <w:r>
        <w:rPr>
          <w:rFonts w:hint="eastAsia"/>
        </w:rPr>
        <w:t>2</w:t>
      </w:r>
      <w:r>
        <w:t>02</w:t>
      </w:r>
      <w:r>
        <w:rPr>
          <w:rFonts w:hint="eastAsia"/>
          <w:lang w:val="en-US" w:eastAsia="zh-CN"/>
        </w:rPr>
        <w:t>8</w:t>
      </w:r>
      <w:r>
        <w:rPr>
          <w:rFonts w:hint="eastAsia"/>
        </w:rPr>
        <w:t>年信息化建设需求和初步建设方案，分析项目投资、风险和收益，提出应对措施，为年度各项信息化项目的顺利开展奠定基础，保证信息化建设决策的科学合理，保证信息化投资收益。</w:t>
      </w:r>
    </w:p>
    <w:p w14:paraId="60154236">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通过信息化项目结算编审工作，对项目预算执行情况进行最终检验，通过对比预算与实际支出，分析偏差原因，为今后的项目预算编制和成本控制提供参考依据；以及对项目成本的各个要素进行详细分析和审核，包括硬件设备采购费用、软件开发费用、网络建设费用、人员培训费用等，确保每一项费用的合理性和必要性，避免不必要的成本支出，提高项目资金的使用效率。</w:t>
      </w:r>
    </w:p>
    <w:p w14:paraId="7DDEFCFB">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3、依托企业架构、电网管理平台等数字化手段，为项目需求管理、项目建设过程管控等工作提供辅助服务支撑，以加强信息化项目相关过程监督管理，提升数字化项目精益化管理水平。</w:t>
      </w:r>
    </w:p>
    <w:p w14:paraId="482837B0">
      <w:pPr>
        <w:ind w:firstLine="480" w:firstLineChars="200"/>
        <w:rPr>
          <w:rFonts w:hint="eastAsia"/>
        </w:rPr>
      </w:pPr>
    </w:p>
    <w:p w14:paraId="1449C41D">
      <w:pPr>
        <w:pStyle w:val="4"/>
        <w:rPr>
          <w:rFonts w:hint="default" w:ascii="Times New Roman" w:hAnsi="Times New Roman"/>
          <w:lang w:val="en-US" w:eastAsia="zh-CN"/>
        </w:rPr>
      </w:pPr>
      <w:bookmarkStart w:id="8" w:name="_Toc1367159906"/>
      <w:r>
        <w:rPr>
          <w:rFonts w:hint="eastAsia" w:ascii="Times New Roman" w:hAnsi="Times New Roman"/>
          <w:lang w:val="en-US" w:eastAsia="zh-CN"/>
        </w:rPr>
        <w:t>项目内容及要求</w:t>
      </w:r>
      <w:bookmarkEnd w:id="8"/>
    </w:p>
    <w:p w14:paraId="3165EC73">
      <w:pPr>
        <w:pStyle w:val="5"/>
        <w:tabs>
          <w:tab w:val="left" w:pos="0"/>
          <w:tab w:val="left" w:pos="432"/>
          <w:tab w:val="clear" w:pos="576"/>
          <w:tab w:val="clear" w:pos="2428"/>
        </w:tabs>
      </w:pPr>
      <w:bookmarkStart w:id="9" w:name="_Toc1929000889"/>
      <w:r>
        <w:rPr>
          <w:rFonts w:hint="eastAsia"/>
          <w:lang w:val="en-US" w:eastAsia="zh-CN"/>
        </w:rPr>
        <w:t>具体</w:t>
      </w:r>
      <w:r>
        <w:rPr>
          <w:rFonts w:hint="eastAsia"/>
        </w:rPr>
        <w:t>内容</w:t>
      </w:r>
      <w:r>
        <w:rPr>
          <w:rFonts w:hint="eastAsia"/>
          <w:lang w:val="en-US" w:eastAsia="zh-CN"/>
        </w:rPr>
        <w:t>和要求</w:t>
      </w:r>
      <w:bookmarkEnd w:id="9"/>
    </w:p>
    <w:p w14:paraId="0287543B">
      <w:pPr>
        <w:pStyle w:val="6"/>
        <w:tabs>
          <w:tab w:val="left" w:pos="576"/>
          <w:tab w:val="clear" w:pos="432"/>
          <w:tab w:val="clear" w:pos="720"/>
        </w:tabs>
        <w:ind w:left="0"/>
        <w:rPr>
          <w:rFonts w:hint="eastAsia" w:ascii="Times New Roman" w:hAnsi="Times New Roman" w:eastAsia="宋体" w:cs="宋体"/>
          <w:lang w:val="en-US" w:eastAsia="zh-CN"/>
        </w:rPr>
      </w:pPr>
      <w:bookmarkStart w:id="10" w:name="_Toc518055993"/>
      <w:bookmarkEnd w:id="10"/>
      <w:bookmarkStart w:id="11" w:name="_Toc518056118"/>
      <w:bookmarkEnd w:id="11"/>
      <w:bookmarkStart w:id="12" w:name="_Toc518056092"/>
      <w:bookmarkEnd w:id="12"/>
      <w:bookmarkStart w:id="13" w:name="_Toc518055923"/>
      <w:bookmarkEnd w:id="13"/>
      <w:bookmarkStart w:id="14" w:name="_Toc518056293"/>
      <w:bookmarkEnd w:id="14"/>
      <w:bookmarkStart w:id="15" w:name="_Toc518056052"/>
      <w:bookmarkEnd w:id="15"/>
      <w:bookmarkStart w:id="16" w:name="_Toc518056289"/>
      <w:bookmarkEnd w:id="16"/>
      <w:bookmarkStart w:id="17" w:name="_Toc518056290"/>
      <w:bookmarkEnd w:id="17"/>
      <w:bookmarkStart w:id="18" w:name="_Toc518056010"/>
      <w:bookmarkEnd w:id="18"/>
      <w:bookmarkStart w:id="19" w:name="_Toc518056291"/>
      <w:bookmarkEnd w:id="19"/>
      <w:bookmarkStart w:id="20" w:name="_Toc518056295"/>
      <w:bookmarkEnd w:id="20"/>
      <w:bookmarkStart w:id="21" w:name="_Toc518056285"/>
      <w:bookmarkEnd w:id="21"/>
      <w:bookmarkStart w:id="22" w:name="_Toc518056062"/>
      <w:bookmarkEnd w:id="22"/>
      <w:bookmarkStart w:id="23" w:name="_Toc518056286"/>
      <w:bookmarkEnd w:id="23"/>
      <w:bookmarkStart w:id="24" w:name="_Toc518056241"/>
      <w:bookmarkEnd w:id="24"/>
      <w:bookmarkStart w:id="25" w:name="_Toc518056004"/>
      <w:bookmarkEnd w:id="25"/>
      <w:bookmarkStart w:id="26" w:name="_Toc518055960"/>
      <w:bookmarkEnd w:id="26"/>
      <w:bookmarkStart w:id="27" w:name="_Toc518056242"/>
      <w:bookmarkEnd w:id="27"/>
      <w:bookmarkStart w:id="28" w:name="_Toc518056287"/>
      <w:bookmarkEnd w:id="28"/>
      <w:bookmarkStart w:id="29" w:name="_Toc518056117"/>
      <w:bookmarkEnd w:id="29"/>
      <w:bookmarkStart w:id="30" w:name="_Toc518055959"/>
      <w:bookmarkEnd w:id="30"/>
      <w:bookmarkStart w:id="31" w:name="_Toc518056112"/>
      <w:bookmarkEnd w:id="31"/>
      <w:bookmarkStart w:id="32" w:name="_Toc518056011"/>
      <w:bookmarkEnd w:id="32"/>
      <w:bookmarkStart w:id="33" w:name="_Toc518055924"/>
      <w:bookmarkEnd w:id="33"/>
      <w:bookmarkStart w:id="34" w:name="_Toc518056294"/>
      <w:bookmarkEnd w:id="34"/>
      <w:bookmarkStart w:id="35" w:name="_Toc518056292"/>
      <w:bookmarkEnd w:id="35"/>
      <w:bookmarkStart w:id="36" w:name="_Toc518056102"/>
      <w:bookmarkEnd w:id="36"/>
      <w:bookmarkStart w:id="37" w:name="_Toc518056042"/>
      <w:bookmarkEnd w:id="37"/>
      <w:bookmarkStart w:id="38" w:name="_Toc518055961"/>
      <w:bookmarkEnd w:id="38"/>
      <w:bookmarkStart w:id="39" w:name="_Toc518056288"/>
      <w:bookmarkEnd w:id="39"/>
      <w:bookmarkStart w:id="40" w:name="_Toc518056162"/>
      <w:bookmarkEnd w:id="40"/>
      <w:bookmarkStart w:id="41" w:name="_Toc518056072"/>
      <w:bookmarkEnd w:id="41"/>
      <w:bookmarkStart w:id="42" w:name="_Toc518056082"/>
      <w:bookmarkEnd w:id="42"/>
      <w:bookmarkStart w:id="43" w:name="_Toc518056032"/>
      <w:bookmarkEnd w:id="43"/>
      <w:bookmarkStart w:id="44" w:name="_Toc518056161"/>
      <w:bookmarkEnd w:id="44"/>
      <w:bookmarkStart w:id="45" w:name="_Toc157322664"/>
      <w:r>
        <w:rPr>
          <w:rFonts w:hint="eastAsia" w:ascii="Times New Roman" w:hAnsi="Times New Roman" w:eastAsia="宋体" w:cs="宋体"/>
          <w:lang w:val="en-US" w:eastAsia="zh-CN"/>
        </w:rPr>
        <w:t>信息化项目前期工作专项</w:t>
      </w:r>
      <w:bookmarkEnd w:id="45"/>
    </w:p>
    <w:p w14:paraId="46C74928">
      <w:pPr>
        <w:ind w:firstLine="480" w:firstLineChars="200"/>
        <w:rPr>
          <w:rFonts w:hint="eastAsia" w:ascii="Times New Roman" w:hAnsi="Times New Roman" w:eastAsia="宋体" w:cs="Times New Roman"/>
          <w:lang w:val="en-US" w:eastAsia="zh-CN"/>
        </w:rPr>
      </w:pPr>
      <w:r>
        <w:rPr>
          <w:rFonts w:hint="eastAsia" w:ascii="宋体" w:hAnsi="宋体"/>
          <w:lang w:val="en-US" w:eastAsia="zh-CN"/>
        </w:rPr>
        <w:t>2026年下半年、2027年全年和2028年上半年</w:t>
      </w:r>
      <w:r>
        <w:rPr>
          <w:rFonts w:hint="eastAsia" w:ascii="Times New Roman" w:hAnsi="Times New Roman" w:eastAsia="宋体" w:cs="Times New Roman"/>
          <w:lang w:val="en-US" w:eastAsia="zh-CN"/>
        </w:rPr>
        <w:t>梳理2027</w:t>
      </w:r>
      <w:r>
        <w:rPr>
          <w:rFonts w:hint="eastAsia" w:cs="Times New Roman"/>
          <w:lang w:val="en-US" w:eastAsia="zh-CN"/>
        </w:rPr>
        <w:t>年、</w:t>
      </w:r>
      <w:r>
        <w:rPr>
          <w:rFonts w:hint="eastAsia" w:ascii="Times New Roman" w:hAnsi="Times New Roman" w:eastAsia="宋体" w:cs="Times New Roman"/>
          <w:lang w:val="en-US" w:eastAsia="zh-CN"/>
        </w:rPr>
        <w:t>2028年拟建信息化项目清单，编制前期工作计划；开展拟编制的分子公司管控类以及网公司委托编制的网公司管控类信息化项目的调研收资和需求分析，完成可研报告和估算书编制和审查完善；对各项目背景、依据、目标、现状及需求、必要性和可行性进行分析，提出项目建设方案、实施计划及投资估算，分析项目风险和效益，得出研究结论，具体如下：</w:t>
      </w:r>
    </w:p>
    <w:p w14:paraId="79168A3C">
      <w:pPr>
        <w:pStyle w:val="7"/>
        <w:tabs>
          <w:tab w:val="left" w:pos="720"/>
          <w:tab w:val="clear" w:pos="420"/>
          <w:tab w:val="clear" w:pos="864"/>
        </w:tabs>
        <w:bidi w:val="0"/>
        <w:ind w:left="0" w:leftChars="0" w:firstLine="0" w:firstLineChars="0"/>
        <w:rPr>
          <w:rFonts w:hint="eastAsia"/>
          <w:lang w:val="en-US" w:eastAsia="zh-CN"/>
        </w:rPr>
      </w:pPr>
      <w:r>
        <w:rPr>
          <w:rFonts w:hint="eastAsia"/>
          <w:lang w:val="en-US" w:eastAsia="zh-CN"/>
        </w:rPr>
        <w:t>项目启动</w:t>
      </w:r>
    </w:p>
    <w:p w14:paraId="23DC9421">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项目启动是信息化项目管理的第一个阶段，步骤及内容如下：</w:t>
      </w:r>
    </w:p>
    <w:p w14:paraId="718BF586">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eastAsia"/>
        </w:rPr>
        <w:t>信息化项目前期工作启动，研究分析网公司信息化规划项目库，制订信息化项目前期工作总体工作计划</w:t>
      </w:r>
      <w:r>
        <w:rPr>
          <w:rFonts w:hint="eastAsia" w:ascii="Times New Roman" w:hAnsi="Times New Roman" w:eastAsia="宋体" w:cs="Times New Roman"/>
          <w:lang w:val="en-US" w:eastAsia="zh-CN"/>
        </w:rPr>
        <w:t>。</w:t>
      </w:r>
    </w:p>
    <w:p w14:paraId="0399E946">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eastAsia"/>
        </w:rPr>
        <w:t>通过直接访谈、查阅历史资料等渠道，了解</w:t>
      </w:r>
      <w:r>
        <w:rPr>
          <w:rFonts w:hint="eastAsia"/>
          <w:lang w:eastAsia="zh-CN"/>
        </w:rPr>
        <w:t>企业</w:t>
      </w:r>
      <w:r>
        <w:rPr>
          <w:rFonts w:hint="eastAsia"/>
        </w:rPr>
        <w:t>信息化发展历程、主营业务、现状等，研究分析信息化建设需求和期望，收集项目相关基础资料</w:t>
      </w:r>
      <w:r>
        <w:rPr>
          <w:rFonts w:hint="eastAsia" w:ascii="Times New Roman" w:hAnsi="Times New Roman" w:eastAsia="宋体" w:cs="Times New Roman"/>
          <w:lang w:val="en-US" w:eastAsia="zh-CN"/>
        </w:rPr>
        <w:t>。</w:t>
      </w:r>
    </w:p>
    <w:p w14:paraId="71B9C9FB">
      <w:pPr>
        <w:pStyle w:val="7"/>
        <w:tabs>
          <w:tab w:val="left" w:pos="720"/>
          <w:tab w:val="clear" w:pos="420"/>
          <w:tab w:val="clear" w:pos="864"/>
        </w:tabs>
        <w:bidi w:val="0"/>
        <w:ind w:left="0" w:leftChars="0" w:firstLine="0" w:firstLineChars="0"/>
        <w:rPr>
          <w:rFonts w:hint="eastAsia" w:ascii="Times New Roman" w:hAnsi="Times New Roman" w:eastAsia="宋体" w:cs="宋体"/>
          <w:lang w:val="en-US" w:eastAsia="zh-CN"/>
        </w:rPr>
      </w:pPr>
      <w:r>
        <w:rPr>
          <w:rFonts w:hint="eastAsia" w:ascii="Times New Roman" w:hAnsi="Times New Roman" w:cs="Times New Roman"/>
          <w:lang w:val="en-US" w:eastAsia="zh-CN"/>
        </w:rPr>
        <w:t>调研</w:t>
      </w:r>
      <w:r>
        <w:rPr>
          <w:rFonts w:hint="eastAsia" w:ascii="Times New Roman" w:hAnsi="Times New Roman" w:eastAsia="宋体" w:cs="宋体"/>
          <w:lang w:val="en-US" w:eastAsia="zh-CN"/>
        </w:rPr>
        <w:t>收资</w:t>
      </w:r>
    </w:p>
    <w:p w14:paraId="09D6BBC7">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eastAsia"/>
        </w:rPr>
        <w:t>与南方电网产业发展集团有限责任公司相关负责人协调沟通</w:t>
      </w:r>
      <w:r>
        <w:rPr>
          <w:rFonts w:hint="eastAsia"/>
          <w:lang w:eastAsia="zh-CN"/>
        </w:rPr>
        <w:t>，制订</w:t>
      </w:r>
      <w:r>
        <w:rPr>
          <w:rFonts w:hint="eastAsia"/>
        </w:rPr>
        <w:t>详细的调研计划，包括调研内容、调研对象、调研时间等</w:t>
      </w:r>
      <w:r>
        <w:rPr>
          <w:rFonts w:hint="eastAsia" w:ascii="Times New Roman" w:hAnsi="Times New Roman" w:eastAsia="宋体" w:cs="Times New Roman"/>
          <w:lang w:val="en-US" w:eastAsia="zh-CN"/>
        </w:rPr>
        <w:t>。</w:t>
      </w:r>
    </w:p>
    <w:p w14:paraId="7605436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eastAsia"/>
        </w:rPr>
        <w:t>调研准备工作，包括准备调研问题、问卷等，采取现场调研、非现场调研等形式，对被调研单位的项目历程和现状进行了解分析</w:t>
      </w:r>
      <w:r>
        <w:rPr>
          <w:rFonts w:hint="eastAsia" w:ascii="Times New Roman" w:hAnsi="Times New Roman" w:eastAsia="宋体" w:cs="Times New Roman"/>
          <w:lang w:val="en-US" w:eastAsia="zh-CN"/>
        </w:rPr>
        <w:t>。</w:t>
      </w:r>
    </w:p>
    <w:p w14:paraId="123B2D8F">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3、梳理历史项目建设情况，与拟建设项目进行比对分析，避免项目重复建设。</w:t>
      </w:r>
    </w:p>
    <w:p w14:paraId="098311CA">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4、调研分析，根据本项目实施期间信息化项目建设特点，分析项目相关需求。</w:t>
      </w:r>
    </w:p>
    <w:p w14:paraId="18388DDD">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5、调研分析各信息化项目相关建设基础与现状，如运行情况、功能组成、运行平台、开发平台、存在问题</w:t>
      </w:r>
      <w:r>
        <w:rPr>
          <w:rFonts w:hint="eastAsia" w:cs="Times New Roman"/>
          <w:lang w:val="en-US" w:eastAsia="zh-CN"/>
        </w:rPr>
        <w:t>等</w:t>
      </w:r>
      <w:r>
        <w:rPr>
          <w:rFonts w:hint="eastAsia" w:ascii="Times New Roman" w:hAnsi="Times New Roman" w:eastAsia="宋体" w:cs="Times New Roman"/>
          <w:lang w:val="en-US" w:eastAsia="zh-CN"/>
        </w:rPr>
        <w:t>。</w:t>
      </w:r>
    </w:p>
    <w:p w14:paraId="6BF9D000">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6、调研分析各信息化项目相关基础设施的现状，如通信数据网络、数据平台、信息安全技术架构、各类技术标准</w:t>
      </w:r>
      <w:r>
        <w:rPr>
          <w:rFonts w:hint="eastAsia" w:cs="Times New Roman"/>
          <w:lang w:val="en-US" w:eastAsia="zh-CN"/>
        </w:rPr>
        <w:t>等</w:t>
      </w:r>
      <w:r>
        <w:rPr>
          <w:rFonts w:hint="eastAsia" w:ascii="Times New Roman" w:hAnsi="Times New Roman" w:eastAsia="宋体" w:cs="Times New Roman"/>
          <w:lang w:val="en-US" w:eastAsia="zh-CN"/>
        </w:rPr>
        <w:t>。</w:t>
      </w:r>
    </w:p>
    <w:p w14:paraId="223DE056">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7、调研各相关部门对信息化项目的发展要求，使项目团队进一步明确项目目标，促进配合，互享项目经验教训等。</w:t>
      </w:r>
    </w:p>
    <w:p w14:paraId="5D8D831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8、调研并分析行业内外项目相关案例。</w:t>
      </w:r>
    </w:p>
    <w:p w14:paraId="5ED76EAD">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9、收集项目相关的各项资料。</w:t>
      </w:r>
    </w:p>
    <w:p w14:paraId="02857980">
      <w:pPr>
        <w:pStyle w:val="7"/>
        <w:tabs>
          <w:tab w:val="left" w:pos="720"/>
          <w:tab w:val="clear" w:pos="420"/>
          <w:tab w:val="clear" w:pos="864"/>
        </w:tabs>
        <w:bidi w:val="0"/>
        <w:ind w:left="0" w:leftChars="0" w:firstLine="0" w:firstLineChars="0"/>
        <w:rPr>
          <w:rFonts w:hint="eastAsia" w:ascii="Times New Roman" w:hAnsi="Times New Roman" w:eastAsia="宋体" w:cs="宋体"/>
          <w:lang w:val="en-US" w:eastAsia="zh-CN"/>
        </w:rPr>
      </w:pPr>
      <w:r>
        <w:rPr>
          <w:rFonts w:hint="eastAsia" w:ascii="Times New Roman" w:hAnsi="Times New Roman" w:eastAsia="宋体" w:cs="宋体"/>
          <w:lang w:val="en-US" w:eastAsia="zh-CN"/>
        </w:rPr>
        <w:t>现状需求分析</w:t>
      </w:r>
    </w:p>
    <w:p w14:paraId="7BE6ED32">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1、根据网公司“十五五”数智化规划，综合考虑公司实际发展需求，确定实际需开展可研项目清单。</w:t>
      </w:r>
    </w:p>
    <w:p w14:paraId="47E343A5">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2、分析评估总结信息化项目现状和需求，包括项目相关管理提升需求现状、技术提升需求现状、基础设施、运行现状以及各业务单位对项目的业务操作需求现状等。</w:t>
      </w:r>
    </w:p>
    <w:p w14:paraId="5B7AEF33">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3、对项目相关主流建设模式案例和主流技术进行分析研究。</w:t>
      </w:r>
    </w:p>
    <w:p w14:paraId="74B75D1E">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4、对比发展需求与现状基础，对比国内外先进技术及相关案例等方面，深入分析项目建设的必要性。</w:t>
      </w:r>
    </w:p>
    <w:p w14:paraId="474F86AD">
      <w:pPr>
        <w:pStyle w:val="7"/>
        <w:tabs>
          <w:tab w:val="left" w:pos="720"/>
          <w:tab w:val="clear" w:pos="420"/>
          <w:tab w:val="clear" w:pos="864"/>
        </w:tabs>
        <w:bidi w:val="0"/>
        <w:ind w:left="0" w:leftChars="0" w:firstLine="0" w:firstLineChars="0"/>
        <w:rPr>
          <w:rFonts w:hint="eastAsia" w:ascii="Times New Roman" w:hAnsi="Times New Roman" w:eastAsia="宋体" w:cs="宋体"/>
          <w:lang w:val="en-US" w:eastAsia="zh-CN"/>
        </w:rPr>
      </w:pPr>
      <w:r>
        <w:rPr>
          <w:rFonts w:hint="eastAsia" w:ascii="Times New Roman" w:hAnsi="Times New Roman" w:eastAsia="宋体" w:cs="宋体"/>
          <w:lang w:val="en-US" w:eastAsia="zh-CN"/>
        </w:rPr>
        <w:t>编制可行性研究报告</w:t>
      </w:r>
    </w:p>
    <w:p w14:paraId="2DD16379">
      <w:pPr>
        <w:ind w:firstLine="482" w:firstLineChars="200"/>
        <w:rPr>
          <w:rFonts w:hint="default" w:ascii="Times New Roman" w:hAnsi="Times New Roman" w:eastAsia="宋体" w:cs="Times New Roman"/>
          <w:lang w:val="en-US" w:eastAsia="zh-CN"/>
        </w:rPr>
      </w:pPr>
      <w:r>
        <w:rPr>
          <w:rFonts w:hint="eastAsia" w:ascii="Times New Roman" w:hAnsi="Times New Roman" w:eastAsia="宋体" w:cs="Times New Roman"/>
          <w:b/>
          <w:bCs/>
          <w:lang w:val="en-US" w:eastAsia="zh-CN"/>
        </w:rPr>
        <w:t>报告编制步骤</w:t>
      </w:r>
      <w:r>
        <w:rPr>
          <w:rFonts w:hint="eastAsia" w:ascii="Times New Roman" w:hAnsi="Times New Roman" w:eastAsia="宋体" w:cs="Times New Roman"/>
          <w:lang w:val="en-US" w:eastAsia="zh-CN"/>
        </w:rPr>
        <w:t>包括收资分析、初步方案设计、投资估算、效益分析、风险分析等，具体如下：</w:t>
      </w:r>
    </w:p>
    <w:p w14:paraId="70C52A93">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1、根据收集资料、调研分析及现状分析，分析项目背景和现状，研究项目建设可行性和必要性。</w:t>
      </w:r>
    </w:p>
    <w:p w14:paraId="227A2ABB">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2、项目初步建设方案设计，该过程主要</w:t>
      </w:r>
      <w:r>
        <w:rPr>
          <w:rFonts w:hint="eastAsia" w:cs="Times New Roman"/>
          <w:lang w:val="en-US" w:eastAsia="zh-CN"/>
        </w:rPr>
        <w:t>基于</w:t>
      </w:r>
      <w:r>
        <w:rPr>
          <w:rFonts w:hint="eastAsia" w:ascii="Times New Roman" w:hAnsi="Times New Roman" w:eastAsia="宋体" w:cs="Times New Roman"/>
          <w:lang w:val="en-US" w:eastAsia="zh-CN"/>
        </w:rPr>
        <w:t>项目相关业务特点和业务管理提升需求</w:t>
      </w:r>
      <w:r>
        <w:rPr>
          <w:rFonts w:hint="eastAsia" w:cs="Times New Roman"/>
          <w:lang w:val="en-US" w:eastAsia="zh-CN"/>
        </w:rPr>
        <w:t>的分析</w:t>
      </w:r>
      <w:r>
        <w:rPr>
          <w:rFonts w:hint="eastAsia" w:ascii="Times New Roman" w:hAnsi="Times New Roman" w:eastAsia="宋体" w:cs="Times New Roman"/>
          <w:lang w:val="en-US" w:eastAsia="zh-CN"/>
        </w:rPr>
        <w:t>、项目建设现状</w:t>
      </w:r>
      <w:r>
        <w:rPr>
          <w:rFonts w:hint="eastAsia" w:cs="Times New Roman"/>
          <w:lang w:val="en-US" w:eastAsia="zh-CN"/>
        </w:rPr>
        <w:t>的分析</w:t>
      </w:r>
      <w:r>
        <w:rPr>
          <w:rFonts w:hint="eastAsia" w:ascii="Times New Roman" w:hAnsi="Times New Roman" w:eastAsia="宋体" w:cs="Times New Roman"/>
          <w:lang w:val="en-US" w:eastAsia="zh-CN"/>
        </w:rPr>
        <w:t>和评估，以及目前项目相关主流技术模式和发展趋势。包括对当前主流技术及建设架构进行分析，并对其存在的优缺点进行比较分析，提出项目初步建设方案。</w:t>
      </w:r>
    </w:p>
    <w:p w14:paraId="4577EC12">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3、分析项目实施所需的条件、实施时间计划、组织措施保证计划，对实施计划合理性和可行性进行分析。</w:t>
      </w:r>
    </w:p>
    <w:p w14:paraId="69FBBCFB">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4、投资估算，根据可行性研究初步建设方案与实施方案，研究提出项目建设投资估算。</w:t>
      </w:r>
    </w:p>
    <w:p w14:paraId="77546CF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5、效益分析：分析项目建设的业务效益、管理效益、社会效益等。</w:t>
      </w:r>
    </w:p>
    <w:p w14:paraId="6942D57E">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6、风险分析与应对措施研究，分析提出项目建设过程中可能存在的管理、技术等方面</w:t>
      </w:r>
      <w:r>
        <w:rPr>
          <w:rFonts w:hint="eastAsia" w:cs="Times New Roman"/>
          <w:lang w:val="en-US" w:eastAsia="zh-CN"/>
        </w:rPr>
        <w:t>的</w:t>
      </w:r>
      <w:r>
        <w:rPr>
          <w:rFonts w:hint="eastAsia" w:ascii="Times New Roman" w:hAnsi="Times New Roman" w:eastAsia="宋体" w:cs="Times New Roman"/>
          <w:lang w:val="en-US" w:eastAsia="zh-CN"/>
        </w:rPr>
        <w:t>风险，并提出初步的应对措施和保障措施，为后期项目建设及实施工作提供指导。</w:t>
      </w:r>
    </w:p>
    <w:p w14:paraId="77A1DBED">
      <w:pPr>
        <w:ind w:firstLine="482" w:firstLineChars="200"/>
        <w:rPr>
          <w:rFonts w:hint="eastAsia" w:ascii="Times New Roman" w:hAnsi="Times New Roman" w:eastAsia="宋体" w:cs="Times New Roman"/>
          <w:lang w:val="en-US" w:eastAsia="zh-CN"/>
        </w:rPr>
      </w:pPr>
      <w:r>
        <w:rPr>
          <w:rFonts w:hint="eastAsia" w:ascii="Times New Roman" w:hAnsi="Times New Roman" w:eastAsia="宋体" w:cs="Times New Roman"/>
          <w:b/>
          <w:bCs/>
          <w:lang w:val="en-US" w:eastAsia="zh-CN"/>
        </w:rPr>
        <w:t>报告内容</w:t>
      </w:r>
      <w:r>
        <w:rPr>
          <w:rFonts w:hint="eastAsia" w:ascii="Times New Roman" w:hAnsi="Times New Roman" w:eastAsia="宋体" w:cs="Times New Roman"/>
          <w:lang w:val="en-US" w:eastAsia="zh-CN"/>
        </w:rPr>
        <w:t>随项目建设内容不同有所差异，初步计划主要包括以下内容（实际</w:t>
      </w:r>
      <w:r>
        <w:rPr>
          <w:rFonts w:hint="eastAsia" w:cs="Times New Roman"/>
          <w:lang w:val="en-US" w:eastAsia="zh-CN"/>
        </w:rPr>
        <w:t>以</w:t>
      </w:r>
      <w:r>
        <w:rPr>
          <w:rFonts w:hint="eastAsia" w:ascii="Times New Roman" w:hAnsi="Times New Roman" w:eastAsia="宋体" w:cs="Times New Roman"/>
          <w:lang w:val="en-US" w:eastAsia="zh-CN"/>
        </w:rPr>
        <w:t>当年要求的可研模板为准）：</w:t>
      </w:r>
    </w:p>
    <w:p w14:paraId="4448FE8C">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1、开发实施类章节要求初步如下：</w:t>
      </w:r>
    </w:p>
    <w:p w14:paraId="06312CB9">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概述：包括项目背景、项目依据、项目目标、项目范围等。</w:t>
      </w:r>
    </w:p>
    <w:p w14:paraId="6BEC474C">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项目现状及必要性分析：包括现状分析、需求分析、必要性结论等。</w:t>
      </w:r>
    </w:p>
    <w:p w14:paraId="7400B534">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项目方案：包括业务架构、应用架构、技术架构、系统部署方式、软硬件资源需求、安全技术方案、实施方案、运维管理建议等。</w:t>
      </w:r>
    </w:p>
    <w:p w14:paraId="37B681CE">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项目投资估算：包括投资依据说明、项目投资及资金计划建议等，估算需合理、严谨，参数及标准取值等规范。</w:t>
      </w:r>
    </w:p>
    <w:p w14:paraId="108380CD">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项目效益分析：包括项目建设的管理、经济、社会效益等，同时根据实际项目情况对照信息化投资效益指标库，描述对信息化投资效益指标的贡献情况。</w:t>
      </w:r>
    </w:p>
    <w:p w14:paraId="5613C2B7">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分析：明确本项目的风险是否明确且可控：包括从管理模式与设计方法的转变风险、人力资源风险、项目范围变更风险、项目进度风险、沟通风险、项目资金风险等角度，描述本项目的风险，并列举相应的应对策略。</w:t>
      </w:r>
    </w:p>
    <w:p w14:paraId="1588C3FE">
      <w:pPr>
        <w:numPr>
          <w:ilvl w:val="0"/>
          <w:numId w:val="7"/>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项目可研结论：从项目立项必要性、技术路线可行性、投资合理性和架构遵从性分别简述项目可行性研究结论，评价项目在管理效益、价值创造、社会效益等各方面效果和风险，提出项目是否可行的研究结论。</w:t>
      </w:r>
    </w:p>
    <w:p w14:paraId="7328D18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2、实施类章节要求初步如下：</w:t>
      </w:r>
    </w:p>
    <w:p w14:paraId="2AF882B8">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概述：包括项目背景、项目依据、项目目标、项目范围等。</w:t>
      </w:r>
    </w:p>
    <w:p w14:paraId="2B6D8537">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项目现状及必要性分析：包括现状分析、需求分析、必要性结论等。</w:t>
      </w:r>
    </w:p>
    <w:p w14:paraId="3794457C">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项目实施方案：包括实施策略、实施工作、实施计划、实施任务分解等。</w:t>
      </w:r>
    </w:p>
    <w:p w14:paraId="2A72912A">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项目投资估算：包括投资依据说明、项目投资及资金计划建议等，估算需合理、严谨，参数及标准取值等规范。</w:t>
      </w:r>
    </w:p>
    <w:p w14:paraId="5D909D6D">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项目效益分析：包括项目建设的管理、经济、社会效益等。</w:t>
      </w:r>
    </w:p>
    <w:p w14:paraId="314C59D7">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分析：明确本项目的风险是否明确且可控：包括从管理模式与设计方法的转变风险、人力资源风险、项目范围变更风险、项目进度风险、沟通风险、项目资金风险等角度，描述本项目的风险，并列举相应的应对策略。</w:t>
      </w:r>
    </w:p>
    <w:p w14:paraId="1F6D15AC">
      <w:pPr>
        <w:numPr>
          <w:ilvl w:val="0"/>
          <w:numId w:val="8"/>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项目可研结论：从项目立项必要性、投资合理性分别简述项目可行性研究结论，评价项目在管理效益、价值创造、社会效益等各方面效果和风险，提出项目是否可行的研究结论。</w:t>
      </w:r>
    </w:p>
    <w:p w14:paraId="19A2F35E">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3、工单模式类章节要求初步如下：</w:t>
      </w:r>
    </w:p>
    <w:p w14:paraId="675E014B">
      <w:pPr>
        <w:numPr>
          <w:ilvl w:val="0"/>
          <w:numId w:val="9"/>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概述：包括项目背景、项目依据、项目目标、项目范围等。</w:t>
      </w:r>
    </w:p>
    <w:p w14:paraId="53D0A8E8">
      <w:pPr>
        <w:numPr>
          <w:ilvl w:val="0"/>
          <w:numId w:val="9"/>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项目现状及必要性分析：包括现状分析、需求分析、必要性结论等。</w:t>
      </w:r>
    </w:p>
    <w:p w14:paraId="48B079E5">
      <w:pPr>
        <w:numPr>
          <w:ilvl w:val="0"/>
          <w:numId w:val="9"/>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项目方案：包括业务架构、应用架构、技术架构、系统部署方式、软硬件资源需求、安全技术方案、项目实施方案等。</w:t>
      </w:r>
    </w:p>
    <w:p w14:paraId="2FDAEA2D">
      <w:pPr>
        <w:numPr>
          <w:ilvl w:val="0"/>
          <w:numId w:val="9"/>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项目投资估算：包括投资依据说明、项目投资及资金计划建议等，估算需合理、严谨，参数及标准取值等规范。</w:t>
      </w:r>
    </w:p>
    <w:p w14:paraId="30C10F8F">
      <w:pPr>
        <w:numPr>
          <w:ilvl w:val="0"/>
          <w:numId w:val="9"/>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项目可研结论：从项目立项必要性、技术路线可行性、投资合理性和架构遵从性分别简述项目可行性研究结论，提出项目是否可行的研究结论。</w:t>
      </w:r>
    </w:p>
    <w:p w14:paraId="58BB09D6">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4、安全、运营等技术服务类章节要求初步如下：</w:t>
      </w:r>
    </w:p>
    <w:p w14:paraId="73079D2A">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概述：包括项目背景分析、项目依据、项目目标、项目范围等。</w:t>
      </w:r>
    </w:p>
    <w:p w14:paraId="5DD67127">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项目现状及必要性分析：包括现状分析、需求分析、必要性结论等。</w:t>
      </w:r>
    </w:p>
    <w:p w14:paraId="16DCCAEF">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项目方案：包括针对运营项目的运营指标、项目技术服务内容、项目实施方案等。</w:t>
      </w:r>
    </w:p>
    <w:p w14:paraId="52CC4B3B">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投资估算：包括投资依据说明、项目投资及资金计划建议等，估算需合理、严谨，参数及标准取值等规范。</w:t>
      </w:r>
    </w:p>
    <w:p w14:paraId="7CA1DC7F">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效益分析：包括项目建设的管理、经济、社会效益等。</w:t>
      </w:r>
    </w:p>
    <w:p w14:paraId="739BFEF7">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分析：明确本项目的风险是否明确且可控：包括从管理模式与设计方法的转变风险、人力资源风险、项目范围变更风险、项目进度风险、沟通风险、项目资金风险等角度，描述本项目的风险，并列举相应的应对策略。</w:t>
      </w:r>
    </w:p>
    <w:p w14:paraId="4AF4FDEE">
      <w:pPr>
        <w:numPr>
          <w:ilvl w:val="0"/>
          <w:numId w:val="10"/>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项目结论：从项目立项必要性、投资合理性分别简述项目可行性研究结论，评价项目在管理效益、价值创造、社会效益等各方面效果和风险，提出项目是否可行的研究结论。</w:t>
      </w:r>
    </w:p>
    <w:p w14:paraId="4733C514">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5、信息机房建设类章节要求初步如下：</w:t>
      </w:r>
    </w:p>
    <w:p w14:paraId="208F6288">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概述：包括项目依据、工程概况、目标及意义、项目范围等。</w:t>
      </w:r>
    </w:p>
    <w:p w14:paraId="24098297">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现状及需求分析：包括现状分析、需求分析等。</w:t>
      </w:r>
    </w:p>
    <w:p w14:paraId="288521CD">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必要性及可行性分析：围绕与重大战略、公司发展规划的契合性，基于信息机房建设需求分析结论，论证项目对解决现存问题的必要性及可行性。</w:t>
      </w:r>
    </w:p>
    <w:p w14:paraId="1F2497E0">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技术方案：包括机房布局设计、机房装修、机房供电、机房空调、机房防雷接地、机房综合布线、机房安保系统、机房综合监控、机房气体消防、接口要求等。</w:t>
      </w:r>
    </w:p>
    <w:p w14:paraId="644BD21B">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接口要求：给出机房与网络设备机房、通信机房等的互联要求；给出机房与大楼其他环境的监控要求。</w:t>
      </w:r>
    </w:p>
    <w:p w14:paraId="4D0428AE">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实施方案：包括实施策略、实施内容、实施计划、实施任务分解等。</w:t>
      </w:r>
    </w:p>
    <w:p w14:paraId="39917EA8">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设备清单及投资估算：主要设备材料清单和投资估算，投资估算包括投资依据说明、项目投资及资金计划建议等，估算需合理、严谨，参数及标准取值等规范。</w:t>
      </w:r>
    </w:p>
    <w:p w14:paraId="7659DCEF">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项目效益分析：包括项目建设的管理、经济、社会效益等。</w:t>
      </w:r>
    </w:p>
    <w:p w14:paraId="219DB1F3">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项目风险及保障措施：从管理模式与设计方法的转变风险、人力资源风险、项目范围变更风险、项目进度风险、沟通风险、项目资金风险等角度，描述本项目的风险，并列举相应的保障措施。</w:t>
      </w:r>
    </w:p>
    <w:p w14:paraId="629D9579">
      <w:pPr>
        <w:numPr>
          <w:ilvl w:val="0"/>
          <w:numId w:val="11"/>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项目可研结论：从项目立项必要性、投资合理性分别简述项目可行性研究结论，评价项目在管理效益、价值创造、社会效益等各方面效果和风险，提出项目是否可行的研究结论。</w:t>
      </w:r>
    </w:p>
    <w:p w14:paraId="7CFF94D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6、局域网建设类章节要求初步如下：</w:t>
      </w:r>
    </w:p>
    <w:p w14:paraId="71EA1063">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概述：包括项目依据、工程概况、目标及意义、项目范围等。</w:t>
      </w:r>
    </w:p>
    <w:p w14:paraId="4191F6AA">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现状及需求分析：包括现状分析、需求分析等。</w:t>
      </w:r>
    </w:p>
    <w:p w14:paraId="2E99902D">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必要性及可行性分析：围绕与重大战略、公司发展规划的契合性，基于局域网建设需求分析结论，论证项目对解决现存问题的必要性及可行性。</w:t>
      </w:r>
    </w:p>
    <w:p w14:paraId="21005C16">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技术方案：重点描述网络建设各组成部分、与广域网接口等技术方案。</w:t>
      </w:r>
    </w:p>
    <w:p w14:paraId="265B37EA">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实施方案：包括实施策略、实施内容、实施计划、实施任务分解等。</w:t>
      </w:r>
    </w:p>
    <w:p w14:paraId="45955102">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设备清单及投资估算：主要设备材料清单和投资估算，投资估算包括投资依据说明、项目投资及资金计划建议等，估算需合理、严谨，参数及标准取值等规范。</w:t>
      </w:r>
    </w:p>
    <w:p w14:paraId="4FE36B8D">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项目效益分析：包括项目建设的管理、经济、社会效益等。</w:t>
      </w:r>
    </w:p>
    <w:p w14:paraId="1703CC6D">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项目风险及保障措施：从管理模式与设计方法的转变风险、人力资源风险、项目范围变更风险、项目进度风险、沟通风险、项目资金风险等角度，描述本项目的风险，并列举相应的保障措施。</w:t>
      </w:r>
    </w:p>
    <w:p w14:paraId="6B650A9D">
      <w:pPr>
        <w:numPr>
          <w:ilvl w:val="0"/>
          <w:numId w:val="12"/>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项目可研结论：从项目立项必要性、投资合理性分别简述项目可行性研究结论，评价项目在管理效益、价值创造、社会效益等各方面效果和风险，提出项目是否可行的研究结论。</w:t>
      </w:r>
    </w:p>
    <w:p w14:paraId="099E96A2">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7、软硬件购置类章节要求初步如下：</w:t>
      </w:r>
    </w:p>
    <w:p w14:paraId="601EE851">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概述：包括项目背景分析、项目依据、项目目标、项目范围等。</w:t>
      </w:r>
    </w:p>
    <w:p w14:paraId="2F5CB3A3">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项目现状及必要性分析：包括现状分析、需求分析、必要性结论等。</w:t>
      </w:r>
    </w:p>
    <w:p w14:paraId="77947D6B">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项目方案：包括软硬件设备配置方案、采购方案、实施方案等。</w:t>
      </w:r>
    </w:p>
    <w:p w14:paraId="5EB92ACB">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投资估算：包括投资依据说明、项目投资及资金计划建议等，估算需合理、严谨，参数及标准取值等规范。</w:t>
      </w:r>
    </w:p>
    <w:p w14:paraId="68895DAC">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项目效益分析：从管理效益、经济效益和社会效益三方面分析项目建设效益，同时需要对照信息化投资效益指标库，描述对信息化投资效益指标的贡献。</w:t>
      </w:r>
    </w:p>
    <w:p w14:paraId="3FB2F8CC">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项目风险及保障措施：从管理模式与设计方法的转变风险、人力资源风险、项目范围变更风险、项目进度风险、沟通风险、项目资金风险等角度，描述本项目的风险，并列举相应的保障措施。</w:t>
      </w:r>
    </w:p>
    <w:p w14:paraId="47AAA2CC">
      <w:pPr>
        <w:numPr>
          <w:ilvl w:val="0"/>
          <w:numId w:val="13"/>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项目可研结论：从项目立项必要性、投资合理性分别简述项目可行性研究结论，评价项目在管理效益、价值创造、社会效益等各方面效果和风险，提出项目是否可行的研究结论。</w:t>
      </w:r>
    </w:p>
    <w:p w14:paraId="4D190DD6">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8、信息专题研究类章节要求初步如下：</w:t>
      </w:r>
    </w:p>
    <w:p w14:paraId="16B14484">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概述：包括项目背景分析、项目依据、项目目标、项目范围等。</w:t>
      </w:r>
    </w:p>
    <w:p w14:paraId="2341F9E4">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项目现状及必要性分析：包括项目现状分析、需求分析、必要性结论等。</w:t>
      </w:r>
    </w:p>
    <w:p w14:paraId="686EFFB7">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项目研究内容：明确本项目的具体研究内容、主要成果及交付物。</w:t>
      </w:r>
    </w:p>
    <w:p w14:paraId="67B13F6D">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项目实施计划：包括实施策略、计划步骤等。</w:t>
      </w:r>
    </w:p>
    <w:p w14:paraId="24BF8B43">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项目投资估算：包括投资依据说明、项目投资及资金计划建议等，估算需合理、严谨，参数及标准取值等规范。</w:t>
      </w:r>
    </w:p>
    <w:p w14:paraId="0EBC180D">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经济效益分析：从管理效益、经济效益和社会效益三方面分析项目建设效益，同时需要对照信息化投资效益指标库，描述对信息化投资效益指标的贡献。</w:t>
      </w:r>
    </w:p>
    <w:p w14:paraId="783F9DDB">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项目预期应用前景：阐述研究成果可能应用的具体领域，或最终会形成什么样的产品或服务推向市场或应用于实际场景等。</w:t>
      </w:r>
    </w:p>
    <w:p w14:paraId="3D42FB20">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项目风险及保障措施：从管理模式与设计方法的转变风险、人力资源风险、项目范围变更风险、项目进度风险、沟通风险、项目资金风险等角度，描述本项目的风险，并列举相应的保障措施。</w:t>
      </w:r>
    </w:p>
    <w:p w14:paraId="6077087D">
      <w:pPr>
        <w:numPr>
          <w:ilvl w:val="0"/>
          <w:numId w:val="14"/>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项目研究结论：从项目立项必要性、投资合理性分别简述项目可行性研究结论，评价项目在管理效益、价值创造、社会效益等各方面效果和风险，提出项目是否可行的研究结论。</w:t>
      </w:r>
    </w:p>
    <w:p w14:paraId="4FE3C268">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9、信息资源租赁服务类章节要求初步如下：</w:t>
      </w:r>
    </w:p>
    <w:p w14:paraId="0F8F98FB">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概述：包括项目背景分析、项目依据、项目目标、项目范围等。</w:t>
      </w:r>
    </w:p>
    <w:p w14:paraId="504FAD40">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项目现状及必要性分析：包括现状分析、需求分析、必要性结论等。</w:t>
      </w:r>
    </w:p>
    <w:p w14:paraId="5DAB0529">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项目方案：信息化资源租赁的主要内容、推荐配置等，包括物理机、虚拟机、存储、网络设备、安全设备、机柜等。</w:t>
      </w:r>
    </w:p>
    <w:p w14:paraId="30FD8F11">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投资估算：包括投资依据说明、项目投资及资金计划建议等，估算需合理、严谨，参数及标准取值等规范。</w:t>
      </w:r>
    </w:p>
    <w:p w14:paraId="1240A095">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项目效益分析：从管理效益、经济效益方面分析项目建设效益，同时需要对照信息化投资效益指标库，描述对信息化投资效益指标的贡献。</w:t>
      </w:r>
    </w:p>
    <w:p w14:paraId="2467E1BB">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项目风险及保障措施：从管理模式与设计方法的转变风险、人力资源风险、项目范围变更风险等角度，描述本项目的风险，并列举相应的保障措施。</w:t>
      </w:r>
    </w:p>
    <w:p w14:paraId="21452E24">
      <w:pPr>
        <w:numPr>
          <w:ilvl w:val="0"/>
          <w:numId w:val="1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项目可研结论：从项目立项必要性、投资合理性分别简述项目可行性研究结论，评价项目在管理效益、价值创造等各方面效果和风险，提出项目是否可行的研究结论。</w:t>
      </w:r>
    </w:p>
    <w:p w14:paraId="63728793">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10、维护类章节要求初步如下：</w:t>
      </w:r>
    </w:p>
    <w:p w14:paraId="195CB488">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概述：包括项目背景分析、项目依据、项目目标、项目范围等。</w:t>
      </w:r>
    </w:p>
    <w:p w14:paraId="5D5E5AB1">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项目现状及必要性分析：包括项目现状及需求分析、必要性结论等。</w:t>
      </w:r>
    </w:p>
    <w:p w14:paraId="488E1BFA">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项目维护方案：主要维护内容及相应交付物，包括IT服务、终端设备、服务器设备、存储设备、网络设备、安全设备、第三方软件、应用系统等。</w:t>
      </w:r>
    </w:p>
    <w:p w14:paraId="6DF5AA7F">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项目实施计划：包括实施策略、计划步骤等。</w:t>
      </w:r>
    </w:p>
    <w:p w14:paraId="3810E1F2">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投资估算：包括投资依据说明、项目投资及资金计划建议等，估算需合理、严谨，参数及标准取值等规范。</w:t>
      </w:r>
    </w:p>
    <w:p w14:paraId="7C86192F">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项目风险及保障措施：从管理模式与设计方法的转变风险、人力资源风险、项目范围变更风险等角度，描述本项目的风险，并列举相应的保障措施。</w:t>
      </w:r>
    </w:p>
    <w:p w14:paraId="2AFB756E">
      <w:pPr>
        <w:numPr>
          <w:ilvl w:val="0"/>
          <w:numId w:val="1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项目可研结论：从项目立项必要性、投资合理性分别简述项目可行性研究结论，评价项目风险，提出项目是否可行的研究结论。</w:t>
      </w:r>
    </w:p>
    <w:p w14:paraId="6894D811">
      <w:pPr>
        <w:pStyle w:val="7"/>
        <w:tabs>
          <w:tab w:val="left" w:pos="720"/>
          <w:tab w:val="clear" w:pos="420"/>
          <w:tab w:val="clear" w:pos="864"/>
        </w:tabs>
        <w:bidi w:val="0"/>
        <w:ind w:left="0" w:leftChars="0" w:firstLine="0" w:firstLineChars="0"/>
        <w:rPr>
          <w:rFonts w:hint="eastAsia" w:ascii="Times New Roman" w:hAnsi="Times New Roman" w:eastAsia="宋体" w:cs="宋体"/>
          <w:lang w:val="en-US" w:eastAsia="zh-CN"/>
        </w:rPr>
      </w:pPr>
      <w:r>
        <w:rPr>
          <w:rFonts w:hint="eastAsia" w:ascii="Times New Roman" w:hAnsi="Times New Roman" w:eastAsia="宋体" w:cs="宋体"/>
          <w:lang w:val="en-US" w:eastAsia="zh-CN"/>
        </w:rPr>
        <w:t>可研修改完善</w:t>
      </w:r>
    </w:p>
    <w:p w14:paraId="5C2A0C11">
      <w:pPr>
        <w:numPr>
          <w:ilvl w:val="0"/>
          <w:numId w:val="17"/>
        </w:num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可研评审后可研报告及估算书需根据评审意见及时完成修改完善。</w:t>
      </w:r>
    </w:p>
    <w:p w14:paraId="2F390983">
      <w:pPr>
        <w:pStyle w:val="6"/>
        <w:tabs>
          <w:tab w:val="left" w:pos="576"/>
          <w:tab w:val="clear" w:pos="432"/>
          <w:tab w:val="clear" w:pos="720"/>
        </w:tabs>
        <w:ind w:left="0"/>
        <w:rPr>
          <w:rFonts w:hint="eastAsia" w:ascii="Times New Roman" w:hAnsi="Times New Roman" w:eastAsia="宋体" w:cs="宋体"/>
          <w:lang w:val="en-US" w:eastAsia="zh-CN"/>
        </w:rPr>
      </w:pPr>
      <w:bookmarkStart w:id="46" w:name="_Toc569644391"/>
      <w:r>
        <w:rPr>
          <w:rFonts w:hint="eastAsia" w:ascii="Times New Roman" w:hAnsi="Times New Roman" w:eastAsia="宋体" w:cs="宋体"/>
          <w:lang w:val="en-US" w:eastAsia="zh-CN"/>
        </w:rPr>
        <w:t>信息化项目结算编审</w:t>
      </w:r>
      <w:bookmarkEnd w:id="46"/>
    </w:p>
    <w:p w14:paraId="4534BDD6">
      <w:pPr>
        <w:pStyle w:val="7"/>
        <w:tabs>
          <w:tab w:val="left" w:pos="432"/>
          <w:tab w:val="left" w:pos="720"/>
          <w:tab w:val="clear" w:pos="420"/>
          <w:tab w:val="clear" w:pos="864"/>
        </w:tabs>
        <w:rPr>
          <w:rFonts w:hint="default" w:ascii="Times New Roman" w:hAnsi="Times New Roman" w:eastAsia="宋体" w:cs="Times New Roman"/>
          <w:i w:val="0"/>
          <w:iCs w:val="0"/>
          <w:color w:val="auto"/>
          <w:lang w:val="en-US" w:eastAsia="zh-CN"/>
        </w:rPr>
      </w:pPr>
      <w:r>
        <w:rPr>
          <w:rFonts w:hint="default" w:ascii="Times New Roman" w:hAnsi="Times New Roman" w:eastAsia="宋体" w:cs="Times New Roman"/>
          <w:i w:val="0"/>
          <w:iCs w:val="0"/>
          <w:color w:val="auto"/>
          <w:lang w:val="en-US" w:eastAsia="zh-CN"/>
        </w:rPr>
        <w:t>前期准备</w:t>
      </w:r>
    </w:p>
    <w:p w14:paraId="0CEB24FF">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收集项目相关资料</w:t>
      </w:r>
      <w:r>
        <w:rPr>
          <w:rFonts w:hint="eastAsia" w:ascii="Times New Roman" w:hAnsi="Times New Roman" w:eastAsia="宋体" w:cs="Times New Roman"/>
          <w:lang w:val="en-US" w:eastAsia="zh-CN"/>
        </w:rPr>
        <w:t>：</w:t>
      </w:r>
      <w:r>
        <w:rPr>
          <w:rFonts w:hint="eastAsia" w:cs="Times New Roman"/>
          <w:lang w:val="en-US" w:eastAsia="zh-CN"/>
        </w:rPr>
        <w:t>（</w:t>
      </w: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项目文档收集：收集项目相关的所有文档资料，如项目可行性研究报告</w:t>
      </w:r>
      <w:r>
        <w:rPr>
          <w:rFonts w:hint="eastAsia" w:ascii="Times New Roman" w:hAnsi="Times New Roman" w:eastAsia="宋体" w:cs="Times New Roman"/>
          <w:lang w:val="en-US" w:eastAsia="zh-CN"/>
        </w:rPr>
        <w:t>（含投资估算书）</w:t>
      </w:r>
      <w:r>
        <w:rPr>
          <w:rFonts w:hint="default" w:ascii="Times New Roman" w:hAnsi="Times New Roman" w:eastAsia="宋体" w:cs="Times New Roman"/>
          <w:lang w:val="en-US" w:eastAsia="zh-CN"/>
        </w:rPr>
        <w:t>、</w:t>
      </w:r>
      <w:r>
        <w:rPr>
          <w:rFonts w:hint="eastAsia" w:ascii="Times New Roman" w:hAnsi="Times New Roman" w:eastAsia="宋体" w:cs="Times New Roman"/>
          <w:lang w:val="en-US" w:eastAsia="zh-CN"/>
        </w:rPr>
        <w:t>下达的投资计划文件、</w:t>
      </w:r>
      <w:r>
        <w:rPr>
          <w:rFonts w:hint="default" w:ascii="Times New Roman" w:hAnsi="Times New Roman" w:eastAsia="宋体" w:cs="Times New Roman"/>
          <w:lang w:val="en-US" w:eastAsia="zh-CN"/>
        </w:rPr>
        <w:t>项目合同、</w:t>
      </w:r>
      <w:r>
        <w:rPr>
          <w:rFonts w:hint="eastAsia" w:ascii="Times New Roman" w:hAnsi="Times New Roman" w:eastAsia="宋体" w:cs="Times New Roman"/>
          <w:lang w:val="en-US" w:eastAsia="zh-CN"/>
        </w:rPr>
        <w:t>概要设计说明书（含投资概算书）、</w:t>
      </w:r>
      <w:r>
        <w:rPr>
          <w:rFonts w:hint="default" w:ascii="Times New Roman" w:hAnsi="Times New Roman" w:eastAsia="宋体" w:cs="Times New Roman"/>
          <w:lang w:val="en-US" w:eastAsia="zh-CN"/>
        </w:rPr>
        <w:t>设计图纸、采购订单、变更单、验收报告等。</w:t>
      </w:r>
      <w:r>
        <w:rPr>
          <w:rFonts w:hint="eastAsia" w:cs="Times New Roman"/>
          <w:lang w:val="en-US" w:eastAsia="zh-CN"/>
        </w:rPr>
        <w:t>（</w:t>
      </w: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数据整理与核对：对收集到的文档资料进行整理和核对，确保资料的完整性和准确性。对于缺失或不完整的资料，应及时与项目相关方沟通，补充完善。</w:t>
      </w:r>
    </w:p>
    <w:p w14:paraId="5FEEE196">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2、制定结算编审计划：根据各个项目进度和要求，设定结算编审的工作目标和时间表，明确各阶段的工作任务和完成时间，确保项目结算编审工作按时完成。</w:t>
      </w:r>
    </w:p>
    <w:p w14:paraId="1C639E7E">
      <w:pPr>
        <w:pStyle w:val="7"/>
        <w:tabs>
          <w:tab w:val="left" w:pos="432"/>
          <w:tab w:val="left" w:pos="720"/>
          <w:tab w:val="clear" w:pos="420"/>
          <w:tab w:val="clear" w:pos="864"/>
        </w:tabs>
        <w:rPr>
          <w:rFonts w:hint="eastAsia" w:ascii="Times New Roman" w:hAnsi="Times New Roman" w:eastAsia="宋体" w:cs="Times New Roman"/>
          <w:i w:val="0"/>
          <w:iCs w:val="0"/>
          <w:color w:val="auto"/>
          <w:lang w:val="en-US" w:eastAsia="zh-CN"/>
        </w:rPr>
      </w:pPr>
      <w:r>
        <w:rPr>
          <w:rFonts w:hint="eastAsia" w:ascii="Times New Roman" w:hAnsi="Times New Roman" w:eastAsia="宋体" w:cs="Times New Roman"/>
          <w:i w:val="0"/>
          <w:iCs w:val="0"/>
          <w:color w:val="auto"/>
          <w:lang w:val="en-US" w:eastAsia="zh-CN"/>
        </w:rPr>
        <w:t>结算报告编制</w:t>
      </w:r>
    </w:p>
    <w:p w14:paraId="3F1DD267">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完成项目资金清理核对表、信息化项目结算书、信息化项目结算报告及附表内容等编制。</w:t>
      </w:r>
    </w:p>
    <w:p w14:paraId="615C4A06">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项目基本信息：在结算报告中详细记录项目的基本信息，包括项目名称、项目编号、建设单位、承建单位、项目负责人、项目实施时间等，为</w:t>
      </w:r>
      <w:r>
        <w:rPr>
          <w:rFonts w:hint="eastAsia" w:ascii="Times New Roman" w:hAnsi="Times New Roman" w:eastAsia="宋体" w:cs="Times New Roman"/>
          <w:lang w:val="en-US" w:eastAsia="zh-CN"/>
        </w:rPr>
        <w:t>结算</w:t>
      </w:r>
      <w:r>
        <w:rPr>
          <w:rFonts w:hint="default" w:ascii="Times New Roman" w:hAnsi="Times New Roman" w:eastAsia="宋体" w:cs="Times New Roman"/>
          <w:lang w:val="en-US" w:eastAsia="zh-CN"/>
        </w:rPr>
        <w:t>报告提供清晰的项目背景。</w:t>
      </w:r>
    </w:p>
    <w:p w14:paraId="47FAA92B">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成本构成明细：详细列出项目的成本构成，包括各项费用的具体金额和计算依据。对于每一项费用，应提供详细的说明和证明材料，如合同文件、发票、收据等，确保结算报告的透明性和可追溯性。</w:t>
      </w:r>
    </w:p>
    <w:p w14:paraId="47687768">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3、</w:t>
      </w:r>
      <w:r>
        <w:rPr>
          <w:rFonts w:hint="default" w:ascii="Times New Roman" w:hAnsi="Times New Roman" w:eastAsia="宋体" w:cs="Times New Roman"/>
          <w:lang w:val="en-US" w:eastAsia="zh-CN"/>
        </w:rPr>
        <w:t>变更情况说明：对项目实施过程中发生的变更情况进行详细说明，包括变更的原因、变更的内容、变更的审批流程、变更对项目成本和进度的影响等。对于变更部分的费用，应单独列出并提供详细的核算和审核依据。</w:t>
      </w:r>
    </w:p>
    <w:p w14:paraId="35A2B05D">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4、</w:t>
      </w:r>
      <w:r>
        <w:rPr>
          <w:rFonts w:hint="default" w:ascii="Times New Roman" w:hAnsi="Times New Roman" w:eastAsia="宋体" w:cs="Times New Roman"/>
          <w:lang w:val="en-US" w:eastAsia="zh-CN"/>
        </w:rPr>
        <w:t>费用明细清单：编制详细的费用明细清单，列出项目实施过程中所有费用的发生情况，包括费用的名称、金额、发生时间、支付方式等。费用明细清单应清晰、准确，便于审核和查询。</w:t>
      </w:r>
    </w:p>
    <w:p w14:paraId="6783005C">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5、</w:t>
      </w:r>
      <w:r>
        <w:rPr>
          <w:rFonts w:hint="default" w:ascii="Times New Roman" w:hAnsi="Times New Roman" w:eastAsia="宋体" w:cs="Times New Roman"/>
          <w:lang w:val="en-US" w:eastAsia="zh-CN"/>
        </w:rPr>
        <w:t>相关证明材料：在结算报告中附上相关的证明材料，如</w:t>
      </w:r>
      <w:r>
        <w:rPr>
          <w:rFonts w:hint="eastAsia" w:ascii="Times New Roman" w:hAnsi="Times New Roman" w:eastAsia="宋体" w:cs="Times New Roman"/>
          <w:lang w:val="en-US" w:eastAsia="zh-CN"/>
        </w:rPr>
        <w:t>立项文件、投资下达文件、</w:t>
      </w:r>
      <w:r>
        <w:rPr>
          <w:rFonts w:hint="default" w:ascii="Times New Roman" w:hAnsi="Times New Roman" w:eastAsia="宋体" w:cs="Times New Roman"/>
          <w:lang w:val="en-US" w:eastAsia="zh-CN"/>
        </w:rPr>
        <w:t>合同文件、发票、验收报告等，为结算报告提供充分的证据支持。证明材料应完整、真实、有效，确保结算报告的合法性和可信度。</w:t>
      </w:r>
    </w:p>
    <w:p w14:paraId="4186BE6E">
      <w:pPr>
        <w:pStyle w:val="6"/>
        <w:tabs>
          <w:tab w:val="left" w:pos="576"/>
          <w:tab w:val="clear" w:pos="432"/>
          <w:tab w:val="clear" w:pos="720"/>
        </w:tabs>
        <w:ind w:left="0"/>
        <w:rPr>
          <w:rFonts w:hint="default" w:ascii="Times New Roman" w:hAnsi="Times New Roman" w:eastAsia="宋体" w:cs="宋体"/>
          <w:lang w:val="en-US" w:eastAsia="zh-CN"/>
        </w:rPr>
      </w:pPr>
      <w:bookmarkStart w:id="47" w:name="_Toc531181211"/>
      <w:r>
        <w:rPr>
          <w:rFonts w:hint="eastAsia" w:ascii="Times New Roman" w:hAnsi="Times New Roman" w:eastAsia="宋体" w:cs="宋体"/>
          <w:lang w:val="en-US" w:eastAsia="zh-CN"/>
        </w:rPr>
        <w:t>配合开展信息化项目需求管理、项目建设过程管控等工作</w:t>
      </w:r>
      <w:bookmarkEnd w:id="47"/>
    </w:p>
    <w:p w14:paraId="0B3056DB">
      <w:pPr>
        <w:pStyle w:val="7"/>
        <w:tabs>
          <w:tab w:val="left" w:pos="432"/>
          <w:tab w:val="left" w:pos="720"/>
          <w:tab w:val="clear" w:pos="420"/>
          <w:tab w:val="clear" w:pos="864"/>
        </w:tabs>
        <w:rPr>
          <w:rFonts w:hint="eastAsia" w:ascii="Times New Roman" w:hAnsi="Times New Roman" w:eastAsia="宋体" w:cs="Times New Roman"/>
          <w:i w:val="0"/>
          <w:iCs w:val="0"/>
          <w:color w:val="auto"/>
          <w:lang w:val="en-US" w:eastAsia="zh-CN"/>
        </w:rPr>
      </w:pPr>
      <w:bookmarkStart w:id="48" w:name="_Toc22817"/>
      <w:bookmarkStart w:id="49" w:name="_Toc22997"/>
      <w:bookmarkStart w:id="50" w:name="_Toc29671"/>
      <w:bookmarkStart w:id="51" w:name="_Toc10635"/>
      <w:bookmarkStart w:id="52" w:name="_Toc23834"/>
      <w:bookmarkStart w:id="53" w:name="_Toc1945"/>
      <w:bookmarkStart w:id="54" w:name="_Toc25784"/>
      <w:bookmarkStart w:id="55" w:name="_Toc1126"/>
      <w:bookmarkStart w:id="56" w:name="_Toc185434748"/>
      <w:r>
        <w:rPr>
          <w:rFonts w:hint="eastAsia" w:ascii="Times New Roman" w:hAnsi="Times New Roman" w:eastAsia="宋体" w:cs="Times New Roman"/>
          <w:i w:val="0"/>
          <w:iCs w:val="0"/>
          <w:color w:val="auto"/>
          <w:lang w:val="en-US" w:eastAsia="zh-CN"/>
        </w:rPr>
        <w:t>信息化项目需求管理监督</w:t>
      </w:r>
      <w:bookmarkEnd w:id="48"/>
      <w:bookmarkEnd w:id="49"/>
      <w:bookmarkEnd w:id="50"/>
      <w:bookmarkEnd w:id="51"/>
      <w:bookmarkEnd w:id="52"/>
      <w:bookmarkEnd w:id="53"/>
      <w:bookmarkEnd w:id="54"/>
      <w:bookmarkEnd w:id="55"/>
      <w:bookmarkEnd w:id="56"/>
    </w:p>
    <w:p w14:paraId="01AB8FC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加强信息化项目需求单申报、需求成熟度评审、前期项目入库等前期管理关键节点监督，形成项目前期“一本账”，提升信息化项目前期管理水平。主要工作包括：</w:t>
      </w:r>
    </w:p>
    <w:p w14:paraId="4A549933">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1、配合开展需求成熟度评审，协助组织开展需求评审会，跟进专家评审意见与需求整改；</w:t>
      </w:r>
    </w:p>
    <w:p w14:paraId="7D036EA0">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2、按月监督分析汇报信息化项目需求单申报、审批、评审进度；定期分析汇报需求单采纳与前期项目转化情况；</w:t>
      </w:r>
    </w:p>
    <w:p w14:paraId="2A21E1E3">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3、定期监督分析汇报前期项目可研编审、项目出入库等工作开展情况。</w:t>
      </w:r>
    </w:p>
    <w:p w14:paraId="7BCB7DB4">
      <w:pPr>
        <w:pStyle w:val="7"/>
        <w:tabs>
          <w:tab w:val="left" w:pos="432"/>
          <w:tab w:val="left" w:pos="720"/>
          <w:tab w:val="clear" w:pos="420"/>
          <w:tab w:val="clear" w:pos="864"/>
        </w:tabs>
        <w:rPr>
          <w:rFonts w:hint="eastAsia" w:ascii="Times New Roman" w:hAnsi="Times New Roman" w:eastAsia="宋体" w:cs="Times New Roman"/>
          <w:i w:val="0"/>
          <w:iCs w:val="0"/>
          <w:color w:val="auto"/>
          <w:lang w:val="en-US" w:eastAsia="zh-CN"/>
        </w:rPr>
      </w:pPr>
      <w:bookmarkStart w:id="57" w:name="_Toc19221"/>
      <w:bookmarkStart w:id="58" w:name="_Toc32734"/>
      <w:bookmarkStart w:id="59" w:name="_Toc185434749"/>
      <w:bookmarkStart w:id="60" w:name="_Toc12826"/>
      <w:bookmarkStart w:id="61" w:name="_Toc26231"/>
      <w:bookmarkStart w:id="62" w:name="_Toc8575"/>
      <w:bookmarkStart w:id="63" w:name="_Toc6751"/>
      <w:bookmarkStart w:id="64" w:name="_Toc8897"/>
      <w:bookmarkStart w:id="65" w:name="_Toc10628"/>
      <w:r>
        <w:rPr>
          <w:rFonts w:hint="eastAsia" w:ascii="Times New Roman" w:hAnsi="Times New Roman" w:eastAsia="宋体" w:cs="Times New Roman"/>
          <w:i w:val="0"/>
          <w:iCs w:val="0"/>
          <w:color w:val="auto"/>
          <w:lang w:val="en-US" w:eastAsia="zh-CN"/>
        </w:rPr>
        <w:t>信息化项目建设过程监督</w:t>
      </w:r>
      <w:bookmarkEnd w:id="57"/>
      <w:bookmarkEnd w:id="58"/>
      <w:bookmarkEnd w:id="59"/>
      <w:bookmarkEnd w:id="60"/>
      <w:bookmarkEnd w:id="61"/>
      <w:bookmarkEnd w:id="62"/>
      <w:bookmarkEnd w:id="63"/>
      <w:bookmarkEnd w:id="64"/>
      <w:bookmarkEnd w:id="65"/>
    </w:p>
    <w:p w14:paraId="3C1FD084">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依据信息化项目投资计划，结合电网管理平台，形成项目建设“一张表”，加强信息化项目建设关键节点执行情况监督。根据项目里程碑计划开展进度实施、进度控制，确保项目进度计划有效执行，对信息化项目加强实时监控、分析、汇总等工作。主要工作包括：</w:t>
      </w:r>
    </w:p>
    <w:p w14:paraId="1C53CB8C">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1、按合同维度加强项目全过程监督，按工作子项开展项目过程管控，定期跟踪维护项目合同签订、验收支付、项目结算转固等关键数据；</w:t>
      </w:r>
    </w:p>
    <w:p w14:paraId="7F0AE4C4">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2、根据项目里程碑计划开展进度实施、进度控制，确保项目进度计划有效执行。对信息化项目加强实时监控、分析、汇总等工作。</w:t>
      </w:r>
    </w:p>
    <w:p w14:paraId="5A5D338D">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3、结合信息化项目投资完成率（项目形象进度）、预算完成率等关键考核指标，定期监控、跟踪、分析各单位完成情况；</w:t>
      </w:r>
    </w:p>
    <w:p w14:paraId="44B8E269">
      <w:pPr>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4、结合网公司电网管理平台实用化考核指标，定期监控、跟踪、分析各单位完成情况，及时开展项目问题沟通、反馈。</w:t>
      </w:r>
    </w:p>
    <w:p w14:paraId="21059744">
      <w:pPr>
        <w:pStyle w:val="7"/>
        <w:tabs>
          <w:tab w:val="left" w:pos="432"/>
          <w:tab w:val="left" w:pos="720"/>
          <w:tab w:val="clear" w:pos="420"/>
          <w:tab w:val="clear" w:pos="864"/>
        </w:tabs>
        <w:rPr>
          <w:rFonts w:hint="eastAsia" w:ascii="Times New Roman" w:hAnsi="Times New Roman" w:eastAsia="宋体" w:cs="Times New Roman"/>
          <w:i w:val="0"/>
          <w:iCs w:val="0"/>
          <w:color w:val="auto"/>
          <w:lang w:val="en-US" w:eastAsia="zh-CN"/>
        </w:rPr>
      </w:pPr>
      <w:r>
        <w:rPr>
          <w:rFonts w:hint="eastAsia" w:ascii="Times New Roman" w:hAnsi="Times New Roman" w:eastAsia="宋体" w:cs="Times New Roman"/>
          <w:i w:val="0"/>
          <w:iCs w:val="0"/>
          <w:color w:val="auto"/>
          <w:lang w:val="en-US" w:eastAsia="zh-CN"/>
        </w:rPr>
        <w:t>信息化项目技术侧架构</w:t>
      </w:r>
      <w:r>
        <w:rPr>
          <w:rFonts w:hint="eastAsia" w:cs="Times New Roman"/>
          <w:i w:val="0"/>
          <w:iCs w:val="0"/>
          <w:color w:val="auto"/>
          <w:lang w:val="en-US" w:eastAsia="zh-CN"/>
        </w:rPr>
        <w:t>及技术标准</w:t>
      </w:r>
      <w:r>
        <w:rPr>
          <w:rFonts w:hint="eastAsia" w:ascii="Times New Roman" w:hAnsi="Times New Roman" w:eastAsia="宋体" w:cs="Times New Roman"/>
          <w:i w:val="0"/>
          <w:iCs w:val="0"/>
          <w:color w:val="auto"/>
          <w:lang w:val="en-US" w:eastAsia="zh-CN"/>
        </w:rPr>
        <w:t>管控</w:t>
      </w:r>
    </w:p>
    <w:p w14:paraId="3C7E19A5">
      <w:pPr>
        <w:ind w:firstLine="480" w:firstLineChars="200"/>
        <w:rPr>
          <w:rFonts w:hint="eastAsia" w:cs="Times New Roman"/>
          <w:lang w:val="en-US" w:eastAsia="zh-CN"/>
        </w:rPr>
      </w:pPr>
      <w:r>
        <w:rPr>
          <w:rFonts w:hint="eastAsia" w:ascii="Times New Roman" w:hAnsi="Times New Roman" w:eastAsia="宋体" w:cs="Times New Roman"/>
          <w:lang w:val="en-US" w:eastAsia="zh-CN"/>
        </w:rPr>
        <w:t>通过常态化开展信息化项目需求、可研、设计、初验、终验等阶段的技术侧架构管控，确保流程及制度制定、数字化建设对技术侧架构蓝图的遵从性。强化流程框架的权威性，落实流程设计的规范化、高效化、数字化，避免流程重复建设。强化技术侧架构与业务架构的有效衔接，落实数据认责要求，避免业务能力重复建设、避免系统烟囱式建设。落实技术安全架构对业务的有效动态支撑，保障本质安全</w:t>
      </w:r>
      <w:r>
        <w:rPr>
          <w:rFonts w:hint="eastAsia" w:cs="Times New Roman"/>
          <w:lang w:val="en-US" w:eastAsia="zh-CN"/>
        </w:rPr>
        <w:t>。技术侧架构及技术管控初步要求，具体以实施周期内网公司或公司最新管控要求执行。初步要求如下：</w:t>
      </w:r>
    </w:p>
    <w:p w14:paraId="400BF610">
      <w:pPr>
        <w:ind w:firstLine="480" w:firstLineChars="200"/>
        <w:rPr>
          <w:rFonts w:hint="eastAsia" w:cs="Times New Roman"/>
          <w:lang w:val="en-US" w:eastAsia="zh-CN"/>
        </w:rPr>
      </w:pPr>
      <w:r>
        <w:rPr>
          <w:rFonts w:hint="eastAsia" w:cs="Times New Roman"/>
          <w:lang w:val="en-US" w:eastAsia="zh-CN"/>
        </w:rPr>
        <w:t>1、应用架构管控：</w:t>
      </w:r>
    </w:p>
    <w:tbl>
      <w:tblPr>
        <w:tblStyle w:val="3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7"/>
        <w:gridCol w:w="2064"/>
        <w:gridCol w:w="6703"/>
      </w:tblGrid>
      <w:tr w14:paraId="2F127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3C08E9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071"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221044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项目阶段</w:t>
            </w:r>
          </w:p>
        </w:tc>
        <w:tc>
          <w:tcPr>
            <w:tcW w:w="3478"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2E5590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管控项</w:t>
            </w:r>
          </w:p>
        </w:tc>
      </w:tr>
      <w:tr w14:paraId="55E8C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361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B9C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项目需求阶段</w:t>
            </w: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E410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项目的架构元素遵从应用架构蓝图</w:t>
            </w:r>
          </w:p>
        </w:tc>
      </w:tr>
      <w:tr w14:paraId="1FBEC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12B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7347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5344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应用信息与应用架构蓝图严格匹配</w:t>
            </w:r>
          </w:p>
        </w:tc>
      </w:tr>
      <w:tr w14:paraId="139B8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10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0E58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D14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应用需求建设合理</w:t>
            </w:r>
          </w:p>
        </w:tc>
      </w:tr>
      <w:tr w14:paraId="5200C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AD6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913B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3ACD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立项内容的应用信息与需求申请阶段一致</w:t>
            </w:r>
          </w:p>
        </w:tc>
      </w:tr>
      <w:tr w14:paraId="74A86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D8E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4E7B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845C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功能建设/中台服务建设遵从应用架构</w:t>
            </w:r>
          </w:p>
        </w:tc>
      </w:tr>
      <w:tr w14:paraId="020EB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388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2EBF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7669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应用集成关系设计遵从应用架构</w:t>
            </w:r>
          </w:p>
        </w:tc>
      </w:tr>
      <w:tr w14:paraId="59564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C5C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C25D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410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应用中台/数据中台集成遵从应用架构</w:t>
            </w:r>
          </w:p>
        </w:tc>
      </w:tr>
      <w:tr w14:paraId="13356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C0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9A68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DFC9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技术平台集成关系服务相关设计遵从应用架构</w:t>
            </w:r>
          </w:p>
        </w:tc>
      </w:tr>
      <w:tr w14:paraId="38C7C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3CD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A2D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初验阶段</w:t>
            </w: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9650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完成应用架构现状归集</w:t>
            </w:r>
          </w:p>
        </w:tc>
      </w:tr>
      <w:tr w14:paraId="4909B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1CE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2D86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2750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完成应用集成关系现状归集</w:t>
            </w:r>
          </w:p>
        </w:tc>
      </w:tr>
      <w:tr w14:paraId="4CC6D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D6C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21E1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02D4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项目建设成果与立项内容一致</w:t>
            </w:r>
          </w:p>
        </w:tc>
      </w:tr>
      <w:tr w14:paraId="3F203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5C2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C9DC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AAE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功能建设成果符合应用架构蓝图</w:t>
            </w:r>
          </w:p>
        </w:tc>
      </w:tr>
      <w:tr w14:paraId="5AA62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CF1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0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D606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终验阶段</w:t>
            </w: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4EA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项目建设内容（应用功能）符合应用架构蓝图</w:t>
            </w:r>
          </w:p>
        </w:tc>
      </w:tr>
      <w:tr w14:paraId="5451F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468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8026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94B4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项目建设内容（应用集成关系）符合应用架构蓝图</w:t>
            </w:r>
          </w:p>
        </w:tc>
      </w:tr>
      <w:tr w14:paraId="31C17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213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0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86FB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3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55DD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项目建设成果与立项内容一致</w:t>
            </w:r>
          </w:p>
        </w:tc>
      </w:tr>
    </w:tbl>
    <w:p w14:paraId="7E446FF1">
      <w:pPr>
        <w:ind w:firstLine="480" w:firstLineChars="200"/>
        <w:rPr>
          <w:rFonts w:hint="eastAsia" w:cs="Times New Roman"/>
          <w:lang w:val="en-US" w:eastAsia="zh-CN"/>
        </w:rPr>
      </w:pPr>
    </w:p>
    <w:p w14:paraId="7E9C8E7D">
      <w:pPr>
        <w:ind w:firstLine="480" w:firstLineChars="200"/>
        <w:rPr>
          <w:rFonts w:hint="default" w:cs="Times New Roman"/>
          <w:lang w:val="en-US" w:eastAsia="zh-CN"/>
        </w:rPr>
      </w:pPr>
      <w:r>
        <w:rPr>
          <w:rFonts w:hint="eastAsia" w:cs="Times New Roman"/>
          <w:lang w:val="en-US" w:eastAsia="zh-CN"/>
        </w:rPr>
        <w:t>2、数据架构及数据标准管控：</w:t>
      </w:r>
    </w:p>
    <w:tbl>
      <w:tblPr>
        <w:tblStyle w:val="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1326"/>
        <w:gridCol w:w="1777"/>
        <w:gridCol w:w="5733"/>
      </w:tblGrid>
      <w:tr w14:paraId="057AD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blHeader/>
        </w:trPr>
        <w:tc>
          <w:tcPr>
            <w:tcW w:w="413"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A1F7C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688"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71620C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管控类别</w:t>
            </w:r>
          </w:p>
        </w:tc>
        <w:tc>
          <w:tcPr>
            <w:tcW w:w="92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F985C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项目阶段</w:t>
            </w:r>
          </w:p>
        </w:tc>
        <w:tc>
          <w:tcPr>
            <w:tcW w:w="2975"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56DC31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管控项</w:t>
            </w:r>
          </w:p>
        </w:tc>
      </w:tr>
      <w:tr w14:paraId="5625A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421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629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数据架构管控</w:t>
            </w: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C1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项目需求阶段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C9B0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项目的架构元素遵从数据架构蓝图</w:t>
            </w:r>
          </w:p>
        </w:tc>
      </w:tr>
      <w:tr w14:paraId="7813F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972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EEFD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C863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896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项目的架构元素遵从数据架构蓝图</w:t>
            </w:r>
          </w:p>
        </w:tc>
      </w:tr>
      <w:tr w14:paraId="184CF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CD1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0247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6A8B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B8EE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应用功能和概念实体关系在数据源中设计规范</w:t>
            </w:r>
          </w:p>
        </w:tc>
      </w:tr>
      <w:tr w14:paraId="57833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9CD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ED5E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9855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2C1D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项目增量概念实体设计完整性、规范性、一致性、合理性</w:t>
            </w:r>
          </w:p>
        </w:tc>
      </w:tr>
      <w:tr w14:paraId="081A7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60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1EB2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CCE3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48F3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项目增量逻辑实体设计完整性、规范性、一致性、合理性</w:t>
            </w:r>
          </w:p>
        </w:tc>
      </w:tr>
      <w:tr w14:paraId="4C7D3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84E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4B87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2F1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71F0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项目的架构元素遵从数据架构蓝图</w:t>
            </w:r>
          </w:p>
        </w:tc>
      </w:tr>
      <w:tr w14:paraId="48468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F7F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1B40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EF8E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9F8F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项目增量逻辑实体设计完整性、规范性、一致性、合理性</w:t>
            </w:r>
          </w:p>
        </w:tc>
      </w:tr>
      <w:tr w14:paraId="3F808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202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A7E5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B27F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134B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项目增量物理实体设计完整性、规范性、一致性、合理性</w:t>
            </w:r>
          </w:p>
        </w:tc>
      </w:tr>
      <w:tr w14:paraId="3B21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F0C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E613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400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开发阶段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68A8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项目增量库表设计完整性、规范性、一致性、合理性</w:t>
            </w:r>
          </w:p>
        </w:tc>
      </w:tr>
      <w:tr w14:paraId="0C59C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DA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AC4E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3283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7C86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项目增量库表-功能子项关系的完整性、规范性、一致性、合理性</w:t>
            </w:r>
          </w:p>
        </w:tc>
      </w:tr>
      <w:tr w14:paraId="4FB85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E0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5DEA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BE69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初验阶段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243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完成数据架构现状归集</w:t>
            </w:r>
          </w:p>
        </w:tc>
      </w:tr>
      <w:tr w14:paraId="38317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56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C92F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FD61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43FE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完善数据资产信息</w:t>
            </w:r>
          </w:p>
        </w:tc>
      </w:tr>
      <w:tr w14:paraId="03A61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5A4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63DA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96B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终验阶段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009D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项目建设内容符合数据架构蓝图</w:t>
            </w:r>
          </w:p>
        </w:tc>
      </w:tr>
      <w:tr w14:paraId="6C2A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2D0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2375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44DD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3E03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完善数据资产信息</w:t>
            </w:r>
          </w:p>
        </w:tc>
      </w:tr>
      <w:tr w14:paraId="798C6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3DF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88" w:type="pct"/>
            <w:vMerge w:val="restart"/>
            <w:tcBorders>
              <w:top w:val="single" w:color="000000" w:sz="4" w:space="0"/>
              <w:left w:val="single" w:color="000000" w:sz="4" w:space="0"/>
              <w:bottom w:val="nil"/>
              <w:right w:val="single" w:color="000000" w:sz="4" w:space="0"/>
            </w:tcBorders>
            <w:shd w:val="clear" w:color="auto" w:fill="auto"/>
            <w:vAlign w:val="center"/>
          </w:tcPr>
          <w:p w14:paraId="6E4E6E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w:t>
            </w:r>
          </w:p>
        </w:tc>
        <w:tc>
          <w:tcPr>
            <w:tcW w:w="922" w:type="pct"/>
            <w:vMerge w:val="restart"/>
            <w:tcBorders>
              <w:top w:val="single" w:color="000000" w:sz="4" w:space="0"/>
              <w:left w:val="single" w:color="000000" w:sz="4" w:space="0"/>
              <w:bottom w:val="nil"/>
              <w:right w:val="single" w:color="000000" w:sz="4" w:space="0"/>
            </w:tcBorders>
            <w:shd w:val="clear" w:color="auto" w:fill="auto"/>
            <w:vAlign w:val="center"/>
          </w:tcPr>
          <w:p w14:paraId="6C9CE2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C686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数据标准管控：数据模型遵从度、数据模型合规性、元数据标准遵从度、数据质量标准遵从度</w:t>
            </w:r>
          </w:p>
        </w:tc>
      </w:tr>
      <w:tr w14:paraId="4B74F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E1B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4596968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nil"/>
              <w:right w:val="single" w:color="000000" w:sz="4" w:space="0"/>
            </w:tcBorders>
            <w:shd w:val="clear" w:color="auto" w:fill="auto"/>
            <w:vAlign w:val="center"/>
          </w:tcPr>
          <w:p w14:paraId="6FFBB9E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64A2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技术路线管控：总体路线、技术要求</w:t>
            </w:r>
          </w:p>
        </w:tc>
      </w:tr>
      <w:tr w14:paraId="44BAA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2BA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3B5F1E8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nil"/>
              <w:right w:val="single" w:color="000000" w:sz="4" w:space="0"/>
            </w:tcBorders>
            <w:shd w:val="clear" w:color="auto" w:fill="auto"/>
            <w:vAlign w:val="center"/>
          </w:tcPr>
          <w:p w14:paraId="4D9DA1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C4D0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数据标准管控：数据模型遵从度、数据模型合规性、元数据标准遵从度、数据质量标准遵从度</w:t>
            </w:r>
          </w:p>
        </w:tc>
      </w:tr>
      <w:tr w14:paraId="671C0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95A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77EBA7B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nil"/>
              <w:right w:val="single" w:color="000000" w:sz="4" w:space="0"/>
            </w:tcBorders>
            <w:shd w:val="clear" w:color="auto" w:fill="auto"/>
            <w:vAlign w:val="center"/>
          </w:tcPr>
          <w:p w14:paraId="31140C6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79EA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技术路线管控：总体路线、技术要求、支撑组件及使用规范</w:t>
            </w:r>
          </w:p>
        </w:tc>
      </w:tr>
      <w:tr w14:paraId="4D9E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E8D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10232C0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9EBF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开发阶段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8ECF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数据标准管控：数据模型遵从度、元数据标准遵从度、数据质量标准遵从度</w:t>
            </w:r>
          </w:p>
        </w:tc>
      </w:tr>
      <w:tr w14:paraId="71B42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BD5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57F99B8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B547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03F2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技术路线管控：支撑组件及使用规范</w:t>
            </w:r>
          </w:p>
        </w:tc>
      </w:tr>
      <w:tr w14:paraId="5F82D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585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1F1BB75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E0E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初步验收阶段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384E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数据标准管控：数据模型遵从度、元数据标准遵从度、数据质量标准遵从度</w:t>
            </w:r>
          </w:p>
        </w:tc>
      </w:tr>
      <w:tr w14:paraId="65D50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25E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170552D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564C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013A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技术路线管控：支撑组件及使用规范</w:t>
            </w:r>
          </w:p>
        </w:tc>
      </w:tr>
      <w:tr w14:paraId="58C99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E18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3B84648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7266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竣工验收阶段</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4FEC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数据标准管控：数据模型遵从度、元数据标准遵从度、数据质量标准遵从度</w:t>
            </w:r>
          </w:p>
        </w:tc>
      </w:tr>
      <w:tr w14:paraId="4871D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A3B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688" w:type="pct"/>
            <w:vMerge w:val="continue"/>
            <w:tcBorders>
              <w:top w:val="single" w:color="000000" w:sz="4" w:space="0"/>
              <w:left w:val="single" w:color="000000" w:sz="4" w:space="0"/>
              <w:bottom w:val="nil"/>
              <w:right w:val="single" w:color="000000" w:sz="4" w:space="0"/>
            </w:tcBorders>
            <w:shd w:val="clear" w:color="auto" w:fill="auto"/>
            <w:vAlign w:val="center"/>
          </w:tcPr>
          <w:p w14:paraId="34F802C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557B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10FA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技术路线管控：支撑组件及使用规范</w:t>
            </w:r>
          </w:p>
        </w:tc>
      </w:tr>
      <w:tr w14:paraId="76636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61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BABA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系统上线运营期间数据架构及数据标准管控</w:t>
            </w: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D788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数据架构管控</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8F18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架构资产</w:t>
            </w:r>
          </w:p>
        </w:tc>
      </w:tr>
      <w:tr w14:paraId="0C592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4FB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93FA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B889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数据标准管控</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35BD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数据模型遵从度、数据模型合规性、元数据标准遵从度、数据质量标准遵从度</w:t>
            </w:r>
          </w:p>
        </w:tc>
      </w:tr>
      <w:tr w14:paraId="19C9D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A43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AF33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FD6A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技术路线管控</w:t>
            </w:r>
          </w:p>
        </w:tc>
        <w:tc>
          <w:tcPr>
            <w:tcW w:w="29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1CEE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支撑组件及使用规范</w:t>
            </w:r>
          </w:p>
        </w:tc>
      </w:tr>
    </w:tbl>
    <w:p w14:paraId="28132189">
      <w:pPr>
        <w:ind w:firstLine="480" w:firstLineChars="200"/>
        <w:rPr>
          <w:rFonts w:hint="eastAsia" w:cs="Times New Roman"/>
          <w:lang w:val="en-US" w:eastAsia="zh-CN"/>
        </w:rPr>
      </w:pPr>
    </w:p>
    <w:p w14:paraId="243C8921">
      <w:pPr>
        <w:ind w:firstLine="480" w:firstLineChars="200"/>
        <w:rPr>
          <w:rFonts w:hint="default" w:ascii="Times New Roman" w:hAnsi="Times New Roman" w:eastAsia="宋体" w:cs="Times New Roman"/>
          <w:lang w:val="en-US" w:eastAsia="zh-CN"/>
        </w:rPr>
      </w:pPr>
      <w:r>
        <w:rPr>
          <w:rFonts w:hint="eastAsia" w:cs="Times New Roman"/>
          <w:lang w:val="en-US" w:eastAsia="zh-CN"/>
        </w:rPr>
        <w:t>3、技术架构及技术平台标准管控：</w:t>
      </w:r>
    </w:p>
    <w:tbl>
      <w:tblPr>
        <w:tblStyle w:val="30"/>
        <w:tblW w:w="49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3"/>
        <w:gridCol w:w="1354"/>
        <w:gridCol w:w="1693"/>
        <w:gridCol w:w="5734"/>
      </w:tblGrid>
      <w:tr w14:paraId="191DE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blHeader/>
          <w:jc w:val="center"/>
        </w:trPr>
        <w:tc>
          <w:tcPr>
            <w:tcW w:w="414"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755FD7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07"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25E2D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管控类别</w:t>
            </w:r>
          </w:p>
        </w:tc>
        <w:tc>
          <w:tcPr>
            <w:tcW w:w="884"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34F6C2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项目阶段</w:t>
            </w:r>
          </w:p>
        </w:tc>
        <w:tc>
          <w:tcPr>
            <w:tcW w:w="2993"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070AB4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管控项</w:t>
            </w:r>
          </w:p>
        </w:tc>
      </w:tr>
      <w:tr w14:paraId="1F0EF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EE1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07" w:type="pct"/>
            <w:vMerge w:val="restart"/>
            <w:tcBorders>
              <w:top w:val="single" w:color="000000" w:sz="4" w:space="0"/>
              <w:left w:val="single" w:color="000000" w:sz="4" w:space="0"/>
              <w:bottom w:val="nil"/>
              <w:right w:val="single" w:color="000000" w:sz="4" w:space="0"/>
            </w:tcBorders>
            <w:shd w:val="clear" w:color="auto" w:fill="auto"/>
            <w:vAlign w:val="center"/>
          </w:tcPr>
          <w:p w14:paraId="2ED327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技术架构管控</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B69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项目需求阶段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0BD7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需求申请内容的技术信息遵从技术架构蓝图</w:t>
            </w:r>
          </w:p>
        </w:tc>
      </w:tr>
      <w:tr w14:paraId="4041D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3E1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07" w:type="pct"/>
            <w:vMerge w:val="continue"/>
            <w:tcBorders>
              <w:top w:val="single" w:color="000000" w:sz="4" w:space="0"/>
              <w:left w:val="single" w:color="000000" w:sz="4" w:space="0"/>
              <w:bottom w:val="nil"/>
              <w:right w:val="single" w:color="000000" w:sz="4" w:space="0"/>
            </w:tcBorders>
            <w:shd w:val="clear" w:color="auto" w:fill="auto"/>
            <w:vAlign w:val="center"/>
          </w:tcPr>
          <w:p w14:paraId="5D2529D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nil"/>
              <w:right w:val="single" w:color="000000" w:sz="4" w:space="0"/>
            </w:tcBorders>
            <w:shd w:val="clear" w:color="auto" w:fill="auto"/>
            <w:vAlign w:val="center"/>
          </w:tcPr>
          <w:p w14:paraId="5E8AC1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89B8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立项内容的技术信息遵从技术架构蓝图</w:t>
            </w:r>
          </w:p>
        </w:tc>
      </w:tr>
      <w:tr w14:paraId="414A9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E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07" w:type="pct"/>
            <w:vMerge w:val="continue"/>
            <w:tcBorders>
              <w:top w:val="single" w:color="000000" w:sz="4" w:space="0"/>
              <w:left w:val="single" w:color="000000" w:sz="4" w:space="0"/>
              <w:bottom w:val="nil"/>
              <w:right w:val="single" w:color="000000" w:sz="4" w:space="0"/>
            </w:tcBorders>
            <w:shd w:val="clear" w:color="auto" w:fill="auto"/>
            <w:vAlign w:val="center"/>
          </w:tcPr>
          <w:p w14:paraId="73D5193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515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A86B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建设内容的技术信息遵从技术架构蓝图</w:t>
            </w:r>
          </w:p>
        </w:tc>
      </w:tr>
      <w:tr w14:paraId="02733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F89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07" w:type="pct"/>
            <w:vMerge w:val="continue"/>
            <w:tcBorders>
              <w:top w:val="single" w:color="000000" w:sz="4" w:space="0"/>
              <w:left w:val="single" w:color="000000" w:sz="4" w:space="0"/>
              <w:bottom w:val="nil"/>
              <w:right w:val="single" w:color="000000" w:sz="4" w:space="0"/>
            </w:tcBorders>
            <w:shd w:val="clear" w:color="auto" w:fill="auto"/>
            <w:vAlign w:val="center"/>
          </w:tcPr>
          <w:p w14:paraId="579BB04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2F9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初验阶段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444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建设内容的技术信息遵从技术架构蓝图</w:t>
            </w:r>
          </w:p>
        </w:tc>
      </w:tr>
      <w:tr w14:paraId="2950E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70A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07" w:type="pct"/>
            <w:vMerge w:val="continue"/>
            <w:tcBorders>
              <w:top w:val="single" w:color="000000" w:sz="4" w:space="0"/>
              <w:left w:val="single" w:color="000000" w:sz="4" w:space="0"/>
              <w:bottom w:val="nil"/>
              <w:right w:val="single" w:color="000000" w:sz="4" w:space="0"/>
            </w:tcBorders>
            <w:shd w:val="clear" w:color="auto" w:fill="auto"/>
            <w:vAlign w:val="center"/>
          </w:tcPr>
          <w:p w14:paraId="4DE19E2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817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终验阶段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3714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建设内容的技术信息遵从技术架构蓝图</w:t>
            </w:r>
          </w:p>
        </w:tc>
      </w:tr>
      <w:tr w14:paraId="2C233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7D9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B117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技术平台标准管控</w:t>
            </w:r>
          </w:p>
        </w:tc>
        <w:tc>
          <w:tcPr>
            <w:tcW w:w="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6D31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8805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企业级中台：审查服务清单是否符合企业级中台要求</w:t>
            </w:r>
          </w:p>
        </w:tc>
      </w:tr>
      <w:tr w14:paraId="5DD1D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DD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7F01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BB10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E953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南网云平台：审查信息系统上云可行性，审查云资源估算的合理性</w:t>
            </w:r>
          </w:p>
        </w:tc>
      </w:tr>
      <w:tr w14:paraId="407E3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ED2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0CA0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3C30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05E3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人工智能平台：审查可研报告业务规划、服务规划、接入规划等内容的准确性</w:t>
            </w:r>
          </w:p>
        </w:tc>
      </w:tr>
      <w:tr w14:paraId="5428C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4E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268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06F1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1DEC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物联网平台：审查接入物联网平台的项目依据、必要性、资源估算和技术路线</w:t>
            </w:r>
          </w:p>
        </w:tc>
      </w:tr>
      <w:tr w14:paraId="03C3A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BA6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A199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BC38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FECC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移动应用平台：审查移动应用规划的准确性</w:t>
            </w:r>
          </w:p>
        </w:tc>
      </w:tr>
      <w:tr w14:paraId="7A644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F90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9B98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94ED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4013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区块链平台：审查可研阶段接入区块链平台的需求</w:t>
            </w:r>
          </w:p>
        </w:tc>
      </w:tr>
      <w:tr w14:paraId="5F582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B14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8076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088A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25DB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GIS平台：审查可研阶段接入GIS平台的需求</w:t>
            </w:r>
          </w:p>
        </w:tc>
      </w:tr>
      <w:tr w14:paraId="63F27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2C3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D789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13A7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BA90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南网北斗平台：审查可研阶段接入北斗平台的必要性和资源估算</w:t>
            </w:r>
          </w:p>
        </w:tc>
      </w:tr>
      <w:tr w14:paraId="625EC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046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4D2F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0218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1A4B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敏捷开发：审查项目研发的资源需求</w:t>
            </w:r>
          </w:p>
        </w:tc>
      </w:tr>
      <w:tr w14:paraId="0E436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278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2029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04BE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2BEF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自主可控：审查可行性研究报告中技术路线和软硬件资源需求是否符合公司自主可控要求</w:t>
            </w:r>
          </w:p>
        </w:tc>
      </w:tr>
      <w:tr w14:paraId="36868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9C1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572E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BFAB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AC2B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系统可靠性：审查技术路线的准确性、合规性</w:t>
            </w:r>
          </w:p>
        </w:tc>
      </w:tr>
      <w:tr w14:paraId="5DDD1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9AA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F2B8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A740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4F3B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企业级中台：审查服务需求分析、服务设计规则的合规性、合理性</w:t>
            </w:r>
          </w:p>
        </w:tc>
      </w:tr>
      <w:tr w14:paraId="6B8CC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9F0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9444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E743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6E8F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南网云平台：审查设计使用云资源和接入云组件的合理性、合规性</w:t>
            </w:r>
          </w:p>
        </w:tc>
      </w:tr>
      <w:tr w14:paraId="6CB94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A4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71E8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7E55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131F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人工智能平台：审查人工智能平台的接入需求规范性和正确性</w:t>
            </w:r>
          </w:p>
        </w:tc>
      </w:tr>
      <w:tr w14:paraId="48CED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517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9994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8D42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3873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物联网平台：审查物联网平台对接和协作关系的描述是否清晰合理</w:t>
            </w:r>
          </w:p>
        </w:tc>
      </w:tr>
      <w:tr w14:paraId="33262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402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A30D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8510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ED8A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移动应用平台：审查移动应用接入设计是否合理、准确</w:t>
            </w:r>
          </w:p>
        </w:tc>
      </w:tr>
      <w:tr w14:paraId="6A0D1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EA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E611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B8B8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9C97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区块链平台：审查接入区块链平台的需求和设计</w:t>
            </w:r>
          </w:p>
        </w:tc>
      </w:tr>
      <w:tr w14:paraId="5A3A3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0B4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9BE3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33A1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55DA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GIS平台：审查初步设计阶段接入GIS平台的需求和设计</w:t>
            </w:r>
          </w:p>
        </w:tc>
      </w:tr>
      <w:tr w14:paraId="16558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9A6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961B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B76F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0D1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南网北斗平台：审查接入南网北斗平台的需求和设计</w:t>
            </w:r>
          </w:p>
        </w:tc>
      </w:tr>
      <w:tr w14:paraId="2C93B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613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5215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7E94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195F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敏捷开发：审查云燕平台组件集成需求</w:t>
            </w:r>
          </w:p>
        </w:tc>
      </w:tr>
      <w:tr w14:paraId="0C8C4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6B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AFD9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174B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01FD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自主可控：审查设计文件是否满足自主可控技术要求</w:t>
            </w:r>
          </w:p>
        </w:tc>
      </w:tr>
      <w:tr w14:paraId="65E27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294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A0FE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020F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C0D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系统可靠性：审查是否满足系统可靠性要求</w:t>
            </w:r>
          </w:p>
        </w:tc>
      </w:tr>
      <w:tr w14:paraId="1CA1E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CC9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3AF7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4FB5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初步验收阶段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1DC7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企业级中台：审查服务调用的正确性</w:t>
            </w:r>
          </w:p>
        </w:tc>
      </w:tr>
      <w:tr w14:paraId="6545C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5FB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AFFA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8B9C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EC95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南网云平台：审查云组件的合理使用情况、部署上云和投运方案是否满足南网云平台要求</w:t>
            </w:r>
          </w:p>
        </w:tc>
      </w:tr>
      <w:tr w14:paraId="25FB1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4DA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8886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6588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1FFB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人工智能平台：审查人工智能平台组件服务调用是否符合平台技术规范和满足非功能需求，审查大瓦特认证级别与可研是否相符</w:t>
            </w:r>
          </w:p>
        </w:tc>
      </w:tr>
      <w:tr w14:paraId="710FC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6AF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63E2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E84F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0D4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物联网平台：审查集成测试情况和投运准备情况</w:t>
            </w:r>
          </w:p>
        </w:tc>
      </w:tr>
      <w:tr w14:paraId="68C98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D74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6F2A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1792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E28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移动应用平台：审查移动应用在应用发布时是否符合管控要求</w:t>
            </w:r>
          </w:p>
        </w:tc>
      </w:tr>
      <w:tr w14:paraId="78CFB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9F9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44F2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2196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BC2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区块链平台：审查业务接入、联调测试情况</w:t>
            </w:r>
          </w:p>
        </w:tc>
      </w:tr>
      <w:tr w14:paraId="13D29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6D4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F5B3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AA54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B1C6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GIS平台：审查GIS平台</w:t>
            </w:r>
            <w:r>
              <w:rPr>
                <w:rFonts w:hint="eastAsia" w:ascii="宋体" w:hAnsi="宋体" w:cs="宋体"/>
                <w:i w:val="0"/>
                <w:iCs w:val="0"/>
                <w:color w:val="000000"/>
                <w:kern w:val="0"/>
                <w:sz w:val="24"/>
                <w:szCs w:val="24"/>
                <w:u w:val="none"/>
                <w:lang w:val="en-US" w:eastAsia="zh-CN" w:bidi="ar"/>
              </w:rPr>
              <w:t>应用</w:t>
            </w:r>
            <w:r>
              <w:rPr>
                <w:rFonts w:hint="eastAsia" w:ascii="宋体" w:hAnsi="宋体" w:eastAsia="宋体" w:cs="宋体"/>
                <w:i w:val="0"/>
                <w:iCs w:val="0"/>
                <w:color w:val="000000"/>
                <w:kern w:val="0"/>
                <w:sz w:val="24"/>
                <w:szCs w:val="24"/>
                <w:u w:val="none"/>
                <w:lang w:val="en-US" w:eastAsia="zh-CN" w:bidi="ar"/>
              </w:rPr>
              <w:t>、联调测试情况</w:t>
            </w:r>
          </w:p>
        </w:tc>
      </w:tr>
      <w:tr w14:paraId="3DD8A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7B3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3FD7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A368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B7CB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南网北斗平台：审查北斗平台接入申请、联调测试情况</w:t>
            </w:r>
          </w:p>
        </w:tc>
      </w:tr>
      <w:tr w14:paraId="400EC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CB5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7A9A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8C09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2770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敏捷开发：审查《云燕平台使用报告》保证应用系统代码交付质量</w:t>
            </w:r>
          </w:p>
        </w:tc>
      </w:tr>
      <w:tr w14:paraId="24C74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6A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62F9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DF74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A08C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自主可控：审查线上系统自主可控相关测试要求和系统自主可控台账的合规性</w:t>
            </w:r>
          </w:p>
        </w:tc>
      </w:tr>
      <w:tr w14:paraId="69B5F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4BC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AA2E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FC16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93F0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系统可靠性：审查测试相关报告是否齐全，系统和文档是否满足投运条件要求</w:t>
            </w:r>
          </w:p>
        </w:tc>
      </w:tr>
      <w:tr w14:paraId="2D139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8E1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525F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16B8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竣工验收阶段</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9D28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企业级中台：审查企业级中台调用和试运行情况</w:t>
            </w:r>
          </w:p>
        </w:tc>
      </w:tr>
      <w:tr w14:paraId="2BAFF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5E0B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529A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0753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991A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南网云平台：审查系统上云后是否正常运行</w:t>
            </w:r>
          </w:p>
        </w:tc>
      </w:tr>
      <w:tr w14:paraId="01D91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C0B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1050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CAC0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3DC1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人工智能平台：审查人工智能服务组件调用情况，审查模型组件、数据集对外开放共享情况</w:t>
            </w:r>
          </w:p>
        </w:tc>
      </w:tr>
      <w:tr w14:paraId="53A52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AD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2120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BA5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EE29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物联网平台：审查试运行阶段信息系统、接口、设备是否能够正常运行</w:t>
            </w:r>
          </w:p>
        </w:tc>
      </w:tr>
      <w:tr w14:paraId="138CD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E0B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E7CF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7343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6376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移动应用平台：审查应用更新、运行是否合理、准确</w:t>
            </w:r>
          </w:p>
        </w:tc>
      </w:tr>
      <w:tr w14:paraId="09A9E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C59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46E3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9E17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5A1F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区块链平台：审查试运行期间信息系统、接口是否能够正常运行。</w:t>
            </w:r>
          </w:p>
        </w:tc>
      </w:tr>
      <w:tr w14:paraId="3709C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B5A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2C81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3BB6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4AD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GIS平台：审查试运行期间信息系统、接口是否能够正常运行</w:t>
            </w:r>
          </w:p>
        </w:tc>
      </w:tr>
      <w:tr w14:paraId="0403A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6F1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3CB2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9278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D5BD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南网北斗平台：审查试运行期间信息系统、接口是否能够正常运行</w:t>
            </w:r>
          </w:p>
        </w:tc>
      </w:tr>
      <w:tr w14:paraId="5E541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BB2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3CBD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7D29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59A5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自主可控：审查系统的用户终端的使用情况及对遗留问题的整改情况</w:t>
            </w:r>
          </w:p>
        </w:tc>
      </w:tr>
      <w:tr w14:paraId="5AFFE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569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A7AD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3CEF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1FF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系统可靠性：审查待竣工验收文档是否齐全，系统和文档是否满足竣工验收条件</w:t>
            </w:r>
          </w:p>
        </w:tc>
      </w:tr>
    </w:tbl>
    <w:p w14:paraId="6EC17373">
      <w:pPr>
        <w:ind w:firstLine="480" w:firstLineChars="200"/>
        <w:rPr>
          <w:rFonts w:hint="eastAsia" w:ascii="Times New Roman" w:hAnsi="Times New Roman" w:eastAsia="宋体" w:cs="Times New Roman"/>
          <w:lang w:val="en-US" w:eastAsia="zh-CN"/>
        </w:rPr>
      </w:pPr>
    </w:p>
    <w:p w14:paraId="47ABDDEF">
      <w:pPr>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4、安全架构及网络安全技术标准管控</w:t>
      </w:r>
    </w:p>
    <w:tbl>
      <w:tblPr>
        <w:tblStyle w:val="30"/>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5"/>
        <w:gridCol w:w="1381"/>
        <w:gridCol w:w="1674"/>
        <w:gridCol w:w="5768"/>
      </w:tblGrid>
      <w:tr w14:paraId="5AC77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18"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5AAA06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17"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6CC8CB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管控类别</w:t>
            </w:r>
          </w:p>
        </w:tc>
        <w:tc>
          <w:tcPr>
            <w:tcW w:w="869"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15880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项目阶段</w:t>
            </w:r>
          </w:p>
        </w:tc>
        <w:tc>
          <w:tcPr>
            <w:tcW w:w="2994"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A4AF1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管控项</w:t>
            </w:r>
          </w:p>
        </w:tc>
      </w:tr>
      <w:tr w14:paraId="69910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B29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17" w:type="pct"/>
            <w:vMerge w:val="restart"/>
            <w:tcBorders>
              <w:top w:val="single" w:color="000000" w:sz="4" w:space="0"/>
              <w:left w:val="single" w:color="000000" w:sz="4" w:space="0"/>
              <w:bottom w:val="nil"/>
              <w:right w:val="single" w:color="000000" w:sz="4" w:space="0"/>
            </w:tcBorders>
            <w:shd w:val="clear" w:color="auto" w:fill="auto"/>
            <w:vAlign w:val="center"/>
          </w:tcPr>
          <w:p w14:paraId="14505F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技术架构管控</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CE0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项目需求阶段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9362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需求申请内容的技术信息遵从技术架构蓝图</w:t>
            </w:r>
          </w:p>
        </w:tc>
      </w:tr>
      <w:tr w14:paraId="5962F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68B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17" w:type="pct"/>
            <w:vMerge w:val="continue"/>
            <w:tcBorders>
              <w:top w:val="single" w:color="000000" w:sz="4" w:space="0"/>
              <w:left w:val="single" w:color="000000" w:sz="4" w:space="0"/>
              <w:bottom w:val="nil"/>
              <w:right w:val="single" w:color="000000" w:sz="4" w:space="0"/>
            </w:tcBorders>
            <w:shd w:val="clear" w:color="auto" w:fill="auto"/>
            <w:vAlign w:val="center"/>
          </w:tcPr>
          <w:p w14:paraId="0C7E3A2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nil"/>
              <w:right w:val="single" w:color="000000" w:sz="4" w:space="0"/>
            </w:tcBorders>
            <w:shd w:val="clear" w:color="auto" w:fill="auto"/>
            <w:vAlign w:val="center"/>
          </w:tcPr>
          <w:p w14:paraId="011C42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B626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立项内容的技术信息遵从技术架构蓝图</w:t>
            </w:r>
          </w:p>
        </w:tc>
      </w:tr>
      <w:tr w14:paraId="38AF9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958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17" w:type="pct"/>
            <w:vMerge w:val="continue"/>
            <w:tcBorders>
              <w:top w:val="single" w:color="000000" w:sz="4" w:space="0"/>
              <w:left w:val="single" w:color="000000" w:sz="4" w:space="0"/>
              <w:bottom w:val="nil"/>
              <w:right w:val="single" w:color="000000" w:sz="4" w:space="0"/>
            </w:tcBorders>
            <w:shd w:val="clear" w:color="auto" w:fill="auto"/>
            <w:vAlign w:val="center"/>
          </w:tcPr>
          <w:p w14:paraId="0752C64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D46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0F9F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建设内容的技术信息遵从技术架构蓝图</w:t>
            </w:r>
          </w:p>
        </w:tc>
      </w:tr>
      <w:tr w14:paraId="7A7B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AFA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17" w:type="pct"/>
            <w:vMerge w:val="continue"/>
            <w:tcBorders>
              <w:top w:val="single" w:color="000000" w:sz="4" w:space="0"/>
              <w:left w:val="single" w:color="000000" w:sz="4" w:space="0"/>
              <w:bottom w:val="nil"/>
              <w:right w:val="single" w:color="000000" w:sz="4" w:space="0"/>
            </w:tcBorders>
            <w:shd w:val="clear" w:color="auto" w:fill="auto"/>
            <w:vAlign w:val="center"/>
          </w:tcPr>
          <w:p w14:paraId="2C72434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D7C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初验阶段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3BE0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建设内容的技术信息遵从技术架构蓝图</w:t>
            </w:r>
          </w:p>
        </w:tc>
      </w:tr>
      <w:tr w14:paraId="27882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0F7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17" w:type="pct"/>
            <w:vMerge w:val="continue"/>
            <w:tcBorders>
              <w:top w:val="single" w:color="000000" w:sz="4" w:space="0"/>
              <w:left w:val="single" w:color="000000" w:sz="4" w:space="0"/>
              <w:bottom w:val="nil"/>
              <w:right w:val="single" w:color="000000" w:sz="4" w:space="0"/>
            </w:tcBorders>
            <w:shd w:val="clear" w:color="auto" w:fill="auto"/>
            <w:vAlign w:val="center"/>
          </w:tcPr>
          <w:p w14:paraId="362F731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DBE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终验阶段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AAE9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建设内容的技术信息遵从技术架构蓝图</w:t>
            </w:r>
          </w:p>
        </w:tc>
      </w:tr>
      <w:tr w14:paraId="0B1C4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6FF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9A3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技术平台标准管控</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120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项目可研阶段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7FD2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等保定级、安全架构、安全功能、安全对接（按需与数字身份与访问管理平台、统一密码服务平台、云盾、安全中台和网络安全靶场等进行对接）等内容。</w:t>
            </w:r>
          </w:p>
        </w:tc>
      </w:tr>
      <w:tr w14:paraId="2A821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29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3FBE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A40E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设计阶段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3795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《需求规格说明书》应对系统的安全等保定级、安全功能建设和安全对接需求进行详细说明。</w:t>
            </w:r>
          </w:p>
        </w:tc>
      </w:tr>
      <w:tr w14:paraId="4C514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EB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1E76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10C8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9655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《概要设计说明书/方案》应对系统安全架构设计、网络安全布防、安全功能、安全对接、数据安全、API接口安全等方面进行详细说明，针对数据安全</w:t>
            </w:r>
            <w:r>
              <w:rPr>
                <w:rFonts w:hint="eastAsia" w:ascii="宋体" w:hAnsi="宋体" w:cs="宋体"/>
                <w:i w:val="0"/>
                <w:iCs w:val="0"/>
                <w:color w:val="000000"/>
                <w:kern w:val="0"/>
                <w:sz w:val="24"/>
                <w:szCs w:val="24"/>
                <w:u w:val="none"/>
                <w:lang w:val="en-US" w:eastAsia="zh-CN" w:bidi="ar"/>
              </w:rPr>
              <w:t>，需</w:t>
            </w:r>
            <w:r>
              <w:rPr>
                <w:rFonts w:hint="eastAsia" w:ascii="宋体" w:hAnsi="宋体" w:eastAsia="宋体" w:cs="宋体"/>
                <w:i w:val="0"/>
                <w:iCs w:val="0"/>
                <w:color w:val="000000"/>
                <w:kern w:val="0"/>
                <w:sz w:val="24"/>
                <w:szCs w:val="24"/>
                <w:u w:val="none"/>
                <w:lang w:val="en-US" w:eastAsia="zh-CN" w:bidi="ar"/>
              </w:rPr>
              <w:t>详细说明数据分级分类依据、分级分类情况</w:t>
            </w:r>
            <w:r>
              <w:rPr>
                <w:rFonts w:hint="eastAsia" w:ascii="宋体" w:hAnsi="宋体" w:cs="宋体"/>
                <w:i w:val="0"/>
                <w:iCs w:val="0"/>
                <w:color w:val="000000"/>
                <w:kern w:val="0"/>
                <w:sz w:val="24"/>
                <w:szCs w:val="24"/>
                <w:u w:val="none"/>
                <w:lang w:val="en-US" w:eastAsia="zh-CN" w:bidi="ar"/>
              </w:rPr>
              <w:t>以及</w:t>
            </w:r>
            <w:r>
              <w:rPr>
                <w:rFonts w:hint="eastAsia" w:ascii="宋体" w:hAnsi="宋体" w:eastAsia="宋体" w:cs="宋体"/>
                <w:i w:val="0"/>
                <w:iCs w:val="0"/>
                <w:color w:val="000000"/>
                <w:kern w:val="0"/>
                <w:sz w:val="24"/>
                <w:szCs w:val="24"/>
                <w:u w:val="none"/>
                <w:lang w:val="en-US" w:eastAsia="zh-CN" w:bidi="ar"/>
              </w:rPr>
              <w:t>不同类别与级别下数据安全保护措施。相关安全设计应遵循南方电网公司《数字化总体技术导则》及网络安全合规库的有关要求。</w:t>
            </w:r>
          </w:p>
        </w:tc>
      </w:tr>
      <w:tr w14:paraId="5EFD3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4ED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6B28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F645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A6A7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《系统密码应用方案》应对密码应用需求、设计目标及原则、密码应用技术框架、密码保护对象及措施、密码应用部署、安全管理、实施保障等</w:t>
            </w:r>
            <w:r>
              <w:rPr>
                <w:rFonts w:hint="eastAsia" w:ascii="宋体" w:hAnsi="宋体" w:cs="宋体"/>
                <w:i w:val="0"/>
                <w:iCs w:val="0"/>
                <w:color w:val="000000"/>
                <w:kern w:val="0"/>
                <w:sz w:val="24"/>
                <w:szCs w:val="24"/>
                <w:u w:val="none"/>
                <w:lang w:val="en-US" w:eastAsia="zh-CN" w:bidi="ar"/>
              </w:rPr>
              <w:t>方面进行</w:t>
            </w:r>
            <w:r>
              <w:rPr>
                <w:rFonts w:hint="eastAsia" w:ascii="宋体" w:hAnsi="宋体" w:eastAsia="宋体" w:cs="宋体"/>
                <w:i w:val="0"/>
                <w:iCs w:val="0"/>
                <w:color w:val="000000"/>
                <w:kern w:val="0"/>
                <w:sz w:val="24"/>
                <w:szCs w:val="24"/>
                <w:u w:val="none"/>
                <w:lang w:val="en-US" w:eastAsia="zh-CN" w:bidi="ar"/>
              </w:rPr>
              <w:t>说明。</w:t>
            </w:r>
          </w:p>
        </w:tc>
      </w:tr>
      <w:tr w14:paraId="04BB9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0DB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AF6C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FF81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A92D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《第三方测试计划》应对系统开展第三方测试的时间、单位、内容</w:t>
            </w:r>
            <w:r>
              <w:rPr>
                <w:rFonts w:hint="eastAsia" w:ascii="宋体" w:hAnsi="宋体" w:cs="宋体"/>
                <w:i w:val="0"/>
                <w:iCs w:val="0"/>
                <w:color w:val="000000"/>
                <w:kern w:val="0"/>
                <w:sz w:val="24"/>
                <w:szCs w:val="24"/>
                <w:u w:val="none"/>
                <w:lang w:val="en-US" w:eastAsia="zh-CN" w:bidi="ar"/>
              </w:rPr>
              <w:t>等进行</w:t>
            </w:r>
            <w:r>
              <w:rPr>
                <w:rFonts w:hint="eastAsia" w:ascii="宋体" w:hAnsi="宋体" w:eastAsia="宋体" w:cs="宋体"/>
                <w:i w:val="0"/>
                <w:iCs w:val="0"/>
                <w:color w:val="000000"/>
                <w:kern w:val="0"/>
                <w:sz w:val="24"/>
                <w:szCs w:val="24"/>
                <w:u w:val="none"/>
                <w:lang w:val="en-US" w:eastAsia="zh-CN" w:bidi="ar"/>
              </w:rPr>
              <w:t>说明。</w:t>
            </w:r>
          </w:p>
        </w:tc>
      </w:tr>
      <w:tr w14:paraId="5806A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D88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036A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0FE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初步验收阶段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16F0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审查安全测评及整改报告、安全集成测试报告、等保备案材料、第三方组件清单等</w:t>
            </w:r>
          </w:p>
        </w:tc>
      </w:tr>
      <w:tr w14:paraId="0AA4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F2A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B603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0C1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竣工验收阶段</w:t>
            </w:r>
          </w:p>
        </w:tc>
        <w:tc>
          <w:tcPr>
            <w:tcW w:w="29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9BD8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审查安全测评报告、整改报告、遗留问题整改报告等</w:t>
            </w:r>
          </w:p>
        </w:tc>
      </w:tr>
    </w:tbl>
    <w:p w14:paraId="7A678A15">
      <w:pPr>
        <w:ind w:firstLine="480" w:firstLineChars="200"/>
        <w:rPr>
          <w:rFonts w:hint="eastAsia" w:ascii="Times New Roman" w:hAnsi="Times New Roman" w:eastAsia="宋体" w:cs="Times New Roman"/>
          <w:lang w:val="en-US" w:eastAsia="zh-CN"/>
        </w:rPr>
      </w:pPr>
    </w:p>
    <w:p w14:paraId="190148A3">
      <w:pPr>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严格遵循“无架构不流程、无架构不制度、无架构不数字化”管理要求，保障企业架构有效实施，支撑战略落地。常态化开展信息化项目的技术侧架构</w:t>
      </w:r>
      <w:r>
        <w:rPr>
          <w:rFonts w:hint="eastAsia" w:cs="Times New Roman"/>
          <w:lang w:val="en-US" w:eastAsia="zh-CN"/>
        </w:rPr>
        <w:t>及技术标准</w:t>
      </w:r>
      <w:r>
        <w:rPr>
          <w:rFonts w:hint="eastAsia" w:ascii="Times New Roman" w:hAnsi="Times New Roman" w:eastAsia="宋体" w:cs="Times New Roman"/>
          <w:lang w:val="en-US" w:eastAsia="zh-CN"/>
        </w:rPr>
        <w:t>管控，审查对象包括流程及规章制度（新增、修订、废止），满足“六方三关”管控模式下的技术侧架构管控要求。</w:t>
      </w:r>
    </w:p>
    <w:p w14:paraId="5C97FA9A">
      <w:pPr>
        <w:pStyle w:val="7"/>
        <w:tabs>
          <w:tab w:val="left" w:pos="432"/>
          <w:tab w:val="left" w:pos="720"/>
          <w:tab w:val="clear" w:pos="420"/>
          <w:tab w:val="clear" w:pos="864"/>
        </w:tabs>
        <w:rPr>
          <w:rFonts w:hint="default" w:ascii="Times New Roman" w:hAnsi="Times New Roman" w:eastAsia="宋体" w:cs="Times New Roman"/>
          <w:i w:val="0"/>
          <w:iCs w:val="0"/>
          <w:color w:val="auto"/>
          <w:lang w:val="en-US" w:eastAsia="zh-CN"/>
        </w:rPr>
      </w:pPr>
      <w:r>
        <w:rPr>
          <w:rFonts w:hint="eastAsia" w:ascii="Times New Roman" w:hAnsi="Times New Roman" w:eastAsia="宋体" w:cs="Times New Roman"/>
          <w:i w:val="0"/>
          <w:iCs w:val="0"/>
          <w:color w:val="auto"/>
          <w:lang w:val="en-US" w:eastAsia="zh-CN"/>
        </w:rPr>
        <w:t>信息化项目验收组织和交付物归档</w:t>
      </w:r>
    </w:p>
    <w:p w14:paraId="5BD5A99E">
      <w:pPr>
        <w:ind w:firstLine="480" w:firstLineChars="200"/>
        <w:rPr>
          <w:rFonts w:hint="eastAsia" w:cs="Times New Roman"/>
          <w:lang w:val="en-US" w:eastAsia="zh-CN"/>
        </w:rPr>
      </w:pPr>
      <w:r>
        <w:rPr>
          <w:rFonts w:hint="eastAsia" w:cs="Times New Roman"/>
          <w:lang w:val="en-US" w:eastAsia="zh-CN"/>
        </w:rPr>
        <w:t>配合开展信息化项目的验收前期准备、验收文档收集审查、验收会议过程管理、项目竣工验收后信息化项目档案的收集整理等工作。</w:t>
      </w:r>
    </w:p>
    <w:p w14:paraId="043D6752">
      <w:pPr>
        <w:pStyle w:val="2"/>
        <w:rPr>
          <w:rFonts w:hint="default"/>
          <w:lang w:val="en-US" w:eastAsia="zh-CN"/>
        </w:rPr>
      </w:pPr>
    </w:p>
    <w:p w14:paraId="211C7F7E">
      <w:pPr>
        <w:pStyle w:val="5"/>
        <w:bidi w:val="0"/>
        <w:rPr>
          <w:rFonts w:hint="default"/>
          <w:lang w:val="en-US" w:eastAsia="zh-CN"/>
        </w:rPr>
      </w:pPr>
      <w:bookmarkStart w:id="66" w:name="_Toc473092698"/>
      <w:r>
        <w:rPr>
          <w:rFonts w:hint="eastAsia"/>
          <w:lang w:val="en-US" w:eastAsia="zh-CN"/>
        </w:rPr>
        <w:t>质量要求</w:t>
      </w:r>
      <w:bookmarkEnd w:id="66"/>
    </w:p>
    <w:p w14:paraId="61A09D35">
      <w:pPr>
        <w:numPr>
          <w:ilvl w:val="0"/>
          <w:numId w:val="18"/>
        </w:numPr>
        <w:autoSpaceDE w:val="0"/>
        <w:autoSpaceDN w:val="0"/>
        <w:adjustRightInd w:val="0"/>
        <w:spacing w:line="363" w:lineRule="auto"/>
        <w:ind w:left="0" w:leftChars="0" w:right="41" w:firstLine="480" w:firstLineChars="200"/>
        <w:jc w:val="left"/>
        <w:rPr>
          <w:rFonts w:ascii="宋体" w:hAnsi="Times New Roman" w:cs="宋体"/>
          <w:kern w:val="0"/>
          <w:szCs w:val="21"/>
        </w:rPr>
      </w:pPr>
      <w:r>
        <w:rPr>
          <w:rFonts w:hint="eastAsia" w:ascii="宋体" w:hAnsi="Times New Roman" w:cs="宋体"/>
          <w:kern w:val="0"/>
          <w:szCs w:val="21"/>
        </w:rPr>
        <w:t>投标人应建立严格的质量保证体系，制定项目实施质量控制方案和实施措施，并督促落实各环节质量控制内容和目标</w:t>
      </w:r>
      <w:r>
        <w:rPr>
          <w:rFonts w:hint="eastAsia" w:ascii="宋体" w:hAnsi="Times New Roman" w:cs="宋体"/>
          <w:kern w:val="0"/>
          <w:szCs w:val="21"/>
          <w:lang w:eastAsia="zh-CN"/>
        </w:rPr>
        <w:t>，</w:t>
      </w:r>
      <w:r>
        <w:rPr>
          <w:rFonts w:hint="eastAsia" w:ascii="宋体" w:hAnsi="Times New Roman" w:cs="宋体"/>
          <w:kern w:val="0"/>
          <w:szCs w:val="21"/>
        </w:rPr>
        <w:t>保证项目实施与验收各个阶段工作满足招标人对质量的要求。</w:t>
      </w:r>
    </w:p>
    <w:p w14:paraId="36EEABB9">
      <w:pPr>
        <w:numPr>
          <w:ilvl w:val="0"/>
          <w:numId w:val="18"/>
        </w:numPr>
        <w:autoSpaceDE w:val="0"/>
        <w:autoSpaceDN w:val="0"/>
        <w:adjustRightInd w:val="0"/>
        <w:spacing w:line="363" w:lineRule="auto"/>
        <w:ind w:left="0" w:leftChars="0" w:right="41" w:firstLine="480" w:firstLineChars="200"/>
        <w:jc w:val="left"/>
        <w:rPr>
          <w:rFonts w:ascii="宋体" w:hAnsi="Times New Roman" w:cs="宋体"/>
          <w:kern w:val="0"/>
          <w:szCs w:val="21"/>
        </w:rPr>
      </w:pPr>
      <w:r>
        <w:rPr>
          <w:rFonts w:hint="eastAsia" w:ascii="宋体" w:hAnsi="Times New Roman" w:cs="宋体"/>
          <w:kern w:val="0"/>
          <w:szCs w:val="21"/>
        </w:rPr>
        <w:t>投标人应根据整个项目实施的要求，定期对工作成果进行审查和测试。</w:t>
      </w:r>
    </w:p>
    <w:p w14:paraId="2DA1FBFB">
      <w:pPr>
        <w:numPr>
          <w:ilvl w:val="0"/>
          <w:numId w:val="18"/>
        </w:numPr>
        <w:autoSpaceDE w:val="0"/>
        <w:autoSpaceDN w:val="0"/>
        <w:adjustRightInd w:val="0"/>
        <w:spacing w:line="363" w:lineRule="auto"/>
        <w:ind w:left="0" w:leftChars="0" w:right="41" w:firstLine="480" w:firstLineChars="200"/>
        <w:jc w:val="left"/>
        <w:rPr>
          <w:rFonts w:ascii="宋体" w:hAnsi="Times New Roman" w:cs="宋体"/>
          <w:kern w:val="0"/>
          <w:szCs w:val="21"/>
        </w:rPr>
      </w:pPr>
      <w:r>
        <w:rPr>
          <w:rFonts w:hint="eastAsia" w:ascii="宋体" w:hAnsi="Times New Roman" w:cs="宋体"/>
          <w:kern w:val="0"/>
          <w:szCs w:val="21"/>
        </w:rPr>
        <w:t>投标人应保证根据招标人的实际业务和管理需求，并结合招标人信息化发展的要求，提交切实可行的信息系统可行性研究报告等文件。</w:t>
      </w:r>
    </w:p>
    <w:p w14:paraId="6EE4B9B3">
      <w:pPr>
        <w:rPr>
          <w:rFonts w:hint="eastAsia"/>
          <w:lang w:val="en-US" w:eastAsia="zh-CN"/>
        </w:rPr>
      </w:pPr>
    </w:p>
    <w:p w14:paraId="67C3751D">
      <w:pPr>
        <w:pStyle w:val="4"/>
        <w:rPr>
          <w:rFonts w:ascii="宋体" w:hAnsi="Times New Roman" w:cs="宋体"/>
          <w:kern w:val="0"/>
          <w:szCs w:val="21"/>
        </w:rPr>
      </w:pPr>
      <w:bookmarkStart w:id="67" w:name="_Toc1284514092"/>
      <w:r>
        <w:rPr>
          <w:rFonts w:hint="eastAsia" w:ascii="Times New Roman" w:hAnsi="Times New Roman"/>
          <w:lang w:val="en-US" w:eastAsia="zh-CN"/>
        </w:rPr>
        <w:t>项目实施管理及进度要求</w:t>
      </w:r>
      <w:bookmarkEnd w:id="67"/>
    </w:p>
    <w:p w14:paraId="772A7AF6">
      <w:pPr>
        <w:pStyle w:val="5"/>
        <w:bidi w:val="0"/>
      </w:pPr>
      <w:bookmarkStart w:id="68" w:name="_Toc175240953"/>
      <w:r>
        <w:rPr>
          <w:rFonts w:hint="eastAsia"/>
        </w:rPr>
        <w:t>项目团队组织</w:t>
      </w:r>
      <w:bookmarkEnd w:id="68"/>
    </w:p>
    <w:p w14:paraId="2EB95E00">
      <w:pPr>
        <w:pStyle w:val="6"/>
        <w:bidi w:val="0"/>
      </w:pPr>
      <w:bookmarkStart w:id="69" w:name="_Toc1074617034"/>
      <w:r>
        <w:rPr>
          <w:rFonts w:hint="eastAsia"/>
        </w:rPr>
        <w:t>人员稳定性保证</w:t>
      </w:r>
      <w:bookmarkEnd w:id="69"/>
    </w:p>
    <w:p w14:paraId="53C93359">
      <w:pPr>
        <w:numPr>
          <w:ilvl w:val="0"/>
          <w:numId w:val="19"/>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投标人应保证项目实施团队的主要人员稳定，未经项目单位同意不得私自更换项目经理。</w:t>
      </w:r>
    </w:p>
    <w:p w14:paraId="1F2CA4D3">
      <w:pPr>
        <w:numPr>
          <w:ilvl w:val="0"/>
          <w:numId w:val="19"/>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项目单位或投标人认为需要更换投标人项目经理和主要项目团队成员时，均应提早一周向对方申明原因，投标人应在同时提出新的符合合同要求的项目经理和项目团队成员人选，经项目单位同意并办理交接手续后方可更换。</w:t>
      </w:r>
    </w:p>
    <w:p w14:paraId="28A346A3">
      <w:pPr>
        <w:autoSpaceDE w:val="0"/>
        <w:autoSpaceDN w:val="0"/>
        <w:adjustRightInd w:val="0"/>
        <w:spacing w:line="363" w:lineRule="auto"/>
        <w:ind w:left="123" w:right="41" w:firstLine="421"/>
        <w:jc w:val="left"/>
        <w:rPr>
          <w:rFonts w:ascii="宋体" w:hAnsi="Times New Roman" w:cs="宋体"/>
          <w:kern w:val="0"/>
          <w:szCs w:val="21"/>
        </w:rPr>
      </w:pPr>
    </w:p>
    <w:p w14:paraId="1D323BFF">
      <w:pPr>
        <w:pStyle w:val="6"/>
        <w:bidi w:val="0"/>
        <w:rPr>
          <w:rFonts w:hint="eastAsia"/>
        </w:rPr>
      </w:pPr>
      <w:bookmarkStart w:id="70" w:name="_Toc751019168"/>
      <w:r>
        <w:rPr>
          <w:rFonts w:hint="eastAsia"/>
        </w:rPr>
        <w:t>人员工作经验保证</w:t>
      </w:r>
      <w:bookmarkEnd w:id="70"/>
    </w:p>
    <w:p w14:paraId="1E83EEEC">
      <w:pPr>
        <w:autoSpaceDE w:val="0"/>
        <w:autoSpaceDN w:val="0"/>
        <w:adjustRightInd w:val="0"/>
        <w:spacing w:before="3" w:line="160" w:lineRule="exact"/>
        <w:jc w:val="left"/>
        <w:rPr>
          <w:rFonts w:ascii="宋体" w:hAnsi="Times New Roman" w:cs="宋体"/>
          <w:kern w:val="0"/>
          <w:sz w:val="16"/>
          <w:szCs w:val="16"/>
        </w:rPr>
      </w:pPr>
    </w:p>
    <w:p w14:paraId="19D04570">
      <w:pPr>
        <w:numPr>
          <w:ilvl w:val="0"/>
          <w:numId w:val="20"/>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投标人需根据项目整体实施进度，明确项目实施的组织架构及人员配备方案，并提供参与该项目人员的履历。</w:t>
      </w:r>
    </w:p>
    <w:p w14:paraId="0A0E1FF4">
      <w:pPr>
        <w:numPr>
          <w:ilvl w:val="0"/>
          <w:numId w:val="20"/>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项目经理及主要项目成员需具有与本项目内容相关的建设实施案例经验。项目实施经理</w:t>
      </w:r>
      <w:r>
        <w:rPr>
          <w:rFonts w:hint="eastAsia" w:ascii="宋体" w:cs="宋体"/>
          <w:kern w:val="0"/>
          <w:szCs w:val="21"/>
          <w:lang w:eastAsia="zh-CN"/>
        </w:rPr>
        <w:t>至少有5年</w:t>
      </w:r>
      <w:r>
        <w:rPr>
          <w:rFonts w:hint="eastAsia" w:ascii="宋体" w:hAnsi="Times New Roman" w:cs="宋体"/>
          <w:kern w:val="0"/>
          <w:szCs w:val="21"/>
        </w:rPr>
        <w:t>信息化项目管理或相关技术服务经验。</w:t>
      </w:r>
    </w:p>
    <w:p w14:paraId="534FBC5C">
      <w:pPr>
        <w:numPr>
          <w:ilvl w:val="0"/>
          <w:numId w:val="20"/>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项目实施人员至少50%以上有3年以上信息化项目设计、咨询服务等技术服务经验。</w:t>
      </w:r>
    </w:p>
    <w:p w14:paraId="4FE6AACA">
      <w:pPr>
        <w:numPr>
          <w:ilvl w:val="0"/>
          <w:numId w:val="20"/>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投标人应提供项目团队组织方式及其人员构成，对参加本项目的团队成员在本项目中投入工作天数的测算及在本项目中所承担的具体角色和任务的说明。</w:t>
      </w:r>
    </w:p>
    <w:p w14:paraId="1AD33D85">
      <w:pPr>
        <w:autoSpaceDE w:val="0"/>
        <w:autoSpaceDN w:val="0"/>
        <w:adjustRightInd w:val="0"/>
        <w:spacing w:before="2" w:line="170" w:lineRule="exact"/>
        <w:jc w:val="left"/>
        <w:rPr>
          <w:rFonts w:ascii="宋体" w:cs="宋体"/>
          <w:kern w:val="0"/>
          <w:sz w:val="17"/>
          <w:szCs w:val="17"/>
        </w:rPr>
      </w:pPr>
    </w:p>
    <w:p w14:paraId="31B28352">
      <w:pPr>
        <w:pStyle w:val="5"/>
        <w:bidi w:val="0"/>
      </w:pPr>
      <w:bookmarkStart w:id="71" w:name="_Toc1617763157"/>
      <w:r>
        <w:rPr>
          <w:rFonts w:hint="eastAsia"/>
        </w:rPr>
        <w:t>项目进度计划</w:t>
      </w:r>
      <w:bookmarkEnd w:id="71"/>
    </w:p>
    <w:p w14:paraId="4CF3504F">
      <w:pPr>
        <w:numPr>
          <w:ilvl w:val="0"/>
          <w:numId w:val="21"/>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项目进度管理应该遵循以下原则：</w:t>
      </w:r>
    </w:p>
    <w:p w14:paraId="3FCF93AF">
      <w:pPr>
        <w:autoSpaceDE w:val="0"/>
        <w:autoSpaceDN w:val="0"/>
        <w:adjustRightInd w:val="0"/>
        <w:spacing w:line="363" w:lineRule="auto"/>
        <w:ind w:left="709" w:right="41" w:firstLine="421"/>
        <w:jc w:val="left"/>
        <w:outlineLvl w:val="9"/>
        <w:rPr>
          <w:rFonts w:ascii="宋体" w:hAnsi="Times New Roman" w:cs="宋体"/>
          <w:kern w:val="0"/>
          <w:szCs w:val="21"/>
        </w:rPr>
      </w:pPr>
      <w:r>
        <w:rPr>
          <w:rFonts w:hint="eastAsia" w:ascii="宋体" w:hAnsi="Times New Roman" w:cs="宋体"/>
          <w:kern w:val="0"/>
          <w:szCs w:val="21"/>
          <w:lang w:eastAsia="zh-CN"/>
        </w:rPr>
        <w:t>（</w:t>
      </w:r>
      <w:r>
        <w:rPr>
          <w:rFonts w:ascii="宋体" w:hAnsi="Times New Roman" w:cs="宋体"/>
          <w:kern w:val="0"/>
          <w:szCs w:val="21"/>
        </w:rPr>
        <w:t>1）</w:t>
      </w:r>
      <w:r>
        <w:rPr>
          <w:rFonts w:hint="eastAsia" w:ascii="宋体" w:hAnsi="Times New Roman" w:cs="宋体"/>
          <w:kern w:val="0"/>
          <w:szCs w:val="21"/>
        </w:rPr>
        <w:t>项目进度管理的依据是项目合同所约定的工期目标；</w:t>
      </w:r>
    </w:p>
    <w:p w14:paraId="5BFE1663">
      <w:pPr>
        <w:autoSpaceDE w:val="0"/>
        <w:autoSpaceDN w:val="0"/>
        <w:adjustRightInd w:val="0"/>
        <w:spacing w:line="363" w:lineRule="auto"/>
        <w:ind w:left="709" w:right="41" w:firstLine="421"/>
        <w:jc w:val="left"/>
        <w:outlineLvl w:val="9"/>
        <w:rPr>
          <w:rFonts w:ascii="宋体" w:hAnsi="Times New Roman" w:cs="宋体"/>
          <w:kern w:val="0"/>
          <w:szCs w:val="21"/>
        </w:rPr>
      </w:pPr>
      <w:r>
        <w:rPr>
          <w:rFonts w:hint="eastAsia" w:ascii="宋体" w:hAnsi="Times New Roman" w:cs="宋体"/>
          <w:kern w:val="0"/>
          <w:szCs w:val="21"/>
          <w:lang w:eastAsia="zh-CN"/>
        </w:rPr>
        <w:t>（</w:t>
      </w:r>
      <w:r>
        <w:rPr>
          <w:rFonts w:ascii="宋体" w:hAnsi="Times New Roman" w:cs="宋体"/>
          <w:kern w:val="0"/>
          <w:szCs w:val="21"/>
        </w:rPr>
        <w:t>2）</w:t>
      </w:r>
      <w:r>
        <w:rPr>
          <w:rFonts w:hint="eastAsia" w:ascii="宋体" w:hAnsi="Times New Roman" w:cs="宋体"/>
          <w:kern w:val="0"/>
          <w:szCs w:val="21"/>
        </w:rPr>
        <w:t>在确保项目质量和安全的原则下，控制项目进度。</w:t>
      </w:r>
    </w:p>
    <w:p w14:paraId="307B2BB4">
      <w:pPr>
        <w:numPr>
          <w:ilvl w:val="0"/>
          <w:numId w:val="21"/>
        </w:numPr>
        <w:autoSpaceDE w:val="0"/>
        <w:autoSpaceDN w:val="0"/>
        <w:adjustRightInd w:val="0"/>
        <w:spacing w:line="363" w:lineRule="auto"/>
        <w:ind w:left="0" w:leftChars="0" w:right="41" w:firstLine="403" w:firstLineChars="0"/>
        <w:jc w:val="left"/>
        <w:rPr>
          <w:rFonts w:hint="eastAsia" w:ascii="宋体" w:hAnsi="Times New Roman" w:cs="宋体"/>
          <w:kern w:val="0"/>
          <w:szCs w:val="21"/>
        </w:rPr>
      </w:pPr>
      <w:r>
        <w:rPr>
          <w:rFonts w:hint="eastAsia" w:ascii="宋体" w:hAnsi="Times New Roman" w:cs="宋体"/>
          <w:kern w:val="0"/>
          <w:szCs w:val="21"/>
        </w:rPr>
        <w:t>项目进度管理应该至少包含以下内容：</w:t>
      </w:r>
    </w:p>
    <w:p w14:paraId="4A4E1820">
      <w:pPr>
        <w:autoSpaceDE w:val="0"/>
        <w:autoSpaceDN w:val="0"/>
        <w:adjustRightInd w:val="0"/>
        <w:spacing w:line="363" w:lineRule="auto"/>
        <w:ind w:left="709" w:right="41" w:firstLine="421"/>
        <w:jc w:val="left"/>
        <w:outlineLvl w:val="9"/>
        <w:rPr>
          <w:rFonts w:ascii="宋体" w:hAnsi="Times New Roman" w:cs="宋体"/>
          <w:kern w:val="0"/>
          <w:szCs w:val="21"/>
        </w:rPr>
      </w:pPr>
      <w:r>
        <w:rPr>
          <w:rFonts w:hint="eastAsia" w:ascii="宋体" w:hAnsi="Times New Roman" w:cs="宋体"/>
          <w:kern w:val="0"/>
          <w:szCs w:val="21"/>
          <w:lang w:eastAsia="zh-CN"/>
        </w:rPr>
        <w:t>（</w:t>
      </w:r>
      <w:r>
        <w:rPr>
          <w:rFonts w:ascii="宋体" w:hAnsi="Times New Roman" w:cs="宋体"/>
          <w:kern w:val="0"/>
          <w:szCs w:val="21"/>
        </w:rPr>
        <w:t>1）</w:t>
      </w:r>
      <w:r>
        <w:rPr>
          <w:rFonts w:hint="eastAsia" w:ascii="宋体" w:hAnsi="Times New Roman" w:cs="宋体"/>
          <w:kern w:val="0"/>
          <w:szCs w:val="21"/>
        </w:rPr>
        <w:t>在了解项目特点的前提下，根据工期目标，提交总体进度计划，并定期提交阶</w:t>
      </w:r>
      <w:r>
        <w:rPr>
          <w:rFonts w:ascii="宋体" w:hAnsi="Times New Roman" w:cs="宋体"/>
          <w:kern w:val="0"/>
          <w:szCs w:val="21"/>
        </w:rPr>
        <w:t xml:space="preserve"> </w:t>
      </w:r>
      <w:r>
        <w:rPr>
          <w:rFonts w:hint="eastAsia" w:ascii="宋体" w:hAnsi="Times New Roman" w:cs="宋体"/>
          <w:kern w:val="0"/>
          <w:szCs w:val="21"/>
        </w:rPr>
        <w:t>段性工作计划；</w:t>
      </w:r>
    </w:p>
    <w:p w14:paraId="0D7A8C5A">
      <w:pPr>
        <w:autoSpaceDE w:val="0"/>
        <w:autoSpaceDN w:val="0"/>
        <w:adjustRightInd w:val="0"/>
        <w:spacing w:line="363" w:lineRule="auto"/>
        <w:ind w:left="709" w:right="41" w:firstLine="421"/>
        <w:jc w:val="left"/>
        <w:outlineLvl w:val="9"/>
        <w:rPr>
          <w:rFonts w:ascii="宋体" w:hAnsi="Times New Roman" w:cs="宋体"/>
          <w:kern w:val="0"/>
          <w:szCs w:val="21"/>
        </w:rPr>
      </w:pPr>
      <w:r>
        <w:rPr>
          <w:rFonts w:hint="eastAsia" w:ascii="宋体" w:hAnsi="Times New Roman" w:cs="宋体"/>
          <w:kern w:val="0"/>
          <w:szCs w:val="21"/>
          <w:lang w:eastAsia="zh-CN"/>
        </w:rPr>
        <w:t>（</w:t>
      </w:r>
      <w:r>
        <w:rPr>
          <w:rFonts w:ascii="宋体" w:hAnsi="Times New Roman" w:cs="宋体"/>
          <w:kern w:val="0"/>
          <w:szCs w:val="21"/>
        </w:rPr>
        <w:t>2）</w:t>
      </w:r>
      <w:r>
        <w:rPr>
          <w:rFonts w:hint="eastAsia" w:ascii="宋体" w:hAnsi="Times New Roman" w:cs="宋体"/>
          <w:kern w:val="0"/>
          <w:szCs w:val="21"/>
        </w:rPr>
        <w:t>制定详细的项目建设进度计划，明确项目关键路径，设置里程碑，按照合同的</w:t>
      </w:r>
      <w:r>
        <w:rPr>
          <w:rFonts w:ascii="宋体" w:hAnsi="Times New Roman" w:cs="宋体"/>
          <w:kern w:val="0"/>
          <w:szCs w:val="21"/>
        </w:rPr>
        <w:t xml:space="preserve"> </w:t>
      </w:r>
      <w:r>
        <w:rPr>
          <w:rFonts w:hint="eastAsia" w:ascii="宋体" w:hAnsi="Times New Roman" w:cs="宋体"/>
          <w:kern w:val="0"/>
          <w:szCs w:val="21"/>
        </w:rPr>
        <w:t>进度计划制定具体的实施计划，定期跟踪检查，对可能发生的工程延误提出相应对策；</w:t>
      </w:r>
    </w:p>
    <w:p w14:paraId="487802E7">
      <w:pPr>
        <w:autoSpaceDE w:val="0"/>
        <w:autoSpaceDN w:val="0"/>
        <w:adjustRightInd w:val="0"/>
        <w:spacing w:line="363" w:lineRule="auto"/>
        <w:ind w:left="709" w:right="41" w:firstLine="421"/>
        <w:jc w:val="left"/>
        <w:outlineLvl w:val="9"/>
        <w:rPr>
          <w:rFonts w:ascii="宋体" w:hAnsi="Times New Roman" w:cs="宋体"/>
          <w:kern w:val="0"/>
          <w:szCs w:val="21"/>
        </w:rPr>
      </w:pPr>
      <w:r>
        <w:rPr>
          <w:rFonts w:hint="eastAsia" w:ascii="宋体" w:hAnsi="Times New Roman" w:cs="宋体"/>
          <w:kern w:val="0"/>
          <w:szCs w:val="21"/>
          <w:lang w:eastAsia="zh-CN"/>
        </w:rPr>
        <w:t>（</w:t>
      </w:r>
      <w:r>
        <w:rPr>
          <w:rFonts w:ascii="宋体" w:hAnsi="Times New Roman" w:cs="宋体"/>
          <w:kern w:val="0"/>
          <w:szCs w:val="21"/>
        </w:rPr>
        <w:t>3）</w:t>
      </w:r>
      <w:r>
        <w:rPr>
          <w:rFonts w:hint="eastAsia" w:ascii="宋体" w:hAnsi="Times New Roman" w:cs="宋体"/>
          <w:kern w:val="0"/>
          <w:szCs w:val="21"/>
        </w:rPr>
        <w:t>定期或不定期地召开或参加项目例会、协调会议等，向项目单位通报项目进展</w:t>
      </w:r>
      <w:r>
        <w:rPr>
          <w:rFonts w:ascii="宋体" w:hAnsi="Times New Roman" w:cs="宋体"/>
          <w:kern w:val="0"/>
          <w:szCs w:val="21"/>
        </w:rPr>
        <w:t xml:space="preserve"> </w:t>
      </w:r>
      <w:r>
        <w:rPr>
          <w:rFonts w:hint="eastAsia" w:ascii="宋体" w:hAnsi="Times New Roman" w:cs="宋体"/>
          <w:kern w:val="0"/>
          <w:szCs w:val="21"/>
        </w:rPr>
        <w:t>情况，提交进度报告，及时解决相关问题；</w:t>
      </w:r>
    </w:p>
    <w:p w14:paraId="157BBA6A">
      <w:pPr>
        <w:autoSpaceDE w:val="0"/>
        <w:autoSpaceDN w:val="0"/>
        <w:adjustRightInd w:val="0"/>
        <w:spacing w:line="363" w:lineRule="auto"/>
        <w:ind w:left="709" w:right="41" w:firstLine="421"/>
        <w:jc w:val="left"/>
        <w:outlineLvl w:val="9"/>
        <w:rPr>
          <w:rFonts w:ascii="宋体" w:hAnsi="Times New Roman" w:cs="宋体"/>
          <w:kern w:val="0"/>
          <w:szCs w:val="21"/>
        </w:rPr>
      </w:pPr>
      <w:r>
        <w:rPr>
          <w:rFonts w:hint="eastAsia" w:ascii="宋体" w:hAnsi="Times New Roman" w:cs="宋体"/>
          <w:kern w:val="0"/>
          <w:szCs w:val="21"/>
          <w:lang w:eastAsia="zh-CN"/>
        </w:rPr>
        <w:t>（</w:t>
      </w:r>
      <w:r>
        <w:rPr>
          <w:rFonts w:ascii="宋体" w:hAnsi="Times New Roman" w:cs="宋体"/>
          <w:kern w:val="0"/>
          <w:szCs w:val="21"/>
        </w:rPr>
        <w:t>4）</w:t>
      </w:r>
      <w:r>
        <w:rPr>
          <w:rFonts w:hint="eastAsia" w:ascii="宋体" w:hAnsi="Times New Roman" w:cs="宋体"/>
          <w:kern w:val="0"/>
          <w:szCs w:val="21"/>
        </w:rPr>
        <w:t>建立项目变更流程，记录项目变更。</w:t>
      </w:r>
    </w:p>
    <w:p w14:paraId="5A7CE9F6">
      <w:pPr>
        <w:numPr>
          <w:ilvl w:val="0"/>
          <w:numId w:val="21"/>
        </w:numPr>
        <w:autoSpaceDE w:val="0"/>
        <w:autoSpaceDN w:val="0"/>
        <w:adjustRightInd w:val="0"/>
        <w:spacing w:line="363" w:lineRule="auto"/>
        <w:ind w:left="0" w:leftChars="0" w:right="41" w:firstLine="403" w:firstLineChars="0"/>
        <w:jc w:val="left"/>
        <w:rPr>
          <w:rFonts w:hint="eastAsia" w:ascii="宋体" w:hAnsi="Times New Roman" w:cs="宋体"/>
          <w:kern w:val="0"/>
          <w:szCs w:val="21"/>
        </w:rPr>
      </w:pPr>
      <w:r>
        <w:rPr>
          <w:rFonts w:hint="eastAsia" w:ascii="宋体" w:hAnsi="Times New Roman" w:cs="宋体"/>
          <w:kern w:val="0"/>
          <w:szCs w:val="21"/>
        </w:rPr>
        <w:t>在招标方确定信息化项目前期工作计划并通知中标单位2个月内完成可研报告编制</w:t>
      </w:r>
      <w:r>
        <w:rPr>
          <w:rFonts w:hint="eastAsia" w:ascii="宋体" w:cs="宋体"/>
          <w:kern w:val="0"/>
          <w:szCs w:val="21"/>
          <w:lang w:eastAsia="zh-CN"/>
        </w:rPr>
        <w:t>，</w:t>
      </w:r>
      <w:r>
        <w:rPr>
          <w:rFonts w:hint="eastAsia" w:ascii="宋体" w:hAnsi="Times New Roman" w:cs="宋体"/>
          <w:kern w:val="0"/>
          <w:szCs w:val="21"/>
        </w:rPr>
        <w:t>按招标方的评审时间计划完成可研评审。</w:t>
      </w:r>
    </w:p>
    <w:p w14:paraId="3BE378CE">
      <w:pPr>
        <w:numPr>
          <w:ilvl w:val="0"/>
          <w:numId w:val="21"/>
        </w:numPr>
        <w:autoSpaceDE w:val="0"/>
        <w:autoSpaceDN w:val="0"/>
        <w:adjustRightInd w:val="0"/>
        <w:spacing w:line="363" w:lineRule="auto"/>
        <w:ind w:left="0" w:leftChars="0" w:right="41" w:firstLine="403" w:firstLineChars="0"/>
        <w:jc w:val="left"/>
        <w:rPr>
          <w:rFonts w:hint="eastAsia" w:ascii="宋体" w:hAnsi="Times New Roman" w:cs="宋体"/>
          <w:kern w:val="0"/>
          <w:szCs w:val="21"/>
          <w:lang w:val="en-US" w:eastAsia="zh-CN"/>
        </w:rPr>
      </w:pPr>
      <w:r>
        <w:rPr>
          <w:rFonts w:hint="eastAsia" w:ascii="宋体" w:hAnsi="Times New Roman" w:cs="宋体"/>
          <w:kern w:val="0"/>
          <w:szCs w:val="21"/>
          <w:lang w:val="en-US" w:eastAsia="zh-CN"/>
        </w:rPr>
        <w:t>项目服务时限为自合同签订之日起24个月。</w:t>
      </w:r>
    </w:p>
    <w:p w14:paraId="75623835">
      <w:pPr>
        <w:autoSpaceDE w:val="0"/>
        <w:autoSpaceDN w:val="0"/>
        <w:adjustRightInd w:val="0"/>
        <w:spacing w:line="363" w:lineRule="auto"/>
        <w:ind w:left="123" w:right="41" w:firstLine="421"/>
        <w:jc w:val="left"/>
        <w:outlineLvl w:val="9"/>
        <w:rPr>
          <w:rFonts w:hint="eastAsia" w:ascii="宋体" w:hAnsi="Times New Roman" w:eastAsia="宋体" w:cs="宋体"/>
          <w:kern w:val="0"/>
          <w:szCs w:val="21"/>
          <w:lang w:val="en-US" w:eastAsia="zh-CN"/>
        </w:rPr>
      </w:pPr>
    </w:p>
    <w:p w14:paraId="1C44597E">
      <w:pPr>
        <w:pStyle w:val="5"/>
        <w:bidi w:val="0"/>
      </w:pPr>
      <w:bookmarkStart w:id="72" w:name="_Toc454925032"/>
      <w:r>
        <w:rPr>
          <w:rFonts w:hint="eastAsia"/>
        </w:rPr>
        <w:t>项目技术联络会</w:t>
      </w:r>
      <w:bookmarkEnd w:id="72"/>
    </w:p>
    <w:p w14:paraId="6F888BC8">
      <w:pPr>
        <w:autoSpaceDE w:val="0"/>
        <w:autoSpaceDN w:val="0"/>
        <w:adjustRightInd w:val="0"/>
        <w:spacing w:before="5" w:line="120" w:lineRule="exact"/>
        <w:jc w:val="left"/>
        <w:rPr>
          <w:rFonts w:ascii="黑体" w:hAnsi="Arial" w:eastAsia="黑体" w:cs="黑体"/>
          <w:kern w:val="0"/>
          <w:sz w:val="12"/>
          <w:szCs w:val="12"/>
        </w:rPr>
      </w:pPr>
    </w:p>
    <w:p w14:paraId="081EAD9C">
      <w:pPr>
        <w:autoSpaceDE w:val="0"/>
        <w:autoSpaceDN w:val="0"/>
        <w:adjustRightInd w:val="0"/>
        <w:spacing w:line="363" w:lineRule="auto"/>
        <w:ind w:left="123" w:right="41" w:firstLine="421"/>
        <w:jc w:val="left"/>
        <w:rPr>
          <w:rFonts w:ascii="宋体" w:hAnsi="Times New Roman" w:cs="宋体"/>
          <w:kern w:val="0"/>
          <w:szCs w:val="21"/>
        </w:rPr>
      </w:pPr>
      <w:r>
        <w:rPr>
          <w:rFonts w:hint="eastAsia" w:ascii="宋体" w:hAnsi="Times New Roman" w:cs="宋体"/>
          <w:kern w:val="0"/>
          <w:szCs w:val="21"/>
        </w:rPr>
        <w:t>为审查和确认本项目的实施方案具体详细内容，便于合同按期执行，在实施过程中根据需要召开至少</w:t>
      </w:r>
      <w:r>
        <w:rPr>
          <w:rFonts w:ascii="宋体" w:hAnsi="Times New Roman" w:cs="宋体"/>
          <w:kern w:val="0"/>
          <w:szCs w:val="21"/>
        </w:rPr>
        <w:t>4</w:t>
      </w:r>
      <w:r>
        <w:rPr>
          <w:rFonts w:hint="eastAsia" w:ascii="宋体" w:hAnsi="Times New Roman" w:cs="宋体"/>
          <w:kern w:val="0"/>
          <w:szCs w:val="21"/>
        </w:rPr>
        <w:t>次技术联络会进行设计确认，技术联络会费用由投标人承担，会议具体时间及地点由双方协商确定。</w:t>
      </w:r>
    </w:p>
    <w:p w14:paraId="067D7A59">
      <w:pPr>
        <w:autoSpaceDE w:val="0"/>
        <w:autoSpaceDN w:val="0"/>
        <w:adjustRightInd w:val="0"/>
        <w:spacing w:line="363" w:lineRule="auto"/>
        <w:ind w:left="123" w:right="41" w:firstLine="421"/>
        <w:jc w:val="left"/>
        <w:rPr>
          <w:rFonts w:ascii="宋体" w:hAnsi="Times New Roman" w:cs="宋体"/>
          <w:kern w:val="0"/>
          <w:szCs w:val="21"/>
        </w:rPr>
      </w:pPr>
      <w:r>
        <w:rPr>
          <w:rFonts w:hint="eastAsia" w:ascii="宋体" w:hAnsi="Times New Roman" w:cs="宋体"/>
          <w:kern w:val="0"/>
          <w:szCs w:val="21"/>
        </w:rPr>
        <w:t>设计联络会确认的内容必须包含但不限于如下：</w:t>
      </w:r>
    </w:p>
    <w:p w14:paraId="2BBBC285">
      <w:pPr>
        <w:numPr>
          <w:ilvl w:val="0"/>
          <w:numId w:val="22"/>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确认项目工作内容及进度计划</w:t>
      </w:r>
    </w:p>
    <w:p w14:paraId="1FA4F98D">
      <w:pPr>
        <w:numPr>
          <w:ilvl w:val="0"/>
          <w:numId w:val="22"/>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讨论项目实施过程中关键问题解决方案；</w:t>
      </w:r>
    </w:p>
    <w:p w14:paraId="4FF7A190">
      <w:pPr>
        <w:numPr>
          <w:ilvl w:val="0"/>
          <w:numId w:val="22"/>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项目实施过程中需要投标人提供的成果资料内容及要求。</w:t>
      </w:r>
    </w:p>
    <w:p w14:paraId="5432C1D5">
      <w:pPr>
        <w:autoSpaceDE w:val="0"/>
        <w:autoSpaceDN w:val="0"/>
        <w:adjustRightInd w:val="0"/>
        <w:spacing w:before="16" w:line="220" w:lineRule="exact"/>
        <w:jc w:val="left"/>
        <w:rPr>
          <w:rFonts w:ascii="宋体" w:cs="宋体"/>
          <w:kern w:val="0"/>
          <w:sz w:val="22"/>
        </w:rPr>
      </w:pPr>
    </w:p>
    <w:p w14:paraId="149A624D">
      <w:pPr>
        <w:pStyle w:val="5"/>
        <w:bidi w:val="0"/>
        <w:ind w:left="0"/>
        <w:rPr>
          <w:rFonts w:hint="eastAsia" w:ascii="Times New Roman" w:hAnsi="Times New Roman"/>
        </w:rPr>
      </w:pPr>
      <w:bookmarkStart w:id="73" w:name="_Toc883229504"/>
      <w:r>
        <w:rPr>
          <w:rFonts w:hint="eastAsia" w:ascii="Times New Roman" w:hAnsi="Times New Roman"/>
        </w:rPr>
        <w:t>合同变更要求</w:t>
      </w:r>
      <w:bookmarkEnd w:id="73"/>
    </w:p>
    <w:p w14:paraId="0E87A6F3">
      <w:pPr>
        <w:autoSpaceDE w:val="0"/>
        <w:autoSpaceDN w:val="0"/>
        <w:adjustRightInd w:val="0"/>
        <w:spacing w:line="363" w:lineRule="auto"/>
        <w:ind w:left="123" w:right="41" w:firstLine="421"/>
        <w:jc w:val="left"/>
      </w:pPr>
      <w:r>
        <w:rPr>
          <w:rFonts w:hint="eastAsia" w:ascii="宋体" w:hAnsi="Times New Roman" w:cs="宋体"/>
          <w:kern w:val="0"/>
          <w:szCs w:val="21"/>
        </w:rPr>
        <w:t>如在项目实施过程中需要调整内容、进度等，需经招标人与投标人双方共同确认，并报</w:t>
      </w:r>
      <w:r>
        <w:rPr>
          <w:rFonts w:hint="eastAsia" w:ascii="宋体" w:cs="宋体"/>
          <w:kern w:val="0"/>
          <w:szCs w:val="21"/>
          <w:lang w:eastAsia="zh-CN"/>
        </w:rPr>
        <w:t>南方电网产业发展集团有限责任公司</w:t>
      </w:r>
      <w:r>
        <w:rPr>
          <w:rFonts w:hint="eastAsia" w:ascii="宋体" w:cs="宋体"/>
          <w:kern w:val="0"/>
          <w:szCs w:val="21"/>
        </w:rPr>
        <w:t>创新与数字化部</w:t>
      </w:r>
      <w:r>
        <w:rPr>
          <w:rFonts w:hint="eastAsia" w:ascii="宋体" w:hAnsi="Times New Roman" w:cs="宋体"/>
          <w:kern w:val="0"/>
          <w:szCs w:val="21"/>
        </w:rPr>
        <w:t>同意，按合同变更程序办理。</w:t>
      </w:r>
    </w:p>
    <w:p w14:paraId="59CE2DBA">
      <w:pPr>
        <w:autoSpaceDE w:val="0"/>
        <w:autoSpaceDN w:val="0"/>
        <w:adjustRightInd w:val="0"/>
        <w:spacing w:before="7" w:line="140" w:lineRule="exact"/>
        <w:jc w:val="left"/>
        <w:rPr>
          <w:rFonts w:ascii="宋体" w:hAnsi="Arial" w:cs="宋体"/>
          <w:kern w:val="0"/>
          <w:sz w:val="14"/>
          <w:szCs w:val="14"/>
        </w:rPr>
      </w:pPr>
    </w:p>
    <w:p w14:paraId="699C5726">
      <w:pPr>
        <w:pStyle w:val="5"/>
        <w:bidi w:val="0"/>
        <w:ind w:left="0"/>
        <w:rPr>
          <w:highlight w:val="none"/>
        </w:rPr>
      </w:pPr>
      <w:bookmarkStart w:id="74" w:name="_Toc1031305664"/>
      <w:r>
        <w:rPr>
          <w:rFonts w:hint="eastAsia" w:ascii="Times New Roman" w:hAnsi="Times New Roman"/>
          <w:highlight w:val="none"/>
        </w:rPr>
        <w:t>项目交付成果</w:t>
      </w:r>
      <w:bookmarkEnd w:id="74"/>
    </w:p>
    <w:p w14:paraId="033D2E19">
      <w:pPr>
        <w:numPr>
          <w:ilvl w:val="0"/>
          <w:numId w:val="23"/>
        </w:numPr>
        <w:autoSpaceDE w:val="0"/>
        <w:autoSpaceDN w:val="0"/>
        <w:adjustRightInd w:val="0"/>
        <w:spacing w:line="363" w:lineRule="auto"/>
        <w:ind w:left="0" w:leftChars="0" w:right="41" w:firstLine="480" w:firstLineChars="200"/>
        <w:jc w:val="left"/>
        <w:rPr>
          <w:rFonts w:hint="eastAsia" w:ascii="宋体" w:hAnsi="Times New Roman" w:cs="宋体"/>
          <w:kern w:val="0"/>
          <w:szCs w:val="21"/>
          <w:lang w:val="en-US" w:eastAsia="zh-CN"/>
        </w:rPr>
      </w:pPr>
      <w:r>
        <w:rPr>
          <w:rFonts w:hint="eastAsia" w:ascii="宋体" w:hAnsi="Times New Roman" w:cs="宋体"/>
          <w:kern w:val="0"/>
          <w:szCs w:val="21"/>
        </w:rPr>
        <w:t>信息化项目前期工作专项</w:t>
      </w:r>
      <w:r>
        <w:rPr>
          <w:rFonts w:hint="eastAsia" w:ascii="宋体" w:hAnsi="Times New Roman" w:cs="宋体"/>
          <w:kern w:val="0"/>
          <w:szCs w:val="21"/>
          <w:lang w:val="en-US" w:eastAsia="zh-CN"/>
        </w:rPr>
        <w:t>主要交付成果为：</w:t>
      </w:r>
    </w:p>
    <w:p w14:paraId="02279D03">
      <w:pPr>
        <w:numPr>
          <w:ilvl w:val="0"/>
          <w:numId w:val="24"/>
        </w:numPr>
        <w:ind w:left="1265" w:leftChars="0" w:hanging="425" w:firstLineChars="0"/>
        <w:rPr>
          <w:rFonts w:hint="eastAsia"/>
          <w:lang w:val="en-US" w:eastAsia="zh-CN"/>
        </w:rPr>
      </w:pPr>
      <w:r>
        <w:rPr>
          <w:rFonts w:hint="eastAsia"/>
        </w:rPr>
        <w:t>通过专家评审的202</w:t>
      </w:r>
      <w:r>
        <w:rPr>
          <w:rFonts w:hint="eastAsia"/>
          <w:lang w:val="en-US" w:eastAsia="zh-CN"/>
        </w:rPr>
        <w:t>7</w:t>
      </w:r>
      <w:r>
        <w:rPr>
          <w:rFonts w:hint="eastAsia"/>
        </w:rPr>
        <w:t>、202</w:t>
      </w:r>
      <w:r>
        <w:rPr>
          <w:rFonts w:hint="eastAsia"/>
          <w:lang w:val="en-US" w:eastAsia="zh-CN"/>
        </w:rPr>
        <w:t>8</w:t>
      </w:r>
      <w:r>
        <w:rPr>
          <w:rFonts w:hint="eastAsia"/>
        </w:rPr>
        <w:t>年拟建信息化项目的可行性研究报告、估算书</w:t>
      </w:r>
      <w:r>
        <w:rPr>
          <w:rFonts w:hint="eastAsia"/>
          <w:lang w:val="en-US" w:eastAsia="zh-CN"/>
        </w:rPr>
        <w:t>；</w:t>
      </w:r>
    </w:p>
    <w:p w14:paraId="26B48C2C">
      <w:pPr>
        <w:numPr>
          <w:ilvl w:val="0"/>
          <w:numId w:val="24"/>
        </w:numPr>
        <w:ind w:left="1265" w:leftChars="0" w:hanging="425" w:firstLineChars="0"/>
        <w:rPr>
          <w:rFonts w:hint="eastAsia"/>
          <w:lang w:val="en-US" w:eastAsia="zh-CN"/>
        </w:rPr>
      </w:pPr>
      <w:r>
        <w:rPr>
          <w:rFonts w:hint="eastAsia"/>
          <w:lang w:val="en-US" w:eastAsia="zh-CN"/>
        </w:rPr>
        <w:t>项目其他相关成果。</w:t>
      </w:r>
    </w:p>
    <w:p w14:paraId="4628623E">
      <w:pPr>
        <w:pStyle w:val="2"/>
        <w:rPr>
          <w:rFonts w:hint="eastAsia"/>
          <w:lang w:val="en-US" w:eastAsia="zh-CN"/>
        </w:rPr>
      </w:pPr>
    </w:p>
    <w:p w14:paraId="330A310A">
      <w:pPr>
        <w:numPr>
          <w:ilvl w:val="0"/>
          <w:numId w:val="23"/>
        </w:numPr>
        <w:autoSpaceDE w:val="0"/>
        <w:autoSpaceDN w:val="0"/>
        <w:adjustRightInd w:val="0"/>
        <w:spacing w:line="363" w:lineRule="auto"/>
        <w:ind w:left="0" w:leftChars="0" w:right="41" w:firstLine="403" w:firstLineChars="0"/>
        <w:jc w:val="left"/>
        <w:rPr>
          <w:rFonts w:hint="default" w:ascii="宋体" w:hAnsi="Times New Roman" w:cs="宋体"/>
          <w:kern w:val="0"/>
          <w:szCs w:val="21"/>
          <w:lang w:val="en-US" w:eastAsia="zh-CN"/>
        </w:rPr>
      </w:pPr>
      <w:r>
        <w:rPr>
          <w:rFonts w:hint="eastAsia" w:ascii="宋体" w:hAnsi="Times New Roman" w:cs="宋体"/>
          <w:kern w:val="0"/>
          <w:szCs w:val="21"/>
        </w:rPr>
        <w:t>信息化项目</w:t>
      </w:r>
      <w:r>
        <w:rPr>
          <w:rFonts w:hint="eastAsia" w:ascii="宋体" w:hAnsi="Times New Roman" w:cs="宋体"/>
          <w:kern w:val="0"/>
          <w:szCs w:val="21"/>
          <w:lang w:val="en-US" w:eastAsia="zh-CN"/>
        </w:rPr>
        <w:t>结算编审工作主要交付成果为：</w:t>
      </w:r>
    </w:p>
    <w:p w14:paraId="5563E8A1">
      <w:pPr>
        <w:numPr>
          <w:ilvl w:val="0"/>
          <w:numId w:val="25"/>
        </w:numPr>
        <w:ind w:left="1265" w:leftChars="0" w:hanging="425" w:firstLineChars="0"/>
        <w:rPr>
          <w:rFonts w:hint="default" w:ascii="Times New Roman" w:hAnsi="Times New Roman" w:eastAsia="宋体" w:cs="Times New Roman"/>
          <w:lang w:val="en-US" w:eastAsia="zh-CN"/>
        </w:rPr>
      </w:pPr>
      <w:r>
        <w:rPr>
          <w:rFonts w:hint="eastAsia" w:cs="Times New Roman"/>
          <w:lang w:val="en-US" w:eastAsia="zh-CN"/>
        </w:rPr>
        <w:t>2026年下半年、2027年全年和2028年上半年拟结项的</w:t>
      </w:r>
      <w:r>
        <w:rPr>
          <w:rFonts w:ascii="宋体" w:hAnsi="宋体" w:eastAsia="宋体" w:cs="宋体"/>
          <w:b w:val="0"/>
          <w:bCs w:val="0"/>
          <w:color w:val="000000"/>
          <w:sz w:val="24"/>
          <w:szCs w:val="24"/>
        </w:rPr>
        <w:t>信息化项目结算报告</w:t>
      </w:r>
      <w:r>
        <w:rPr>
          <w:rFonts w:hint="eastAsia" w:ascii="宋体" w:hAnsi="宋体" w:eastAsia="宋体" w:cs="宋体"/>
          <w:b w:val="0"/>
          <w:bCs w:val="0"/>
          <w:color w:val="000000"/>
          <w:sz w:val="24"/>
          <w:szCs w:val="24"/>
          <w:lang w:val="en-US" w:eastAsia="zh-CN"/>
        </w:rPr>
        <w:t>；</w:t>
      </w:r>
    </w:p>
    <w:p w14:paraId="793C1065">
      <w:pPr>
        <w:numPr>
          <w:ilvl w:val="0"/>
          <w:numId w:val="25"/>
        </w:numPr>
        <w:ind w:left="1265" w:leftChars="0" w:hanging="425" w:firstLineChars="0"/>
        <w:rPr>
          <w:rFonts w:hint="eastAsia" w:ascii="Times New Roman" w:hAnsi="Times New Roman" w:eastAsia="宋体" w:cs="Times New Roman"/>
          <w:lang w:val="en-US" w:eastAsia="zh-CN"/>
        </w:rPr>
      </w:pPr>
      <w:r>
        <w:rPr>
          <w:rFonts w:hint="eastAsia" w:cs="Times New Roman"/>
          <w:lang w:val="en-US" w:eastAsia="zh-CN"/>
        </w:rPr>
        <w:t>2026年下半年、2027年全年和2028年上半年拟结项的</w:t>
      </w:r>
      <w:r>
        <w:rPr>
          <w:rFonts w:hint="eastAsia" w:ascii="Times New Roman" w:hAnsi="Times New Roman" w:eastAsia="宋体" w:cs="Times New Roman"/>
          <w:lang w:val="en-US" w:eastAsia="zh-CN"/>
        </w:rPr>
        <w:t>信息化项目结算书；</w:t>
      </w:r>
    </w:p>
    <w:p w14:paraId="38D6DCB5">
      <w:pPr>
        <w:numPr>
          <w:ilvl w:val="0"/>
          <w:numId w:val="25"/>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项目其他相关成果。</w:t>
      </w:r>
    </w:p>
    <w:p w14:paraId="3324EAE5">
      <w:pPr>
        <w:pStyle w:val="2"/>
        <w:rPr>
          <w:rFonts w:hint="eastAsia"/>
          <w:lang w:val="en-US" w:eastAsia="zh-CN"/>
        </w:rPr>
      </w:pPr>
    </w:p>
    <w:p w14:paraId="34D0F9F5">
      <w:pPr>
        <w:numPr>
          <w:ilvl w:val="0"/>
          <w:numId w:val="23"/>
        </w:numPr>
        <w:autoSpaceDE w:val="0"/>
        <w:autoSpaceDN w:val="0"/>
        <w:adjustRightInd w:val="0"/>
        <w:spacing w:line="363" w:lineRule="auto"/>
        <w:ind w:left="0" w:leftChars="0" w:right="41" w:firstLine="403" w:firstLineChars="0"/>
        <w:jc w:val="left"/>
        <w:rPr>
          <w:rFonts w:hint="eastAsia" w:ascii="宋体" w:hAnsi="Times New Roman" w:cs="宋体"/>
          <w:kern w:val="0"/>
          <w:szCs w:val="21"/>
          <w:lang w:val="en-US" w:eastAsia="zh-CN"/>
        </w:rPr>
      </w:pPr>
      <w:r>
        <w:rPr>
          <w:rFonts w:hint="eastAsia" w:ascii="宋体" w:hAnsi="Times New Roman" w:cs="宋体"/>
          <w:kern w:val="0"/>
          <w:szCs w:val="21"/>
          <w:lang w:val="en-US" w:eastAsia="zh-CN"/>
        </w:rPr>
        <w:t>信息化项目需求管理、项目建设过程管控等工作主要交付成果为：</w:t>
      </w:r>
    </w:p>
    <w:p w14:paraId="1E201F4B">
      <w:pPr>
        <w:numPr>
          <w:ilvl w:val="0"/>
          <w:numId w:val="2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信息化项目需求管理监督月报</w:t>
      </w:r>
      <w:r>
        <w:rPr>
          <w:rFonts w:hint="eastAsia"/>
          <w:lang w:val="en-US" w:eastAsia="zh-CN"/>
        </w:rPr>
        <w:t>；</w:t>
      </w:r>
    </w:p>
    <w:p w14:paraId="5856E600">
      <w:pPr>
        <w:numPr>
          <w:ilvl w:val="0"/>
          <w:numId w:val="26"/>
        </w:numPr>
        <w:ind w:left="1265" w:leftChars="0" w:hanging="425"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信息化项目过程建设监督月报</w:t>
      </w:r>
      <w:r>
        <w:rPr>
          <w:rFonts w:hint="eastAsia"/>
          <w:lang w:val="en-US" w:eastAsia="zh-CN"/>
        </w:rPr>
        <w:t>；</w:t>
      </w:r>
    </w:p>
    <w:p w14:paraId="1D346D46">
      <w:pPr>
        <w:numPr>
          <w:ilvl w:val="0"/>
          <w:numId w:val="26"/>
        </w:numPr>
        <w:ind w:left="1265" w:leftChars="0" w:hanging="425" w:firstLineChars="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信息化项目技术侧架构管控审查意见</w:t>
      </w:r>
      <w:r>
        <w:rPr>
          <w:rFonts w:hint="eastAsia"/>
          <w:lang w:val="en-US" w:eastAsia="zh-CN"/>
        </w:rPr>
        <w:t>；</w:t>
      </w:r>
    </w:p>
    <w:p w14:paraId="6173EB50">
      <w:pPr>
        <w:numPr>
          <w:ilvl w:val="0"/>
          <w:numId w:val="26"/>
        </w:numPr>
        <w:ind w:left="1265" w:leftChars="0" w:hanging="425" w:firstLineChars="0"/>
        <w:rPr>
          <w:rFonts w:hint="eastAsia"/>
          <w:lang w:val="en-US" w:eastAsia="zh-CN"/>
        </w:rPr>
      </w:pPr>
      <w:r>
        <w:rPr>
          <w:rFonts w:hint="eastAsia" w:ascii="Times New Roman" w:hAnsi="Times New Roman" w:eastAsia="宋体" w:cs="Times New Roman"/>
          <w:lang w:val="en-US" w:eastAsia="zh-CN"/>
        </w:rPr>
        <w:t>信息化项目技术</w:t>
      </w:r>
      <w:r>
        <w:rPr>
          <w:rFonts w:hint="eastAsia" w:eastAsia="宋体" w:cs="Times New Roman"/>
          <w:lang w:val="en-US" w:eastAsia="zh-CN"/>
        </w:rPr>
        <w:t>标准</w:t>
      </w:r>
      <w:r>
        <w:rPr>
          <w:rFonts w:hint="eastAsia" w:ascii="Times New Roman" w:hAnsi="Times New Roman" w:eastAsia="宋体" w:cs="Times New Roman"/>
          <w:lang w:val="en-US" w:eastAsia="zh-CN"/>
        </w:rPr>
        <w:t>管控审查意见</w:t>
      </w:r>
      <w:r>
        <w:rPr>
          <w:rFonts w:hint="eastAsia"/>
          <w:lang w:val="en-US" w:eastAsia="zh-CN"/>
        </w:rPr>
        <w:t>；</w:t>
      </w:r>
    </w:p>
    <w:p w14:paraId="3DE9F819">
      <w:pPr>
        <w:numPr>
          <w:ilvl w:val="0"/>
          <w:numId w:val="26"/>
        </w:numPr>
        <w:ind w:left="1265" w:leftChars="0" w:hanging="425" w:firstLineChars="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信息化项目</w:t>
      </w:r>
      <w:r>
        <w:rPr>
          <w:rFonts w:hint="eastAsia" w:ascii="Times New Roman" w:hAnsi="Times New Roman" w:eastAsia="宋体" w:cs="Times New Roman"/>
          <w:i w:val="0"/>
          <w:iCs w:val="0"/>
          <w:color w:val="auto"/>
          <w:lang w:val="en-US" w:eastAsia="zh-CN"/>
        </w:rPr>
        <w:t>验收组织和交付物归档月报</w:t>
      </w:r>
      <w:r>
        <w:rPr>
          <w:rFonts w:hint="eastAsia"/>
          <w:lang w:val="en-US" w:eastAsia="zh-CN"/>
        </w:rPr>
        <w:t>；</w:t>
      </w:r>
    </w:p>
    <w:p w14:paraId="58839316">
      <w:pPr>
        <w:numPr>
          <w:ilvl w:val="0"/>
          <w:numId w:val="26"/>
        </w:numPr>
        <w:ind w:left="1265" w:leftChars="0" w:hanging="425" w:firstLineChars="0"/>
        <w:rPr>
          <w:rFonts w:hint="default" w:cs="Times New Roman"/>
          <w:lang w:val="en-US" w:eastAsia="zh-CN"/>
        </w:rPr>
      </w:pPr>
      <w:r>
        <w:rPr>
          <w:rFonts w:hint="eastAsia" w:ascii="Times New Roman" w:hAnsi="Times New Roman" w:eastAsia="宋体" w:cs="Times New Roman"/>
          <w:lang w:val="en-US" w:eastAsia="zh-CN"/>
        </w:rPr>
        <w:t>项目其他相关成果。</w:t>
      </w:r>
    </w:p>
    <w:p w14:paraId="25DA56FD">
      <w:pPr>
        <w:bidi w:val="0"/>
      </w:pPr>
    </w:p>
    <w:p w14:paraId="7375C637">
      <w:pPr>
        <w:pStyle w:val="5"/>
        <w:bidi w:val="0"/>
        <w:ind w:left="0"/>
        <w:rPr>
          <w:rFonts w:hint="eastAsia" w:ascii="Times New Roman" w:hAnsi="Times New Roman"/>
        </w:rPr>
      </w:pPr>
      <w:bookmarkStart w:id="75" w:name="_Toc813779911"/>
      <w:r>
        <w:rPr>
          <w:rFonts w:hint="eastAsia" w:ascii="Times New Roman" w:hAnsi="Times New Roman"/>
        </w:rPr>
        <w:t>知识产权</w:t>
      </w:r>
      <w:bookmarkEnd w:id="75"/>
    </w:p>
    <w:p w14:paraId="08F623C7">
      <w:pPr>
        <w:numPr>
          <w:ilvl w:val="0"/>
          <w:numId w:val="27"/>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投标人所提供的产品、工具、模型、方法论、文档及服务须没有任何权利瑕疵，没有侵犯任何第三方权利。招标人在使用该产品或服务的任何一部分时，免受第三方提出的任何侵犯其知识产权的权利主张。</w:t>
      </w:r>
    </w:p>
    <w:p w14:paraId="696E953A">
      <w:pPr>
        <w:numPr>
          <w:ilvl w:val="0"/>
          <w:numId w:val="27"/>
        </w:numPr>
        <w:autoSpaceDE w:val="0"/>
        <w:autoSpaceDN w:val="0"/>
        <w:adjustRightInd w:val="0"/>
        <w:spacing w:line="363" w:lineRule="auto"/>
        <w:ind w:left="0" w:leftChars="0" w:right="41" w:firstLine="480" w:firstLineChars="200"/>
        <w:jc w:val="left"/>
        <w:rPr>
          <w:rFonts w:hint="eastAsia" w:ascii="宋体" w:hAnsi="Times New Roman" w:cs="宋体"/>
          <w:kern w:val="0"/>
          <w:szCs w:val="21"/>
        </w:rPr>
      </w:pPr>
      <w:r>
        <w:rPr>
          <w:rFonts w:hint="eastAsia" w:ascii="宋体" w:hAnsi="Times New Roman" w:cs="宋体"/>
          <w:kern w:val="0"/>
          <w:szCs w:val="21"/>
        </w:rPr>
        <w:t>在本项目中所形成成果的知识产权归招标人所有。</w:t>
      </w:r>
    </w:p>
    <w:p w14:paraId="1D65CC00">
      <w:pPr>
        <w:pStyle w:val="2"/>
      </w:pPr>
    </w:p>
    <w:p w14:paraId="0090ECE1">
      <w:pPr>
        <w:pStyle w:val="4"/>
        <w:rPr>
          <w:rFonts w:hint="eastAsia" w:ascii="Times New Roman" w:hAnsi="Times New Roman"/>
          <w:lang w:val="en-US" w:eastAsia="zh-CN"/>
        </w:rPr>
      </w:pPr>
      <w:bookmarkStart w:id="76" w:name="_Toc2023100081"/>
      <w:r>
        <w:rPr>
          <w:rFonts w:hint="eastAsia" w:ascii="Times New Roman" w:hAnsi="Times New Roman"/>
          <w:lang w:val="en-US" w:eastAsia="zh-CN"/>
        </w:rPr>
        <w:t>验收及售后服务</w:t>
      </w:r>
      <w:bookmarkEnd w:id="76"/>
    </w:p>
    <w:p w14:paraId="7FF099F1">
      <w:pPr>
        <w:autoSpaceDE w:val="0"/>
        <w:autoSpaceDN w:val="0"/>
        <w:adjustRightInd w:val="0"/>
        <w:ind w:left="123" w:right="-20"/>
        <w:jc w:val="left"/>
        <w:outlineLvl w:val="1"/>
        <w:rPr>
          <w:rFonts w:ascii="黑体" w:hAnsi="Times New Roman" w:eastAsia="黑体" w:cs="黑体"/>
          <w:kern w:val="0"/>
          <w:sz w:val="31"/>
          <w:szCs w:val="31"/>
        </w:rPr>
      </w:pPr>
      <w:bookmarkStart w:id="77" w:name="_Toc1134478416"/>
      <w:r>
        <w:rPr>
          <w:rFonts w:ascii="Times New Roman" w:hAnsi="Times New Roman"/>
          <w:b/>
          <w:bCs/>
          <w:spacing w:val="7"/>
          <w:kern w:val="0"/>
          <w:sz w:val="31"/>
          <w:szCs w:val="31"/>
        </w:rPr>
        <w:t>5</w:t>
      </w:r>
      <w:r>
        <w:rPr>
          <w:rFonts w:ascii="Times New Roman" w:hAnsi="Times New Roman"/>
          <w:b/>
          <w:bCs/>
          <w:spacing w:val="-4"/>
          <w:kern w:val="0"/>
          <w:sz w:val="31"/>
          <w:szCs w:val="31"/>
        </w:rPr>
        <w:t>.</w:t>
      </w:r>
      <w:r>
        <w:rPr>
          <w:rFonts w:ascii="Times New Roman" w:hAnsi="Times New Roman"/>
          <w:b/>
          <w:bCs/>
          <w:kern w:val="0"/>
          <w:sz w:val="31"/>
          <w:szCs w:val="31"/>
        </w:rPr>
        <w:t>1</w:t>
      </w:r>
      <w:r>
        <w:rPr>
          <w:rFonts w:ascii="Times New Roman" w:hAnsi="Times New Roman"/>
          <w:b/>
          <w:bCs/>
          <w:spacing w:val="9"/>
          <w:kern w:val="0"/>
          <w:sz w:val="31"/>
          <w:szCs w:val="31"/>
        </w:rPr>
        <w:t xml:space="preserve"> </w:t>
      </w:r>
      <w:r>
        <w:rPr>
          <w:rFonts w:hint="eastAsia" w:ascii="黑体" w:hAnsi="Times New Roman" w:eastAsia="黑体" w:cs="黑体"/>
          <w:spacing w:val="30"/>
          <w:w w:val="101"/>
          <w:kern w:val="0"/>
          <w:sz w:val="31"/>
          <w:szCs w:val="31"/>
        </w:rPr>
        <w:t>项</w:t>
      </w:r>
      <w:r>
        <w:rPr>
          <w:rFonts w:hint="eastAsia" w:ascii="黑体" w:hAnsi="Times New Roman" w:eastAsia="黑体" w:cs="黑体"/>
          <w:spacing w:val="15"/>
          <w:w w:val="101"/>
          <w:kern w:val="0"/>
          <w:sz w:val="31"/>
          <w:szCs w:val="31"/>
        </w:rPr>
        <w:t>目验</w:t>
      </w:r>
      <w:r>
        <w:rPr>
          <w:rFonts w:hint="eastAsia" w:ascii="黑体" w:hAnsi="Times New Roman" w:eastAsia="黑体" w:cs="黑体"/>
          <w:w w:val="101"/>
          <w:kern w:val="0"/>
          <w:sz w:val="31"/>
          <w:szCs w:val="31"/>
        </w:rPr>
        <w:t>收</w:t>
      </w:r>
      <w:bookmarkEnd w:id="77"/>
    </w:p>
    <w:p w14:paraId="7D20D60A">
      <w:pPr>
        <w:keepNext w:val="0"/>
        <w:keepLines w:val="0"/>
        <w:pageBreakBefore w:val="0"/>
        <w:widowControl w:val="0"/>
        <w:numPr>
          <w:ilvl w:val="0"/>
          <w:numId w:val="28"/>
        </w:numPr>
        <w:kinsoku/>
        <w:wordWrap/>
        <w:overflowPunct/>
        <w:topLinePunct w:val="0"/>
        <w:autoSpaceDE w:val="0"/>
        <w:autoSpaceDN w:val="0"/>
        <w:bidi w:val="0"/>
        <w:adjustRightInd w:val="0"/>
        <w:snapToGrid/>
        <w:spacing w:line="363" w:lineRule="auto"/>
        <w:ind w:left="0" w:leftChars="0" w:right="0" w:firstLine="480" w:firstLineChars="200"/>
        <w:jc w:val="left"/>
        <w:textAlignment w:val="auto"/>
        <w:rPr>
          <w:rFonts w:hint="eastAsia" w:ascii="宋体" w:hAnsi="Times New Roman" w:cs="宋体"/>
          <w:kern w:val="0"/>
          <w:szCs w:val="21"/>
        </w:rPr>
      </w:pPr>
      <w:r>
        <w:rPr>
          <w:rFonts w:hint="eastAsia" w:ascii="宋体" w:hAnsi="Times New Roman" w:cs="宋体"/>
          <w:kern w:val="0"/>
          <w:szCs w:val="21"/>
        </w:rPr>
        <w:t>中标方按期完成相关工作，即可申请项目竣工验收。</w:t>
      </w:r>
    </w:p>
    <w:p w14:paraId="4BB95913">
      <w:pPr>
        <w:keepNext w:val="0"/>
        <w:keepLines w:val="0"/>
        <w:pageBreakBefore w:val="0"/>
        <w:widowControl w:val="0"/>
        <w:numPr>
          <w:ilvl w:val="0"/>
          <w:numId w:val="28"/>
        </w:numPr>
        <w:kinsoku/>
        <w:wordWrap/>
        <w:overflowPunct/>
        <w:topLinePunct w:val="0"/>
        <w:autoSpaceDE w:val="0"/>
        <w:autoSpaceDN w:val="0"/>
        <w:bidi w:val="0"/>
        <w:adjustRightInd w:val="0"/>
        <w:snapToGrid/>
        <w:spacing w:line="363" w:lineRule="auto"/>
        <w:ind w:left="0" w:leftChars="0" w:right="0" w:firstLine="480" w:firstLineChars="200"/>
        <w:jc w:val="left"/>
        <w:textAlignment w:val="auto"/>
        <w:rPr>
          <w:rFonts w:hint="eastAsia" w:ascii="宋体" w:hAnsi="Times New Roman" w:cs="宋体"/>
          <w:kern w:val="0"/>
          <w:szCs w:val="21"/>
        </w:rPr>
      </w:pPr>
      <w:r>
        <w:rPr>
          <w:rFonts w:hint="eastAsia" w:ascii="宋体" w:hAnsi="Times New Roman" w:cs="宋体"/>
          <w:kern w:val="0"/>
          <w:szCs w:val="21"/>
        </w:rPr>
        <w:t>中标方提出项目竣工验收申请，招标方在收到投标方验收申请后10个工作日内答复中标方并组织竣工验收。</w:t>
      </w:r>
    </w:p>
    <w:p w14:paraId="54CBD22A">
      <w:pPr>
        <w:keepNext w:val="0"/>
        <w:keepLines w:val="0"/>
        <w:pageBreakBefore w:val="0"/>
        <w:widowControl w:val="0"/>
        <w:numPr>
          <w:ilvl w:val="0"/>
          <w:numId w:val="28"/>
        </w:numPr>
        <w:kinsoku/>
        <w:wordWrap/>
        <w:overflowPunct/>
        <w:topLinePunct w:val="0"/>
        <w:autoSpaceDE w:val="0"/>
        <w:autoSpaceDN w:val="0"/>
        <w:bidi w:val="0"/>
        <w:adjustRightInd w:val="0"/>
        <w:snapToGrid/>
        <w:spacing w:line="363" w:lineRule="auto"/>
        <w:ind w:left="0" w:leftChars="0" w:right="0" w:firstLine="480" w:firstLineChars="200"/>
        <w:jc w:val="left"/>
        <w:textAlignment w:val="auto"/>
        <w:rPr>
          <w:rFonts w:hint="eastAsia" w:ascii="宋体" w:hAnsi="Times New Roman" w:cs="宋体"/>
          <w:kern w:val="0"/>
          <w:szCs w:val="21"/>
        </w:rPr>
      </w:pPr>
      <w:r>
        <w:rPr>
          <w:rFonts w:hint="eastAsia" w:ascii="宋体" w:hAnsi="Times New Roman" w:cs="宋体"/>
          <w:kern w:val="0"/>
          <w:szCs w:val="21"/>
        </w:rPr>
        <w:t>根据本项目工作内容与特点，本项目验收采取专家审查方式。</w:t>
      </w:r>
    </w:p>
    <w:p w14:paraId="4CBA728C">
      <w:pPr>
        <w:pStyle w:val="2"/>
        <w:rPr>
          <w:rFonts w:hint="eastAsia"/>
          <w:lang w:val="en-US" w:eastAsia="zh-CN"/>
        </w:rPr>
      </w:pPr>
    </w:p>
    <w:sectPr>
      <w:footerReference r:id="rId7" w:type="default"/>
      <w:pgSz w:w="11906" w:h="16838"/>
      <w:pgMar w:top="1134" w:right="1134" w:bottom="1134" w:left="1134" w:header="851" w:footer="113" w:gutter="0"/>
      <w:pgNumType w:fmt="decimal" w:start="1"/>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561B6">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E82B6">
    <w:pPr>
      <w:jc w:val="cente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E105B">
                          <w:pPr>
                            <w:jc w:val="center"/>
                          </w:pPr>
                          <w:r>
                            <w:fldChar w:fldCharType="begin"/>
                          </w:r>
                          <w:r>
                            <w:instrText xml:space="preserve"> PAGE   \* MERGEFORMAT </w:instrText>
                          </w:r>
                          <w:r>
                            <w:fldChar w:fldCharType="separate"/>
                          </w:r>
                          <w:r>
                            <w:rPr>
                              <w:lang w:val="zh-CN"/>
                            </w:rPr>
                            <w:t>-</w:t>
                          </w:r>
                          <w:r>
                            <w:t xml:space="preserve">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E0E105B">
                    <w:pPr>
                      <w:jc w:val="center"/>
                    </w:pPr>
                    <w:r>
                      <w:fldChar w:fldCharType="begin"/>
                    </w:r>
                    <w:r>
                      <w:instrText xml:space="preserve"> PAGE   \* MERGEFORMAT </w:instrText>
                    </w:r>
                    <w:r>
                      <w:fldChar w:fldCharType="separate"/>
                    </w:r>
                    <w:r>
                      <w:rPr>
                        <w:lang w:val="zh-CN"/>
                      </w:rPr>
                      <w:t>-</w:t>
                    </w:r>
                    <w:r>
                      <w:t xml:space="preserve"> 6 -</w:t>
                    </w:r>
                    <w:r>
                      <w:fldChar w:fldCharType="end"/>
                    </w:r>
                  </w:p>
                </w:txbxContent>
              </v:textbox>
            </v:shape>
          </w:pict>
        </mc:Fallback>
      </mc:AlternateContent>
    </w:r>
  </w:p>
  <w:p w14:paraId="1B0DA0D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CF2FC">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A69345"/>
    <w:multiLevelType w:val="singleLevel"/>
    <w:tmpl w:val="B5A69345"/>
    <w:lvl w:ilvl="0" w:tentative="0">
      <w:start w:val="1"/>
      <w:numFmt w:val="decimal"/>
      <w:lvlText w:val="(%1)"/>
      <w:lvlJc w:val="left"/>
      <w:pPr>
        <w:tabs>
          <w:tab w:val="left" w:pos="840"/>
        </w:tabs>
        <w:ind w:left="1265" w:hanging="425"/>
      </w:pPr>
      <w:rPr>
        <w:rFonts w:hint="default"/>
      </w:rPr>
    </w:lvl>
  </w:abstractNum>
  <w:abstractNum w:abstractNumId="1">
    <w:nsid w:val="BDEF7DC2"/>
    <w:multiLevelType w:val="singleLevel"/>
    <w:tmpl w:val="BDEF7DC2"/>
    <w:lvl w:ilvl="0" w:tentative="0">
      <w:start w:val="1"/>
      <w:numFmt w:val="decimal"/>
      <w:lvlText w:val="(%1)"/>
      <w:lvlJc w:val="left"/>
      <w:pPr>
        <w:tabs>
          <w:tab w:val="left" w:pos="840"/>
        </w:tabs>
        <w:ind w:left="1265" w:hanging="425"/>
      </w:pPr>
      <w:rPr>
        <w:rFonts w:hint="default"/>
      </w:rPr>
    </w:lvl>
  </w:abstractNum>
  <w:abstractNum w:abstractNumId="2">
    <w:nsid w:val="BFFA5F1F"/>
    <w:multiLevelType w:val="singleLevel"/>
    <w:tmpl w:val="BFFA5F1F"/>
    <w:lvl w:ilvl="0" w:tentative="0">
      <w:start w:val="1"/>
      <w:numFmt w:val="decimal"/>
      <w:suff w:val="nothing"/>
      <w:lvlText w:val="%1、"/>
      <w:lvlJc w:val="left"/>
      <w:pPr>
        <w:ind w:left="0" w:firstLine="403"/>
      </w:pPr>
      <w:rPr>
        <w:rFonts w:hint="default"/>
      </w:rPr>
    </w:lvl>
  </w:abstractNum>
  <w:abstractNum w:abstractNumId="3">
    <w:nsid w:val="BFFAFC1A"/>
    <w:multiLevelType w:val="singleLevel"/>
    <w:tmpl w:val="BFFAFC1A"/>
    <w:lvl w:ilvl="0" w:tentative="0">
      <w:start w:val="1"/>
      <w:numFmt w:val="decimal"/>
      <w:suff w:val="nothing"/>
      <w:lvlText w:val="%1、"/>
      <w:lvlJc w:val="left"/>
      <w:pPr>
        <w:ind w:left="0" w:firstLine="403"/>
      </w:pPr>
      <w:rPr>
        <w:rFonts w:hint="default"/>
      </w:rPr>
    </w:lvl>
  </w:abstractNum>
  <w:abstractNum w:abstractNumId="4">
    <w:nsid w:val="D9FE7496"/>
    <w:multiLevelType w:val="singleLevel"/>
    <w:tmpl w:val="D9FE7496"/>
    <w:lvl w:ilvl="0" w:tentative="0">
      <w:start w:val="1"/>
      <w:numFmt w:val="decimal"/>
      <w:suff w:val="nothing"/>
      <w:lvlText w:val="%1、"/>
      <w:lvlJc w:val="left"/>
      <w:pPr>
        <w:ind w:left="0" w:firstLine="403"/>
      </w:pPr>
      <w:rPr>
        <w:rFonts w:hint="default"/>
      </w:rPr>
    </w:lvl>
  </w:abstractNum>
  <w:abstractNum w:abstractNumId="5">
    <w:nsid w:val="DABE1460"/>
    <w:multiLevelType w:val="singleLevel"/>
    <w:tmpl w:val="DABE1460"/>
    <w:lvl w:ilvl="0" w:tentative="0">
      <w:start w:val="1"/>
      <w:numFmt w:val="decimal"/>
      <w:lvlText w:val="(%1)"/>
      <w:lvlJc w:val="left"/>
      <w:pPr>
        <w:tabs>
          <w:tab w:val="left" w:pos="840"/>
        </w:tabs>
        <w:ind w:left="1265" w:hanging="425"/>
      </w:pPr>
      <w:rPr>
        <w:rFonts w:hint="default"/>
      </w:rPr>
    </w:lvl>
  </w:abstractNum>
  <w:abstractNum w:abstractNumId="6">
    <w:nsid w:val="DB738B0C"/>
    <w:multiLevelType w:val="singleLevel"/>
    <w:tmpl w:val="DB738B0C"/>
    <w:lvl w:ilvl="0" w:tentative="0">
      <w:start w:val="1"/>
      <w:numFmt w:val="decimal"/>
      <w:lvlText w:val="(%1)"/>
      <w:lvlJc w:val="left"/>
      <w:pPr>
        <w:tabs>
          <w:tab w:val="left" w:pos="840"/>
        </w:tabs>
        <w:ind w:left="1265" w:hanging="425"/>
      </w:pPr>
      <w:rPr>
        <w:rFonts w:hint="default"/>
      </w:rPr>
    </w:lvl>
  </w:abstractNum>
  <w:abstractNum w:abstractNumId="7">
    <w:nsid w:val="DE9E048B"/>
    <w:multiLevelType w:val="singleLevel"/>
    <w:tmpl w:val="DE9E048B"/>
    <w:lvl w:ilvl="0" w:tentative="0">
      <w:start w:val="1"/>
      <w:numFmt w:val="decimal"/>
      <w:suff w:val="nothing"/>
      <w:lvlText w:val="%1、"/>
      <w:lvlJc w:val="left"/>
      <w:pPr>
        <w:ind w:left="0" w:firstLine="403"/>
      </w:pPr>
      <w:rPr>
        <w:rFonts w:hint="default"/>
      </w:rPr>
    </w:lvl>
  </w:abstractNum>
  <w:abstractNum w:abstractNumId="8">
    <w:nsid w:val="DFBE5276"/>
    <w:multiLevelType w:val="singleLevel"/>
    <w:tmpl w:val="DFBE5276"/>
    <w:lvl w:ilvl="0" w:tentative="0">
      <w:start w:val="1"/>
      <w:numFmt w:val="decimal"/>
      <w:lvlText w:val="(%1)"/>
      <w:lvlJc w:val="left"/>
      <w:pPr>
        <w:tabs>
          <w:tab w:val="left" w:pos="840"/>
        </w:tabs>
        <w:ind w:left="1265" w:hanging="425"/>
      </w:pPr>
      <w:rPr>
        <w:rFonts w:hint="default"/>
      </w:rPr>
    </w:lvl>
  </w:abstractNum>
  <w:abstractNum w:abstractNumId="9">
    <w:nsid w:val="F3BBA0CA"/>
    <w:multiLevelType w:val="singleLevel"/>
    <w:tmpl w:val="F3BBA0CA"/>
    <w:lvl w:ilvl="0" w:tentative="0">
      <w:start w:val="1"/>
      <w:numFmt w:val="decimal"/>
      <w:suff w:val="nothing"/>
      <w:lvlText w:val="%1、"/>
      <w:lvlJc w:val="left"/>
      <w:pPr>
        <w:ind w:left="0" w:firstLine="403"/>
      </w:pPr>
      <w:rPr>
        <w:rFonts w:hint="default"/>
      </w:rPr>
    </w:lvl>
  </w:abstractNum>
  <w:abstractNum w:abstractNumId="10">
    <w:nsid w:val="F95E92AA"/>
    <w:multiLevelType w:val="singleLevel"/>
    <w:tmpl w:val="F95E92AA"/>
    <w:lvl w:ilvl="0" w:tentative="0">
      <w:start w:val="1"/>
      <w:numFmt w:val="decimal"/>
      <w:lvlText w:val="(%1)"/>
      <w:lvlJc w:val="left"/>
      <w:pPr>
        <w:tabs>
          <w:tab w:val="left" w:pos="840"/>
        </w:tabs>
        <w:ind w:left="1265" w:hanging="425"/>
      </w:pPr>
      <w:rPr>
        <w:rFonts w:hint="default"/>
      </w:rPr>
    </w:lvl>
  </w:abstractNum>
  <w:abstractNum w:abstractNumId="11">
    <w:nsid w:val="FDDF02E5"/>
    <w:multiLevelType w:val="singleLevel"/>
    <w:tmpl w:val="FDDF02E5"/>
    <w:lvl w:ilvl="0" w:tentative="0">
      <w:start w:val="1"/>
      <w:numFmt w:val="decimal"/>
      <w:suff w:val="nothing"/>
      <w:lvlText w:val="%1、"/>
      <w:lvlJc w:val="left"/>
      <w:pPr>
        <w:ind w:left="0" w:firstLine="403"/>
      </w:pPr>
      <w:rPr>
        <w:rFonts w:hint="default"/>
      </w:rPr>
    </w:lvl>
  </w:abstractNum>
  <w:abstractNum w:abstractNumId="12">
    <w:nsid w:val="FDF6E9E8"/>
    <w:multiLevelType w:val="singleLevel"/>
    <w:tmpl w:val="FDF6E9E8"/>
    <w:lvl w:ilvl="0" w:tentative="0">
      <w:start w:val="1"/>
      <w:numFmt w:val="decimal"/>
      <w:suff w:val="nothing"/>
      <w:lvlText w:val="%1、"/>
      <w:lvlJc w:val="left"/>
      <w:pPr>
        <w:ind w:left="0" w:firstLine="403"/>
      </w:pPr>
      <w:rPr>
        <w:rFonts w:hint="default"/>
      </w:rPr>
    </w:lvl>
  </w:abstractNum>
  <w:abstractNum w:abstractNumId="13">
    <w:nsid w:val="FDFB6CFC"/>
    <w:multiLevelType w:val="singleLevel"/>
    <w:tmpl w:val="FDFB6CFC"/>
    <w:lvl w:ilvl="0" w:tentative="0">
      <w:start w:val="1"/>
      <w:numFmt w:val="decimal"/>
      <w:suff w:val="nothing"/>
      <w:lvlText w:val="%1、"/>
      <w:lvlJc w:val="left"/>
      <w:pPr>
        <w:ind w:left="0" w:firstLine="403"/>
      </w:pPr>
      <w:rPr>
        <w:rFonts w:hint="default"/>
      </w:rPr>
    </w:lvl>
  </w:abstractNum>
  <w:abstractNum w:abstractNumId="14">
    <w:nsid w:val="FE768F1B"/>
    <w:multiLevelType w:val="singleLevel"/>
    <w:tmpl w:val="FE768F1B"/>
    <w:lvl w:ilvl="0" w:tentative="0">
      <w:start w:val="1"/>
      <w:numFmt w:val="decimal"/>
      <w:lvlText w:val="(%1)"/>
      <w:lvlJc w:val="left"/>
      <w:pPr>
        <w:tabs>
          <w:tab w:val="left" w:pos="840"/>
        </w:tabs>
        <w:ind w:left="1265" w:hanging="425"/>
      </w:pPr>
      <w:rPr>
        <w:rFonts w:hint="default"/>
      </w:rPr>
    </w:lvl>
  </w:abstractNum>
  <w:abstractNum w:abstractNumId="15">
    <w:nsid w:val="FEECD6D5"/>
    <w:multiLevelType w:val="singleLevel"/>
    <w:tmpl w:val="FEECD6D5"/>
    <w:lvl w:ilvl="0" w:tentative="0">
      <w:start w:val="1"/>
      <w:numFmt w:val="decimal"/>
      <w:lvlText w:val="(%1)"/>
      <w:lvlJc w:val="left"/>
      <w:pPr>
        <w:tabs>
          <w:tab w:val="left" w:pos="840"/>
        </w:tabs>
        <w:ind w:left="1265" w:hanging="425"/>
      </w:pPr>
      <w:rPr>
        <w:rFonts w:hint="default"/>
      </w:rPr>
    </w:lvl>
  </w:abstractNum>
  <w:abstractNum w:abstractNumId="16">
    <w:nsid w:val="FFDB6952"/>
    <w:multiLevelType w:val="singleLevel"/>
    <w:tmpl w:val="FFDB6952"/>
    <w:lvl w:ilvl="0" w:tentative="0">
      <w:start w:val="1"/>
      <w:numFmt w:val="decimal"/>
      <w:suff w:val="nothing"/>
      <w:lvlText w:val="%1、"/>
      <w:lvlJc w:val="left"/>
      <w:pPr>
        <w:ind w:left="0" w:firstLine="403"/>
      </w:pPr>
      <w:rPr>
        <w:rFonts w:hint="default"/>
      </w:rPr>
    </w:lvl>
  </w:abstractNum>
  <w:abstractNum w:abstractNumId="17">
    <w:nsid w:val="FFFE2B4D"/>
    <w:multiLevelType w:val="singleLevel"/>
    <w:tmpl w:val="FFFE2B4D"/>
    <w:lvl w:ilvl="0" w:tentative="0">
      <w:start w:val="1"/>
      <w:numFmt w:val="decimal"/>
      <w:lvlText w:val="(%1)"/>
      <w:lvlJc w:val="left"/>
      <w:pPr>
        <w:tabs>
          <w:tab w:val="left" w:pos="840"/>
        </w:tabs>
        <w:ind w:left="1265" w:hanging="425"/>
      </w:pPr>
      <w:rPr>
        <w:rFonts w:hint="default"/>
      </w:rPr>
    </w:lvl>
  </w:abstractNum>
  <w:abstractNum w:abstractNumId="18">
    <w:nsid w:val="0EDF55F6"/>
    <w:multiLevelType w:val="singleLevel"/>
    <w:tmpl w:val="0EDF55F6"/>
    <w:lvl w:ilvl="0" w:tentative="0">
      <w:start w:val="1"/>
      <w:numFmt w:val="decimal"/>
      <w:lvlText w:val="(%1)"/>
      <w:lvlJc w:val="left"/>
      <w:pPr>
        <w:tabs>
          <w:tab w:val="left" w:pos="840"/>
        </w:tabs>
        <w:ind w:left="1265" w:hanging="425"/>
      </w:pPr>
      <w:rPr>
        <w:rFonts w:hint="default"/>
      </w:rPr>
    </w:lvl>
  </w:abstractNum>
  <w:abstractNum w:abstractNumId="19">
    <w:nsid w:val="295A2461"/>
    <w:multiLevelType w:val="multilevel"/>
    <w:tmpl w:val="295A2461"/>
    <w:lvl w:ilvl="0" w:tentative="0">
      <w:start w:val="1"/>
      <w:numFmt w:val="decimal"/>
      <w:lvlText w:val="%1)"/>
      <w:lvlJc w:val="left"/>
      <w:pPr>
        <w:tabs>
          <w:tab w:val="left" w:pos="845"/>
        </w:tabs>
        <w:ind w:left="845" w:hanging="420"/>
      </w:pPr>
      <w:rPr>
        <w:rFonts w:hint="eastAsia"/>
      </w:rPr>
    </w:lvl>
    <w:lvl w:ilvl="1" w:tentative="0">
      <w:start w:val="1"/>
      <w:numFmt w:val="decimal"/>
      <w:pStyle w:val="50"/>
      <w:lvlText w:val="%2)"/>
      <w:lvlJc w:val="left"/>
      <w:pPr>
        <w:tabs>
          <w:tab w:val="left" w:pos="845"/>
        </w:tabs>
        <w:ind w:left="845" w:hanging="420"/>
      </w:pPr>
      <w:rPr>
        <w:rFonts w:hint="eastAsia"/>
      </w:rPr>
    </w:lvl>
    <w:lvl w:ilvl="2" w:tentative="0">
      <w:start w:val="1"/>
      <w:numFmt w:val="lowerRoman"/>
      <w:lvlText w:val="%3."/>
      <w:lvlJc w:val="right"/>
      <w:pPr>
        <w:tabs>
          <w:tab w:val="left" w:pos="1265"/>
        </w:tabs>
        <w:ind w:left="1265" w:hanging="420"/>
      </w:pPr>
    </w:lvl>
    <w:lvl w:ilvl="3" w:tentative="0">
      <w:start w:val="1"/>
      <w:numFmt w:val="decimal"/>
      <w:lvlText w:val="%4."/>
      <w:lvlJc w:val="left"/>
      <w:pPr>
        <w:tabs>
          <w:tab w:val="left" w:pos="1685"/>
        </w:tabs>
        <w:ind w:left="1685" w:hanging="420"/>
      </w:pPr>
    </w:lvl>
    <w:lvl w:ilvl="4" w:tentative="0">
      <w:start w:val="1"/>
      <w:numFmt w:val="lowerLetter"/>
      <w:lvlText w:val="%5)"/>
      <w:lvlJc w:val="left"/>
      <w:pPr>
        <w:tabs>
          <w:tab w:val="left" w:pos="2105"/>
        </w:tabs>
        <w:ind w:left="2105" w:hanging="420"/>
      </w:pPr>
    </w:lvl>
    <w:lvl w:ilvl="5" w:tentative="0">
      <w:start w:val="1"/>
      <w:numFmt w:val="lowerRoman"/>
      <w:lvlText w:val="%6."/>
      <w:lvlJc w:val="right"/>
      <w:pPr>
        <w:tabs>
          <w:tab w:val="left" w:pos="2525"/>
        </w:tabs>
        <w:ind w:left="2525" w:hanging="420"/>
      </w:pPr>
    </w:lvl>
    <w:lvl w:ilvl="6" w:tentative="0">
      <w:start w:val="1"/>
      <w:numFmt w:val="decimal"/>
      <w:lvlText w:val="%7."/>
      <w:lvlJc w:val="left"/>
      <w:pPr>
        <w:tabs>
          <w:tab w:val="left" w:pos="2945"/>
        </w:tabs>
        <w:ind w:left="2945" w:hanging="420"/>
      </w:pPr>
    </w:lvl>
    <w:lvl w:ilvl="7" w:tentative="0">
      <w:start w:val="1"/>
      <w:numFmt w:val="lowerLetter"/>
      <w:lvlText w:val="%8)"/>
      <w:lvlJc w:val="left"/>
      <w:pPr>
        <w:tabs>
          <w:tab w:val="left" w:pos="3365"/>
        </w:tabs>
        <w:ind w:left="3365" w:hanging="420"/>
      </w:pPr>
    </w:lvl>
    <w:lvl w:ilvl="8" w:tentative="0">
      <w:start w:val="1"/>
      <w:numFmt w:val="lowerRoman"/>
      <w:lvlText w:val="%9."/>
      <w:lvlJc w:val="right"/>
      <w:pPr>
        <w:tabs>
          <w:tab w:val="left" w:pos="3785"/>
        </w:tabs>
        <w:ind w:left="3785" w:hanging="420"/>
      </w:pPr>
    </w:lvl>
  </w:abstractNum>
  <w:abstractNum w:abstractNumId="20">
    <w:nsid w:val="3FAF738B"/>
    <w:multiLevelType w:val="multilevel"/>
    <w:tmpl w:val="3FAF738B"/>
    <w:lvl w:ilvl="0" w:tentative="0">
      <w:start w:val="1"/>
      <w:numFmt w:val="decimal"/>
      <w:pStyle w:val="4"/>
      <w:suff w:val="space"/>
      <w:lvlText w:val="%1"/>
      <w:lvlJc w:val="left"/>
      <w:pPr>
        <w:tabs>
          <w:tab w:val="left" w:pos="420"/>
        </w:tabs>
        <w:ind w:left="0" w:firstLine="0"/>
      </w:pPr>
      <w:rPr>
        <w:rFonts w:hint="default"/>
      </w:rPr>
    </w:lvl>
    <w:lvl w:ilvl="1" w:tentative="0">
      <w:start w:val="1"/>
      <w:numFmt w:val="decimal"/>
      <w:pStyle w:val="5"/>
      <w:suff w:val="space"/>
      <w:lvlText w:val="%1.%2"/>
      <w:lvlJc w:val="left"/>
      <w:pPr>
        <w:tabs>
          <w:tab w:val="left" w:pos="420"/>
        </w:tabs>
        <w:ind w:left="1277" w:firstLine="0"/>
      </w:pPr>
      <w:rPr>
        <w:rFonts w:hint="default"/>
      </w:rPr>
    </w:lvl>
    <w:lvl w:ilvl="2" w:tentative="0">
      <w:start w:val="1"/>
      <w:numFmt w:val="decimal"/>
      <w:pStyle w:val="6"/>
      <w:suff w:val="space"/>
      <w:lvlText w:val="%1.%2.%3"/>
      <w:lvlJc w:val="left"/>
      <w:pPr>
        <w:tabs>
          <w:tab w:val="left" w:pos="420"/>
        </w:tabs>
        <w:ind w:left="0" w:firstLine="0"/>
      </w:pPr>
      <w:rPr>
        <w:rFonts w:hint="default"/>
      </w:rPr>
    </w:lvl>
    <w:lvl w:ilvl="3" w:tentative="0">
      <w:start w:val="1"/>
      <w:numFmt w:val="decimal"/>
      <w:pStyle w:val="7"/>
      <w:suff w:val="space"/>
      <w:lvlText w:val="%1.%2.%3.%4"/>
      <w:lvlJc w:val="left"/>
      <w:pPr>
        <w:tabs>
          <w:tab w:val="left" w:pos="420"/>
        </w:tabs>
        <w:ind w:left="0" w:firstLine="0"/>
      </w:pPr>
      <w:rPr>
        <w:rFonts w:hint="default"/>
        <w:color w:val="auto"/>
      </w:rPr>
    </w:lvl>
    <w:lvl w:ilvl="4" w:tentative="0">
      <w:start w:val="1"/>
      <w:numFmt w:val="decimal"/>
      <w:pStyle w:val="8"/>
      <w:suff w:val="space"/>
      <w:lvlText w:val="%1.%2.%3.%4.%5"/>
      <w:lvlJc w:val="left"/>
      <w:pPr>
        <w:tabs>
          <w:tab w:val="left" w:pos="420"/>
        </w:tabs>
        <w:ind w:left="0" w:firstLine="0"/>
      </w:pPr>
      <w:rPr>
        <w:rFonts w:hint="default"/>
      </w:rPr>
    </w:lvl>
    <w:lvl w:ilvl="5" w:tentative="0">
      <w:start w:val="1"/>
      <w:numFmt w:val="decimal"/>
      <w:pStyle w:val="9"/>
      <w:suff w:val="nothing"/>
      <w:lvlText w:val="%1.%2.%3.%4.%5.%6"/>
      <w:lvlJc w:val="left"/>
      <w:pPr>
        <w:tabs>
          <w:tab w:val="left" w:pos="1151"/>
        </w:tabs>
        <w:ind w:left="0" w:firstLine="0"/>
      </w:pPr>
      <w:rPr>
        <w:rFonts w:hint="default"/>
      </w:rPr>
    </w:lvl>
    <w:lvl w:ilvl="6" w:tentative="0">
      <w:start w:val="1"/>
      <w:numFmt w:val="decimal"/>
      <w:pStyle w:val="10"/>
      <w:suff w:val="nothing"/>
      <w:lvlText w:val="%1.%2.%3.%4.%5.%6.%7"/>
      <w:lvlJc w:val="left"/>
      <w:pPr>
        <w:tabs>
          <w:tab w:val="left" w:pos="420"/>
        </w:tabs>
        <w:ind w:left="0" w:firstLine="0"/>
      </w:pPr>
      <w:rPr>
        <w:rFonts w:hint="default"/>
      </w:rPr>
    </w:lvl>
    <w:lvl w:ilvl="7" w:tentative="0">
      <w:start w:val="1"/>
      <w:numFmt w:val="decimal"/>
      <w:pStyle w:val="11"/>
      <w:suff w:val="nothing"/>
      <w:lvlText w:val="%1.%2.%3.%4.%5.%6.%7.%8"/>
      <w:lvlJc w:val="left"/>
      <w:pPr>
        <w:tabs>
          <w:tab w:val="left" w:pos="420"/>
        </w:tabs>
        <w:ind w:left="0" w:firstLine="0"/>
      </w:pPr>
      <w:rPr>
        <w:rFonts w:hint="default"/>
      </w:rPr>
    </w:lvl>
    <w:lvl w:ilvl="8" w:tentative="0">
      <w:start w:val="1"/>
      <w:numFmt w:val="decimal"/>
      <w:pStyle w:val="12"/>
      <w:suff w:val="nothing"/>
      <w:lvlText w:val="%1.%2.%3.%4.%5.%6.%7.%8.%9"/>
      <w:lvlJc w:val="left"/>
      <w:pPr>
        <w:tabs>
          <w:tab w:val="left" w:pos="420"/>
        </w:tabs>
        <w:ind w:left="0" w:firstLine="0"/>
      </w:pPr>
      <w:rPr>
        <w:rFonts w:hint="default"/>
      </w:rPr>
    </w:lvl>
  </w:abstractNum>
  <w:abstractNum w:abstractNumId="21">
    <w:nsid w:val="5CA91C7E"/>
    <w:multiLevelType w:val="multilevel"/>
    <w:tmpl w:val="5CA91C7E"/>
    <w:lvl w:ilvl="0" w:tentative="0">
      <w:start w:val="1"/>
      <w:numFmt w:val="bullet"/>
      <w:pStyle w:val="6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65E692A3"/>
    <w:multiLevelType w:val="singleLevel"/>
    <w:tmpl w:val="65E692A3"/>
    <w:lvl w:ilvl="0" w:tentative="0">
      <w:start w:val="1"/>
      <w:numFmt w:val="decimal"/>
      <w:lvlText w:val="(%1)"/>
      <w:lvlJc w:val="left"/>
      <w:pPr>
        <w:tabs>
          <w:tab w:val="left" w:pos="840"/>
        </w:tabs>
        <w:ind w:left="1265" w:hanging="425"/>
      </w:pPr>
      <w:rPr>
        <w:rFonts w:hint="default"/>
      </w:rPr>
    </w:lvl>
  </w:abstractNum>
  <w:abstractNum w:abstractNumId="23">
    <w:nsid w:val="6BA612A3"/>
    <w:multiLevelType w:val="singleLevel"/>
    <w:tmpl w:val="6BA612A3"/>
    <w:lvl w:ilvl="0" w:tentative="0">
      <w:start w:val="1"/>
      <w:numFmt w:val="decimal"/>
      <w:lvlText w:val="(%1)"/>
      <w:lvlJc w:val="left"/>
      <w:pPr>
        <w:tabs>
          <w:tab w:val="left" w:pos="840"/>
        </w:tabs>
        <w:ind w:left="1265" w:hanging="425"/>
      </w:pPr>
      <w:rPr>
        <w:rFonts w:hint="default"/>
      </w:rPr>
    </w:lvl>
  </w:abstractNum>
  <w:abstractNum w:abstractNumId="24">
    <w:nsid w:val="6F9C6CF3"/>
    <w:multiLevelType w:val="singleLevel"/>
    <w:tmpl w:val="6F9C6CF3"/>
    <w:lvl w:ilvl="0" w:tentative="0">
      <w:start w:val="1"/>
      <w:numFmt w:val="decimal"/>
      <w:lvlText w:val="(%1)"/>
      <w:lvlJc w:val="left"/>
      <w:pPr>
        <w:tabs>
          <w:tab w:val="left" w:pos="840"/>
        </w:tabs>
        <w:ind w:left="1265" w:hanging="425"/>
      </w:pPr>
      <w:rPr>
        <w:rFonts w:hint="default"/>
      </w:rPr>
    </w:lvl>
  </w:abstractNum>
  <w:abstractNum w:abstractNumId="25">
    <w:nsid w:val="72EB417C"/>
    <w:multiLevelType w:val="singleLevel"/>
    <w:tmpl w:val="72EB417C"/>
    <w:lvl w:ilvl="0" w:tentative="0">
      <w:start w:val="1"/>
      <w:numFmt w:val="decimal"/>
      <w:suff w:val="nothing"/>
      <w:lvlText w:val="%1、"/>
      <w:lvlJc w:val="left"/>
      <w:pPr>
        <w:ind w:left="0" w:firstLine="403"/>
      </w:pPr>
      <w:rPr>
        <w:rFonts w:hint="default"/>
      </w:rPr>
    </w:lvl>
  </w:abstractNum>
  <w:abstractNum w:abstractNumId="26">
    <w:nsid w:val="7A39885F"/>
    <w:multiLevelType w:val="singleLevel"/>
    <w:tmpl w:val="7A39885F"/>
    <w:lvl w:ilvl="0" w:tentative="0">
      <w:start w:val="1"/>
      <w:numFmt w:val="decimal"/>
      <w:suff w:val="nothing"/>
      <w:lvlText w:val="%1、"/>
      <w:lvlJc w:val="left"/>
    </w:lvl>
  </w:abstractNum>
  <w:abstractNum w:abstractNumId="27">
    <w:nsid w:val="7CFF06DC"/>
    <w:multiLevelType w:val="singleLevel"/>
    <w:tmpl w:val="7CFF06DC"/>
    <w:lvl w:ilvl="0" w:tentative="0">
      <w:start w:val="1"/>
      <w:numFmt w:val="decimal"/>
      <w:suff w:val="nothing"/>
      <w:lvlText w:val="%1、"/>
      <w:lvlJc w:val="left"/>
      <w:pPr>
        <w:ind w:left="0" w:firstLine="403"/>
      </w:pPr>
      <w:rPr>
        <w:rFonts w:hint="default"/>
      </w:rPr>
    </w:lvl>
  </w:abstractNum>
  <w:num w:numId="1">
    <w:abstractNumId w:val="20"/>
  </w:num>
  <w:num w:numId="2">
    <w:abstractNumId w:val="19"/>
  </w:num>
  <w:num w:numId="3">
    <w:abstractNumId w:val="21"/>
  </w:num>
  <w:num w:numId="4">
    <w:abstractNumId w:val="2"/>
  </w:num>
  <w:num w:numId="5">
    <w:abstractNumId w:val="25"/>
  </w:num>
  <w:num w:numId="6">
    <w:abstractNumId w:val="13"/>
  </w:num>
  <w:num w:numId="7">
    <w:abstractNumId w:val="17"/>
  </w:num>
  <w:num w:numId="8">
    <w:abstractNumId w:val="5"/>
  </w:num>
  <w:num w:numId="9">
    <w:abstractNumId w:val="10"/>
  </w:num>
  <w:num w:numId="10">
    <w:abstractNumId w:val="23"/>
  </w:num>
  <w:num w:numId="11">
    <w:abstractNumId w:val="1"/>
  </w:num>
  <w:num w:numId="12">
    <w:abstractNumId w:val="18"/>
  </w:num>
  <w:num w:numId="13">
    <w:abstractNumId w:val="6"/>
  </w:num>
  <w:num w:numId="14">
    <w:abstractNumId w:val="15"/>
  </w:num>
  <w:num w:numId="15">
    <w:abstractNumId w:val="22"/>
  </w:num>
  <w:num w:numId="16">
    <w:abstractNumId w:val="0"/>
  </w:num>
  <w:num w:numId="17">
    <w:abstractNumId w:val="26"/>
  </w:num>
  <w:num w:numId="18">
    <w:abstractNumId w:val="27"/>
  </w:num>
  <w:num w:numId="19">
    <w:abstractNumId w:val="11"/>
  </w:num>
  <w:num w:numId="20">
    <w:abstractNumId w:val="9"/>
  </w:num>
  <w:num w:numId="21">
    <w:abstractNumId w:val="4"/>
  </w:num>
  <w:num w:numId="22">
    <w:abstractNumId w:val="7"/>
  </w:num>
  <w:num w:numId="23">
    <w:abstractNumId w:val="12"/>
  </w:num>
  <w:num w:numId="24">
    <w:abstractNumId w:val="8"/>
  </w:num>
  <w:num w:numId="25">
    <w:abstractNumId w:val="14"/>
  </w:num>
  <w:num w:numId="26">
    <w:abstractNumId w:val="24"/>
  </w:num>
  <w:num w:numId="27">
    <w:abstractNumId w:val="1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documentProtection w:enforcement="0"/>
  <w:defaultTabStop w:val="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yZDMxNWRkYmY5MjE3NjUxYTk3ZDA1NDUyNmVkYWEifQ=="/>
    <w:docVar w:name="KSO_WPS_MARK_KEY" w:val="af7d5482-732d-4293-8395-67537dc6e8d9"/>
  </w:docVars>
  <w:rsids>
    <w:rsidRoot w:val="0081169A"/>
    <w:rsid w:val="000020DF"/>
    <w:rsid w:val="00002399"/>
    <w:rsid w:val="0000270B"/>
    <w:rsid w:val="000031DE"/>
    <w:rsid w:val="000033FD"/>
    <w:rsid w:val="000038C6"/>
    <w:rsid w:val="0000449B"/>
    <w:rsid w:val="000049E8"/>
    <w:rsid w:val="00005086"/>
    <w:rsid w:val="00006DA7"/>
    <w:rsid w:val="0000729B"/>
    <w:rsid w:val="00007819"/>
    <w:rsid w:val="00007DEA"/>
    <w:rsid w:val="0001084B"/>
    <w:rsid w:val="00010A3E"/>
    <w:rsid w:val="00010CEE"/>
    <w:rsid w:val="00011B21"/>
    <w:rsid w:val="000123E0"/>
    <w:rsid w:val="0001310C"/>
    <w:rsid w:val="00015BD9"/>
    <w:rsid w:val="00016FCD"/>
    <w:rsid w:val="000174DD"/>
    <w:rsid w:val="00017685"/>
    <w:rsid w:val="0002036E"/>
    <w:rsid w:val="00020C7D"/>
    <w:rsid w:val="00023794"/>
    <w:rsid w:val="00023C25"/>
    <w:rsid w:val="0002456C"/>
    <w:rsid w:val="00024687"/>
    <w:rsid w:val="00024794"/>
    <w:rsid w:val="00024E2A"/>
    <w:rsid w:val="00026607"/>
    <w:rsid w:val="000266E3"/>
    <w:rsid w:val="00027200"/>
    <w:rsid w:val="00027350"/>
    <w:rsid w:val="00027607"/>
    <w:rsid w:val="00031DEB"/>
    <w:rsid w:val="00034B6B"/>
    <w:rsid w:val="00036637"/>
    <w:rsid w:val="0003669F"/>
    <w:rsid w:val="00037102"/>
    <w:rsid w:val="00037562"/>
    <w:rsid w:val="00040046"/>
    <w:rsid w:val="00040289"/>
    <w:rsid w:val="0004108B"/>
    <w:rsid w:val="00043147"/>
    <w:rsid w:val="00044075"/>
    <w:rsid w:val="00047E66"/>
    <w:rsid w:val="0005030F"/>
    <w:rsid w:val="00050685"/>
    <w:rsid w:val="00051E5E"/>
    <w:rsid w:val="000529B3"/>
    <w:rsid w:val="000532E7"/>
    <w:rsid w:val="00055210"/>
    <w:rsid w:val="00055997"/>
    <w:rsid w:val="000561B1"/>
    <w:rsid w:val="000567B8"/>
    <w:rsid w:val="00056B94"/>
    <w:rsid w:val="00057AD5"/>
    <w:rsid w:val="0006091C"/>
    <w:rsid w:val="00061BAB"/>
    <w:rsid w:val="00063CF8"/>
    <w:rsid w:val="00064205"/>
    <w:rsid w:val="00065519"/>
    <w:rsid w:val="0006575C"/>
    <w:rsid w:val="000660BE"/>
    <w:rsid w:val="000721F5"/>
    <w:rsid w:val="00072B39"/>
    <w:rsid w:val="00072BF9"/>
    <w:rsid w:val="00072C7D"/>
    <w:rsid w:val="00073AAC"/>
    <w:rsid w:val="000741C2"/>
    <w:rsid w:val="000743F9"/>
    <w:rsid w:val="00074865"/>
    <w:rsid w:val="0007499D"/>
    <w:rsid w:val="00076456"/>
    <w:rsid w:val="00076D35"/>
    <w:rsid w:val="00076EA6"/>
    <w:rsid w:val="00077AFB"/>
    <w:rsid w:val="00077EFF"/>
    <w:rsid w:val="000815A3"/>
    <w:rsid w:val="00081809"/>
    <w:rsid w:val="000819ED"/>
    <w:rsid w:val="00083C46"/>
    <w:rsid w:val="00083E3E"/>
    <w:rsid w:val="000840A1"/>
    <w:rsid w:val="000848D1"/>
    <w:rsid w:val="0008547E"/>
    <w:rsid w:val="0008746B"/>
    <w:rsid w:val="000874EA"/>
    <w:rsid w:val="0009031F"/>
    <w:rsid w:val="00090B9A"/>
    <w:rsid w:val="00090E58"/>
    <w:rsid w:val="00091370"/>
    <w:rsid w:val="000916A0"/>
    <w:rsid w:val="00091D06"/>
    <w:rsid w:val="00091D1C"/>
    <w:rsid w:val="00091D56"/>
    <w:rsid w:val="0009325E"/>
    <w:rsid w:val="000938E1"/>
    <w:rsid w:val="00095132"/>
    <w:rsid w:val="00095220"/>
    <w:rsid w:val="00095418"/>
    <w:rsid w:val="00095488"/>
    <w:rsid w:val="00095634"/>
    <w:rsid w:val="000A054A"/>
    <w:rsid w:val="000A14CD"/>
    <w:rsid w:val="000A2841"/>
    <w:rsid w:val="000A41DE"/>
    <w:rsid w:val="000A4C72"/>
    <w:rsid w:val="000A610D"/>
    <w:rsid w:val="000A6995"/>
    <w:rsid w:val="000A6D48"/>
    <w:rsid w:val="000B0981"/>
    <w:rsid w:val="000B0E8F"/>
    <w:rsid w:val="000B2097"/>
    <w:rsid w:val="000B357F"/>
    <w:rsid w:val="000B50B5"/>
    <w:rsid w:val="000C0382"/>
    <w:rsid w:val="000C05E4"/>
    <w:rsid w:val="000C05E7"/>
    <w:rsid w:val="000C2596"/>
    <w:rsid w:val="000C3B83"/>
    <w:rsid w:val="000C3D22"/>
    <w:rsid w:val="000C4146"/>
    <w:rsid w:val="000C49E1"/>
    <w:rsid w:val="000C5752"/>
    <w:rsid w:val="000C6583"/>
    <w:rsid w:val="000C6A76"/>
    <w:rsid w:val="000C739D"/>
    <w:rsid w:val="000C7E63"/>
    <w:rsid w:val="000D218B"/>
    <w:rsid w:val="000D2633"/>
    <w:rsid w:val="000D2C16"/>
    <w:rsid w:val="000D2E71"/>
    <w:rsid w:val="000D3B03"/>
    <w:rsid w:val="000D47E1"/>
    <w:rsid w:val="000D5049"/>
    <w:rsid w:val="000D582D"/>
    <w:rsid w:val="000D6C05"/>
    <w:rsid w:val="000D717C"/>
    <w:rsid w:val="000E1196"/>
    <w:rsid w:val="000E1460"/>
    <w:rsid w:val="000E1FAA"/>
    <w:rsid w:val="000E30F8"/>
    <w:rsid w:val="000E5C15"/>
    <w:rsid w:val="000E61F4"/>
    <w:rsid w:val="000E657D"/>
    <w:rsid w:val="000E69FE"/>
    <w:rsid w:val="000E7764"/>
    <w:rsid w:val="000F01BF"/>
    <w:rsid w:val="000F0DB8"/>
    <w:rsid w:val="000F1FAE"/>
    <w:rsid w:val="000F2C07"/>
    <w:rsid w:val="000F2F69"/>
    <w:rsid w:val="000F2FD6"/>
    <w:rsid w:val="000F3725"/>
    <w:rsid w:val="000F429B"/>
    <w:rsid w:val="000F4A0C"/>
    <w:rsid w:val="000F572C"/>
    <w:rsid w:val="000F6011"/>
    <w:rsid w:val="000F6B5A"/>
    <w:rsid w:val="00101B86"/>
    <w:rsid w:val="00102BDB"/>
    <w:rsid w:val="0010422A"/>
    <w:rsid w:val="00104472"/>
    <w:rsid w:val="00104510"/>
    <w:rsid w:val="00105219"/>
    <w:rsid w:val="001054D7"/>
    <w:rsid w:val="001061E9"/>
    <w:rsid w:val="00106E57"/>
    <w:rsid w:val="00110F4B"/>
    <w:rsid w:val="00114CD3"/>
    <w:rsid w:val="00115B8B"/>
    <w:rsid w:val="001166C9"/>
    <w:rsid w:val="00116C77"/>
    <w:rsid w:val="001200BB"/>
    <w:rsid w:val="0012010D"/>
    <w:rsid w:val="001214FD"/>
    <w:rsid w:val="001218AC"/>
    <w:rsid w:val="0012238A"/>
    <w:rsid w:val="001232DB"/>
    <w:rsid w:val="00123895"/>
    <w:rsid w:val="001253DF"/>
    <w:rsid w:val="0013236C"/>
    <w:rsid w:val="00132524"/>
    <w:rsid w:val="00132A2A"/>
    <w:rsid w:val="00133BD4"/>
    <w:rsid w:val="00134F6C"/>
    <w:rsid w:val="00136F5B"/>
    <w:rsid w:val="00137236"/>
    <w:rsid w:val="00137F3F"/>
    <w:rsid w:val="00140915"/>
    <w:rsid w:val="00140F50"/>
    <w:rsid w:val="001451E4"/>
    <w:rsid w:val="00145E28"/>
    <w:rsid w:val="001462D1"/>
    <w:rsid w:val="0014743C"/>
    <w:rsid w:val="001508C1"/>
    <w:rsid w:val="00150DFC"/>
    <w:rsid w:val="00154AF4"/>
    <w:rsid w:val="00154F19"/>
    <w:rsid w:val="00155615"/>
    <w:rsid w:val="001564B4"/>
    <w:rsid w:val="001564CD"/>
    <w:rsid w:val="0015699B"/>
    <w:rsid w:val="001574AA"/>
    <w:rsid w:val="001601C8"/>
    <w:rsid w:val="001602B5"/>
    <w:rsid w:val="00161E58"/>
    <w:rsid w:val="001624B0"/>
    <w:rsid w:val="00162BC4"/>
    <w:rsid w:val="0016328E"/>
    <w:rsid w:val="00163646"/>
    <w:rsid w:val="00164E7A"/>
    <w:rsid w:val="0016544F"/>
    <w:rsid w:val="0016561B"/>
    <w:rsid w:val="0016653F"/>
    <w:rsid w:val="00166682"/>
    <w:rsid w:val="00170149"/>
    <w:rsid w:val="00170C21"/>
    <w:rsid w:val="001711F7"/>
    <w:rsid w:val="001716E6"/>
    <w:rsid w:val="00171A4F"/>
    <w:rsid w:val="00171B4D"/>
    <w:rsid w:val="00172823"/>
    <w:rsid w:val="00172B17"/>
    <w:rsid w:val="001737FF"/>
    <w:rsid w:val="00173EB5"/>
    <w:rsid w:val="00174205"/>
    <w:rsid w:val="00177402"/>
    <w:rsid w:val="00180158"/>
    <w:rsid w:val="001819A7"/>
    <w:rsid w:val="001833A6"/>
    <w:rsid w:val="0018691C"/>
    <w:rsid w:val="001874CF"/>
    <w:rsid w:val="001879DD"/>
    <w:rsid w:val="001907A8"/>
    <w:rsid w:val="0019170D"/>
    <w:rsid w:val="00193D57"/>
    <w:rsid w:val="00194CB8"/>
    <w:rsid w:val="00195FE9"/>
    <w:rsid w:val="0019722F"/>
    <w:rsid w:val="001A040D"/>
    <w:rsid w:val="001A1567"/>
    <w:rsid w:val="001A1A9E"/>
    <w:rsid w:val="001A1B62"/>
    <w:rsid w:val="001A2581"/>
    <w:rsid w:val="001A48B8"/>
    <w:rsid w:val="001A4A54"/>
    <w:rsid w:val="001A5EA7"/>
    <w:rsid w:val="001A63A4"/>
    <w:rsid w:val="001A79EE"/>
    <w:rsid w:val="001A7BE9"/>
    <w:rsid w:val="001B01DF"/>
    <w:rsid w:val="001B035B"/>
    <w:rsid w:val="001B09EE"/>
    <w:rsid w:val="001B28DA"/>
    <w:rsid w:val="001B42FC"/>
    <w:rsid w:val="001B6311"/>
    <w:rsid w:val="001B64C0"/>
    <w:rsid w:val="001B67D9"/>
    <w:rsid w:val="001B6AFA"/>
    <w:rsid w:val="001B6B81"/>
    <w:rsid w:val="001B7F6B"/>
    <w:rsid w:val="001B7FB7"/>
    <w:rsid w:val="001C0A95"/>
    <w:rsid w:val="001C0C3F"/>
    <w:rsid w:val="001C14BF"/>
    <w:rsid w:val="001C2DDC"/>
    <w:rsid w:val="001C3136"/>
    <w:rsid w:val="001C321F"/>
    <w:rsid w:val="001C4063"/>
    <w:rsid w:val="001C5417"/>
    <w:rsid w:val="001C689E"/>
    <w:rsid w:val="001D00AE"/>
    <w:rsid w:val="001D0842"/>
    <w:rsid w:val="001D09C2"/>
    <w:rsid w:val="001D0F3F"/>
    <w:rsid w:val="001D1667"/>
    <w:rsid w:val="001D16A2"/>
    <w:rsid w:val="001D1EC0"/>
    <w:rsid w:val="001D2389"/>
    <w:rsid w:val="001D23CB"/>
    <w:rsid w:val="001D2530"/>
    <w:rsid w:val="001D3A35"/>
    <w:rsid w:val="001D65B6"/>
    <w:rsid w:val="001D6E69"/>
    <w:rsid w:val="001E0F26"/>
    <w:rsid w:val="001E1373"/>
    <w:rsid w:val="001E2C73"/>
    <w:rsid w:val="001E348A"/>
    <w:rsid w:val="001E45BA"/>
    <w:rsid w:val="001E51EC"/>
    <w:rsid w:val="001E67F6"/>
    <w:rsid w:val="001F051C"/>
    <w:rsid w:val="001F132B"/>
    <w:rsid w:val="001F2F37"/>
    <w:rsid w:val="001F4826"/>
    <w:rsid w:val="001F58EA"/>
    <w:rsid w:val="001F5AF0"/>
    <w:rsid w:val="001F6DAD"/>
    <w:rsid w:val="002007F6"/>
    <w:rsid w:val="002026FC"/>
    <w:rsid w:val="00203A46"/>
    <w:rsid w:val="00205314"/>
    <w:rsid w:val="00205B9D"/>
    <w:rsid w:val="0020755B"/>
    <w:rsid w:val="00207FD1"/>
    <w:rsid w:val="00211254"/>
    <w:rsid w:val="00212916"/>
    <w:rsid w:val="00212D63"/>
    <w:rsid w:val="00215AA9"/>
    <w:rsid w:val="00216F56"/>
    <w:rsid w:val="0021777B"/>
    <w:rsid w:val="00221E76"/>
    <w:rsid w:val="00226DF5"/>
    <w:rsid w:val="00226E02"/>
    <w:rsid w:val="00227463"/>
    <w:rsid w:val="00227881"/>
    <w:rsid w:val="00230557"/>
    <w:rsid w:val="002309AC"/>
    <w:rsid w:val="00230F4E"/>
    <w:rsid w:val="002314F0"/>
    <w:rsid w:val="00233E14"/>
    <w:rsid w:val="00234EFF"/>
    <w:rsid w:val="00235042"/>
    <w:rsid w:val="00236BD2"/>
    <w:rsid w:val="002405D3"/>
    <w:rsid w:val="00240899"/>
    <w:rsid w:val="00241884"/>
    <w:rsid w:val="00243427"/>
    <w:rsid w:val="00243BDC"/>
    <w:rsid w:val="00243E3E"/>
    <w:rsid w:val="00246AA4"/>
    <w:rsid w:val="00251615"/>
    <w:rsid w:val="00251734"/>
    <w:rsid w:val="0025226A"/>
    <w:rsid w:val="002524D3"/>
    <w:rsid w:val="002529B6"/>
    <w:rsid w:val="00254693"/>
    <w:rsid w:val="00254A1F"/>
    <w:rsid w:val="002554BE"/>
    <w:rsid w:val="00256ECB"/>
    <w:rsid w:val="0025702A"/>
    <w:rsid w:val="0025764E"/>
    <w:rsid w:val="00260C3F"/>
    <w:rsid w:val="00261EAB"/>
    <w:rsid w:val="002637C5"/>
    <w:rsid w:val="00264204"/>
    <w:rsid w:val="00264FD7"/>
    <w:rsid w:val="00265E2B"/>
    <w:rsid w:val="002662DC"/>
    <w:rsid w:val="0026660F"/>
    <w:rsid w:val="00270D64"/>
    <w:rsid w:val="00270F36"/>
    <w:rsid w:val="0027169E"/>
    <w:rsid w:val="002717E4"/>
    <w:rsid w:val="00273B4D"/>
    <w:rsid w:val="002749DA"/>
    <w:rsid w:val="00281178"/>
    <w:rsid w:val="002822C6"/>
    <w:rsid w:val="002825D3"/>
    <w:rsid w:val="00282F7B"/>
    <w:rsid w:val="002845BE"/>
    <w:rsid w:val="00284DE0"/>
    <w:rsid w:val="0028646E"/>
    <w:rsid w:val="00290344"/>
    <w:rsid w:val="0029042A"/>
    <w:rsid w:val="00290B14"/>
    <w:rsid w:val="00290E74"/>
    <w:rsid w:val="0029157C"/>
    <w:rsid w:val="002916B4"/>
    <w:rsid w:val="00292A10"/>
    <w:rsid w:val="00292FCA"/>
    <w:rsid w:val="002936AD"/>
    <w:rsid w:val="00293B33"/>
    <w:rsid w:val="002945D2"/>
    <w:rsid w:val="00294DE1"/>
    <w:rsid w:val="00294E63"/>
    <w:rsid w:val="00295B9D"/>
    <w:rsid w:val="00296062"/>
    <w:rsid w:val="002971F3"/>
    <w:rsid w:val="002974CC"/>
    <w:rsid w:val="00297AA9"/>
    <w:rsid w:val="00297CFF"/>
    <w:rsid w:val="002A01B5"/>
    <w:rsid w:val="002A08F2"/>
    <w:rsid w:val="002A145E"/>
    <w:rsid w:val="002A1FDA"/>
    <w:rsid w:val="002A2277"/>
    <w:rsid w:val="002A2522"/>
    <w:rsid w:val="002A2965"/>
    <w:rsid w:val="002A3131"/>
    <w:rsid w:val="002A31A0"/>
    <w:rsid w:val="002A31ED"/>
    <w:rsid w:val="002A41AF"/>
    <w:rsid w:val="002A4BC8"/>
    <w:rsid w:val="002A548F"/>
    <w:rsid w:val="002A6D77"/>
    <w:rsid w:val="002A7D90"/>
    <w:rsid w:val="002B005B"/>
    <w:rsid w:val="002B006F"/>
    <w:rsid w:val="002B14A2"/>
    <w:rsid w:val="002B34E8"/>
    <w:rsid w:val="002B3A1D"/>
    <w:rsid w:val="002B4DFE"/>
    <w:rsid w:val="002B50BD"/>
    <w:rsid w:val="002B5459"/>
    <w:rsid w:val="002C0009"/>
    <w:rsid w:val="002C081E"/>
    <w:rsid w:val="002C0A74"/>
    <w:rsid w:val="002C206F"/>
    <w:rsid w:val="002C23D0"/>
    <w:rsid w:val="002C3D20"/>
    <w:rsid w:val="002C5584"/>
    <w:rsid w:val="002C68CC"/>
    <w:rsid w:val="002C6F97"/>
    <w:rsid w:val="002C71ED"/>
    <w:rsid w:val="002C7D60"/>
    <w:rsid w:val="002D3084"/>
    <w:rsid w:val="002D3399"/>
    <w:rsid w:val="002D3557"/>
    <w:rsid w:val="002D464E"/>
    <w:rsid w:val="002D54DF"/>
    <w:rsid w:val="002D6C17"/>
    <w:rsid w:val="002D75D8"/>
    <w:rsid w:val="002E0374"/>
    <w:rsid w:val="002E0788"/>
    <w:rsid w:val="002E0D64"/>
    <w:rsid w:val="002E1831"/>
    <w:rsid w:val="002E22B7"/>
    <w:rsid w:val="002E287A"/>
    <w:rsid w:val="002E355E"/>
    <w:rsid w:val="002E3AB3"/>
    <w:rsid w:val="002E3D6F"/>
    <w:rsid w:val="002E5442"/>
    <w:rsid w:val="002E6002"/>
    <w:rsid w:val="002E60E8"/>
    <w:rsid w:val="002E7AD4"/>
    <w:rsid w:val="002F1213"/>
    <w:rsid w:val="002F231C"/>
    <w:rsid w:val="002F38A5"/>
    <w:rsid w:val="002F3EC3"/>
    <w:rsid w:val="002F3FE6"/>
    <w:rsid w:val="002F429E"/>
    <w:rsid w:val="002F598D"/>
    <w:rsid w:val="002F61EE"/>
    <w:rsid w:val="002F63EE"/>
    <w:rsid w:val="002F69E3"/>
    <w:rsid w:val="002F6ACF"/>
    <w:rsid w:val="002F6F4E"/>
    <w:rsid w:val="002F7347"/>
    <w:rsid w:val="002F7506"/>
    <w:rsid w:val="0030107A"/>
    <w:rsid w:val="0030292C"/>
    <w:rsid w:val="00305F42"/>
    <w:rsid w:val="00306329"/>
    <w:rsid w:val="00306E27"/>
    <w:rsid w:val="003074E8"/>
    <w:rsid w:val="00310AE7"/>
    <w:rsid w:val="003115E4"/>
    <w:rsid w:val="00312065"/>
    <w:rsid w:val="003126BF"/>
    <w:rsid w:val="003137E9"/>
    <w:rsid w:val="0031392D"/>
    <w:rsid w:val="00313DE8"/>
    <w:rsid w:val="00313FB9"/>
    <w:rsid w:val="0031505D"/>
    <w:rsid w:val="00316032"/>
    <w:rsid w:val="003164E6"/>
    <w:rsid w:val="00316691"/>
    <w:rsid w:val="0031714B"/>
    <w:rsid w:val="0031731E"/>
    <w:rsid w:val="00317345"/>
    <w:rsid w:val="003208CA"/>
    <w:rsid w:val="003219E3"/>
    <w:rsid w:val="003220D6"/>
    <w:rsid w:val="0032220F"/>
    <w:rsid w:val="003245C2"/>
    <w:rsid w:val="00325394"/>
    <w:rsid w:val="00325DC6"/>
    <w:rsid w:val="00330714"/>
    <w:rsid w:val="00330BC4"/>
    <w:rsid w:val="00330BD8"/>
    <w:rsid w:val="00330C4F"/>
    <w:rsid w:val="003310EE"/>
    <w:rsid w:val="00331DB1"/>
    <w:rsid w:val="003320DA"/>
    <w:rsid w:val="0033262C"/>
    <w:rsid w:val="0033317A"/>
    <w:rsid w:val="003338A3"/>
    <w:rsid w:val="00333A1D"/>
    <w:rsid w:val="00335F5D"/>
    <w:rsid w:val="003447DF"/>
    <w:rsid w:val="00345410"/>
    <w:rsid w:val="00350593"/>
    <w:rsid w:val="00351F7B"/>
    <w:rsid w:val="003547A6"/>
    <w:rsid w:val="00354E21"/>
    <w:rsid w:val="0035592B"/>
    <w:rsid w:val="003571D7"/>
    <w:rsid w:val="003577AA"/>
    <w:rsid w:val="00366AE0"/>
    <w:rsid w:val="00366C3B"/>
    <w:rsid w:val="003709A7"/>
    <w:rsid w:val="00372B50"/>
    <w:rsid w:val="00372EEF"/>
    <w:rsid w:val="00373615"/>
    <w:rsid w:val="00373F1A"/>
    <w:rsid w:val="003744C2"/>
    <w:rsid w:val="003769D4"/>
    <w:rsid w:val="00377AD2"/>
    <w:rsid w:val="0038026F"/>
    <w:rsid w:val="00381A5E"/>
    <w:rsid w:val="00381FA7"/>
    <w:rsid w:val="0038339C"/>
    <w:rsid w:val="00384433"/>
    <w:rsid w:val="00386E27"/>
    <w:rsid w:val="00387587"/>
    <w:rsid w:val="00390FC5"/>
    <w:rsid w:val="00391A90"/>
    <w:rsid w:val="003929AA"/>
    <w:rsid w:val="00392F85"/>
    <w:rsid w:val="003935AE"/>
    <w:rsid w:val="00393807"/>
    <w:rsid w:val="00394060"/>
    <w:rsid w:val="00395005"/>
    <w:rsid w:val="0039527B"/>
    <w:rsid w:val="00395A8A"/>
    <w:rsid w:val="00395EF4"/>
    <w:rsid w:val="00395F22"/>
    <w:rsid w:val="003967B1"/>
    <w:rsid w:val="00396BB1"/>
    <w:rsid w:val="00396FB8"/>
    <w:rsid w:val="003A103F"/>
    <w:rsid w:val="003A1371"/>
    <w:rsid w:val="003A260A"/>
    <w:rsid w:val="003A2AF1"/>
    <w:rsid w:val="003A2DB0"/>
    <w:rsid w:val="003A384E"/>
    <w:rsid w:val="003A4A13"/>
    <w:rsid w:val="003A4B33"/>
    <w:rsid w:val="003A54CB"/>
    <w:rsid w:val="003A560E"/>
    <w:rsid w:val="003A5795"/>
    <w:rsid w:val="003A6278"/>
    <w:rsid w:val="003A6C61"/>
    <w:rsid w:val="003A7B53"/>
    <w:rsid w:val="003B01F0"/>
    <w:rsid w:val="003B044F"/>
    <w:rsid w:val="003B0900"/>
    <w:rsid w:val="003B092B"/>
    <w:rsid w:val="003B1081"/>
    <w:rsid w:val="003B5C7A"/>
    <w:rsid w:val="003B63D9"/>
    <w:rsid w:val="003C0B7F"/>
    <w:rsid w:val="003C0F77"/>
    <w:rsid w:val="003C12FC"/>
    <w:rsid w:val="003C1852"/>
    <w:rsid w:val="003C229F"/>
    <w:rsid w:val="003C308E"/>
    <w:rsid w:val="003C40DE"/>
    <w:rsid w:val="003C4AA8"/>
    <w:rsid w:val="003C4AB2"/>
    <w:rsid w:val="003C630B"/>
    <w:rsid w:val="003C6A6E"/>
    <w:rsid w:val="003C7BBF"/>
    <w:rsid w:val="003C7C01"/>
    <w:rsid w:val="003C7CFF"/>
    <w:rsid w:val="003C7D97"/>
    <w:rsid w:val="003D09AC"/>
    <w:rsid w:val="003D11D6"/>
    <w:rsid w:val="003D1A8A"/>
    <w:rsid w:val="003D2AB3"/>
    <w:rsid w:val="003D3E13"/>
    <w:rsid w:val="003D409A"/>
    <w:rsid w:val="003D4460"/>
    <w:rsid w:val="003D5565"/>
    <w:rsid w:val="003D640D"/>
    <w:rsid w:val="003D736E"/>
    <w:rsid w:val="003D7816"/>
    <w:rsid w:val="003D7824"/>
    <w:rsid w:val="003E00E4"/>
    <w:rsid w:val="003E0359"/>
    <w:rsid w:val="003E155C"/>
    <w:rsid w:val="003E197F"/>
    <w:rsid w:val="003E2F7E"/>
    <w:rsid w:val="003E3DFD"/>
    <w:rsid w:val="003E4BF8"/>
    <w:rsid w:val="003E5395"/>
    <w:rsid w:val="003E5D5B"/>
    <w:rsid w:val="003E6229"/>
    <w:rsid w:val="003E6ABD"/>
    <w:rsid w:val="003F0DA5"/>
    <w:rsid w:val="003F1339"/>
    <w:rsid w:val="003F1F17"/>
    <w:rsid w:val="003F2BBF"/>
    <w:rsid w:val="003F2DF7"/>
    <w:rsid w:val="003F4018"/>
    <w:rsid w:val="003F4513"/>
    <w:rsid w:val="003F55E5"/>
    <w:rsid w:val="003F55F6"/>
    <w:rsid w:val="003F608D"/>
    <w:rsid w:val="003F6C90"/>
    <w:rsid w:val="003F6F45"/>
    <w:rsid w:val="003F74FF"/>
    <w:rsid w:val="004037B2"/>
    <w:rsid w:val="00405759"/>
    <w:rsid w:val="00406FDA"/>
    <w:rsid w:val="004100ED"/>
    <w:rsid w:val="0041086E"/>
    <w:rsid w:val="00410F4D"/>
    <w:rsid w:val="004117E8"/>
    <w:rsid w:val="0041181A"/>
    <w:rsid w:val="004118AD"/>
    <w:rsid w:val="00411B28"/>
    <w:rsid w:val="00411F97"/>
    <w:rsid w:val="00413284"/>
    <w:rsid w:val="00414F8E"/>
    <w:rsid w:val="00415292"/>
    <w:rsid w:val="00415BFD"/>
    <w:rsid w:val="0041761E"/>
    <w:rsid w:val="0042034B"/>
    <w:rsid w:val="004212C9"/>
    <w:rsid w:val="004214A6"/>
    <w:rsid w:val="00421609"/>
    <w:rsid w:val="0042165A"/>
    <w:rsid w:val="004218CB"/>
    <w:rsid w:val="004225BE"/>
    <w:rsid w:val="00422618"/>
    <w:rsid w:val="00424972"/>
    <w:rsid w:val="0042503D"/>
    <w:rsid w:val="004265DC"/>
    <w:rsid w:val="00426AE7"/>
    <w:rsid w:val="00426F78"/>
    <w:rsid w:val="0042755C"/>
    <w:rsid w:val="00427AC5"/>
    <w:rsid w:val="004333DA"/>
    <w:rsid w:val="00433D74"/>
    <w:rsid w:val="0043427E"/>
    <w:rsid w:val="00434A67"/>
    <w:rsid w:val="00435292"/>
    <w:rsid w:val="00435BE6"/>
    <w:rsid w:val="00435D3F"/>
    <w:rsid w:val="0043765B"/>
    <w:rsid w:val="00441F8E"/>
    <w:rsid w:val="004421D2"/>
    <w:rsid w:val="00442DC9"/>
    <w:rsid w:val="00442E1E"/>
    <w:rsid w:val="00443116"/>
    <w:rsid w:val="0044362A"/>
    <w:rsid w:val="00444CED"/>
    <w:rsid w:val="0044560B"/>
    <w:rsid w:val="00445AA2"/>
    <w:rsid w:val="004460DC"/>
    <w:rsid w:val="00446890"/>
    <w:rsid w:val="00446C88"/>
    <w:rsid w:val="00446DC2"/>
    <w:rsid w:val="004477EA"/>
    <w:rsid w:val="0045149C"/>
    <w:rsid w:val="0045505F"/>
    <w:rsid w:val="004565B6"/>
    <w:rsid w:val="00456D3A"/>
    <w:rsid w:val="0046106B"/>
    <w:rsid w:val="004619A7"/>
    <w:rsid w:val="0046210F"/>
    <w:rsid w:val="00462CD9"/>
    <w:rsid w:val="004646A1"/>
    <w:rsid w:val="00471FF4"/>
    <w:rsid w:val="004723C3"/>
    <w:rsid w:val="004734A6"/>
    <w:rsid w:val="0047350C"/>
    <w:rsid w:val="004746F3"/>
    <w:rsid w:val="00475529"/>
    <w:rsid w:val="004763B3"/>
    <w:rsid w:val="00480E95"/>
    <w:rsid w:val="00480EE6"/>
    <w:rsid w:val="00482026"/>
    <w:rsid w:val="00482AE0"/>
    <w:rsid w:val="00482D8F"/>
    <w:rsid w:val="00483A28"/>
    <w:rsid w:val="004845E5"/>
    <w:rsid w:val="00484820"/>
    <w:rsid w:val="00485965"/>
    <w:rsid w:val="00485D5F"/>
    <w:rsid w:val="0049022D"/>
    <w:rsid w:val="0049045C"/>
    <w:rsid w:val="00491648"/>
    <w:rsid w:val="004916CA"/>
    <w:rsid w:val="00491750"/>
    <w:rsid w:val="00491AAA"/>
    <w:rsid w:val="00492286"/>
    <w:rsid w:val="004931A9"/>
    <w:rsid w:val="00493992"/>
    <w:rsid w:val="004951A6"/>
    <w:rsid w:val="00495967"/>
    <w:rsid w:val="00495C26"/>
    <w:rsid w:val="0049694A"/>
    <w:rsid w:val="004A03D9"/>
    <w:rsid w:val="004A1980"/>
    <w:rsid w:val="004A29C3"/>
    <w:rsid w:val="004A31FD"/>
    <w:rsid w:val="004A54CE"/>
    <w:rsid w:val="004A7322"/>
    <w:rsid w:val="004A7E92"/>
    <w:rsid w:val="004B0E46"/>
    <w:rsid w:val="004B1374"/>
    <w:rsid w:val="004B19B9"/>
    <w:rsid w:val="004B1CC8"/>
    <w:rsid w:val="004B3883"/>
    <w:rsid w:val="004B3E16"/>
    <w:rsid w:val="004B4479"/>
    <w:rsid w:val="004B4B1B"/>
    <w:rsid w:val="004B5731"/>
    <w:rsid w:val="004B5BD1"/>
    <w:rsid w:val="004B603B"/>
    <w:rsid w:val="004B6476"/>
    <w:rsid w:val="004C191D"/>
    <w:rsid w:val="004C1AD7"/>
    <w:rsid w:val="004C3DE3"/>
    <w:rsid w:val="004C403A"/>
    <w:rsid w:val="004C4595"/>
    <w:rsid w:val="004C6033"/>
    <w:rsid w:val="004D0356"/>
    <w:rsid w:val="004D0ABD"/>
    <w:rsid w:val="004D2267"/>
    <w:rsid w:val="004D2532"/>
    <w:rsid w:val="004D48A2"/>
    <w:rsid w:val="004D7046"/>
    <w:rsid w:val="004D7551"/>
    <w:rsid w:val="004E219F"/>
    <w:rsid w:val="004E36ED"/>
    <w:rsid w:val="004E57F7"/>
    <w:rsid w:val="004E626C"/>
    <w:rsid w:val="004F1A4C"/>
    <w:rsid w:val="004F2CBE"/>
    <w:rsid w:val="004F6852"/>
    <w:rsid w:val="004F74B1"/>
    <w:rsid w:val="005006E6"/>
    <w:rsid w:val="0050098C"/>
    <w:rsid w:val="00500DDB"/>
    <w:rsid w:val="0050115E"/>
    <w:rsid w:val="005014D0"/>
    <w:rsid w:val="00501CEC"/>
    <w:rsid w:val="00502AF9"/>
    <w:rsid w:val="005032D9"/>
    <w:rsid w:val="00504AAA"/>
    <w:rsid w:val="0050724C"/>
    <w:rsid w:val="0051000F"/>
    <w:rsid w:val="0051005B"/>
    <w:rsid w:val="00510DE7"/>
    <w:rsid w:val="00511388"/>
    <w:rsid w:val="00511AA2"/>
    <w:rsid w:val="00512411"/>
    <w:rsid w:val="00513D35"/>
    <w:rsid w:val="005140BF"/>
    <w:rsid w:val="005149CF"/>
    <w:rsid w:val="005174DE"/>
    <w:rsid w:val="00517769"/>
    <w:rsid w:val="00517F53"/>
    <w:rsid w:val="005204E5"/>
    <w:rsid w:val="00522BAA"/>
    <w:rsid w:val="00523292"/>
    <w:rsid w:val="005232D6"/>
    <w:rsid w:val="00524B4B"/>
    <w:rsid w:val="00524DEE"/>
    <w:rsid w:val="00524F43"/>
    <w:rsid w:val="00525952"/>
    <w:rsid w:val="00526181"/>
    <w:rsid w:val="00526A67"/>
    <w:rsid w:val="00526B09"/>
    <w:rsid w:val="00526E69"/>
    <w:rsid w:val="00527824"/>
    <w:rsid w:val="0053016D"/>
    <w:rsid w:val="0053020D"/>
    <w:rsid w:val="005311E0"/>
    <w:rsid w:val="00531356"/>
    <w:rsid w:val="00532A4C"/>
    <w:rsid w:val="00533EFC"/>
    <w:rsid w:val="00534963"/>
    <w:rsid w:val="00534A02"/>
    <w:rsid w:val="00534D54"/>
    <w:rsid w:val="00534F94"/>
    <w:rsid w:val="005371C8"/>
    <w:rsid w:val="00537509"/>
    <w:rsid w:val="00537F32"/>
    <w:rsid w:val="005409F3"/>
    <w:rsid w:val="00542649"/>
    <w:rsid w:val="00543247"/>
    <w:rsid w:val="0054431B"/>
    <w:rsid w:val="00545497"/>
    <w:rsid w:val="005459B0"/>
    <w:rsid w:val="00550E3F"/>
    <w:rsid w:val="00550E87"/>
    <w:rsid w:val="00550FD9"/>
    <w:rsid w:val="00552384"/>
    <w:rsid w:val="005523FD"/>
    <w:rsid w:val="005525FA"/>
    <w:rsid w:val="005526F6"/>
    <w:rsid w:val="00552F3E"/>
    <w:rsid w:val="005532CD"/>
    <w:rsid w:val="005534C0"/>
    <w:rsid w:val="00553777"/>
    <w:rsid w:val="005538EE"/>
    <w:rsid w:val="00554367"/>
    <w:rsid w:val="00554B41"/>
    <w:rsid w:val="00555AB9"/>
    <w:rsid w:val="00560457"/>
    <w:rsid w:val="00560544"/>
    <w:rsid w:val="00560C56"/>
    <w:rsid w:val="00563596"/>
    <w:rsid w:val="0056379A"/>
    <w:rsid w:val="005637C3"/>
    <w:rsid w:val="0056400F"/>
    <w:rsid w:val="005642E5"/>
    <w:rsid w:val="00564552"/>
    <w:rsid w:val="005659A6"/>
    <w:rsid w:val="00565CEC"/>
    <w:rsid w:val="00566618"/>
    <w:rsid w:val="0056687E"/>
    <w:rsid w:val="00566F0B"/>
    <w:rsid w:val="00570CBF"/>
    <w:rsid w:val="005734B5"/>
    <w:rsid w:val="00573CA7"/>
    <w:rsid w:val="0057462D"/>
    <w:rsid w:val="0057478E"/>
    <w:rsid w:val="00574F64"/>
    <w:rsid w:val="00576873"/>
    <w:rsid w:val="005775C8"/>
    <w:rsid w:val="00577C29"/>
    <w:rsid w:val="0058070A"/>
    <w:rsid w:val="00580E94"/>
    <w:rsid w:val="00582CC0"/>
    <w:rsid w:val="00582F19"/>
    <w:rsid w:val="00584A9B"/>
    <w:rsid w:val="00584E04"/>
    <w:rsid w:val="00585196"/>
    <w:rsid w:val="00586C06"/>
    <w:rsid w:val="00590611"/>
    <w:rsid w:val="00591364"/>
    <w:rsid w:val="005929C1"/>
    <w:rsid w:val="00593442"/>
    <w:rsid w:val="00593A3C"/>
    <w:rsid w:val="0059429B"/>
    <w:rsid w:val="005944CB"/>
    <w:rsid w:val="0059518C"/>
    <w:rsid w:val="00595D8E"/>
    <w:rsid w:val="00595F50"/>
    <w:rsid w:val="00596D83"/>
    <w:rsid w:val="005975AE"/>
    <w:rsid w:val="005979B8"/>
    <w:rsid w:val="00597F9E"/>
    <w:rsid w:val="005A0368"/>
    <w:rsid w:val="005A0545"/>
    <w:rsid w:val="005A27A4"/>
    <w:rsid w:val="005A3934"/>
    <w:rsid w:val="005A6817"/>
    <w:rsid w:val="005A684C"/>
    <w:rsid w:val="005A6FEC"/>
    <w:rsid w:val="005A7043"/>
    <w:rsid w:val="005A7EE2"/>
    <w:rsid w:val="005B0C0D"/>
    <w:rsid w:val="005B205F"/>
    <w:rsid w:val="005B20E7"/>
    <w:rsid w:val="005B2705"/>
    <w:rsid w:val="005B2DB3"/>
    <w:rsid w:val="005B318B"/>
    <w:rsid w:val="005B3A1A"/>
    <w:rsid w:val="005B3FED"/>
    <w:rsid w:val="005B4B88"/>
    <w:rsid w:val="005B549C"/>
    <w:rsid w:val="005B5A31"/>
    <w:rsid w:val="005B5BA0"/>
    <w:rsid w:val="005B5DAB"/>
    <w:rsid w:val="005C169F"/>
    <w:rsid w:val="005C23D4"/>
    <w:rsid w:val="005C2756"/>
    <w:rsid w:val="005C2B10"/>
    <w:rsid w:val="005C2B2A"/>
    <w:rsid w:val="005C2BB0"/>
    <w:rsid w:val="005C2E88"/>
    <w:rsid w:val="005C4A85"/>
    <w:rsid w:val="005C5E81"/>
    <w:rsid w:val="005C76F6"/>
    <w:rsid w:val="005D0DA9"/>
    <w:rsid w:val="005D321E"/>
    <w:rsid w:val="005D3BC5"/>
    <w:rsid w:val="005D5418"/>
    <w:rsid w:val="005D5E13"/>
    <w:rsid w:val="005D5F60"/>
    <w:rsid w:val="005D619F"/>
    <w:rsid w:val="005E2849"/>
    <w:rsid w:val="005E30D3"/>
    <w:rsid w:val="005E4B0C"/>
    <w:rsid w:val="005E4CEF"/>
    <w:rsid w:val="005E63D3"/>
    <w:rsid w:val="005E64CA"/>
    <w:rsid w:val="005F0445"/>
    <w:rsid w:val="005F3950"/>
    <w:rsid w:val="005F4A17"/>
    <w:rsid w:val="005F4ABD"/>
    <w:rsid w:val="005F65DA"/>
    <w:rsid w:val="005F7CAB"/>
    <w:rsid w:val="005F7CC7"/>
    <w:rsid w:val="006005FE"/>
    <w:rsid w:val="0060076F"/>
    <w:rsid w:val="0060174E"/>
    <w:rsid w:val="00601D0A"/>
    <w:rsid w:val="00603213"/>
    <w:rsid w:val="00603CA6"/>
    <w:rsid w:val="0060528D"/>
    <w:rsid w:val="006059A1"/>
    <w:rsid w:val="006068F3"/>
    <w:rsid w:val="00606BFE"/>
    <w:rsid w:val="0060738E"/>
    <w:rsid w:val="00607F7A"/>
    <w:rsid w:val="006113DA"/>
    <w:rsid w:val="006117CA"/>
    <w:rsid w:val="006123C3"/>
    <w:rsid w:val="0061495D"/>
    <w:rsid w:val="00615BD0"/>
    <w:rsid w:val="0061706B"/>
    <w:rsid w:val="00617201"/>
    <w:rsid w:val="006211A2"/>
    <w:rsid w:val="006221A8"/>
    <w:rsid w:val="00622E3A"/>
    <w:rsid w:val="0062435F"/>
    <w:rsid w:val="00625F84"/>
    <w:rsid w:val="00626599"/>
    <w:rsid w:val="006278F8"/>
    <w:rsid w:val="00630911"/>
    <w:rsid w:val="00631A32"/>
    <w:rsid w:val="00632EAC"/>
    <w:rsid w:val="006331ED"/>
    <w:rsid w:val="00634A6B"/>
    <w:rsid w:val="006377DA"/>
    <w:rsid w:val="00637B9B"/>
    <w:rsid w:val="00640BBF"/>
    <w:rsid w:val="00640F7B"/>
    <w:rsid w:val="00644086"/>
    <w:rsid w:val="00645A81"/>
    <w:rsid w:val="00645B6E"/>
    <w:rsid w:val="00647E2D"/>
    <w:rsid w:val="006519CF"/>
    <w:rsid w:val="00651E35"/>
    <w:rsid w:val="006524D1"/>
    <w:rsid w:val="00652B66"/>
    <w:rsid w:val="00653F9F"/>
    <w:rsid w:val="00657307"/>
    <w:rsid w:val="00657A28"/>
    <w:rsid w:val="00657CC3"/>
    <w:rsid w:val="00657F7C"/>
    <w:rsid w:val="00657FB4"/>
    <w:rsid w:val="00661468"/>
    <w:rsid w:val="006640ED"/>
    <w:rsid w:val="006654D2"/>
    <w:rsid w:val="00665B02"/>
    <w:rsid w:val="0066649A"/>
    <w:rsid w:val="0066662D"/>
    <w:rsid w:val="006675AD"/>
    <w:rsid w:val="00667E54"/>
    <w:rsid w:val="00670027"/>
    <w:rsid w:val="00671385"/>
    <w:rsid w:val="00673416"/>
    <w:rsid w:val="00673E75"/>
    <w:rsid w:val="006742AC"/>
    <w:rsid w:val="00674685"/>
    <w:rsid w:val="006758C2"/>
    <w:rsid w:val="0067618F"/>
    <w:rsid w:val="00676658"/>
    <w:rsid w:val="006778A9"/>
    <w:rsid w:val="00677B0F"/>
    <w:rsid w:val="00677E1E"/>
    <w:rsid w:val="006807C5"/>
    <w:rsid w:val="00681FDF"/>
    <w:rsid w:val="00682355"/>
    <w:rsid w:val="00683F82"/>
    <w:rsid w:val="00684A5E"/>
    <w:rsid w:val="00687721"/>
    <w:rsid w:val="00691C6E"/>
    <w:rsid w:val="00692025"/>
    <w:rsid w:val="00692C4E"/>
    <w:rsid w:val="006933DC"/>
    <w:rsid w:val="0069351B"/>
    <w:rsid w:val="00693B07"/>
    <w:rsid w:val="00693CAF"/>
    <w:rsid w:val="00694048"/>
    <w:rsid w:val="00694B9D"/>
    <w:rsid w:val="006955F9"/>
    <w:rsid w:val="00695D36"/>
    <w:rsid w:val="006A20C2"/>
    <w:rsid w:val="006A27DF"/>
    <w:rsid w:val="006A35FA"/>
    <w:rsid w:val="006A43D9"/>
    <w:rsid w:val="006A4826"/>
    <w:rsid w:val="006A48C2"/>
    <w:rsid w:val="006A4EF1"/>
    <w:rsid w:val="006A7504"/>
    <w:rsid w:val="006B0B29"/>
    <w:rsid w:val="006B11F2"/>
    <w:rsid w:val="006B1586"/>
    <w:rsid w:val="006B1E7D"/>
    <w:rsid w:val="006B1EFC"/>
    <w:rsid w:val="006B3BFF"/>
    <w:rsid w:val="006B3C49"/>
    <w:rsid w:val="006B493C"/>
    <w:rsid w:val="006B4BF7"/>
    <w:rsid w:val="006B5202"/>
    <w:rsid w:val="006B56EA"/>
    <w:rsid w:val="006B61BD"/>
    <w:rsid w:val="006B6E37"/>
    <w:rsid w:val="006B6FDA"/>
    <w:rsid w:val="006B7073"/>
    <w:rsid w:val="006B723C"/>
    <w:rsid w:val="006B7C84"/>
    <w:rsid w:val="006C2291"/>
    <w:rsid w:val="006C2DEF"/>
    <w:rsid w:val="006C2E17"/>
    <w:rsid w:val="006C68D8"/>
    <w:rsid w:val="006C7E9C"/>
    <w:rsid w:val="006D12E5"/>
    <w:rsid w:val="006D1800"/>
    <w:rsid w:val="006D36EA"/>
    <w:rsid w:val="006D69C5"/>
    <w:rsid w:val="006D74B5"/>
    <w:rsid w:val="006D7BE1"/>
    <w:rsid w:val="006D7CEB"/>
    <w:rsid w:val="006D7E90"/>
    <w:rsid w:val="006E08F3"/>
    <w:rsid w:val="006E28C5"/>
    <w:rsid w:val="006E2CCC"/>
    <w:rsid w:val="006E2FA7"/>
    <w:rsid w:val="006E320D"/>
    <w:rsid w:val="006E3721"/>
    <w:rsid w:val="006E404B"/>
    <w:rsid w:val="006E442B"/>
    <w:rsid w:val="006E526D"/>
    <w:rsid w:val="006E53DE"/>
    <w:rsid w:val="006E5477"/>
    <w:rsid w:val="006E5796"/>
    <w:rsid w:val="006E5CAB"/>
    <w:rsid w:val="006F036B"/>
    <w:rsid w:val="006F03CB"/>
    <w:rsid w:val="006F15D1"/>
    <w:rsid w:val="006F20EB"/>
    <w:rsid w:val="006F24DF"/>
    <w:rsid w:val="006F29F6"/>
    <w:rsid w:val="006F2CA1"/>
    <w:rsid w:val="006F342B"/>
    <w:rsid w:val="006F5560"/>
    <w:rsid w:val="006F620D"/>
    <w:rsid w:val="006F67BC"/>
    <w:rsid w:val="006F6CAB"/>
    <w:rsid w:val="006F6DC5"/>
    <w:rsid w:val="006F7504"/>
    <w:rsid w:val="007003D4"/>
    <w:rsid w:val="007012AE"/>
    <w:rsid w:val="00702FA9"/>
    <w:rsid w:val="00703B4E"/>
    <w:rsid w:val="00703FD5"/>
    <w:rsid w:val="00707AED"/>
    <w:rsid w:val="007119F4"/>
    <w:rsid w:val="00713FE2"/>
    <w:rsid w:val="00714FA2"/>
    <w:rsid w:val="007166C1"/>
    <w:rsid w:val="0071727D"/>
    <w:rsid w:val="00720F67"/>
    <w:rsid w:val="00720F8E"/>
    <w:rsid w:val="00722478"/>
    <w:rsid w:val="007233A0"/>
    <w:rsid w:val="007238B1"/>
    <w:rsid w:val="00725BBF"/>
    <w:rsid w:val="0072700C"/>
    <w:rsid w:val="00727896"/>
    <w:rsid w:val="00730F32"/>
    <w:rsid w:val="00731B9B"/>
    <w:rsid w:val="00732AFC"/>
    <w:rsid w:val="00733274"/>
    <w:rsid w:val="00733A5A"/>
    <w:rsid w:val="00733B2A"/>
    <w:rsid w:val="007349BC"/>
    <w:rsid w:val="007351DB"/>
    <w:rsid w:val="007353E1"/>
    <w:rsid w:val="00741015"/>
    <w:rsid w:val="0074125A"/>
    <w:rsid w:val="007412EE"/>
    <w:rsid w:val="00741805"/>
    <w:rsid w:val="00742341"/>
    <w:rsid w:val="00743A1A"/>
    <w:rsid w:val="00743B2F"/>
    <w:rsid w:val="00743F7F"/>
    <w:rsid w:val="00744E2E"/>
    <w:rsid w:val="007456F6"/>
    <w:rsid w:val="0074587A"/>
    <w:rsid w:val="007459BA"/>
    <w:rsid w:val="00745A8F"/>
    <w:rsid w:val="007479B5"/>
    <w:rsid w:val="00753DA1"/>
    <w:rsid w:val="0075420B"/>
    <w:rsid w:val="007551AF"/>
    <w:rsid w:val="00755C07"/>
    <w:rsid w:val="007570EF"/>
    <w:rsid w:val="00757B62"/>
    <w:rsid w:val="00760220"/>
    <w:rsid w:val="00760358"/>
    <w:rsid w:val="00761251"/>
    <w:rsid w:val="0076298D"/>
    <w:rsid w:val="00763305"/>
    <w:rsid w:val="00764228"/>
    <w:rsid w:val="007655E5"/>
    <w:rsid w:val="00765AAD"/>
    <w:rsid w:val="007667CF"/>
    <w:rsid w:val="00766C3C"/>
    <w:rsid w:val="007738E6"/>
    <w:rsid w:val="00774287"/>
    <w:rsid w:val="00774F89"/>
    <w:rsid w:val="007752F2"/>
    <w:rsid w:val="00775A7F"/>
    <w:rsid w:val="00775BA9"/>
    <w:rsid w:val="00777127"/>
    <w:rsid w:val="00777A50"/>
    <w:rsid w:val="00777E1B"/>
    <w:rsid w:val="007807DF"/>
    <w:rsid w:val="00782862"/>
    <w:rsid w:val="00784E7A"/>
    <w:rsid w:val="007851EA"/>
    <w:rsid w:val="007868D1"/>
    <w:rsid w:val="00786CDB"/>
    <w:rsid w:val="0078715F"/>
    <w:rsid w:val="0078731F"/>
    <w:rsid w:val="007874DC"/>
    <w:rsid w:val="00791D24"/>
    <w:rsid w:val="00792DC8"/>
    <w:rsid w:val="00793401"/>
    <w:rsid w:val="007940C0"/>
    <w:rsid w:val="0079470F"/>
    <w:rsid w:val="0079473A"/>
    <w:rsid w:val="00794F4C"/>
    <w:rsid w:val="007967A8"/>
    <w:rsid w:val="00797001"/>
    <w:rsid w:val="007970FD"/>
    <w:rsid w:val="00797175"/>
    <w:rsid w:val="0079786D"/>
    <w:rsid w:val="007A1655"/>
    <w:rsid w:val="007A17FE"/>
    <w:rsid w:val="007A230E"/>
    <w:rsid w:val="007A23E1"/>
    <w:rsid w:val="007A2829"/>
    <w:rsid w:val="007A389E"/>
    <w:rsid w:val="007A492E"/>
    <w:rsid w:val="007A5EC7"/>
    <w:rsid w:val="007A621C"/>
    <w:rsid w:val="007A6411"/>
    <w:rsid w:val="007A6728"/>
    <w:rsid w:val="007A6ADB"/>
    <w:rsid w:val="007B0BD0"/>
    <w:rsid w:val="007B0DF9"/>
    <w:rsid w:val="007B0FC3"/>
    <w:rsid w:val="007B1E5C"/>
    <w:rsid w:val="007B4191"/>
    <w:rsid w:val="007B4D87"/>
    <w:rsid w:val="007B5257"/>
    <w:rsid w:val="007B5B46"/>
    <w:rsid w:val="007B622D"/>
    <w:rsid w:val="007B74EE"/>
    <w:rsid w:val="007B79A6"/>
    <w:rsid w:val="007C03FC"/>
    <w:rsid w:val="007C2929"/>
    <w:rsid w:val="007C2CA0"/>
    <w:rsid w:val="007C2EDD"/>
    <w:rsid w:val="007C3D8F"/>
    <w:rsid w:val="007C5A21"/>
    <w:rsid w:val="007C65F1"/>
    <w:rsid w:val="007D013D"/>
    <w:rsid w:val="007D0AB5"/>
    <w:rsid w:val="007D16FA"/>
    <w:rsid w:val="007D1C55"/>
    <w:rsid w:val="007D2286"/>
    <w:rsid w:val="007D2350"/>
    <w:rsid w:val="007D28E2"/>
    <w:rsid w:val="007D2D0F"/>
    <w:rsid w:val="007D2D5B"/>
    <w:rsid w:val="007D31E8"/>
    <w:rsid w:val="007D41DB"/>
    <w:rsid w:val="007D4413"/>
    <w:rsid w:val="007D55B4"/>
    <w:rsid w:val="007D6095"/>
    <w:rsid w:val="007E038B"/>
    <w:rsid w:val="007E177E"/>
    <w:rsid w:val="007E2322"/>
    <w:rsid w:val="007E2794"/>
    <w:rsid w:val="007E2796"/>
    <w:rsid w:val="007E4480"/>
    <w:rsid w:val="007E55FF"/>
    <w:rsid w:val="007E5799"/>
    <w:rsid w:val="007E5D75"/>
    <w:rsid w:val="007E6160"/>
    <w:rsid w:val="007E7131"/>
    <w:rsid w:val="007E735A"/>
    <w:rsid w:val="007E742A"/>
    <w:rsid w:val="007F3851"/>
    <w:rsid w:val="007F39FE"/>
    <w:rsid w:val="007F3E85"/>
    <w:rsid w:val="007F5E61"/>
    <w:rsid w:val="007F774A"/>
    <w:rsid w:val="0080004B"/>
    <w:rsid w:val="008019EE"/>
    <w:rsid w:val="00801CBD"/>
    <w:rsid w:val="00802D28"/>
    <w:rsid w:val="008043FB"/>
    <w:rsid w:val="008047FE"/>
    <w:rsid w:val="00805D9F"/>
    <w:rsid w:val="0080679E"/>
    <w:rsid w:val="00806F04"/>
    <w:rsid w:val="00807BEC"/>
    <w:rsid w:val="00807C7E"/>
    <w:rsid w:val="00807DE6"/>
    <w:rsid w:val="00807E15"/>
    <w:rsid w:val="00807ED5"/>
    <w:rsid w:val="008108B9"/>
    <w:rsid w:val="00810A97"/>
    <w:rsid w:val="00810CC5"/>
    <w:rsid w:val="0081169A"/>
    <w:rsid w:val="00811F5E"/>
    <w:rsid w:val="00814692"/>
    <w:rsid w:val="00815A11"/>
    <w:rsid w:val="008164F3"/>
    <w:rsid w:val="00816836"/>
    <w:rsid w:val="0081730D"/>
    <w:rsid w:val="0081749B"/>
    <w:rsid w:val="00821FB6"/>
    <w:rsid w:val="00822CB9"/>
    <w:rsid w:val="008239BC"/>
    <w:rsid w:val="00823CEB"/>
    <w:rsid w:val="0082442F"/>
    <w:rsid w:val="0082483E"/>
    <w:rsid w:val="00827D85"/>
    <w:rsid w:val="008303BA"/>
    <w:rsid w:val="00831EE4"/>
    <w:rsid w:val="008320F9"/>
    <w:rsid w:val="0083585D"/>
    <w:rsid w:val="008360E2"/>
    <w:rsid w:val="00837C41"/>
    <w:rsid w:val="0084036F"/>
    <w:rsid w:val="008411F9"/>
    <w:rsid w:val="00841265"/>
    <w:rsid w:val="0084260B"/>
    <w:rsid w:val="008441E9"/>
    <w:rsid w:val="00844A79"/>
    <w:rsid w:val="00844D35"/>
    <w:rsid w:val="0084565E"/>
    <w:rsid w:val="00845DB0"/>
    <w:rsid w:val="00846739"/>
    <w:rsid w:val="00846FA7"/>
    <w:rsid w:val="0085005B"/>
    <w:rsid w:val="00850BF2"/>
    <w:rsid w:val="00854878"/>
    <w:rsid w:val="00856505"/>
    <w:rsid w:val="00856B2B"/>
    <w:rsid w:val="008604BB"/>
    <w:rsid w:val="00861439"/>
    <w:rsid w:val="00861640"/>
    <w:rsid w:val="00862AC1"/>
    <w:rsid w:val="00862BFC"/>
    <w:rsid w:val="0086428B"/>
    <w:rsid w:val="0086680B"/>
    <w:rsid w:val="008710C4"/>
    <w:rsid w:val="00871A9E"/>
    <w:rsid w:val="008723D2"/>
    <w:rsid w:val="00872FAF"/>
    <w:rsid w:val="00873218"/>
    <w:rsid w:val="00873B9D"/>
    <w:rsid w:val="0087414A"/>
    <w:rsid w:val="00875511"/>
    <w:rsid w:val="008756C3"/>
    <w:rsid w:val="00875E88"/>
    <w:rsid w:val="00881992"/>
    <w:rsid w:val="00884AC8"/>
    <w:rsid w:val="00885356"/>
    <w:rsid w:val="00885E34"/>
    <w:rsid w:val="00885F19"/>
    <w:rsid w:val="008869ED"/>
    <w:rsid w:val="00887664"/>
    <w:rsid w:val="008908DE"/>
    <w:rsid w:val="00891582"/>
    <w:rsid w:val="0089185B"/>
    <w:rsid w:val="0089261A"/>
    <w:rsid w:val="0089280B"/>
    <w:rsid w:val="008953B6"/>
    <w:rsid w:val="008960A8"/>
    <w:rsid w:val="00896EFC"/>
    <w:rsid w:val="008A0974"/>
    <w:rsid w:val="008A208E"/>
    <w:rsid w:val="008A223B"/>
    <w:rsid w:val="008A2B0F"/>
    <w:rsid w:val="008A3283"/>
    <w:rsid w:val="008A45D6"/>
    <w:rsid w:val="008A53E9"/>
    <w:rsid w:val="008A5D55"/>
    <w:rsid w:val="008A60F2"/>
    <w:rsid w:val="008A664D"/>
    <w:rsid w:val="008A6DD2"/>
    <w:rsid w:val="008A75FE"/>
    <w:rsid w:val="008A78CD"/>
    <w:rsid w:val="008A7BF9"/>
    <w:rsid w:val="008B029E"/>
    <w:rsid w:val="008B04DB"/>
    <w:rsid w:val="008B0A9A"/>
    <w:rsid w:val="008B1C54"/>
    <w:rsid w:val="008B2896"/>
    <w:rsid w:val="008B4D43"/>
    <w:rsid w:val="008B4E76"/>
    <w:rsid w:val="008B5FA1"/>
    <w:rsid w:val="008B634F"/>
    <w:rsid w:val="008B680E"/>
    <w:rsid w:val="008B7BAF"/>
    <w:rsid w:val="008C065E"/>
    <w:rsid w:val="008C2493"/>
    <w:rsid w:val="008C26F5"/>
    <w:rsid w:val="008C35C1"/>
    <w:rsid w:val="008C3949"/>
    <w:rsid w:val="008C3D94"/>
    <w:rsid w:val="008C5016"/>
    <w:rsid w:val="008C50D3"/>
    <w:rsid w:val="008C637F"/>
    <w:rsid w:val="008C6DC8"/>
    <w:rsid w:val="008C7191"/>
    <w:rsid w:val="008D2713"/>
    <w:rsid w:val="008D37DB"/>
    <w:rsid w:val="008D50E5"/>
    <w:rsid w:val="008D523A"/>
    <w:rsid w:val="008D52AF"/>
    <w:rsid w:val="008D567C"/>
    <w:rsid w:val="008D6292"/>
    <w:rsid w:val="008E1466"/>
    <w:rsid w:val="008E1DD2"/>
    <w:rsid w:val="008E35EE"/>
    <w:rsid w:val="008E3A37"/>
    <w:rsid w:val="008E3F72"/>
    <w:rsid w:val="008E4073"/>
    <w:rsid w:val="008E4CBE"/>
    <w:rsid w:val="008E60A4"/>
    <w:rsid w:val="008F2236"/>
    <w:rsid w:val="008F3051"/>
    <w:rsid w:val="008F3498"/>
    <w:rsid w:val="008F4A3E"/>
    <w:rsid w:val="008F77C2"/>
    <w:rsid w:val="008F7FB1"/>
    <w:rsid w:val="00900B9D"/>
    <w:rsid w:val="00901CC5"/>
    <w:rsid w:val="0090350F"/>
    <w:rsid w:val="009042B0"/>
    <w:rsid w:val="00904A76"/>
    <w:rsid w:val="009052D8"/>
    <w:rsid w:val="0090553C"/>
    <w:rsid w:val="009061A8"/>
    <w:rsid w:val="0090657D"/>
    <w:rsid w:val="009069D8"/>
    <w:rsid w:val="00907403"/>
    <w:rsid w:val="0091210E"/>
    <w:rsid w:val="009126DD"/>
    <w:rsid w:val="009127C4"/>
    <w:rsid w:val="0091394B"/>
    <w:rsid w:val="009141DA"/>
    <w:rsid w:val="0091675F"/>
    <w:rsid w:val="00916896"/>
    <w:rsid w:val="009170D2"/>
    <w:rsid w:val="00917529"/>
    <w:rsid w:val="00921177"/>
    <w:rsid w:val="00924D6E"/>
    <w:rsid w:val="00924DD3"/>
    <w:rsid w:val="00924E46"/>
    <w:rsid w:val="009255CA"/>
    <w:rsid w:val="00925951"/>
    <w:rsid w:val="0092621B"/>
    <w:rsid w:val="009263E1"/>
    <w:rsid w:val="009272EB"/>
    <w:rsid w:val="00927986"/>
    <w:rsid w:val="009279CA"/>
    <w:rsid w:val="00930D23"/>
    <w:rsid w:val="00932DB4"/>
    <w:rsid w:val="00933429"/>
    <w:rsid w:val="00933AFF"/>
    <w:rsid w:val="00933E58"/>
    <w:rsid w:val="009343C2"/>
    <w:rsid w:val="00934F51"/>
    <w:rsid w:val="0093547A"/>
    <w:rsid w:val="00935A91"/>
    <w:rsid w:val="0094097B"/>
    <w:rsid w:val="00943501"/>
    <w:rsid w:val="009453FA"/>
    <w:rsid w:val="009454F1"/>
    <w:rsid w:val="00945984"/>
    <w:rsid w:val="00945D9C"/>
    <w:rsid w:val="009463CC"/>
    <w:rsid w:val="00946D67"/>
    <w:rsid w:val="00947008"/>
    <w:rsid w:val="009473FE"/>
    <w:rsid w:val="00947720"/>
    <w:rsid w:val="00952E0D"/>
    <w:rsid w:val="00953087"/>
    <w:rsid w:val="009540A6"/>
    <w:rsid w:val="00954C39"/>
    <w:rsid w:val="00955882"/>
    <w:rsid w:val="0095670C"/>
    <w:rsid w:val="0096069F"/>
    <w:rsid w:val="00960D2A"/>
    <w:rsid w:val="00961414"/>
    <w:rsid w:val="00961761"/>
    <w:rsid w:val="00962939"/>
    <w:rsid w:val="0096378E"/>
    <w:rsid w:val="009643DA"/>
    <w:rsid w:val="00964571"/>
    <w:rsid w:val="009649B3"/>
    <w:rsid w:val="00965D71"/>
    <w:rsid w:val="00966291"/>
    <w:rsid w:val="00967607"/>
    <w:rsid w:val="009677D8"/>
    <w:rsid w:val="009700DB"/>
    <w:rsid w:val="0097117B"/>
    <w:rsid w:val="009717BD"/>
    <w:rsid w:val="009719C0"/>
    <w:rsid w:val="00971A0C"/>
    <w:rsid w:val="00971D24"/>
    <w:rsid w:val="0097299A"/>
    <w:rsid w:val="009734AA"/>
    <w:rsid w:val="00974FFA"/>
    <w:rsid w:val="00976298"/>
    <w:rsid w:val="00980347"/>
    <w:rsid w:val="009809BC"/>
    <w:rsid w:val="00980DEC"/>
    <w:rsid w:val="00980E46"/>
    <w:rsid w:val="00981727"/>
    <w:rsid w:val="00983320"/>
    <w:rsid w:val="00983EBF"/>
    <w:rsid w:val="0098724A"/>
    <w:rsid w:val="009911A4"/>
    <w:rsid w:val="00992EC5"/>
    <w:rsid w:val="00993155"/>
    <w:rsid w:val="00993A37"/>
    <w:rsid w:val="00993A42"/>
    <w:rsid w:val="00994E4C"/>
    <w:rsid w:val="009955A4"/>
    <w:rsid w:val="009955B2"/>
    <w:rsid w:val="009960F5"/>
    <w:rsid w:val="00996869"/>
    <w:rsid w:val="009975A6"/>
    <w:rsid w:val="009A3065"/>
    <w:rsid w:val="009A4DE5"/>
    <w:rsid w:val="009A52F0"/>
    <w:rsid w:val="009A5D3D"/>
    <w:rsid w:val="009A6C12"/>
    <w:rsid w:val="009A75F5"/>
    <w:rsid w:val="009A7E7A"/>
    <w:rsid w:val="009B073B"/>
    <w:rsid w:val="009B1B46"/>
    <w:rsid w:val="009B1CE7"/>
    <w:rsid w:val="009B1EF1"/>
    <w:rsid w:val="009B289C"/>
    <w:rsid w:val="009B2D41"/>
    <w:rsid w:val="009B35CA"/>
    <w:rsid w:val="009B7971"/>
    <w:rsid w:val="009B7C0E"/>
    <w:rsid w:val="009C1687"/>
    <w:rsid w:val="009C3A1E"/>
    <w:rsid w:val="009C3B45"/>
    <w:rsid w:val="009C425E"/>
    <w:rsid w:val="009C4E9D"/>
    <w:rsid w:val="009C592D"/>
    <w:rsid w:val="009C7822"/>
    <w:rsid w:val="009C7A84"/>
    <w:rsid w:val="009D053D"/>
    <w:rsid w:val="009D0CFB"/>
    <w:rsid w:val="009D206D"/>
    <w:rsid w:val="009D2208"/>
    <w:rsid w:val="009D6E6B"/>
    <w:rsid w:val="009D6F6C"/>
    <w:rsid w:val="009D7198"/>
    <w:rsid w:val="009D7C22"/>
    <w:rsid w:val="009E1454"/>
    <w:rsid w:val="009E148E"/>
    <w:rsid w:val="009E1CFF"/>
    <w:rsid w:val="009E22E4"/>
    <w:rsid w:val="009E3031"/>
    <w:rsid w:val="009E45EB"/>
    <w:rsid w:val="009E4CA3"/>
    <w:rsid w:val="009E570C"/>
    <w:rsid w:val="009E5EC3"/>
    <w:rsid w:val="009E6860"/>
    <w:rsid w:val="009F0322"/>
    <w:rsid w:val="009F17FA"/>
    <w:rsid w:val="009F2516"/>
    <w:rsid w:val="009F3A38"/>
    <w:rsid w:val="009F436C"/>
    <w:rsid w:val="009F4F24"/>
    <w:rsid w:val="00A005EC"/>
    <w:rsid w:val="00A02157"/>
    <w:rsid w:val="00A0284B"/>
    <w:rsid w:val="00A02FC4"/>
    <w:rsid w:val="00A03D9C"/>
    <w:rsid w:val="00A047D5"/>
    <w:rsid w:val="00A047D6"/>
    <w:rsid w:val="00A04C40"/>
    <w:rsid w:val="00A04D02"/>
    <w:rsid w:val="00A072E4"/>
    <w:rsid w:val="00A0775A"/>
    <w:rsid w:val="00A10E3A"/>
    <w:rsid w:val="00A1281C"/>
    <w:rsid w:val="00A1325F"/>
    <w:rsid w:val="00A13D32"/>
    <w:rsid w:val="00A140D4"/>
    <w:rsid w:val="00A14297"/>
    <w:rsid w:val="00A15DA6"/>
    <w:rsid w:val="00A16AF3"/>
    <w:rsid w:val="00A17A27"/>
    <w:rsid w:val="00A217A4"/>
    <w:rsid w:val="00A219AC"/>
    <w:rsid w:val="00A21F8F"/>
    <w:rsid w:val="00A22DAD"/>
    <w:rsid w:val="00A233D0"/>
    <w:rsid w:val="00A23914"/>
    <w:rsid w:val="00A23B81"/>
    <w:rsid w:val="00A24A59"/>
    <w:rsid w:val="00A254CE"/>
    <w:rsid w:val="00A25CE3"/>
    <w:rsid w:val="00A26209"/>
    <w:rsid w:val="00A309CC"/>
    <w:rsid w:val="00A30A78"/>
    <w:rsid w:val="00A30C5D"/>
    <w:rsid w:val="00A30DA2"/>
    <w:rsid w:val="00A33900"/>
    <w:rsid w:val="00A33F93"/>
    <w:rsid w:val="00A35357"/>
    <w:rsid w:val="00A35AB5"/>
    <w:rsid w:val="00A374E5"/>
    <w:rsid w:val="00A37C29"/>
    <w:rsid w:val="00A37CDE"/>
    <w:rsid w:val="00A37E51"/>
    <w:rsid w:val="00A41537"/>
    <w:rsid w:val="00A43301"/>
    <w:rsid w:val="00A4340D"/>
    <w:rsid w:val="00A45677"/>
    <w:rsid w:val="00A46C02"/>
    <w:rsid w:val="00A5000E"/>
    <w:rsid w:val="00A53F2D"/>
    <w:rsid w:val="00A55CD0"/>
    <w:rsid w:val="00A56DC0"/>
    <w:rsid w:val="00A61250"/>
    <w:rsid w:val="00A621DB"/>
    <w:rsid w:val="00A63549"/>
    <w:rsid w:val="00A63F6A"/>
    <w:rsid w:val="00A6494D"/>
    <w:rsid w:val="00A64C5B"/>
    <w:rsid w:val="00A659FC"/>
    <w:rsid w:val="00A65D34"/>
    <w:rsid w:val="00A66BAA"/>
    <w:rsid w:val="00A67817"/>
    <w:rsid w:val="00A71A3E"/>
    <w:rsid w:val="00A732BD"/>
    <w:rsid w:val="00A73E6F"/>
    <w:rsid w:val="00A754F3"/>
    <w:rsid w:val="00A773C9"/>
    <w:rsid w:val="00A776CE"/>
    <w:rsid w:val="00A77885"/>
    <w:rsid w:val="00A81DB7"/>
    <w:rsid w:val="00A83CC6"/>
    <w:rsid w:val="00A83EB8"/>
    <w:rsid w:val="00A85FA4"/>
    <w:rsid w:val="00A8610F"/>
    <w:rsid w:val="00A862E3"/>
    <w:rsid w:val="00A86951"/>
    <w:rsid w:val="00A9135D"/>
    <w:rsid w:val="00A92260"/>
    <w:rsid w:val="00A926F7"/>
    <w:rsid w:val="00A92EE5"/>
    <w:rsid w:val="00A93A64"/>
    <w:rsid w:val="00A94D44"/>
    <w:rsid w:val="00A9524E"/>
    <w:rsid w:val="00A95C3E"/>
    <w:rsid w:val="00A96374"/>
    <w:rsid w:val="00A9689C"/>
    <w:rsid w:val="00A97E48"/>
    <w:rsid w:val="00AA228B"/>
    <w:rsid w:val="00AA29D0"/>
    <w:rsid w:val="00AA4ED6"/>
    <w:rsid w:val="00AA4FD4"/>
    <w:rsid w:val="00AA5E48"/>
    <w:rsid w:val="00AA6B55"/>
    <w:rsid w:val="00AA6EC6"/>
    <w:rsid w:val="00AB1F1C"/>
    <w:rsid w:val="00AB2325"/>
    <w:rsid w:val="00AB2721"/>
    <w:rsid w:val="00AB3755"/>
    <w:rsid w:val="00AB3CA5"/>
    <w:rsid w:val="00AB4FD9"/>
    <w:rsid w:val="00AB596D"/>
    <w:rsid w:val="00AB6DDB"/>
    <w:rsid w:val="00AC1D89"/>
    <w:rsid w:val="00AC2E97"/>
    <w:rsid w:val="00AC40E3"/>
    <w:rsid w:val="00AC4CD3"/>
    <w:rsid w:val="00AC5667"/>
    <w:rsid w:val="00AC58AE"/>
    <w:rsid w:val="00AC6284"/>
    <w:rsid w:val="00AC6485"/>
    <w:rsid w:val="00AC74C4"/>
    <w:rsid w:val="00AD1C9E"/>
    <w:rsid w:val="00AD4DA4"/>
    <w:rsid w:val="00AD516D"/>
    <w:rsid w:val="00AD5575"/>
    <w:rsid w:val="00AD6061"/>
    <w:rsid w:val="00AD6921"/>
    <w:rsid w:val="00AE2942"/>
    <w:rsid w:val="00AE472B"/>
    <w:rsid w:val="00AE5D99"/>
    <w:rsid w:val="00AE5E5A"/>
    <w:rsid w:val="00AE5EA3"/>
    <w:rsid w:val="00AE6551"/>
    <w:rsid w:val="00AE67AB"/>
    <w:rsid w:val="00AE7325"/>
    <w:rsid w:val="00AF055E"/>
    <w:rsid w:val="00AF14D6"/>
    <w:rsid w:val="00AF1755"/>
    <w:rsid w:val="00AF1AD1"/>
    <w:rsid w:val="00AF1C55"/>
    <w:rsid w:val="00AF3188"/>
    <w:rsid w:val="00AF3224"/>
    <w:rsid w:val="00AF331F"/>
    <w:rsid w:val="00AF3C59"/>
    <w:rsid w:val="00AF3CE7"/>
    <w:rsid w:val="00AF66A4"/>
    <w:rsid w:val="00AF6805"/>
    <w:rsid w:val="00AF6903"/>
    <w:rsid w:val="00AF70EF"/>
    <w:rsid w:val="00B009AB"/>
    <w:rsid w:val="00B01415"/>
    <w:rsid w:val="00B01894"/>
    <w:rsid w:val="00B01C85"/>
    <w:rsid w:val="00B02A1D"/>
    <w:rsid w:val="00B030C1"/>
    <w:rsid w:val="00B031D3"/>
    <w:rsid w:val="00B073BA"/>
    <w:rsid w:val="00B10FCC"/>
    <w:rsid w:val="00B11336"/>
    <w:rsid w:val="00B12FF7"/>
    <w:rsid w:val="00B13249"/>
    <w:rsid w:val="00B13336"/>
    <w:rsid w:val="00B142AC"/>
    <w:rsid w:val="00B146CC"/>
    <w:rsid w:val="00B15683"/>
    <w:rsid w:val="00B167D6"/>
    <w:rsid w:val="00B16A93"/>
    <w:rsid w:val="00B16FE9"/>
    <w:rsid w:val="00B2052D"/>
    <w:rsid w:val="00B2088E"/>
    <w:rsid w:val="00B20F3A"/>
    <w:rsid w:val="00B2338C"/>
    <w:rsid w:val="00B24E99"/>
    <w:rsid w:val="00B250D5"/>
    <w:rsid w:val="00B25F5E"/>
    <w:rsid w:val="00B2602D"/>
    <w:rsid w:val="00B27650"/>
    <w:rsid w:val="00B30A8F"/>
    <w:rsid w:val="00B32CD7"/>
    <w:rsid w:val="00B333BA"/>
    <w:rsid w:val="00B34B68"/>
    <w:rsid w:val="00B353F6"/>
    <w:rsid w:val="00B360A9"/>
    <w:rsid w:val="00B40E64"/>
    <w:rsid w:val="00B41AC0"/>
    <w:rsid w:val="00B42C3C"/>
    <w:rsid w:val="00B42CC1"/>
    <w:rsid w:val="00B42EC8"/>
    <w:rsid w:val="00B4424F"/>
    <w:rsid w:val="00B449E8"/>
    <w:rsid w:val="00B44AEC"/>
    <w:rsid w:val="00B4520A"/>
    <w:rsid w:val="00B458B5"/>
    <w:rsid w:val="00B458FD"/>
    <w:rsid w:val="00B47665"/>
    <w:rsid w:val="00B47A48"/>
    <w:rsid w:val="00B512A8"/>
    <w:rsid w:val="00B513BE"/>
    <w:rsid w:val="00B517E3"/>
    <w:rsid w:val="00B519E1"/>
    <w:rsid w:val="00B51D4A"/>
    <w:rsid w:val="00B53048"/>
    <w:rsid w:val="00B54A58"/>
    <w:rsid w:val="00B55FFC"/>
    <w:rsid w:val="00B560E7"/>
    <w:rsid w:val="00B56400"/>
    <w:rsid w:val="00B56EDD"/>
    <w:rsid w:val="00B5704E"/>
    <w:rsid w:val="00B57EF6"/>
    <w:rsid w:val="00B628EB"/>
    <w:rsid w:val="00B62A07"/>
    <w:rsid w:val="00B642D0"/>
    <w:rsid w:val="00B6435A"/>
    <w:rsid w:val="00B64B78"/>
    <w:rsid w:val="00B6584B"/>
    <w:rsid w:val="00B66962"/>
    <w:rsid w:val="00B67EA4"/>
    <w:rsid w:val="00B713CA"/>
    <w:rsid w:val="00B7302A"/>
    <w:rsid w:val="00B73539"/>
    <w:rsid w:val="00B735B5"/>
    <w:rsid w:val="00B73860"/>
    <w:rsid w:val="00B759F5"/>
    <w:rsid w:val="00B76B13"/>
    <w:rsid w:val="00B77ACC"/>
    <w:rsid w:val="00B80713"/>
    <w:rsid w:val="00B8108C"/>
    <w:rsid w:val="00B812B3"/>
    <w:rsid w:val="00B8133C"/>
    <w:rsid w:val="00B81914"/>
    <w:rsid w:val="00B81CE5"/>
    <w:rsid w:val="00B828A6"/>
    <w:rsid w:val="00B83F24"/>
    <w:rsid w:val="00B84509"/>
    <w:rsid w:val="00B850E6"/>
    <w:rsid w:val="00B85210"/>
    <w:rsid w:val="00B85E54"/>
    <w:rsid w:val="00B866D1"/>
    <w:rsid w:val="00B868AA"/>
    <w:rsid w:val="00B87148"/>
    <w:rsid w:val="00B91F67"/>
    <w:rsid w:val="00B91FF7"/>
    <w:rsid w:val="00B926EC"/>
    <w:rsid w:val="00B92A1E"/>
    <w:rsid w:val="00B92BDF"/>
    <w:rsid w:val="00B92ED9"/>
    <w:rsid w:val="00B934A7"/>
    <w:rsid w:val="00B93FC5"/>
    <w:rsid w:val="00B9441B"/>
    <w:rsid w:val="00B94B75"/>
    <w:rsid w:val="00B94EA9"/>
    <w:rsid w:val="00B9661D"/>
    <w:rsid w:val="00B96CBB"/>
    <w:rsid w:val="00B97130"/>
    <w:rsid w:val="00BA0394"/>
    <w:rsid w:val="00BA05FD"/>
    <w:rsid w:val="00BA0F58"/>
    <w:rsid w:val="00BA1C93"/>
    <w:rsid w:val="00BA1DBA"/>
    <w:rsid w:val="00BA1ED1"/>
    <w:rsid w:val="00BA2A54"/>
    <w:rsid w:val="00BA451B"/>
    <w:rsid w:val="00BA5C62"/>
    <w:rsid w:val="00BA64E5"/>
    <w:rsid w:val="00BA6963"/>
    <w:rsid w:val="00BA7996"/>
    <w:rsid w:val="00BB0168"/>
    <w:rsid w:val="00BB090A"/>
    <w:rsid w:val="00BB2595"/>
    <w:rsid w:val="00BB2D22"/>
    <w:rsid w:val="00BB3993"/>
    <w:rsid w:val="00BB46D9"/>
    <w:rsid w:val="00BB4B8F"/>
    <w:rsid w:val="00BB7087"/>
    <w:rsid w:val="00BB7437"/>
    <w:rsid w:val="00BC0F3A"/>
    <w:rsid w:val="00BC1BA4"/>
    <w:rsid w:val="00BC20CD"/>
    <w:rsid w:val="00BC25E9"/>
    <w:rsid w:val="00BC3351"/>
    <w:rsid w:val="00BC7652"/>
    <w:rsid w:val="00BD13BD"/>
    <w:rsid w:val="00BD17D3"/>
    <w:rsid w:val="00BD1D90"/>
    <w:rsid w:val="00BD2660"/>
    <w:rsid w:val="00BD3FC9"/>
    <w:rsid w:val="00BD4A01"/>
    <w:rsid w:val="00BD4A12"/>
    <w:rsid w:val="00BD50AE"/>
    <w:rsid w:val="00BE03F2"/>
    <w:rsid w:val="00BE2E65"/>
    <w:rsid w:val="00BE3C5F"/>
    <w:rsid w:val="00BE3EAA"/>
    <w:rsid w:val="00BE45EC"/>
    <w:rsid w:val="00BE4DE2"/>
    <w:rsid w:val="00BE51E6"/>
    <w:rsid w:val="00BE533B"/>
    <w:rsid w:val="00BE5C3F"/>
    <w:rsid w:val="00BE6150"/>
    <w:rsid w:val="00BF0D77"/>
    <w:rsid w:val="00BF23C8"/>
    <w:rsid w:val="00BF2520"/>
    <w:rsid w:val="00BF287A"/>
    <w:rsid w:val="00BF2AA5"/>
    <w:rsid w:val="00BF3658"/>
    <w:rsid w:val="00BF4C82"/>
    <w:rsid w:val="00BF582D"/>
    <w:rsid w:val="00BF62A0"/>
    <w:rsid w:val="00BF645A"/>
    <w:rsid w:val="00BF6E99"/>
    <w:rsid w:val="00C01B55"/>
    <w:rsid w:val="00C0265A"/>
    <w:rsid w:val="00C03FED"/>
    <w:rsid w:val="00C0473C"/>
    <w:rsid w:val="00C04D12"/>
    <w:rsid w:val="00C066DD"/>
    <w:rsid w:val="00C06D1E"/>
    <w:rsid w:val="00C11A48"/>
    <w:rsid w:val="00C12555"/>
    <w:rsid w:val="00C12FD3"/>
    <w:rsid w:val="00C13A1F"/>
    <w:rsid w:val="00C13B2C"/>
    <w:rsid w:val="00C168A6"/>
    <w:rsid w:val="00C2097A"/>
    <w:rsid w:val="00C21DB1"/>
    <w:rsid w:val="00C227CB"/>
    <w:rsid w:val="00C22AD1"/>
    <w:rsid w:val="00C23268"/>
    <w:rsid w:val="00C24BED"/>
    <w:rsid w:val="00C27B82"/>
    <w:rsid w:val="00C27E69"/>
    <w:rsid w:val="00C31453"/>
    <w:rsid w:val="00C3202B"/>
    <w:rsid w:val="00C3218C"/>
    <w:rsid w:val="00C33527"/>
    <w:rsid w:val="00C35BFB"/>
    <w:rsid w:val="00C35E0E"/>
    <w:rsid w:val="00C3608D"/>
    <w:rsid w:val="00C37609"/>
    <w:rsid w:val="00C37A40"/>
    <w:rsid w:val="00C40BD5"/>
    <w:rsid w:val="00C429FE"/>
    <w:rsid w:val="00C42B49"/>
    <w:rsid w:val="00C43340"/>
    <w:rsid w:val="00C44C3E"/>
    <w:rsid w:val="00C44C64"/>
    <w:rsid w:val="00C4525F"/>
    <w:rsid w:val="00C45AAD"/>
    <w:rsid w:val="00C5093F"/>
    <w:rsid w:val="00C51071"/>
    <w:rsid w:val="00C5126C"/>
    <w:rsid w:val="00C5205C"/>
    <w:rsid w:val="00C5351A"/>
    <w:rsid w:val="00C5404E"/>
    <w:rsid w:val="00C54335"/>
    <w:rsid w:val="00C544F5"/>
    <w:rsid w:val="00C548EB"/>
    <w:rsid w:val="00C554B6"/>
    <w:rsid w:val="00C55E9E"/>
    <w:rsid w:val="00C56F5E"/>
    <w:rsid w:val="00C57EE7"/>
    <w:rsid w:val="00C60F4F"/>
    <w:rsid w:val="00C61024"/>
    <w:rsid w:val="00C61F05"/>
    <w:rsid w:val="00C621DA"/>
    <w:rsid w:val="00C6239E"/>
    <w:rsid w:val="00C62B9A"/>
    <w:rsid w:val="00C63764"/>
    <w:rsid w:val="00C6427C"/>
    <w:rsid w:val="00C6448B"/>
    <w:rsid w:val="00C64523"/>
    <w:rsid w:val="00C647A8"/>
    <w:rsid w:val="00C65A92"/>
    <w:rsid w:val="00C669A5"/>
    <w:rsid w:val="00C66D84"/>
    <w:rsid w:val="00C701F4"/>
    <w:rsid w:val="00C7169A"/>
    <w:rsid w:val="00C71B2B"/>
    <w:rsid w:val="00C71FC1"/>
    <w:rsid w:val="00C72C67"/>
    <w:rsid w:val="00C73AF0"/>
    <w:rsid w:val="00C740B5"/>
    <w:rsid w:val="00C743B1"/>
    <w:rsid w:val="00C7460F"/>
    <w:rsid w:val="00C746FF"/>
    <w:rsid w:val="00C74B91"/>
    <w:rsid w:val="00C75B89"/>
    <w:rsid w:val="00C760A1"/>
    <w:rsid w:val="00C76335"/>
    <w:rsid w:val="00C76E65"/>
    <w:rsid w:val="00C76F71"/>
    <w:rsid w:val="00C77158"/>
    <w:rsid w:val="00C7785B"/>
    <w:rsid w:val="00C815DD"/>
    <w:rsid w:val="00C83384"/>
    <w:rsid w:val="00C8510C"/>
    <w:rsid w:val="00C85DCA"/>
    <w:rsid w:val="00C86316"/>
    <w:rsid w:val="00C867E0"/>
    <w:rsid w:val="00C86F18"/>
    <w:rsid w:val="00C871F9"/>
    <w:rsid w:val="00C90009"/>
    <w:rsid w:val="00C900EF"/>
    <w:rsid w:val="00C902AD"/>
    <w:rsid w:val="00C908EB"/>
    <w:rsid w:val="00C9195F"/>
    <w:rsid w:val="00C91C83"/>
    <w:rsid w:val="00C91CF2"/>
    <w:rsid w:val="00C92120"/>
    <w:rsid w:val="00C93C3F"/>
    <w:rsid w:val="00C94CD6"/>
    <w:rsid w:val="00CA0F3F"/>
    <w:rsid w:val="00CA1D32"/>
    <w:rsid w:val="00CA2116"/>
    <w:rsid w:val="00CA3362"/>
    <w:rsid w:val="00CA40E2"/>
    <w:rsid w:val="00CA5B7F"/>
    <w:rsid w:val="00CA6BC5"/>
    <w:rsid w:val="00CA75E5"/>
    <w:rsid w:val="00CA7E3B"/>
    <w:rsid w:val="00CB038F"/>
    <w:rsid w:val="00CB06B1"/>
    <w:rsid w:val="00CB07F1"/>
    <w:rsid w:val="00CB0B3B"/>
    <w:rsid w:val="00CB3096"/>
    <w:rsid w:val="00CB40D5"/>
    <w:rsid w:val="00CB4BC6"/>
    <w:rsid w:val="00CB5151"/>
    <w:rsid w:val="00CB52AC"/>
    <w:rsid w:val="00CB6134"/>
    <w:rsid w:val="00CB7561"/>
    <w:rsid w:val="00CB7D19"/>
    <w:rsid w:val="00CC06C2"/>
    <w:rsid w:val="00CC0ACD"/>
    <w:rsid w:val="00CC1906"/>
    <w:rsid w:val="00CC2159"/>
    <w:rsid w:val="00CC2BE4"/>
    <w:rsid w:val="00CC30A8"/>
    <w:rsid w:val="00CC3756"/>
    <w:rsid w:val="00CC3A39"/>
    <w:rsid w:val="00CC522E"/>
    <w:rsid w:val="00CC5422"/>
    <w:rsid w:val="00CC57ED"/>
    <w:rsid w:val="00CC6053"/>
    <w:rsid w:val="00CC61CB"/>
    <w:rsid w:val="00CC661C"/>
    <w:rsid w:val="00CC75F2"/>
    <w:rsid w:val="00CC788F"/>
    <w:rsid w:val="00CC7C65"/>
    <w:rsid w:val="00CD2345"/>
    <w:rsid w:val="00CD3092"/>
    <w:rsid w:val="00CD3168"/>
    <w:rsid w:val="00CD3839"/>
    <w:rsid w:val="00CD4134"/>
    <w:rsid w:val="00CD6061"/>
    <w:rsid w:val="00CD7857"/>
    <w:rsid w:val="00CE1E88"/>
    <w:rsid w:val="00CE2B3D"/>
    <w:rsid w:val="00CE2CD0"/>
    <w:rsid w:val="00CE2E6C"/>
    <w:rsid w:val="00CE3A0E"/>
    <w:rsid w:val="00CE516D"/>
    <w:rsid w:val="00CE5223"/>
    <w:rsid w:val="00CE5998"/>
    <w:rsid w:val="00CE6A91"/>
    <w:rsid w:val="00CE714F"/>
    <w:rsid w:val="00CE7616"/>
    <w:rsid w:val="00CF0AAB"/>
    <w:rsid w:val="00CF0ED3"/>
    <w:rsid w:val="00CF51BA"/>
    <w:rsid w:val="00CF5EF8"/>
    <w:rsid w:val="00CF6B80"/>
    <w:rsid w:val="00D00877"/>
    <w:rsid w:val="00D00C7A"/>
    <w:rsid w:val="00D010A5"/>
    <w:rsid w:val="00D02E7B"/>
    <w:rsid w:val="00D04969"/>
    <w:rsid w:val="00D051F1"/>
    <w:rsid w:val="00D07897"/>
    <w:rsid w:val="00D07E2F"/>
    <w:rsid w:val="00D10936"/>
    <w:rsid w:val="00D13AC1"/>
    <w:rsid w:val="00D146FB"/>
    <w:rsid w:val="00D14BE1"/>
    <w:rsid w:val="00D15923"/>
    <w:rsid w:val="00D17742"/>
    <w:rsid w:val="00D17821"/>
    <w:rsid w:val="00D17A08"/>
    <w:rsid w:val="00D17BDE"/>
    <w:rsid w:val="00D17E8D"/>
    <w:rsid w:val="00D2248C"/>
    <w:rsid w:val="00D224D5"/>
    <w:rsid w:val="00D226A7"/>
    <w:rsid w:val="00D23A52"/>
    <w:rsid w:val="00D23C3D"/>
    <w:rsid w:val="00D2525C"/>
    <w:rsid w:val="00D25334"/>
    <w:rsid w:val="00D260C9"/>
    <w:rsid w:val="00D2612C"/>
    <w:rsid w:val="00D26224"/>
    <w:rsid w:val="00D26711"/>
    <w:rsid w:val="00D271F7"/>
    <w:rsid w:val="00D27A39"/>
    <w:rsid w:val="00D27F61"/>
    <w:rsid w:val="00D32532"/>
    <w:rsid w:val="00D33141"/>
    <w:rsid w:val="00D33808"/>
    <w:rsid w:val="00D34885"/>
    <w:rsid w:val="00D35512"/>
    <w:rsid w:val="00D35B66"/>
    <w:rsid w:val="00D35F46"/>
    <w:rsid w:val="00D3609A"/>
    <w:rsid w:val="00D364AD"/>
    <w:rsid w:val="00D377DC"/>
    <w:rsid w:val="00D378D5"/>
    <w:rsid w:val="00D412E1"/>
    <w:rsid w:val="00D42C53"/>
    <w:rsid w:val="00D4380B"/>
    <w:rsid w:val="00D47130"/>
    <w:rsid w:val="00D47BEF"/>
    <w:rsid w:val="00D511CB"/>
    <w:rsid w:val="00D52BA6"/>
    <w:rsid w:val="00D534C2"/>
    <w:rsid w:val="00D53AAC"/>
    <w:rsid w:val="00D540D1"/>
    <w:rsid w:val="00D5577C"/>
    <w:rsid w:val="00D5621B"/>
    <w:rsid w:val="00D5738F"/>
    <w:rsid w:val="00D5744B"/>
    <w:rsid w:val="00D57B67"/>
    <w:rsid w:val="00D57C4D"/>
    <w:rsid w:val="00D61E5E"/>
    <w:rsid w:val="00D62219"/>
    <w:rsid w:val="00D623DF"/>
    <w:rsid w:val="00D63D91"/>
    <w:rsid w:val="00D659CA"/>
    <w:rsid w:val="00D66707"/>
    <w:rsid w:val="00D714FB"/>
    <w:rsid w:val="00D71613"/>
    <w:rsid w:val="00D717C6"/>
    <w:rsid w:val="00D719E1"/>
    <w:rsid w:val="00D724DD"/>
    <w:rsid w:val="00D7580D"/>
    <w:rsid w:val="00D75B6F"/>
    <w:rsid w:val="00D76461"/>
    <w:rsid w:val="00D76C80"/>
    <w:rsid w:val="00D77959"/>
    <w:rsid w:val="00D77BDB"/>
    <w:rsid w:val="00D8236B"/>
    <w:rsid w:val="00D82C28"/>
    <w:rsid w:val="00D82F07"/>
    <w:rsid w:val="00D83D9D"/>
    <w:rsid w:val="00D84184"/>
    <w:rsid w:val="00D8420B"/>
    <w:rsid w:val="00D86904"/>
    <w:rsid w:val="00D92A6B"/>
    <w:rsid w:val="00D92B19"/>
    <w:rsid w:val="00D93102"/>
    <w:rsid w:val="00D932EF"/>
    <w:rsid w:val="00D94054"/>
    <w:rsid w:val="00D94647"/>
    <w:rsid w:val="00D94A34"/>
    <w:rsid w:val="00D94DA7"/>
    <w:rsid w:val="00D9504C"/>
    <w:rsid w:val="00D96A45"/>
    <w:rsid w:val="00D970ED"/>
    <w:rsid w:val="00D973D6"/>
    <w:rsid w:val="00D97598"/>
    <w:rsid w:val="00D975C1"/>
    <w:rsid w:val="00D97B2E"/>
    <w:rsid w:val="00DA01A3"/>
    <w:rsid w:val="00DA4B42"/>
    <w:rsid w:val="00DA5DD1"/>
    <w:rsid w:val="00DA5E34"/>
    <w:rsid w:val="00DA6CBC"/>
    <w:rsid w:val="00DB078F"/>
    <w:rsid w:val="00DB0842"/>
    <w:rsid w:val="00DB1A14"/>
    <w:rsid w:val="00DB1DF8"/>
    <w:rsid w:val="00DB2E9F"/>
    <w:rsid w:val="00DB30B0"/>
    <w:rsid w:val="00DB4D17"/>
    <w:rsid w:val="00DB567A"/>
    <w:rsid w:val="00DB56A5"/>
    <w:rsid w:val="00DB65BC"/>
    <w:rsid w:val="00DB77EC"/>
    <w:rsid w:val="00DB7AAD"/>
    <w:rsid w:val="00DC10F6"/>
    <w:rsid w:val="00DC12F0"/>
    <w:rsid w:val="00DC16DB"/>
    <w:rsid w:val="00DC18AF"/>
    <w:rsid w:val="00DC39A3"/>
    <w:rsid w:val="00DC3D28"/>
    <w:rsid w:val="00DC4635"/>
    <w:rsid w:val="00DD0213"/>
    <w:rsid w:val="00DD09C1"/>
    <w:rsid w:val="00DD152F"/>
    <w:rsid w:val="00DD2228"/>
    <w:rsid w:val="00DD2882"/>
    <w:rsid w:val="00DD3142"/>
    <w:rsid w:val="00DD3325"/>
    <w:rsid w:val="00DD3B45"/>
    <w:rsid w:val="00DD4102"/>
    <w:rsid w:val="00DD4493"/>
    <w:rsid w:val="00DD54D2"/>
    <w:rsid w:val="00DD56A4"/>
    <w:rsid w:val="00DD7B9E"/>
    <w:rsid w:val="00DE1C55"/>
    <w:rsid w:val="00DE23E9"/>
    <w:rsid w:val="00DE2D8D"/>
    <w:rsid w:val="00DE3AA7"/>
    <w:rsid w:val="00DE3DAA"/>
    <w:rsid w:val="00DE3FE2"/>
    <w:rsid w:val="00DE4ACF"/>
    <w:rsid w:val="00DE5826"/>
    <w:rsid w:val="00DE6CCA"/>
    <w:rsid w:val="00DE77B0"/>
    <w:rsid w:val="00DE789B"/>
    <w:rsid w:val="00DE7FE4"/>
    <w:rsid w:val="00DF0838"/>
    <w:rsid w:val="00DF17B7"/>
    <w:rsid w:val="00DF4DFC"/>
    <w:rsid w:val="00DF528D"/>
    <w:rsid w:val="00DF52BC"/>
    <w:rsid w:val="00DF5832"/>
    <w:rsid w:val="00DF7051"/>
    <w:rsid w:val="00DF7097"/>
    <w:rsid w:val="00E00EF1"/>
    <w:rsid w:val="00E037A8"/>
    <w:rsid w:val="00E03C5A"/>
    <w:rsid w:val="00E0588A"/>
    <w:rsid w:val="00E0625C"/>
    <w:rsid w:val="00E062A3"/>
    <w:rsid w:val="00E0679A"/>
    <w:rsid w:val="00E07355"/>
    <w:rsid w:val="00E10F89"/>
    <w:rsid w:val="00E12812"/>
    <w:rsid w:val="00E12B63"/>
    <w:rsid w:val="00E1334C"/>
    <w:rsid w:val="00E13C32"/>
    <w:rsid w:val="00E1471E"/>
    <w:rsid w:val="00E206B7"/>
    <w:rsid w:val="00E20D8E"/>
    <w:rsid w:val="00E21997"/>
    <w:rsid w:val="00E21AA2"/>
    <w:rsid w:val="00E23209"/>
    <w:rsid w:val="00E247FC"/>
    <w:rsid w:val="00E2596B"/>
    <w:rsid w:val="00E25DF2"/>
    <w:rsid w:val="00E2791C"/>
    <w:rsid w:val="00E30592"/>
    <w:rsid w:val="00E30F4A"/>
    <w:rsid w:val="00E31457"/>
    <w:rsid w:val="00E32358"/>
    <w:rsid w:val="00E323D3"/>
    <w:rsid w:val="00E33020"/>
    <w:rsid w:val="00E33A3E"/>
    <w:rsid w:val="00E35190"/>
    <w:rsid w:val="00E35E6C"/>
    <w:rsid w:val="00E3614B"/>
    <w:rsid w:val="00E369A1"/>
    <w:rsid w:val="00E3720F"/>
    <w:rsid w:val="00E4044A"/>
    <w:rsid w:val="00E40CC9"/>
    <w:rsid w:val="00E4265D"/>
    <w:rsid w:val="00E43776"/>
    <w:rsid w:val="00E447E6"/>
    <w:rsid w:val="00E45C29"/>
    <w:rsid w:val="00E46CBB"/>
    <w:rsid w:val="00E46EEB"/>
    <w:rsid w:val="00E50B40"/>
    <w:rsid w:val="00E511F6"/>
    <w:rsid w:val="00E514A7"/>
    <w:rsid w:val="00E51FCE"/>
    <w:rsid w:val="00E521F6"/>
    <w:rsid w:val="00E52281"/>
    <w:rsid w:val="00E524CC"/>
    <w:rsid w:val="00E54541"/>
    <w:rsid w:val="00E60E23"/>
    <w:rsid w:val="00E60EFD"/>
    <w:rsid w:val="00E611CD"/>
    <w:rsid w:val="00E6183F"/>
    <w:rsid w:val="00E62946"/>
    <w:rsid w:val="00E62BED"/>
    <w:rsid w:val="00E63366"/>
    <w:rsid w:val="00E63667"/>
    <w:rsid w:val="00E637F2"/>
    <w:rsid w:val="00E63F19"/>
    <w:rsid w:val="00E6456D"/>
    <w:rsid w:val="00E64AEE"/>
    <w:rsid w:val="00E65051"/>
    <w:rsid w:val="00E6529A"/>
    <w:rsid w:val="00E65733"/>
    <w:rsid w:val="00E659BA"/>
    <w:rsid w:val="00E66B54"/>
    <w:rsid w:val="00E6787D"/>
    <w:rsid w:val="00E70049"/>
    <w:rsid w:val="00E71766"/>
    <w:rsid w:val="00E727D7"/>
    <w:rsid w:val="00E72BEE"/>
    <w:rsid w:val="00E72D5D"/>
    <w:rsid w:val="00E72F0A"/>
    <w:rsid w:val="00E7369A"/>
    <w:rsid w:val="00E7661C"/>
    <w:rsid w:val="00E76D14"/>
    <w:rsid w:val="00E77526"/>
    <w:rsid w:val="00E80FBD"/>
    <w:rsid w:val="00E83A6D"/>
    <w:rsid w:val="00E85834"/>
    <w:rsid w:val="00E8602A"/>
    <w:rsid w:val="00E8613A"/>
    <w:rsid w:val="00E87C08"/>
    <w:rsid w:val="00E87F54"/>
    <w:rsid w:val="00E917F9"/>
    <w:rsid w:val="00E92BF9"/>
    <w:rsid w:val="00E957BE"/>
    <w:rsid w:val="00E9641C"/>
    <w:rsid w:val="00E96D48"/>
    <w:rsid w:val="00EA1A27"/>
    <w:rsid w:val="00EA1C4B"/>
    <w:rsid w:val="00EA2B80"/>
    <w:rsid w:val="00EA2D5C"/>
    <w:rsid w:val="00EA4737"/>
    <w:rsid w:val="00EA626C"/>
    <w:rsid w:val="00EA6692"/>
    <w:rsid w:val="00EA684F"/>
    <w:rsid w:val="00EB0C68"/>
    <w:rsid w:val="00EB317D"/>
    <w:rsid w:val="00EB322B"/>
    <w:rsid w:val="00EB331F"/>
    <w:rsid w:val="00EB4915"/>
    <w:rsid w:val="00EB492F"/>
    <w:rsid w:val="00EB4C79"/>
    <w:rsid w:val="00EB5008"/>
    <w:rsid w:val="00EB5C10"/>
    <w:rsid w:val="00EC067A"/>
    <w:rsid w:val="00EC0EBF"/>
    <w:rsid w:val="00EC3AAF"/>
    <w:rsid w:val="00EC43DF"/>
    <w:rsid w:val="00EC4FC2"/>
    <w:rsid w:val="00EC5548"/>
    <w:rsid w:val="00EC663E"/>
    <w:rsid w:val="00EC6AE2"/>
    <w:rsid w:val="00EC7532"/>
    <w:rsid w:val="00ED114F"/>
    <w:rsid w:val="00ED252E"/>
    <w:rsid w:val="00ED33D5"/>
    <w:rsid w:val="00ED5923"/>
    <w:rsid w:val="00ED6B8C"/>
    <w:rsid w:val="00ED7037"/>
    <w:rsid w:val="00ED794D"/>
    <w:rsid w:val="00ED7F15"/>
    <w:rsid w:val="00EE0C2C"/>
    <w:rsid w:val="00EE0EB1"/>
    <w:rsid w:val="00EE17B1"/>
    <w:rsid w:val="00EE25A3"/>
    <w:rsid w:val="00EE2E1E"/>
    <w:rsid w:val="00EE30E1"/>
    <w:rsid w:val="00EE495C"/>
    <w:rsid w:val="00EE56AD"/>
    <w:rsid w:val="00EE5EAE"/>
    <w:rsid w:val="00EE6917"/>
    <w:rsid w:val="00EF0129"/>
    <w:rsid w:val="00EF0198"/>
    <w:rsid w:val="00EF043B"/>
    <w:rsid w:val="00EF14B1"/>
    <w:rsid w:val="00EF1D2F"/>
    <w:rsid w:val="00EF260A"/>
    <w:rsid w:val="00EF27FC"/>
    <w:rsid w:val="00EF3487"/>
    <w:rsid w:val="00EF3D2C"/>
    <w:rsid w:val="00EF3F6C"/>
    <w:rsid w:val="00EF42AF"/>
    <w:rsid w:val="00EF4764"/>
    <w:rsid w:val="00EF55AD"/>
    <w:rsid w:val="00F011F6"/>
    <w:rsid w:val="00F0131F"/>
    <w:rsid w:val="00F0179D"/>
    <w:rsid w:val="00F03287"/>
    <w:rsid w:val="00F03D84"/>
    <w:rsid w:val="00F0411F"/>
    <w:rsid w:val="00F04217"/>
    <w:rsid w:val="00F049CC"/>
    <w:rsid w:val="00F04BBC"/>
    <w:rsid w:val="00F05A94"/>
    <w:rsid w:val="00F06275"/>
    <w:rsid w:val="00F06F12"/>
    <w:rsid w:val="00F10744"/>
    <w:rsid w:val="00F13197"/>
    <w:rsid w:val="00F13705"/>
    <w:rsid w:val="00F1397E"/>
    <w:rsid w:val="00F15926"/>
    <w:rsid w:val="00F15EBD"/>
    <w:rsid w:val="00F16142"/>
    <w:rsid w:val="00F1618B"/>
    <w:rsid w:val="00F16BCD"/>
    <w:rsid w:val="00F1722B"/>
    <w:rsid w:val="00F1746C"/>
    <w:rsid w:val="00F175B0"/>
    <w:rsid w:val="00F17941"/>
    <w:rsid w:val="00F205B6"/>
    <w:rsid w:val="00F21440"/>
    <w:rsid w:val="00F2357A"/>
    <w:rsid w:val="00F26332"/>
    <w:rsid w:val="00F26512"/>
    <w:rsid w:val="00F273EC"/>
    <w:rsid w:val="00F309B8"/>
    <w:rsid w:val="00F30D07"/>
    <w:rsid w:val="00F319B5"/>
    <w:rsid w:val="00F33678"/>
    <w:rsid w:val="00F345C5"/>
    <w:rsid w:val="00F34CDC"/>
    <w:rsid w:val="00F35A3D"/>
    <w:rsid w:val="00F36515"/>
    <w:rsid w:val="00F3685E"/>
    <w:rsid w:val="00F369A0"/>
    <w:rsid w:val="00F405FB"/>
    <w:rsid w:val="00F407D0"/>
    <w:rsid w:val="00F40AF7"/>
    <w:rsid w:val="00F41711"/>
    <w:rsid w:val="00F4198E"/>
    <w:rsid w:val="00F43424"/>
    <w:rsid w:val="00F435F6"/>
    <w:rsid w:val="00F4422C"/>
    <w:rsid w:val="00F44872"/>
    <w:rsid w:val="00F46408"/>
    <w:rsid w:val="00F474AE"/>
    <w:rsid w:val="00F5074C"/>
    <w:rsid w:val="00F515D4"/>
    <w:rsid w:val="00F570AC"/>
    <w:rsid w:val="00F577DE"/>
    <w:rsid w:val="00F579F5"/>
    <w:rsid w:val="00F57A3A"/>
    <w:rsid w:val="00F61220"/>
    <w:rsid w:val="00F62954"/>
    <w:rsid w:val="00F6298B"/>
    <w:rsid w:val="00F62B0D"/>
    <w:rsid w:val="00F63AEC"/>
    <w:rsid w:val="00F64148"/>
    <w:rsid w:val="00F6423B"/>
    <w:rsid w:val="00F64A67"/>
    <w:rsid w:val="00F64DD0"/>
    <w:rsid w:val="00F65249"/>
    <w:rsid w:val="00F66629"/>
    <w:rsid w:val="00F67187"/>
    <w:rsid w:val="00F702FD"/>
    <w:rsid w:val="00F711BB"/>
    <w:rsid w:val="00F71AD0"/>
    <w:rsid w:val="00F71DEC"/>
    <w:rsid w:val="00F7348B"/>
    <w:rsid w:val="00F73A2E"/>
    <w:rsid w:val="00F73EC7"/>
    <w:rsid w:val="00F742A6"/>
    <w:rsid w:val="00F74835"/>
    <w:rsid w:val="00F749AC"/>
    <w:rsid w:val="00F76CF8"/>
    <w:rsid w:val="00F7734A"/>
    <w:rsid w:val="00F77BF8"/>
    <w:rsid w:val="00F77EB4"/>
    <w:rsid w:val="00F810AE"/>
    <w:rsid w:val="00F82363"/>
    <w:rsid w:val="00F82446"/>
    <w:rsid w:val="00F8381C"/>
    <w:rsid w:val="00F83A7E"/>
    <w:rsid w:val="00F841F4"/>
    <w:rsid w:val="00F856E9"/>
    <w:rsid w:val="00F85709"/>
    <w:rsid w:val="00F85911"/>
    <w:rsid w:val="00F85C8B"/>
    <w:rsid w:val="00F860E4"/>
    <w:rsid w:val="00F86F11"/>
    <w:rsid w:val="00F8721F"/>
    <w:rsid w:val="00F90561"/>
    <w:rsid w:val="00F91C5C"/>
    <w:rsid w:val="00F91ECF"/>
    <w:rsid w:val="00F92D33"/>
    <w:rsid w:val="00F93505"/>
    <w:rsid w:val="00F935FE"/>
    <w:rsid w:val="00F93F64"/>
    <w:rsid w:val="00F941CC"/>
    <w:rsid w:val="00F95056"/>
    <w:rsid w:val="00F97336"/>
    <w:rsid w:val="00F97A95"/>
    <w:rsid w:val="00FA00A7"/>
    <w:rsid w:val="00FA0DB9"/>
    <w:rsid w:val="00FA1E8C"/>
    <w:rsid w:val="00FA25BA"/>
    <w:rsid w:val="00FA28D3"/>
    <w:rsid w:val="00FA352C"/>
    <w:rsid w:val="00FA3670"/>
    <w:rsid w:val="00FA3F59"/>
    <w:rsid w:val="00FA4EE3"/>
    <w:rsid w:val="00FA559C"/>
    <w:rsid w:val="00FA568B"/>
    <w:rsid w:val="00FA6ACB"/>
    <w:rsid w:val="00FB00AF"/>
    <w:rsid w:val="00FB0183"/>
    <w:rsid w:val="00FB023F"/>
    <w:rsid w:val="00FB0328"/>
    <w:rsid w:val="00FB054B"/>
    <w:rsid w:val="00FB1B13"/>
    <w:rsid w:val="00FB3340"/>
    <w:rsid w:val="00FB3ACA"/>
    <w:rsid w:val="00FB4BC6"/>
    <w:rsid w:val="00FB5A9E"/>
    <w:rsid w:val="00FB5EF7"/>
    <w:rsid w:val="00FB665A"/>
    <w:rsid w:val="00FB6BEA"/>
    <w:rsid w:val="00FB75AD"/>
    <w:rsid w:val="00FC0A88"/>
    <w:rsid w:val="00FC0D75"/>
    <w:rsid w:val="00FC1246"/>
    <w:rsid w:val="00FC21A9"/>
    <w:rsid w:val="00FC2350"/>
    <w:rsid w:val="00FC28FC"/>
    <w:rsid w:val="00FC39FE"/>
    <w:rsid w:val="00FC5433"/>
    <w:rsid w:val="00FC5620"/>
    <w:rsid w:val="00FC712E"/>
    <w:rsid w:val="00FD00E1"/>
    <w:rsid w:val="00FD0506"/>
    <w:rsid w:val="00FD06D4"/>
    <w:rsid w:val="00FD092F"/>
    <w:rsid w:val="00FD2FF7"/>
    <w:rsid w:val="00FD3AAA"/>
    <w:rsid w:val="00FD4D77"/>
    <w:rsid w:val="00FD504E"/>
    <w:rsid w:val="00FD51B8"/>
    <w:rsid w:val="00FD64D3"/>
    <w:rsid w:val="00FE15FC"/>
    <w:rsid w:val="00FE215B"/>
    <w:rsid w:val="00FE40C5"/>
    <w:rsid w:val="00FE4DA2"/>
    <w:rsid w:val="00FE584D"/>
    <w:rsid w:val="00FE6BED"/>
    <w:rsid w:val="00FE7FCE"/>
    <w:rsid w:val="00FF3D44"/>
    <w:rsid w:val="00FF3E16"/>
    <w:rsid w:val="00FF43AF"/>
    <w:rsid w:val="00FF4765"/>
    <w:rsid w:val="00FF5815"/>
    <w:rsid w:val="00FF59E6"/>
    <w:rsid w:val="00FF6DFA"/>
    <w:rsid w:val="00FF6F2E"/>
    <w:rsid w:val="00FF73C9"/>
    <w:rsid w:val="016D6AC7"/>
    <w:rsid w:val="01CC7072"/>
    <w:rsid w:val="01E054EB"/>
    <w:rsid w:val="02DF43C0"/>
    <w:rsid w:val="02E5725D"/>
    <w:rsid w:val="02EB5B90"/>
    <w:rsid w:val="0301396B"/>
    <w:rsid w:val="03160B91"/>
    <w:rsid w:val="033504B3"/>
    <w:rsid w:val="040F6E8D"/>
    <w:rsid w:val="04306D4A"/>
    <w:rsid w:val="04A07AC8"/>
    <w:rsid w:val="04B4543A"/>
    <w:rsid w:val="04C96A24"/>
    <w:rsid w:val="04F27A0F"/>
    <w:rsid w:val="051E36EF"/>
    <w:rsid w:val="05281CF0"/>
    <w:rsid w:val="0590109C"/>
    <w:rsid w:val="05BE3D95"/>
    <w:rsid w:val="05CD433B"/>
    <w:rsid w:val="06106B44"/>
    <w:rsid w:val="0690109C"/>
    <w:rsid w:val="06F37A6F"/>
    <w:rsid w:val="07254947"/>
    <w:rsid w:val="07812D5E"/>
    <w:rsid w:val="079E3506"/>
    <w:rsid w:val="08340E7C"/>
    <w:rsid w:val="083D5445"/>
    <w:rsid w:val="08962DA7"/>
    <w:rsid w:val="08CC4A1B"/>
    <w:rsid w:val="08D524DC"/>
    <w:rsid w:val="08D538D0"/>
    <w:rsid w:val="08EC105A"/>
    <w:rsid w:val="09BC9DA6"/>
    <w:rsid w:val="09D545D6"/>
    <w:rsid w:val="09F60EF2"/>
    <w:rsid w:val="0A2E773B"/>
    <w:rsid w:val="0A716CFB"/>
    <w:rsid w:val="0ADD4CBE"/>
    <w:rsid w:val="0BC32105"/>
    <w:rsid w:val="0C041068"/>
    <w:rsid w:val="0C120282"/>
    <w:rsid w:val="0CFA7971"/>
    <w:rsid w:val="0D6461B3"/>
    <w:rsid w:val="0D6A3A51"/>
    <w:rsid w:val="0DAD4E1B"/>
    <w:rsid w:val="0DBE0DD6"/>
    <w:rsid w:val="0E8E124D"/>
    <w:rsid w:val="0EFD76DC"/>
    <w:rsid w:val="0F4F5A5E"/>
    <w:rsid w:val="0FA81A7B"/>
    <w:rsid w:val="0FF72425"/>
    <w:rsid w:val="101E3DAE"/>
    <w:rsid w:val="10A67900"/>
    <w:rsid w:val="115D77FD"/>
    <w:rsid w:val="126343B4"/>
    <w:rsid w:val="12AC38F3"/>
    <w:rsid w:val="13AE369B"/>
    <w:rsid w:val="13E9758B"/>
    <w:rsid w:val="14295328"/>
    <w:rsid w:val="147F4BD3"/>
    <w:rsid w:val="14A14DE8"/>
    <w:rsid w:val="14F51C7A"/>
    <w:rsid w:val="150A6991"/>
    <w:rsid w:val="15406575"/>
    <w:rsid w:val="156404B5"/>
    <w:rsid w:val="157601E9"/>
    <w:rsid w:val="15A44D56"/>
    <w:rsid w:val="161812A0"/>
    <w:rsid w:val="16473933"/>
    <w:rsid w:val="16655AFD"/>
    <w:rsid w:val="168240C1"/>
    <w:rsid w:val="16AB3EC2"/>
    <w:rsid w:val="16BA5EB3"/>
    <w:rsid w:val="171001C9"/>
    <w:rsid w:val="17895AAB"/>
    <w:rsid w:val="18254D2F"/>
    <w:rsid w:val="188C5582"/>
    <w:rsid w:val="18904D6A"/>
    <w:rsid w:val="18DD489E"/>
    <w:rsid w:val="19483C4A"/>
    <w:rsid w:val="195B3867"/>
    <w:rsid w:val="196853D8"/>
    <w:rsid w:val="197273C5"/>
    <w:rsid w:val="199660EE"/>
    <w:rsid w:val="19C753FC"/>
    <w:rsid w:val="19FFF6AE"/>
    <w:rsid w:val="1A0C259E"/>
    <w:rsid w:val="1A501008"/>
    <w:rsid w:val="1A9F2CD3"/>
    <w:rsid w:val="1B7E56D0"/>
    <w:rsid w:val="1BFB1448"/>
    <w:rsid w:val="1C0F0A4F"/>
    <w:rsid w:val="1CB301F3"/>
    <w:rsid w:val="1D1537EC"/>
    <w:rsid w:val="1DD86BC6"/>
    <w:rsid w:val="1DE33F41"/>
    <w:rsid w:val="1E0C793C"/>
    <w:rsid w:val="1E1767CF"/>
    <w:rsid w:val="1E5310C7"/>
    <w:rsid w:val="1EFB52BB"/>
    <w:rsid w:val="1F1620F4"/>
    <w:rsid w:val="1F611199"/>
    <w:rsid w:val="1FBE02C6"/>
    <w:rsid w:val="1FF24910"/>
    <w:rsid w:val="20F900A6"/>
    <w:rsid w:val="21695C2B"/>
    <w:rsid w:val="22287F70"/>
    <w:rsid w:val="228F7601"/>
    <w:rsid w:val="22CD6F6E"/>
    <w:rsid w:val="23130E25"/>
    <w:rsid w:val="23554579"/>
    <w:rsid w:val="237A70F6"/>
    <w:rsid w:val="238C2377"/>
    <w:rsid w:val="23A83C63"/>
    <w:rsid w:val="23A95CF2"/>
    <w:rsid w:val="23CB5BA3"/>
    <w:rsid w:val="241A61E3"/>
    <w:rsid w:val="24550319"/>
    <w:rsid w:val="24561DB9"/>
    <w:rsid w:val="24861BF2"/>
    <w:rsid w:val="248675F8"/>
    <w:rsid w:val="24C776D8"/>
    <w:rsid w:val="24E42445"/>
    <w:rsid w:val="25153A26"/>
    <w:rsid w:val="253B0DA1"/>
    <w:rsid w:val="26955FF5"/>
    <w:rsid w:val="269815EF"/>
    <w:rsid w:val="27433CA3"/>
    <w:rsid w:val="27A41DA8"/>
    <w:rsid w:val="288558F2"/>
    <w:rsid w:val="294D2452"/>
    <w:rsid w:val="29787C34"/>
    <w:rsid w:val="29A5661F"/>
    <w:rsid w:val="2A0C3E59"/>
    <w:rsid w:val="2A353B5D"/>
    <w:rsid w:val="2A652C58"/>
    <w:rsid w:val="2A6E7289"/>
    <w:rsid w:val="2A994305"/>
    <w:rsid w:val="2AB32245"/>
    <w:rsid w:val="2B147E30"/>
    <w:rsid w:val="2B577D1D"/>
    <w:rsid w:val="2B773770"/>
    <w:rsid w:val="2B852ADC"/>
    <w:rsid w:val="2BC17B4B"/>
    <w:rsid w:val="2BD32A12"/>
    <w:rsid w:val="2C4C16FF"/>
    <w:rsid w:val="2C9F197B"/>
    <w:rsid w:val="2CA410D0"/>
    <w:rsid w:val="2CC47634"/>
    <w:rsid w:val="2CDA0C05"/>
    <w:rsid w:val="2D8409D2"/>
    <w:rsid w:val="2DD92C6B"/>
    <w:rsid w:val="2E255EB0"/>
    <w:rsid w:val="2F1C3757"/>
    <w:rsid w:val="2F7470EF"/>
    <w:rsid w:val="2FEF6022"/>
    <w:rsid w:val="30A02A79"/>
    <w:rsid w:val="30A62AC5"/>
    <w:rsid w:val="30B5421D"/>
    <w:rsid w:val="30D30EBE"/>
    <w:rsid w:val="31713BF6"/>
    <w:rsid w:val="31C95635"/>
    <w:rsid w:val="329D4BAF"/>
    <w:rsid w:val="32C57C62"/>
    <w:rsid w:val="33127FD0"/>
    <w:rsid w:val="33353039"/>
    <w:rsid w:val="337A327B"/>
    <w:rsid w:val="33E538E8"/>
    <w:rsid w:val="34164C19"/>
    <w:rsid w:val="342E1F62"/>
    <w:rsid w:val="34A55F9D"/>
    <w:rsid w:val="34AA346A"/>
    <w:rsid w:val="34D646BF"/>
    <w:rsid w:val="34F43B30"/>
    <w:rsid w:val="35770328"/>
    <w:rsid w:val="35CE7C48"/>
    <w:rsid w:val="35D80BFD"/>
    <w:rsid w:val="35E3222E"/>
    <w:rsid w:val="35E6686D"/>
    <w:rsid w:val="35E93C67"/>
    <w:rsid w:val="36886EDD"/>
    <w:rsid w:val="36B50719"/>
    <w:rsid w:val="36B957DE"/>
    <w:rsid w:val="372C4753"/>
    <w:rsid w:val="37A47F3E"/>
    <w:rsid w:val="37C36E66"/>
    <w:rsid w:val="386C08F2"/>
    <w:rsid w:val="38BE757C"/>
    <w:rsid w:val="390E38AF"/>
    <w:rsid w:val="39736669"/>
    <w:rsid w:val="39C82C86"/>
    <w:rsid w:val="3A9C574C"/>
    <w:rsid w:val="3AC84CD7"/>
    <w:rsid w:val="3ADE19B8"/>
    <w:rsid w:val="3B2D45F6"/>
    <w:rsid w:val="3B3A20D8"/>
    <w:rsid w:val="3B6857D2"/>
    <w:rsid w:val="3C022FAF"/>
    <w:rsid w:val="3C8A61A4"/>
    <w:rsid w:val="3CAF6D2E"/>
    <w:rsid w:val="3CC0438B"/>
    <w:rsid w:val="3CC75F2B"/>
    <w:rsid w:val="3D4028CF"/>
    <w:rsid w:val="3D593035"/>
    <w:rsid w:val="3D5C08DB"/>
    <w:rsid w:val="3D7824A0"/>
    <w:rsid w:val="3D7D3B8B"/>
    <w:rsid w:val="3D814365"/>
    <w:rsid w:val="3DB50FFF"/>
    <w:rsid w:val="3DED635F"/>
    <w:rsid w:val="3E591C1C"/>
    <w:rsid w:val="3E5C591E"/>
    <w:rsid w:val="3F925818"/>
    <w:rsid w:val="3FA4757D"/>
    <w:rsid w:val="405B5E61"/>
    <w:rsid w:val="40BB6067"/>
    <w:rsid w:val="40DC4AF4"/>
    <w:rsid w:val="419806D6"/>
    <w:rsid w:val="41AC096A"/>
    <w:rsid w:val="428B2E7D"/>
    <w:rsid w:val="42957651"/>
    <w:rsid w:val="42F078E0"/>
    <w:rsid w:val="43162963"/>
    <w:rsid w:val="438D543F"/>
    <w:rsid w:val="44112D07"/>
    <w:rsid w:val="44BB5D84"/>
    <w:rsid w:val="44C14A44"/>
    <w:rsid w:val="44D17E48"/>
    <w:rsid w:val="454D7F3F"/>
    <w:rsid w:val="462F131A"/>
    <w:rsid w:val="47451645"/>
    <w:rsid w:val="47736033"/>
    <w:rsid w:val="480C21FB"/>
    <w:rsid w:val="48FD3836"/>
    <w:rsid w:val="499A527B"/>
    <w:rsid w:val="49A563CB"/>
    <w:rsid w:val="49EF3AEA"/>
    <w:rsid w:val="4A282B58"/>
    <w:rsid w:val="4A9756E0"/>
    <w:rsid w:val="4AA96A02"/>
    <w:rsid w:val="4AD131F0"/>
    <w:rsid w:val="4B02784D"/>
    <w:rsid w:val="4B132F8D"/>
    <w:rsid w:val="4B810772"/>
    <w:rsid w:val="4C7E1155"/>
    <w:rsid w:val="4CC72AFC"/>
    <w:rsid w:val="4D14126A"/>
    <w:rsid w:val="4D1C5E0D"/>
    <w:rsid w:val="4D460A80"/>
    <w:rsid w:val="4D46724C"/>
    <w:rsid w:val="4E684604"/>
    <w:rsid w:val="4E881E17"/>
    <w:rsid w:val="4E9764FE"/>
    <w:rsid w:val="4F043B94"/>
    <w:rsid w:val="4F2A1BE1"/>
    <w:rsid w:val="4F331CA0"/>
    <w:rsid w:val="4F97316D"/>
    <w:rsid w:val="50832BD4"/>
    <w:rsid w:val="50C42468"/>
    <w:rsid w:val="51385D77"/>
    <w:rsid w:val="51904550"/>
    <w:rsid w:val="52A60BB6"/>
    <w:rsid w:val="52EC2005"/>
    <w:rsid w:val="532D55A9"/>
    <w:rsid w:val="53E1655F"/>
    <w:rsid w:val="54422A68"/>
    <w:rsid w:val="544542AF"/>
    <w:rsid w:val="54464A89"/>
    <w:rsid w:val="5487738B"/>
    <w:rsid w:val="54A01197"/>
    <w:rsid w:val="54AA0D3A"/>
    <w:rsid w:val="54BE3A1C"/>
    <w:rsid w:val="54D201E9"/>
    <w:rsid w:val="54E12281"/>
    <w:rsid w:val="56350C7C"/>
    <w:rsid w:val="5637036F"/>
    <w:rsid w:val="56C032A1"/>
    <w:rsid w:val="56D163C8"/>
    <w:rsid w:val="573011C5"/>
    <w:rsid w:val="576F0018"/>
    <w:rsid w:val="58296419"/>
    <w:rsid w:val="585C36D0"/>
    <w:rsid w:val="58856E8C"/>
    <w:rsid w:val="58AE4B70"/>
    <w:rsid w:val="58D707DD"/>
    <w:rsid w:val="58D751FA"/>
    <w:rsid w:val="5978133E"/>
    <w:rsid w:val="59B30690"/>
    <w:rsid w:val="59BE0DE3"/>
    <w:rsid w:val="5A0A4777"/>
    <w:rsid w:val="5A4A76F7"/>
    <w:rsid w:val="5A7E660A"/>
    <w:rsid w:val="5ADA0F32"/>
    <w:rsid w:val="5AF90080"/>
    <w:rsid w:val="5B0942E0"/>
    <w:rsid w:val="5B3F7D02"/>
    <w:rsid w:val="5B7031C4"/>
    <w:rsid w:val="5BAB1961"/>
    <w:rsid w:val="5D953E50"/>
    <w:rsid w:val="5DDE1000"/>
    <w:rsid w:val="5DE352BC"/>
    <w:rsid w:val="5E0771FD"/>
    <w:rsid w:val="5E4044BD"/>
    <w:rsid w:val="5E5B3B59"/>
    <w:rsid w:val="5E8425FB"/>
    <w:rsid w:val="5E94611C"/>
    <w:rsid w:val="5F297322"/>
    <w:rsid w:val="5F88611B"/>
    <w:rsid w:val="5FC58677"/>
    <w:rsid w:val="5FCC47DA"/>
    <w:rsid w:val="5FE5531C"/>
    <w:rsid w:val="5FFF791B"/>
    <w:rsid w:val="60A56859"/>
    <w:rsid w:val="60BB2D0B"/>
    <w:rsid w:val="60BF3DBF"/>
    <w:rsid w:val="618A3F56"/>
    <w:rsid w:val="619835BA"/>
    <w:rsid w:val="61AD00BB"/>
    <w:rsid w:val="61E37639"/>
    <w:rsid w:val="62141EE8"/>
    <w:rsid w:val="623954AB"/>
    <w:rsid w:val="62481B92"/>
    <w:rsid w:val="633A62DA"/>
    <w:rsid w:val="63BF40D6"/>
    <w:rsid w:val="63BFB6BC"/>
    <w:rsid w:val="63E91153"/>
    <w:rsid w:val="64542A70"/>
    <w:rsid w:val="6524660F"/>
    <w:rsid w:val="654A5952"/>
    <w:rsid w:val="65E135BB"/>
    <w:rsid w:val="668D04BB"/>
    <w:rsid w:val="66954397"/>
    <w:rsid w:val="66BB09BD"/>
    <w:rsid w:val="66E942D9"/>
    <w:rsid w:val="67362901"/>
    <w:rsid w:val="67616BD8"/>
    <w:rsid w:val="67703AA4"/>
    <w:rsid w:val="67BF1DE9"/>
    <w:rsid w:val="67D070E2"/>
    <w:rsid w:val="67DCF99B"/>
    <w:rsid w:val="68656DA9"/>
    <w:rsid w:val="689F4DFB"/>
    <w:rsid w:val="68DA37D8"/>
    <w:rsid w:val="696F232C"/>
    <w:rsid w:val="699672AC"/>
    <w:rsid w:val="69BF27C0"/>
    <w:rsid w:val="6A132A85"/>
    <w:rsid w:val="6A184540"/>
    <w:rsid w:val="6A1A02B8"/>
    <w:rsid w:val="6A364ECE"/>
    <w:rsid w:val="6ACA31C3"/>
    <w:rsid w:val="6B0F76F1"/>
    <w:rsid w:val="6B6C4B43"/>
    <w:rsid w:val="6B6D07BA"/>
    <w:rsid w:val="6C0F0C37"/>
    <w:rsid w:val="6C44786E"/>
    <w:rsid w:val="6C6D0B73"/>
    <w:rsid w:val="6D107750"/>
    <w:rsid w:val="6D262AD0"/>
    <w:rsid w:val="6D9A2F35"/>
    <w:rsid w:val="6DE2733E"/>
    <w:rsid w:val="6E7755F0"/>
    <w:rsid w:val="6E797A32"/>
    <w:rsid w:val="6F046E40"/>
    <w:rsid w:val="6F2D45E9"/>
    <w:rsid w:val="6F810491"/>
    <w:rsid w:val="70074E3A"/>
    <w:rsid w:val="70150D22"/>
    <w:rsid w:val="70175A4F"/>
    <w:rsid w:val="70182BA3"/>
    <w:rsid w:val="70424CF3"/>
    <w:rsid w:val="70593FF1"/>
    <w:rsid w:val="706B361B"/>
    <w:rsid w:val="70A00DEB"/>
    <w:rsid w:val="70CB40BA"/>
    <w:rsid w:val="70E11BD6"/>
    <w:rsid w:val="710A3FC4"/>
    <w:rsid w:val="711024F1"/>
    <w:rsid w:val="712B051F"/>
    <w:rsid w:val="729135F7"/>
    <w:rsid w:val="73381C67"/>
    <w:rsid w:val="734F0FD2"/>
    <w:rsid w:val="7366143E"/>
    <w:rsid w:val="741F68AE"/>
    <w:rsid w:val="745F2501"/>
    <w:rsid w:val="746F1200"/>
    <w:rsid w:val="748D152E"/>
    <w:rsid w:val="74C4110B"/>
    <w:rsid w:val="7557723C"/>
    <w:rsid w:val="75621953"/>
    <w:rsid w:val="757545F4"/>
    <w:rsid w:val="75BA64AB"/>
    <w:rsid w:val="75CA40AC"/>
    <w:rsid w:val="76213388"/>
    <w:rsid w:val="7621352D"/>
    <w:rsid w:val="7632494C"/>
    <w:rsid w:val="764C5C54"/>
    <w:rsid w:val="765C20C6"/>
    <w:rsid w:val="76772AD4"/>
    <w:rsid w:val="76D33CC8"/>
    <w:rsid w:val="76FB26C3"/>
    <w:rsid w:val="771308B8"/>
    <w:rsid w:val="77604326"/>
    <w:rsid w:val="77A04A51"/>
    <w:rsid w:val="77F1503E"/>
    <w:rsid w:val="782C58F4"/>
    <w:rsid w:val="7856171D"/>
    <w:rsid w:val="78770683"/>
    <w:rsid w:val="791800B8"/>
    <w:rsid w:val="79823784"/>
    <w:rsid w:val="79D80F29"/>
    <w:rsid w:val="7A976F19"/>
    <w:rsid w:val="7B362A78"/>
    <w:rsid w:val="7BE87E94"/>
    <w:rsid w:val="7BFFA600"/>
    <w:rsid w:val="7C263D76"/>
    <w:rsid w:val="7C2D6A0D"/>
    <w:rsid w:val="7C713F0D"/>
    <w:rsid w:val="7CE04A49"/>
    <w:rsid w:val="7D9F2B56"/>
    <w:rsid w:val="7DA55C93"/>
    <w:rsid w:val="7DEFE382"/>
    <w:rsid w:val="7E105802"/>
    <w:rsid w:val="7E590F57"/>
    <w:rsid w:val="7E6C14E2"/>
    <w:rsid w:val="7E6F189F"/>
    <w:rsid w:val="7F73739F"/>
    <w:rsid w:val="7F74591C"/>
    <w:rsid w:val="7F7F2C3F"/>
    <w:rsid w:val="7F815141"/>
    <w:rsid w:val="7F8418A3"/>
    <w:rsid w:val="7F9D16CE"/>
    <w:rsid w:val="7FCD3FD2"/>
    <w:rsid w:val="7FFFB247"/>
    <w:rsid w:val="B7BB9D47"/>
    <w:rsid w:val="CF7D9B06"/>
    <w:rsid w:val="D8A6845C"/>
    <w:rsid w:val="E7DE563C"/>
    <w:rsid w:val="FEEF7FCB"/>
    <w:rsid w:val="FEFFD9DF"/>
    <w:rsid w:val="FFFF5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iPriority="0" w:name="footnote text"/>
    <w:lsdException w:qFormat="1" w:unhideWhenUsed="0" w:uiPriority="99"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4">
    <w:name w:val="heading 1"/>
    <w:basedOn w:val="1"/>
    <w:next w:val="1"/>
    <w:link w:val="83"/>
    <w:qFormat/>
    <w:uiPriority w:val="0"/>
    <w:pPr>
      <w:keepNext/>
      <w:keepLines/>
      <w:numPr>
        <w:ilvl w:val="0"/>
        <w:numId w:val="1"/>
      </w:numPr>
      <w:tabs>
        <w:tab w:val="left" w:pos="0"/>
        <w:tab w:val="left" w:pos="432"/>
        <w:tab w:val="left" w:pos="1151"/>
        <w:tab w:val="clear" w:pos="420"/>
      </w:tabs>
      <w:topLinePunct/>
      <w:adjustRightInd w:val="0"/>
      <w:snapToGrid w:val="0"/>
      <w:jc w:val="left"/>
      <w:textAlignment w:val="center"/>
      <w:outlineLvl w:val="0"/>
    </w:pPr>
    <w:rPr>
      <w:rFonts w:ascii="Times New Roman" w:hAnsi="Times New Roman" w:eastAsia="宋体"/>
      <w:b/>
      <w:bCs/>
      <w:snapToGrid w:val="0"/>
      <w:kern w:val="0"/>
      <w:sz w:val="28"/>
      <w:szCs w:val="32"/>
    </w:rPr>
  </w:style>
  <w:style w:type="paragraph" w:styleId="5">
    <w:name w:val="heading 2"/>
    <w:basedOn w:val="1"/>
    <w:next w:val="1"/>
    <w:qFormat/>
    <w:uiPriority w:val="0"/>
    <w:pPr>
      <w:keepNext/>
      <w:keepLines/>
      <w:numPr>
        <w:ilvl w:val="1"/>
        <w:numId w:val="1"/>
      </w:numPr>
      <w:tabs>
        <w:tab w:val="left" w:pos="576"/>
        <w:tab w:val="left" w:pos="1151"/>
        <w:tab w:val="left" w:pos="2428"/>
        <w:tab w:val="clear" w:pos="420"/>
      </w:tabs>
      <w:topLinePunct/>
      <w:adjustRightInd w:val="0"/>
      <w:snapToGrid w:val="0"/>
      <w:ind w:left="0"/>
      <w:jc w:val="left"/>
      <w:textAlignment w:val="center"/>
      <w:outlineLvl w:val="1"/>
    </w:pPr>
    <w:rPr>
      <w:rFonts w:ascii="Times New Roman" w:hAnsi="Times New Roman" w:eastAsia="宋体" w:cs="宋体"/>
      <w:b/>
      <w:bCs/>
      <w:kern w:val="0"/>
      <w:sz w:val="28"/>
      <w:szCs w:val="32"/>
    </w:rPr>
  </w:style>
  <w:style w:type="paragraph" w:styleId="6">
    <w:name w:val="heading 3"/>
    <w:basedOn w:val="1"/>
    <w:next w:val="1"/>
    <w:qFormat/>
    <w:uiPriority w:val="0"/>
    <w:pPr>
      <w:keepNext/>
      <w:keepLines/>
      <w:numPr>
        <w:ilvl w:val="2"/>
        <w:numId w:val="1"/>
      </w:numPr>
      <w:tabs>
        <w:tab w:val="left" w:pos="432"/>
        <w:tab w:val="left" w:pos="720"/>
        <w:tab w:val="left" w:pos="1151"/>
        <w:tab w:val="clear" w:pos="420"/>
      </w:tabs>
      <w:topLinePunct/>
      <w:adjustRightInd w:val="0"/>
      <w:snapToGrid w:val="0"/>
      <w:jc w:val="left"/>
      <w:textAlignment w:val="center"/>
      <w:outlineLvl w:val="2"/>
    </w:pPr>
    <w:rPr>
      <w:b/>
      <w:bCs/>
      <w:sz w:val="28"/>
      <w:szCs w:val="32"/>
      <w:lang w:val="sv-SE"/>
    </w:rPr>
  </w:style>
  <w:style w:type="paragraph" w:styleId="7">
    <w:name w:val="heading 4"/>
    <w:basedOn w:val="1"/>
    <w:next w:val="1"/>
    <w:link w:val="38"/>
    <w:qFormat/>
    <w:uiPriority w:val="0"/>
    <w:pPr>
      <w:keepNext/>
      <w:keepLines/>
      <w:numPr>
        <w:ilvl w:val="3"/>
        <w:numId w:val="1"/>
      </w:numPr>
      <w:tabs>
        <w:tab w:val="left" w:pos="864"/>
        <w:tab w:val="left" w:pos="1151"/>
      </w:tabs>
      <w:topLinePunct/>
      <w:adjustRightInd w:val="0"/>
      <w:snapToGrid w:val="0"/>
      <w:textAlignment w:val="center"/>
      <w:outlineLvl w:val="3"/>
    </w:pPr>
    <w:rPr>
      <w:b/>
      <w:bCs/>
      <w:lang w:val="sv-SE"/>
    </w:rPr>
  </w:style>
  <w:style w:type="paragraph" w:styleId="8">
    <w:name w:val="heading 5"/>
    <w:basedOn w:val="1"/>
    <w:next w:val="1"/>
    <w:qFormat/>
    <w:uiPriority w:val="0"/>
    <w:pPr>
      <w:keepNext/>
      <w:keepLines/>
      <w:numPr>
        <w:ilvl w:val="4"/>
        <w:numId w:val="1"/>
      </w:numPr>
      <w:tabs>
        <w:tab w:val="left" w:pos="1008"/>
        <w:tab w:val="clear" w:pos="420"/>
      </w:tabs>
      <w:topLinePunct/>
      <w:adjustRightInd w:val="0"/>
      <w:snapToGrid w:val="0"/>
      <w:textAlignment w:val="center"/>
      <w:outlineLvl w:val="4"/>
    </w:pPr>
    <w:rPr>
      <w:b/>
      <w:bCs/>
      <w:szCs w:val="28"/>
    </w:rPr>
  </w:style>
  <w:style w:type="paragraph" w:styleId="9">
    <w:name w:val="heading 6"/>
    <w:basedOn w:val="1"/>
    <w:next w:val="1"/>
    <w:link w:val="36"/>
    <w:qFormat/>
    <w:uiPriority w:val="0"/>
    <w:pPr>
      <w:numPr>
        <w:ilvl w:val="5"/>
        <w:numId w:val="1"/>
      </w:numPr>
      <w:outlineLvl w:val="5"/>
    </w:pPr>
    <w:rPr>
      <w:b/>
      <w:bCs/>
    </w:rPr>
  </w:style>
  <w:style w:type="paragraph" w:styleId="10">
    <w:name w:val="heading 7"/>
    <w:basedOn w:val="9"/>
    <w:next w:val="1"/>
    <w:link w:val="35"/>
    <w:qFormat/>
    <w:uiPriority w:val="0"/>
    <w:pPr>
      <w:keepNext/>
      <w:keepLines/>
      <w:numPr>
        <w:ilvl w:val="6"/>
      </w:numPr>
      <w:outlineLvl w:val="6"/>
    </w:pPr>
  </w:style>
  <w:style w:type="paragraph" w:styleId="11">
    <w:name w:val="heading 8"/>
    <w:basedOn w:val="1"/>
    <w:next w:val="1"/>
    <w:link w:val="37"/>
    <w:qFormat/>
    <w:uiPriority w:val="0"/>
    <w:pPr>
      <w:keepNext/>
      <w:keepLines/>
      <w:numPr>
        <w:ilvl w:val="7"/>
        <w:numId w:val="1"/>
      </w:numPr>
      <w:outlineLvl w:val="7"/>
    </w:pPr>
    <w:rPr>
      <w:b/>
    </w:rPr>
  </w:style>
  <w:style w:type="paragraph" w:styleId="12">
    <w:name w:val="heading 9"/>
    <w:basedOn w:val="1"/>
    <w:next w:val="1"/>
    <w:link w:val="54"/>
    <w:qFormat/>
    <w:uiPriority w:val="0"/>
    <w:pPr>
      <w:keepNext/>
      <w:keepLines/>
      <w:numPr>
        <w:ilvl w:val="8"/>
        <w:numId w:val="1"/>
      </w:numPr>
      <w:outlineLvl w:val="8"/>
    </w:pPr>
    <w:rPr>
      <w:b/>
      <w:szCs w:val="21"/>
    </w:rPr>
  </w:style>
  <w:style w:type="character" w:default="1" w:styleId="33">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5"/>
    <w:qFormat/>
    <w:uiPriority w:val="0"/>
    <w:pPr>
      <w:spacing w:after="120"/>
    </w:pPr>
  </w:style>
  <w:style w:type="paragraph" w:styleId="3">
    <w:name w:val="Title"/>
    <w:basedOn w:val="1"/>
    <w:next w:val="1"/>
    <w:qFormat/>
    <w:uiPriority w:val="10"/>
    <w:pPr>
      <w:spacing w:before="240" w:after="60"/>
      <w:jc w:val="center"/>
      <w:outlineLvl w:val="0"/>
    </w:pPr>
    <w:rPr>
      <w:rFonts w:ascii="Calibri Light" w:hAnsi="Calibri Light"/>
      <w:b/>
      <w:bCs/>
      <w:sz w:val="32"/>
      <w:szCs w:val="32"/>
    </w:rPr>
  </w:style>
  <w:style w:type="paragraph" w:styleId="13">
    <w:name w:val="toc 7"/>
    <w:basedOn w:val="1"/>
    <w:next w:val="1"/>
    <w:unhideWhenUsed/>
    <w:qFormat/>
    <w:uiPriority w:val="39"/>
    <w:pPr>
      <w:spacing w:line="240" w:lineRule="auto"/>
      <w:ind w:left="2520" w:leftChars="1200"/>
    </w:pPr>
    <w:rPr>
      <w:rFonts w:ascii="Calibri" w:hAnsi="Calibri"/>
      <w:sz w:val="21"/>
      <w:szCs w:val="22"/>
    </w:rPr>
  </w:style>
  <w:style w:type="paragraph" w:styleId="14">
    <w:name w:val="caption"/>
    <w:basedOn w:val="1"/>
    <w:next w:val="1"/>
    <w:link w:val="68"/>
    <w:qFormat/>
    <w:uiPriority w:val="0"/>
    <w:pPr>
      <w:spacing w:line="240" w:lineRule="auto"/>
    </w:pPr>
    <w:rPr>
      <w:rFonts w:ascii="宋体" w:hAnsi="宋体" w:cs="Arial"/>
      <w:sz w:val="21"/>
      <w:szCs w:val="20"/>
    </w:rPr>
  </w:style>
  <w:style w:type="paragraph" w:styleId="15">
    <w:name w:val="annotation text"/>
    <w:basedOn w:val="1"/>
    <w:link w:val="73"/>
    <w:semiHidden/>
    <w:qFormat/>
    <w:uiPriority w:val="99"/>
    <w:pPr>
      <w:jc w:val="left"/>
    </w:pPr>
  </w:style>
  <w:style w:type="paragraph" w:styleId="16">
    <w:name w:val="Body Text Indent"/>
    <w:basedOn w:val="1"/>
    <w:qFormat/>
    <w:uiPriority w:val="0"/>
    <w:pPr>
      <w:spacing w:after="120"/>
      <w:ind w:left="420" w:leftChars="200"/>
    </w:pPr>
  </w:style>
  <w:style w:type="paragraph" w:styleId="17">
    <w:name w:val="toc 5"/>
    <w:basedOn w:val="1"/>
    <w:next w:val="1"/>
    <w:unhideWhenUsed/>
    <w:qFormat/>
    <w:uiPriority w:val="39"/>
    <w:pPr>
      <w:spacing w:line="240" w:lineRule="auto"/>
      <w:ind w:left="1680" w:leftChars="800"/>
    </w:pPr>
    <w:rPr>
      <w:rFonts w:ascii="Calibri" w:hAnsi="Calibri"/>
      <w:sz w:val="21"/>
      <w:szCs w:val="22"/>
    </w:rPr>
  </w:style>
  <w:style w:type="paragraph" w:styleId="18">
    <w:name w:val="toc 3"/>
    <w:basedOn w:val="1"/>
    <w:next w:val="1"/>
    <w:qFormat/>
    <w:uiPriority w:val="39"/>
    <w:pPr>
      <w:tabs>
        <w:tab w:val="left" w:pos="1260"/>
        <w:tab w:val="right" w:leader="dot" w:pos="9288"/>
      </w:tabs>
      <w:ind w:firstLine="100" w:firstLineChars="100"/>
      <w:jc w:val="left"/>
    </w:pPr>
    <w:rPr>
      <w:iCs/>
      <w:sz w:val="21"/>
      <w:szCs w:val="20"/>
    </w:rPr>
  </w:style>
  <w:style w:type="paragraph" w:styleId="19">
    <w:name w:val="toc 8"/>
    <w:basedOn w:val="1"/>
    <w:next w:val="1"/>
    <w:unhideWhenUsed/>
    <w:qFormat/>
    <w:uiPriority w:val="39"/>
    <w:pPr>
      <w:spacing w:line="240" w:lineRule="auto"/>
      <w:ind w:left="2940" w:leftChars="1400"/>
    </w:pPr>
    <w:rPr>
      <w:rFonts w:ascii="Calibri" w:hAnsi="Calibri"/>
      <w:sz w:val="21"/>
      <w:szCs w:val="22"/>
    </w:rPr>
  </w:style>
  <w:style w:type="paragraph" w:styleId="20">
    <w:name w:val="Balloon Text"/>
    <w:basedOn w:val="1"/>
    <w:link w:val="57"/>
    <w:qFormat/>
    <w:uiPriority w:val="0"/>
    <w:pPr>
      <w:spacing w:line="240" w:lineRule="auto"/>
    </w:pPr>
    <w:rPr>
      <w:sz w:val="18"/>
      <w:szCs w:val="18"/>
    </w:rPr>
  </w:style>
  <w:style w:type="paragraph" w:styleId="21">
    <w:name w:val="footer"/>
    <w:basedOn w:val="1"/>
    <w:link w:val="79"/>
    <w:qFormat/>
    <w:uiPriority w:val="0"/>
    <w:pPr>
      <w:tabs>
        <w:tab w:val="center" w:pos="4153"/>
        <w:tab w:val="right" w:pos="8306"/>
      </w:tabs>
      <w:snapToGrid w:val="0"/>
      <w:spacing w:line="240" w:lineRule="auto"/>
      <w:jc w:val="left"/>
    </w:pPr>
    <w:rPr>
      <w:sz w:val="18"/>
      <w:szCs w:val="18"/>
    </w:rPr>
  </w:style>
  <w:style w:type="paragraph" w:styleId="22">
    <w:name w:val="header"/>
    <w:basedOn w:val="1"/>
    <w:link w:val="78"/>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3">
    <w:name w:val="toc 1"/>
    <w:basedOn w:val="1"/>
    <w:next w:val="1"/>
    <w:qFormat/>
    <w:uiPriority w:val="39"/>
    <w:pPr>
      <w:tabs>
        <w:tab w:val="left" w:pos="426"/>
        <w:tab w:val="right" w:leader="dot" w:pos="9288"/>
      </w:tabs>
      <w:jc w:val="left"/>
    </w:pPr>
    <w:rPr>
      <w:b/>
      <w:bCs/>
      <w:caps/>
      <w:szCs w:val="20"/>
    </w:rPr>
  </w:style>
  <w:style w:type="paragraph" w:styleId="24">
    <w:name w:val="toc 4"/>
    <w:basedOn w:val="1"/>
    <w:next w:val="1"/>
    <w:unhideWhenUsed/>
    <w:qFormat/>
    <w:uiPriority w:val="39"/>
    <w:pPr>
      <w:spacing w:line="240" w:lineRule="auto"/>
      <w:ind w:left="1260" w:leftChars="600"/>
    </w:pPr>
    <w:rPr>
      <w:rFonts w:ascii="Calibri" w:hAnsi="Calibri"/>
      <w:sz w:val="21"/>
      <w:szCs w:val="22"/>
    </w:rPr>
  </w:style>
  <w:style w:type="paragraph" w:styleId="25">
    <w:name w:val="toc 6"/>
    <w:basedOn w:val="1"/>
    <w:next w:val="1"/>
    <w:unhideWhenUsed/>
    <w:qFormat/>
    <w:uiPriority w:val="39"/>
    <w:pPr>
      <w:spacing w:line="240" w:lineRule="auto"/>
      <w:ind w:left="2100" w:leftChars="1000"/>
    </w:pPr>
    <w:rPr>
      <w:rFonts w:ascii="Calibri" w:hAnsi="Calibri"/>
      <w:sz w:val="21"/>
      <w:szCs w:val="22"/>
    </w:rPr>
  </w:style>
  <w:style w:type="paragraph" w:styleId="26">
    <w:name w:val="toc 2"/>
    <w:basedOn w:val="1"/>
    <w:next w:val="1"/>
    <w:qFormat/>
    <w:uiPriority w:val="39"/>
    <w:pPr>
      <w:tabs>
        <w:tab w:val="left" w:pos="1050"/>
        <w:tab w:val="right" w:leader="dot" w:pos="9288"/>
      </w:tabs>
      <w:ind w:firstLine="100" w:firstLineChars="100"/>
      <w:jc w:val="left"/>
    </w:pPr>
    <w:rPr>
      <w:smallCaps/>
      <w:sz w:val="21"/>
      <w:szCs w:val="20"/>
    </w:rPr>
  </w:style>
  <w:style w:type="paragraph" w:styleId="27">
    <w:name w:val="toc 9"/>
    <w:basedOn w:val="1"/>
    <w:next w:val="1"/>
    <w:unhideWhenUsed/>
    <w:qFormat/>
    <w:uiPriority w:val="39"/>
    <w:pPr>
      <w:spacing w:line="240" w:lineRule="auto"/>
      <w:ind w:left="3360" w:leftChars="1600"/>
    </w:pPr>
    <w:rPr>
      <w:rFonts w:ascii="Calibri" w:hAnsi="Calibri"/>
      <w:sz w:val="21"/>
      <w:szCs w:val="22"/>
    </w:rPr>
  </w:style>
  <w:style w:type="paragraph" w:styleId="28">
    <w:name w:val="annotation subject"/>
    <w:basedOn w:val="15"/>
    <w:next w:val="15"/>
    <w:semiHidden/>
    <w:qFormat/>
    <w:uiPriority w:val="0"/>
    <w:rPr>
      <w:b/>
      <w:bCs/>
    </w:rPr>
  </w:style>
  <w:style w:type="paragraph" w:styleId="29">
    <w:name w:val="Body Text First Indent"/>
    <w:basedOn w:val="1"/>
    <w:link w:val="56"/>
    <w:qFormat/>
    <w:uiPriority w:val="0"/>
  </w:style>
  <w:style w:type="table" w:styleId="31">
    <w:name w:val="Table Grid"/>
    <w:basedOn w:val="30"/>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2">
    <w:name w:val="Table List 1"/>
    <w:basedOn w:val="30"/>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styleId="34">
    <w:name w:val="annotation reference"/>
    <w:basedOn w:val="33"/>
    <w:qFormat/>
    <w:uiPriority w:val="99"/>
    <w:rPr>
      <w:sz w:val="21"/>
      <w:szCs w:val="21"/>
    </w:rPr>
  </w:style>
  <w:style w:type="character" w:customStyle="1" w:styleId="35">
    <w:name w:val="标题 7 Char"/>
    <w:basedOn w:val="33"/>
    <w:link w:val="10"/>
    <w:qFormat/>
    <w:uiPriority w:val="0"/>
    <w:rPr>
      <w:rFonts w:eastAsia="宋体"/>
      <w:b/>
      <w:bCs/>
      <w:kern w:val="2"/>
      <w:sz w:val="24"/>
      <w:szCs w:val="24"/>
    </w:rPr>
  </w:style>
  <w:style w:type="character" w:customStyle="1" w:styleId="36">
    <w:name w:val="标题 6 Char"/>
    <w:basedOn w:val="33"/>
    <w:link w:val="9"/>
    <w:qFormat/>
    <w:uiPriority w:val="0"/>
    <w:rPr>
      <w:rFonts w:eastAsia="宋体"/>
      <w:b/>
      <w:bCs/>
      <w:kern w:val="2"/>
      <w:sz w:val="24"/>
      <w:szCs w:val="24"/>
    </w:rPr>
  </w:style>
  <w:style w:type="character" w:customStyle="1" w:styleId="37">
    <w:name w:val="标题 8 Char"/>
    <w:basedOn w:val="33"/>
    <w:link w:val="11"/>
    <w:qFormat/>
    <w:uiPriority w:val="0"/>
    <w:rPr>
      <w:rFonts w:ascii="Times New Roman" w:hAnsi="Times New Roman" w:eastAsia="宋体"/>
      <w:b/>
      <w:kern w:val="2"/>
      <w:sz w:val="24"/>
      <w:szCs w:val="24"/>
    </w:rPr>
  </w:style>
  <w:style w:type="character" w:customStyle="1" w:styleId="38">
    <w:name w:val="标题 4 Char"/>
    <w:basedOn w:val="33"/>
    <w:link w:val="7"/>
    <w:qFormat/>
    <w:uiPriority w:val="0"/>
    <w:rPr>
      <w:b/>
      <w:bCs/>
      <w:kern w:val="2"/>
      <w:sz w:val="24"/>
      <w:szCs w:val="24"/>
      <w:lang w:val="sv-SE"/>
    </w:rPr>
  </w:style>
  <w:style w:type="paragraph" w:customStyle="1" w:styleId="39">
    <w:name w:val="封面一级标题文字"/>
    <w:basedOn w:val="1"/>
    <w:semiHidden/>
    <w:qFormat/>
    <w:uiPriority w:val="0"/>
    <w:pPr>
      <w:spacing w:line="640" w:lineRule="exact"/>
      <w:jc w:val="center"/>
    </w:pPr>
    <w:rPr>
      <w:rFonts w:ascii="黑体" w:hAnsi="黑体" w:eastAsia="黑体"/>
      <w:b/>
      <w:bCs/>
      <w:sz w:val="52"/>
    </w:rPr>
  </w:style>
  <w:style w:type="paragraph" w:customStyle="1" w:styleId="40">
    <w:name w:val="封面二级标题文字"/>
    <w:basedOn w:val="1"/>
    <w:semiHidden/>
    <w:qFormat/>
    <w:uiPriority w:val="0"/>
    <w:pPr>
      <w:jc w:val="center"/>
    </w:pPr>
    <w:rPr>
      <w:rFonts w:ascii="黑体" w:eastAsia="黑体"/>
      <w:b/>
      <w:sz w:val="44"/>
      <w:szCs w:val="44"/>
    </w:rPr>
  </w:style>
  <w:style w:type="paragraph" w:customStyle="1" w:styleId="41">
    <w:name w:val="封面文档编号"/>
    <w:basedOn w:val="1"/>
    <w:semiHidden/>
    <w:qFormat/>
    <w:uiPriority w:val="0"/>
    <w:pPr>
      <w:spacing w:line="640" w:lineRule="exact"/>
      <w:jc w:val="center"/>
    </w:pPr>
    <w:rPr>
      <w:rFonts w:ascii="黑体" w:eastAsia="黑体"/>
      <w:b/>
      <w:sz w:val="32"/>
      <w:szCs w:val="32"/>
    </w:rPr>
  </w:style>
  <w:style w:type="paragraph" w:customStyle="1" w:styleId="42">
    <w:name w:val="封面“EPC联合体”中文文字"/>
    <w:basedOn w:val="1"/>
    <w:link w:val="43"/>
    <w:semiHidden/>
    <w:qFormat/>
    <w:uiPriority w:val="0"/>
    <w:pPr>
      <w:jc w:val="center"/>
    </w:pPr>
    <w:rPr>
      <w:rFonts w:hAnsi="宋体"/>
      <w:b/>
      <w:sz w:val="32"/>
      <w:szCs w:val="32"/>
    </w:rPr>
  </w:style>
  <w:style w:type="character" w:customStyle="1" w:styleId="43">
    <w:name w:val="封面“EPC联合体”中文文字 Char Char"/>
    <w:basedOn w:val="33"/>
    <w:link w:val="42"/>
    <w:qFormat/>
    <w:uiPriority w:val="0"/>
    <w:rPr>
      <w:rFonts w:hAnsi="宋体" w:eastAsia="宋体"/>
      <w:b/>
      <w:kern w:val="2"/>
      <w:sz w:val="32"/>
      <w:szCs w:val="32"/>
      <w:lang w:val="en-US" w:eastAsia="zh-CN" w:bidi="ar-SA"/>
    </w:rPr>
  </w:style>
  <w:style w:type="paragraph" w:customStyle="1" w:styleId="44">
    <w:name w:val="封面日期地点文字"/>
    <w:basedOn w:val="1"/>
    <w:semiHidden/>
    <w:qFormat/>
    <w:uiPriority w:val="0"/>
    <w:pPr>
      <w:spacing w:line="360" w:lineRule="exact"/>
      <w:jc w:val="center"/>
    </w:pPr>
    <w:rPr>
      <w:sz w:val="32"/>
      <w:szCs w:val="32"/>
    </w:rPr>
  </w:style>
  <w:style w:type="paragraph" w:customStyle="1" w:styleId="45">
    <w:name w:val="封面“EPC联合体”西文文字"/>
    <w:basedOn w:val="42"/>
    <w:link w:val="46"/>
    <w:semiHidden/>
    <w:qFormat/>
    <w:uiPriority w:val="0"/>
    <w:rPr>
      <w:rFonts w:hAnsi="Times New Roman"/>
    </w:rPr>
  </w:style>
  <w:style w:type="character" w:customStyle="1" w:styleId="46">
    <w:name w:val="封面“EPC联合体”西文文字 Char Char"/>
    <w:basedOn w:val="43"/>
    <w:link w:val="45"/>
    <w:qFormat/>
    <w:uiPriority w:val="0"/>
    <w:rPr>
      <w:rFonts w:hAnsi="宋体" w:eastAsia="宋体"/>
      <w:kern w:val="2"/>
      <w:sz w:val="32"/>
      <w:szCs w:val="32"/>
      <w:lang w:val="en-US" w:eastAsia="zh-CN" w:bidi="ar-SA"/>
    </w:rPr>
  </w:style>
  <w:style w:type="paragraph" w:customStyle="1" w:styleId="47">
    <w:name w:val="签名页文字"/>
    <w:basedOn w:val="1"/>
    <w:semiHidden/>
    <w:qFormat/>
    <w:uiPriority w:val="0"/>
    <w:pPr>
      <w:spacing w:line="600" w:lineRule="exact"/>
      <w:ind w:left="1100" w:leftChars="1100"/>
    </w:pPr>
    <w:rPr>
      <w:sz w:val="32"/>
      <w:szCs w:val="32"/>
    </w:rPr>
  </w:style>
  <w:style w:type="paragraph" w:customStyle="1" w:styleId="48">
    <w:name w:val="“目录”"/>
    <w:basedOn w:val="1"/>
    <w:semiHidden/>
    <w:qFormat/>
    <w:uiPriority w:val="0"/>
    <w:pPr>
      <w:jc w:val="center"/>
    </w:pPr>
    <w:rPr>
      <w:b/>
      <w:sz w:val="44"/>
    </w:rPr>
  </w:style>
  <w:style w:type="paragraph" w:customStyle="1" w:styleId="49">
    <w:name w:val="表格文字样式"/>
    <w:basedOn w:val="1"/>
    <w:qFormat/>
    <w:uiPriority w:val="0"/>
    <w:rPr>
      <w:sz w:val="21"/>
      <w:szCs w:val="21"/>
    </w:rPr>
  </w:style>
  <w:style w:type="paragraph" w:customStyle="1" w:styleId="50">
    <w:name w:val="附图标题"/>
    <w:basedOn w:val="1"/>
    <w:next w:val="1"/>
    <w:qFormat/>
    <w:uiPriority w:val="0"/>
    <w:pPr>
      <w:numPr>
        <w:ilvl w:val="1"/>
        <w:numId w:val="2"/>
      </w:numPr>
      <w:tabs>
        <w:tab w:val="left" w:pos="900"/>
        <w:tab w:val="clear" w:pos="845"/>
      </w:tabs>
      <w:spacing w:afterLines="100" w:line="240" w:lineRule="auto"/>
      <w:ind w:left="900" w:firstLine="0"/>
      <w:jc w:val="center"/>
    </w:pPr>
    <w:rPr>
      <w:rFonts w:ascii="Arial" w:hAnsi="Arial" w:eastAsia="黑体"/>
      <w:b/>
      <w:sz w:val="18"/>
    </w:rPr>
  </w:style>
  <w:style w:type="paragraph" w:customStyle="1" w:styleId="51">
    <w:name w:val="封面"/>
    <w:basedOn w:val="1"/>
    <w:semiHidden/>
    <w:qFormat/>
    <w:uiPriority w:val="0"/>
    <w:pPr>
      <w:widowControl/>
      <w:spacing w:line="240" w:lineRule="auto"/>
      <w:jc w:val="center"/>
    </w:pPr>
    <w:rPr>
      <w:rFonts w:ascii="华文中宋" w:hAnsi="华文中宋" w:eastAsia="华文中宋"/>
      <w:b/>
      <w:bCs/>
      <w:kern w:val="0"/>
      <w:sz w:val="44"/>
      <w:szCs w:val="20"/>
    </w:rPr>
  </w:style>
  <w:style w:type="paragraph" w:customStyle="1" w:styleId="52">
    <w:name w:val="目录标题"/>
    <w:next w:val="23"/>
    <w:semiHidden/>
    <w:qFormat/>
    <w:uiPriority w:val="0"/>
    <w:pPr>
      <w:jc w:val="center"/>
    </w:pPr>
    <w:rPr>
      <w:rFonts w:ascii="Times New Roman" w:hAnsi="Times New Roman" w:eastAsia="宋体" w:cs="Times New Roman"/>
      <w:b/>
      <w:spacing w:val="60"/>
      <w:sz w:val="28"/>
      <w:lang w:val="en-US" w:eastAsia="zh-CN" w:bidi="ar-SA"/>
    </w:rPr>
  </w:style>
  <w:style w:type="paragraph" w:customStyle="1" w:styleId="53">
    <w:name w:val="概述"/>
    <w:basedOn w:val="1"/>
    <w:qFormat/>
    <w:uiPriority w:val="0"/>
    <w:pPr>
      <w:widowControl/>
      <w:ind w:firstLine="420"/>
      <w:jc w:val="left"/>
    </w:pPr>
    <w:rPr>
      <w:rFonts w:ascii="Arial" w:hAnsi="Arial"/>
      <w:kern w:val="0"/>
      <w:sz w:val="21"/>
      <w:szCs w:val="20"/>
    </w:rPr>
  </w:style>
  <w:style w:type="character" w:customStyle="1" w:styleId="54">
    <w:name w:val="标题 9 Char"/>
    <w:basedOn w:val="33"/>
    <w:link w:val="12"/>
    <w:qFormat/>
    <w:uiPriority w:val="0"/>
    <w:rPr>
      <w:rFonts w:ascii="Times New Roman" w:hAnsi="Times New Roman" w:eastAsia="宋体"/>
      <w:b/>
      <w:kern w:val="2"/>
      <w:sz w:val="24"/>
      <w:szCs w:val="21"/>
    </w:rPr>
  </w:style>
  <w:style w:type="character" w:customStyle="1" w:styleId="55">
    <w:name w:val="正文文本 Char"/>
    <w:basedOn w:val="33"/>
    <w:link w:val="2"/>
    <w:qFormat/>
    <w:uiPriority w:val="0"/>
    <w:rPr>
      <w:kern w:val="2"/>
      <w:sz w:val="24"/>
      <w:szCs w:val="24"/>
    </w:rPr>
  </w:style>
  <w:style w:type="character" w:customStyle="1" w:styleId="56">
    <w:name w:val="正文首行缩进 Char"/>
    <w:link w:val="29"/>
    <w:qFormat/>
    <w:uiPriority w:val="0"/>
    <w:rPr>
      <w:kern w:val="2"/>
      <w:sz w:val="24"/>
      <w:szCs w:val="24"/>
    </w:rPr>
  </w:style>
  <w:style w:type="character" w:customStyle="1" w:styleId="57">
    <w:name w:val="批注框文本 Char"/>
    <w:basedOn w:val="33"/>
    <w:link w:val="20"/>
    <w:qFormat/>
    <w:uiPriority w:val="0"/>
    <w:rPr>
      <w:kern w:val="2"/>
      <w:sz w:val="18"/>
      <w:szCs w:val="18"/>
    </w:rPr>
  </w:style>
  <w:style w:type="paragraph" w:customStyle="1" w:styleId="58">
    <w:name w:val="正文无缩进"/>
    <w:basedOn w:val="2"/>
    <w:link w:val="59"/>
    <w:qFormat/>
    <w:uiPriority w:val="0"/>
    <w:pPr>
      <w:spacing w:beforeLines="50" w:afterLines="50"/>
    </w:pPr>
    <w:rPr>
      <w:rFonts w:cs="宋体"/>
      <w:sz w:val="21"/>
      <w:szCs w:val="20"/>
    </w:rPr>
  </w:style>
  <w:style w:type="character" w:customStyle="1" w:styleId="59">
    <w:name w:val="正文无缩进 Char"/>
    <w:basedOn w:val="33"/>
    <w:link w:val="58"/>
    <w:qFormat/>
    <w:uiPriority w:val="0"/>
    <w:rPr>
      <w:rFonts w:cs="宋体"/>
      <w:kern w:val="2"/>
      <w:sz w:val="21"/>
    </w:rPr>
  </w:style>
  <w:style w:type="paragraph" w:customStyle="1" w:styleId="60">
    <w:name w:val="列出段落1"/>
    <w:basedOn w:val="1"/>
    <w:link w:val="64"/>
    <w:qFormat/>
    <w:uiPriority w:val="34"/>
    <w:pPr>
      <w:spacing w:line="240" w:lineRule="auto"/>
      <w:ind w:firstLine="420"/>
    </w:pPr>
    <w:rPr>
      <w:rFonts w:ascii="Calibri" w:hAnsi="Calibri"/>
      <w:sz w:val="21"/>
      <w:szCs w:val="22"/>
    </w:rPr>
  </w:style>
  <w:style w:type="paragraph" w:customStyle="1" w:styleId="61">
    <w:name w:val="封面副标题"/>
    <w:qFormat/>
    <w:uiPriority w:val="0"/>
    <w:pPr>
      <w:numPr>
        <w:ilvl w:val="0"/>
        <w:numId w:val="3"/>
      </w:numPr>
      <w:tabs>
        <w:tab w:val="clear" w:pos="420"/>
      </w:tabs>
      <w:spacing w:line="360" w:lineRule="auto"/>
      <w:ind w:left="0" w:firstLine="0"/>
      <w:jc w:val="center"/>
    </w:pPr>
    <w:rPr>
      <w:rFonts w:ascii="Arial" w:hAnsi="Arial" w:eastAsia="黑体" w:cs="Times New Roman"/>
      <w:sz w:val="32"/>
      <w:szCs w:val="24"/>
      <w:lang w:val="en-US" w:eastAsia="zh-CN" w:bidi="ar-SA"/>
    </w:rPr>
  </w:style>
  <w:style w:type="paragraph" w:customStyle="1" w:styleId="62">
    <w:name w:val="标准正文"/>
    <w:basedOn w:val="16"/>
    <w:qFormat/>
    <w:uiPriority w:val="0"/>
    <w:pPr>
      <w:spacing w:before="60" w:after="60" w:line="360" w:lineRule="auto"/>
      <w:ind w:firstLine="482"/>
    </w:pPr>
    <w:rPr>
      <w:rFonts w:ascii="Arial" w:hAnsi="Arial" w:eastAsia="宋体" w:cs="Times New Roman"/>
      <w:lang w:val="en-US" w:eastAsia="zh-CN" w:bidi="ar-SA"/>
    </w:rPr>
  </w:style>
  <w:style w:type="paragraph" w:customStyle="1" w:styleId="63">
    <w:name w:val="修订1"/>
    <w:hidden/>
    <w:semiHidden/>
    <w:qFormat/>
    <w:uiPriority w:val="99"/>
    <w:rPr>
      <w:rFonts w:ascii="Times New Roman" w:hAnsi="Times New Roman" w:eastAsia="宋体" w:cs="Times New Roman"/>
      <w:kern w:val="2"/>
      <w:sz w:val="24"/>
      <w:szCs w:val="24"/>
      <w:lang w:val="en-US" w:eastAsia="zh-CN" w:bidi="ar-SA"/>
    </w:rPr>
  </w:style>
  <w:style w:type="character" w:customStyle="1" w:styleId="64">
    <w:name w:val="列出段落 字符"/>
    <w:link w:val="60"/>
    <w:qFormat/>
    <w:uiPriority w:val="34"/>
    <w:rPr>
      <w:rFonts w:ascii="Calibri" w:hAnsi="Calibri"/>
      <w:kern w:val="2"/>
      <w:sz w:val="21"/>
      <w:szCs w:val="22"/>
    </w:rPr>
  </w:style>
  <w:style w:type="paragraph" w:customStyle="1" w:styleId="65">
    <w:name w:val="列出段落11"/>
    <w:basedOn w:val="1"/>
    <w:link w:val="66"/>
    <w:qFormat/>
    <w:uiPriority w:val="34"/>
    <w:pPr>
      <w:spacing w:line="240" w:lineRule="auto"/>
      <w:ind w:firstLine="420"/>
    </w:pPr>
    <w:rPr>
      <w:rFonts w:ascii="Calibri" w:hAnsi="Calibri"/>
      <w:sz w:val="21"/>
      <w:szCs w:val="22"/>
    </w:rPr>
  </w:style>
  <w:style w:type="character" w:customStyle="1" w:styleId="66">
    <w:name w:val="列出段落 Char"/>
    <w:link w:val="65"/>
    <w:qFormat/>
    <w:uiPriority w:val="34"/>
    <w:rPr>
      <w:rFonts w:ascii="Calibri" w:hAnsi="Calibri"/>
      <w:kern w:val="2"/>
      <w:sz w:val="21"/>
      <w:szCs w:val="22"/>
    </w:rPr>
  </w:style>
  <w:style w:type="paragraph" w:customStyle="1" w:styleId="67">
    <w:name w:val="修订2"/>
    <w:hidden/>
    <w:semiHidden/>
    <w:qFormat/>
    <w:uiPriority w:val="99"/>
    <w:rPr>
      <w:rFonts w:ascii="Times New Roman" w:hAnsi="Times New Roman" w:eastAsia="宋体" w:cs="Times New Roman"/>
      <w:kern w:val="2"/>
      <w:sz w:val="24"/>
      <w:szCs w:val="24"/>
      <w:lang w:val="en-US" w:eastAsia="zh-CN" w:bidi="ar-SA"/>
    </w:rPr>
  </w:style>
  <w:style w:type="character" w:customStyle="1" w:styleId="68">
    <w:name w:val="题注 Char"/>
    <w:link w:val="14"/>
    <w:qFormat/>
    <w:uiPriority w:val="0"/>
    <w:rPr>
      <w:rFonts w:ascii="宋体" w:hAnsi="宋体" w:eastAsia="宋体" w:cs="Arial"/>
      <w:kern w:val="2"/>
      <w:sz w:val="21"/>
    </w:rPr>
  </w:style>
  <w:style w:type="paragraph" w:customStyle="1" w:styleId="69">
    <w:name w:val="通用表格字体"/>
    <w:basedOn w:val="1"/>
    <w:qFormat/>
    <w:uiPriority w:val="0"/>
    <w:pPr>
      <w:spacing w:line="240" w:lineRule="auto"/>
    </w:pPr>
    <w:rPr>
      <w:rFonts w:asciiTheme="minorEastAsia" w:hAnsiTheme="minorEastAsia" w:eastAsiaTheme="minorEastAsia"/>
      <w:sz w:val="21"/>
      <w:szCs w:val="21"/>
    </w:rPr>
  </w:style>
  <w:style w:type="paragraph" w:customStyle="1" w:styleId="70">
    <w:name w:val="修订3"/>
    <w:hidden/>
    <w:unhideWhenUsed/>
    <w:qFormat/>
    <w:uiPriority w:val="99"/>
    <w:rPr>
      <w:rFonts w:ascii="Times New Roman" w:hAnsi="Times New Roman" w:eastAsia="宋体" w:cs="Times New Roman"/>
      <w:kern w:val="2"/>
      <w:sz w:val="24"/>
      <w:szCs w:val="24"/>
      <w:lang w:val="en-US" w:eastAsia="zh-CN" w:bidi="ar-SA"/>
    </w:rPr>
  </w:style>
  <w:style w:type="paragraph" w:styleId="71">
    <w:name w:val="List Paragraph"/>
    <w:basedOn w:val="1"/>
    <w:link w:val="72"/>
    <w:qFormat/>
    <w:uiPriority w:val="1"/>
    <w:pPr>
      <w:ind w:firstLine="420"/>
    </w:pPr>
    <w:rPr>
      <w:rFonts w:asciiTheme="minorHAnsi" w:hAnsiTheme="minorHAnsi" w:eastAsiaTheme="minorEastAsia" w:cstheme="minorBidi"/>
      <w:szCs w:val="22"/>
    </w:rPr>
  </w:style>
  <w:style w:type="character" w:customStyle="1" w:styleId="72">
    <w:name w:val="列出段落 Char1"/>
    <w:link w:val="71"/>
    <w:qFormat/>
    <w:uiPriority w:val="0"/>
    <w:rPr>
      <w:rFonts w:asciiTheme="minorHAnsi" w:hAnsiTheme="minorHAnsi" w:eastAsiaTheme="minorEastAsia" w:cstheme="minorBidi"/>
      <w:kern w:val="2"/>
      <w:sz w:val="24"/>
      <w:szCs w:val="22"/>
    </w:rPr>
  </w:style>
  <w:style w:type="character" w:customStyle="1" w:styleId="73">
    <w:name w:val="批注文字 Char"/>
    <w:basedOn w:val="33"/>
    <w:link w:val="15"/>
    <w:semiHidden/>
    <w:qFormat/>
    <w:uiPriority w:val="99"/>
    <w:rPr>
      <w:kern w:val="2"/>
      <w:sz w:val="24"/>
      <w:szCs w:val="24"/>
    </w:rPr>
  </w:style>
  <w:style w:type="character" w:customStyle="1" w:styleId="74">
    <w:name w:val="font31"/>
    <w:basedOn w:val="33"/>
    <w:qFormat/>
    <w:uiPriority w:val="0"/>
    <w:rPr>
      <w:rFonts w:hint="eastAsia" w:ascii="宋体" w:hAnsi="宋体" w:eastAsia="宋体" w:cs="宋体"/>
      <w:b/>
      <w:bCs/>
      <w:color w:val="000000"/>
      <w:sz w:val="20"/>
      <w:szCs w:val="20"/>
      <w:u w:val="none"/>
    </w:rPr>
  </w:style>
  <w:style w:type="character" w:customStyle="1" w:styleId="75">
    <w:name w:val="表格文本 居左 Char"/>
    <w:link w:val="76"/>
    <w:qFormat/>
    <w:uiPriority w:val="34"/>
    <w:rPr>
      <w:rFonts w:ascii="宋体" w:hAnsi="宋体"/>
      <w:kern w:val="2"/>
      <w:sz w:val="21"/>
      <w:szCs w:val="21"/>
    </w:rPr>
  </w:style>
  <w:style w:type="paragraph" w:customStyle="1" w:styleId="76">
    <w:name w:val="表格文本 居左"/>
    <w:basedOn w:val="1"/>
    <w:link w:val="75"/>
    <w:unhideWhenUsed/>
    <w:qFormat/>
    <w:uiPriority w:val="34"/>
    <w:pPr>
      <w:wordWrap w:val="0"/>
      <w:spacing w:line="240" w:lineRule="auto"/>
      <w:jc w:val="left"/>
    </w:pPr>
    <w:rPr>
      <w:rFonts w:ascii="宋体" w:hAnsi="宋体"/>
      <w:sz w:val="21"/>
      <w:szCs w:val="21"/>
    </w:rPr>
  </w:style>
  <w:style w:type="character" w:customStyle="1" w:styleId="77">
    <w:name w:val="font51"/>
    <w:basedOn w:val="33"/>
    <w:qFormat/>
    <w:uiPriority w:val="0"/>
    <w:rPr>
      <w:rFonts w:hint="eastAsia" w:ascii="宋体" w:hAnsi="宋体" w:eastAsia="宋体" w:cs="宋体"/>
      <w:b/>
      <w:bCs/>
      <w:color w:val="000000"/>
      <w:sz w:val="20"/>
      <w:szCs w:val="20"/>
      <w:u w:val="none"/>
    </w:rPr>
  </w:style>
  <w:style w:type="character" w:customStyle="1" w:styleId="78">
    <w:name w:val="页眉 Char"/>
    <w:basedOn w:val="33"/>
    <w:link w:val="22"/>
    <w:qFormat/>
    <w:uiPriority w:val="0"/>
    <w:rPr>
      <w:kern w:val="2"/>
      <w:sz w:val="18"/>
      <w:szCs w:val="18"/>
    </w:rPr>
  </w:style>
  <w:style w:type="character" w:customStyle="1" w:styleId="79">
    <w:name w:val="页脚 Char"/>
    <w:basedOn w:val="33"/>
    <w:link w:val="21"/>
    <w:qFormat/>
    <w:uiPriority w:val="0"/>
    <w:rPr>
      <w:kern w:val="2"/>
      <w:sz w:val="18"/>
      <w:szCs w:val="18"/>
    </w:rPr>
  </w:style>
  <w:style w:type="paragraph" w:customStyle="1" w:styleId="80">
    <w:name w:val="汇报材料正文"/>
    <w:basedOn w:val="1"/>
    <w:qFormat/>
    <w:uiPriority w:val="0"/>
    <w:pPr>
      <w:spacing w:line="560" w:lineRule="exact"/>
      <w:ind w:firstLine="420" w:firstLineChars="200"/>
    </w:pPr>
    <w:rPr>
      <w:rFonts w:ascii="仿宋_GB2312" w:hAnsi="仿宋_GB2312" w:eastAsia="仿宋_GB2312" w:cstheme="minorBidi"/>
      <w:sz w:val="28"/>
      <w:szCs w:val="32"/>
    </w:rPr>
  </w:style>
  <w:style w:type="paragraph" w:customStyle="1" w:styleId="81">
    <w:name w:val="方案正文"/>
    <w:basedOn w:val="1"/>
    <w:qFormat/>
    <w:uiPriority w:val="0"/>
    <w:pPr>
      <w:spacing w:line="360" w:lineRule="auto"/>
      <w:ind w:firstLine="480"/>
    </w:pPr>
    <w:rPr>
      <w:rFonts w:ascii="仿宋_GB2312"/>
    </w:rPr>
  </w:style>
  <w:style w:type="character" w:customStyle="1" w:styleId="82">
    <w:name w:val="font41"/>
    <w:basedOn w:val="33"/>
    <w:qFormat/>
    <w:uiPriority w:val="0"/>
    <w:rPr>
      <w:rFonts w:hint="eastAsia" w:ascii="宋体" w:hAnsi="宋体" w:eastAsia="宋体" w:cs="宋体"/>
      <w:color w:val="000000"/>
      <w:sz w:val="18"/>
      <w:szCs w:val="18"/>
      <w:u w:val="none"/>
    </w:rPr>
  </w:style>
  <w:style w:type="character" w:customStyle="1" w:styleId="83">
    <w:name w:val="标题 1 Char"/>
    <w:link w:val="4"/>
    <w:qFormat/>
    <w:uiPriority w:val="0"/>
    <w:rPr>
      <w:rFonts w:ascii="Times New Roman" w:hAnsi="Times New Roman" w:eastAsia="宋体"/>
      <w:b/>
      <w:bCs/>
      <w:snapToGrid w:val="0"/>
      <w:kern w:val="0"/>
      <w:sz w:val="28"/>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7F309E-BB0B-4274-A782-B35907B2BE49}">
  <ds:schemaRefs/>
</ds:datastoreItem>
</file>

<file path=docProps/app.xml><?xml version="1.0" encoding="utf-8"?>
<Properties xmlns="http://schemas.openxmlformats.org/officeDocument/2006/extended-properties" xmlns:vt="http://schemas.openxmlformats.org/officeDocument/2006/docPropsVTypes">
  <Template>Normal.dotm</Template>
  <Company>GEDI</Company>
  <Pages>21</Pages>
  <Words>10411</Words>
  <Characters>10558</Characters>
  <Lines>24</Lines>
  <Paragraphs>6</Paragraphs>
  <TotalTime>9</TotalTime>
  <ScaleCrop>false</ScaleCrop>
  <LinksUpToDate>false</LinksUpToDate>
  <CharactersWithSpaces>10558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2025-03-17T22:27:00Z</dcterms:created>
  <dc:creator>.</dc:creator>
  <cp:lastModifiedBy>谢锋</cp:lastModifiedBy>
  <cp:lastPrinted>2018-06-27T09:06:00Z</cp:lastPrinted>
  <dcterms:modified xsi:type="dcterms:W3CDTF">2026-09-17T04:32:31Z</dcterms:modified>
  <dc:title>文档模板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-877139630</vt:i4>
  </property>
  <property fmtid="{D5CDD505-2E9C-101B-9397-08002B2CF9AE}" pid="3" name="_NewReviewCycle">
    <vt:lpwstr/>
  </property>
  <property fmtid="{D5CDD505-2E9C-101B-9397-08002B2CF9AE}" pid="4" name="_EmailSubject">
    <vt:lpwstr>可研模板，请补充EA规范要求，并于本周五前发给我。</vt:lpwstr>
  </property>
  <property fmtid="{D5CDD505-2E9C-101B-9397-08002B2CF9AE}" pid="5" name="_AuthorEmail">
    <vt:lpwstr>wei.x.zhang@accenture.com</vt:lpwstr>
  </property>
  <property fmtid="{D5CDD505-2E9C-101B-9397-08002B2CF9AE}" pid="6" name="_AuthorEmailDisplayName">
    <vt:lpwstr>Zhang, Wei X.</vt:lpwstr>
  </property>
  <property fmtid="{D5CDD505-2E9C-101B-9397-08002B2CF9AE}" pid="7" name="_ReviewingToolsShownOnce">
    <vt:lpwstr/>
  </property>
  <property fmtid="{D5CDD505-2E9C-101B-9397-08002B2CF9AE}" pid="8" name="KSOProductBuildVer">
    <vt:lpwstr>2052-12.1.0.28505</vt:lpwstr>
  </property>
  <property fmtid="{D5CDD505-2E9C-101B-9397-08002B2CF9AE}" pid="9" name="ICV">
    <vt:lpwstr>C42198FF472F41F6A2001BA908F03630_13</vt:lpwstr>
  </property>
  <property fmtid="{D5CDD505-2E9C-101B-9397-08002B2CF9AE}" pid="10" name="KSOTemplateDocerSaveRecord">
    <vt:lpwstr>eyJoZGlkIjoiY2RiNDhhOGFmNmMxZTRlYjI3NTI3NTEzNDAzYTAyMDAiLCJ1c2VySWQiOiIxMjEzMTc3NzIzIn0=</vt:lpwstr>
  </property>
</Properties>
</file>