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FB7D3">
      <w:pPr>
        <w:spacing w:line="4309" w:lineRule="exact"/>
      </w:pPr>
      <w:r>
        <w:rPr>
          <w:position w:val="-86"/>
        </w:rPr>
        <w:drawing>
          <wp:inline distT="0" distB="0" distL="0" distR="0">
            <wp:extent cx="7559675" cy="27362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7560309" cy="2736228"/>
                    </a:xfrm>
                    <a:prstGeom prst="rect">
                      <a:avLst/>
                    </a:prstGeom>
                  </pic:spPr>
                </pic:pic>
              </a:graphicData>
            </a:graphic>
          </wp:inline>
        </w:drawing>
      </w:r>
    </w:p>
    <w:p w14:paraId="73C62DB9">
      <w:pPr>
        <w:spacing w:before="49" w:line="227" w:lineRule="auto"/>
        <w:jc w:val="center"/>
        <w:rPr>
          <w:rFonts w:hint="eastAsia" w:ascii="黑体" w:hAnsi="黑体" w:eastAsia="黑体" w:cs="黑体"/>
          <w:b/>
          <w:bCs/>
          <w:spacing w:val="3"/>
          <w:sz w:val="36"/>
          <w:szCs w:val="36"/>
          <w:lang w:val="en-US" w:eastAsia="zh-CN"/>
        </w:rPr>
      </w:pPr>
      <w:r>
        <w:rPr>
          <w:rFonts w:hint="eastAsia" w:ascii="黑体" w:hAnsi="黑体" w:eastAsia="黑体" w:cs="黑体"/>
          <w:b/>
          <w:bCs/>
          <w:spacing w:val="3"/>
          <w:sz w:val="47"/>
          <w:szCs w:val="47"/>
        </w:rPr>
        <w:t>西双版纳供电局2026年应急电动自行车</w:t>
      </w:r>
      <w:r>
        <w:rPr>
          <w:rFonts w:hint="eastAsia" w:ascii="黑体" w:hAnsi="黑体" w:eastAsia="黑体" w:cs="黑体"/>
          <w:b/>
          <w:bCs/>
          <w:spacing w:val="3"/>
          <w:sz w:val="47"/>
          <w:szCs w:val="47"/>
          <w:lang w:val="en-US" w:eastAsia="zh-CN"/>
        </w:rPr>
        <w:t>购置项目</w:t>
      </w:r>
    </w:p>
    <w:p w14:paraId="28FE242E">
      <w:pPr>
        <w:spacing w:before="49" w:line="227" w:lineRule="auto"/>
        <w:jc w:val="center"/>
        <w:rPr>
          <w:rFonts w:hint="eastAsia" w:ascii="黑体" w:hAnsi="黑体" w:eastAsia="黑体" w:cs="黑体"/>
          <w:b/>
          <w:bCs/>
          <w:spacing w:val="3"/>
          <w:sz w:val="47"/>
          <w:szCs w:val="47"/>
        </w:rPr>
      </w:pPr>
      <w:r>
        <w:rPr>
          <w:rFonts w:hint="eastAsia" w:ascii="黑体" w:hAnsi="黑体" w:eastAsia="黑体" w:cs="黑体"/>
          <w:b/>
          <w:bCs/>
          <w:spacing w:val="3"/>
          <w:sz w:val="47"/>
          <w:szCs w:val="47"/>
        </w:rPr>
        <w:t>技术规范书</w:t>
      </w:r>
    </w:p>
    <w:p w14:paraId="31F05EE2">
      <w:pPr>
        <w:pStyle w:val="2"/>
        <w:spacing w:line="271" w:lineRule="auto"/>
      </w:pPr>
    </w:p>
    <w:p w14:paraId="0B95759A">
      <w:pPr>
        <w:pStyle w:val="2"/>
        <w:spacing w:line="272" w:lineRule="auto"/>
      </w:pPr>
    </w:p>
    <w:p w14:paraId="50FD21F8">
      <w:pPr>
        <w:pStyle w:val="2"/>
        <w:spacing w:line="272" w:lineRule="auto"/>
      </w:pPr>
    </w:p>
    <w:p w14:paraId="7FF0D82F">
      <w:pPr>
        <w:pStyle w:val="2"/>
        <w:spacing w:line="272" w:lineRule="auto"/>
      </w:pPr>
    </w:p>
    <w:p w14:paraId="7C326448">
      <w:pPr>
        <w:pStyle w:val="2"/>
        <w:spacing w:line="246" w:lineRule="auto"/>
      </w:pPr>
    </w:p>
    <w:p w14:paraId="2501D365">
      <w:pPr>
        <w:pStyle w:val="2"/>
        <w:spacing w:line="246" w:lineRule="auto"/>
      </w:pPr>
    </w:p>
    <w:p w14:paraId="39A15531">
      <w:pPr>
        <w:pStyle w:val="2"/>
        <w:spacing w:line="246" w:lineRule="auto"/>
      </w:pPr>
    </w:p>
    <w:p w14:paraId="39050A50">
      <w:pPr>
        <w:pStyle w:val="2"/>
        <w:spacing w:line="246" w:lineRule="auto"/>
      </w:pPr>
    </w:p>
    <w:p w14:paraId="0E9382C4">
      <w:pPr>
        <w:pStyle w:val="2"/>
        <w:spacing w:line="246" w:lineRule="auto"/>
      </w:pPr>
    </w:p>
    <w:p w14:paraId="7A245C0E">
      <w:pPr>
        <w:pStyle w:val="2"/>
        <w:spacing w:line="246" w:lineRule="auto"/>
      </w:pPr>
    </w:p>
    <w:p w14:paraId="7F488D13">
      <w:pPr>
        <w:pStyle w:val="2"/>
        <w:spacing w:line="246" w:lineRule="auto"/>
      </w:pPr>
    </w:p>
    <w:p w14:paraId="61AE30F9">
      <w:pPr>
        <w:pStyle w:val="2"/>
        <w:spacing w:line="246" w:lineRule="auto"/>
      </w:pPr>
    </w:p>
    <w:p w14:paraId="4ADE3FAB">
      <w:pPr>
        <w:pStyle w:val="2"/>
        <w:spacing w:line="246" w:lineRule="auto"/>
      </w:pPr>
    </w:p>
    <w:p w14:paraId="7CDF62FE">
      <w:pPr>
        <w:pStyle w:val="2"/>
        <w:spacing w:line="246" w:lineRule="auto"/>
      </w:pPr>
    </w:p>
    <w:p w14:paraId="48544849">
      <w:pPr>
        <w:pStyle w:val="2"/>
        <w:spacing w:line="246" w:lineRule="auto"/>
      </w:pPr>
    </w:p>
    <w:p w14:paraId="7B1B3BF1">
      <w:pPr>
        <w:pStyle w:val="2"/>
        <w:spacing w:line="246" w:lineRule="auto"/>
      </w:pPr>
    </w:p>
    <w:p w14:paraId="6C112277">
      <w:pPr>
        <w:pStyle w:val="2"/>
        <w:spacing w:line="246" w:lineRule="auto"/>
      </w:pPr>
    </w:p>
    <w:p w14:paraId="295A9E8A">
      <w:pPr>
        <w:pStyle w:val="2"/>
        <w:spacing w:line="246" w:lineRule="auto"/>
      </w:pPr>
    </w:p>
    <w:p w14:paraId="74618DB6">
      <w:pPr>
        <w:pStyle w:val="2"/>
        <w:spacing w:line="246" w:lineRule="auto"/>
      </w:pPr>
    </w:p>
    <w:p w14:paraId="5C963D9A">
      <w:pPr>
        <w:pStyle w:val="2"/>
        <w:spacing w:line="246" w:lineRule="auto"/>
      </w:pPr>
    </w:p>
    <w:p w14:paraId="381DB814">
      <w:pPr>
        <w:pStyle w:val="2"/>
        <w:spacing w:line="246" w:lineRule="auto"/>
      </w:pPr>
    </w:p>
    <w:p w14:paraId="4B874485">
      <w:pPr>
        <w:pStyle w:val="2"/>
        <w:spacing w:line="246" w:lineRule="auto"/>
      </w:pPr>
    </w:p>
    <w:p w14:paraId="44FA5996">
      <w:pPr>
        <w:pStyle w:val="2"/>
        <w:spacing w:line="247" w:lineRule="auto"/>
      </w:pPr>
    </w:p>
    <w:p w14:paraId="3D084F8C">
      <w:pPr>
        <w:pStyle w:val="2"/>
        <w:spacing w:line="247" w:lineRule="auto"/>
      </w:pPr>
    </w:p>
    <w:p w14:paraId="629B92A5">
      <w:pPr>
        <w:pStyle w:val="2"/>
        <w:spacing w:line="247" w:lineRule="auto"/>
      </w:pPr>
    </w:p>
    <w:p w14:paraId="2F270391">
      <w:pPr>
        <w:pStyle w:val="2"/>
        <w:spacing w:line="247" w:lineRule="auto"/>
      </w:pPr>
    </w:p>
    <w:p w14:paraId="78880870">
      <w:pPr>
        <w:pStyle w:val="2"/>
        <w:spacing w:line="247" w:lineRule="auto"/>
      </w:pPr>
    </w:p>
    <w:p w14:paraId="3ABE1061">
      <w:pPr>
        <w:spacing w:before="131" w:line="221" w:lineRule="auto"/>
        <w:ind w:left="2565"/>
        <w:rPr>
          <w:rFonts w:ascii="黑体" w:hAnsi="黑体" w:eastAsia="黑体" w:cs="黑体"/>
          <w:sz w:val="40"/>
          <w:szCs w:val="40"/>
        </w:rPr>
      </w:pPr>
      <w:r>
        <w:rPr>
          <w:rFonts w:ascii="黑体" w:hAnsi="黑体" w:eastAsia="黑体" w:cs="黑体"/>
          <w:b/>
          <w:bCs/>
          <w:spacing w:val="-5"/>
          <w:sz w:val="40"/>
          <w:szCs w:val="40"/>
        </w:rPr>
        <w:t>云南电网有限责任公司西双版纳供电局</w:t>
      </w:r>
    </w:p>
    <w:p w14:paraId="4B4F12A9">
      <w:pPr>
        <w:spacing w:before="145" w:line="223" w:lineRule="auto"/>
        <w:ind w:left="4807"/>
        <w:rPr>
          <w:rFonts w:ascii="黑体" w:hAnsi="黑体" w:eastAsia="黑体" w:cs="黑体"/>
          <w:sz w:val="40"/>
          <w:szCs w:val="40"/>
        </w:rPr>
      </w:pPr>
      <w:r>
        <w:rPr>
          <w:rFonts w:ascii="黑体" w:hAnsi="黑体" w:eastAsia="黑体" w:cs="黑体"/>
          <w:b/>
          <w:bCs/>
          <w:spacing w:val="-9"/>
          <w:sz w:val="40"/>
          <w:szCs w:val="40"/>
        </w:rPr>
        <w:t>202</w:t>
      </w:r>
      <w:r>
        <w:rPr>
          <w:rFonts w:hint="eastAsia" w:ascii="黑体" w:hAnsi="黑体" w:eastAsia="黑体" w:cs="黑体"/>
          <w:b/>
          <w:bCs/>
          <w:spacing w:val="-9"/>
          <w:sz w:val="40"/>
          <w:szCs w:val="40"/>
          <w:lang w:val="en-US" w:eastAsia="zh-CN"/>
        </w:rPr>
        <w:t>6</w:t>
      </w:r>
      <w:r>
        <w:rPr>
          <w:rFonts w:ascii="黑体" w:hAnsi="黑体" w:eastAsia="黑体" w:cs="黑体"/>
          <w:b/>
          <w:bCs/>
          <w:spacing w:val="-9"/>
          <w:sz w:val="40"/>
          <w:szCs w:val="40"/>
        </w:rPr>
        <w:t>年</w:t>
      </w:r>
      <w:r>
        <w:rPr>
          <w:rFonts w:ascii="黑体" w:hAnsi="黑体" w:eastAsia="黑体" w:cs="黑体"/>
          <w:spacing w:val="-87"/>
          <w:sz w:val="40"/>
          <w:szCs w:val="40"/>
        </w:rPr>
        <w:t xml:space="preserve"> </w:t>
      </w:r>
      <w:r>
        <w:rPr>
          <w:rFonts w:ascii="黑体" w:hAnsi="黑体" w:eastAsia="黑体" w:cs="黑体"/>
          <w:b/>
          <w:bCs/>
          <w:spacing w:val="-9"/>
          <w:sz w:val="40"/>
          <w:szCs w:val="40"/>
        </w:rPr>
        <w:t>0</w:t>
      </w:r>
      <w:r>
        <w:rPr>
          <w:rFonts w:hint="eastAsia" w:ascii="黑体" w:hAnsi="黑体" w:eastAsia="黑体" w:cs="黑体"/>
          <w:b/>
          <w:bCs/>
          <w:spacing w:val="-9"/>
          <w:sz w:val="40"/>
          <w:szCs w:val="40"/>
          <w:lang w:val="en-US" w:eastAsia="zh-CN"/>
        </w:rPr>
        <w:t>9</w:t>
      </w:r>
      <w:r>
        <w:rPr>
          <w:rFonts w:ascii="黑体" w:hAnsi="黑体" w:eastAsia="黑体" w:cs="黑体"/>
          <w:spacing w:val="-75"/>
          <w:sz w:val="40"/>
          <w:szCs w:val="40"/>
        </w:rPr>
        <w:t xml:space="preserve"> </w:t>
      </w:r>
      <w:r>
        <w:rPr>
          <w:rFonts w:ascii="黑体" w:hAnsi="黑体" w:eastAsia="黑体" w:cs="黑体"/>
          <w:b/>
          <w:bCs/>
          <w:spacing w:val="-9"/>
          <w:sz w:val="40"/>
          <w:szCs w:val="40"/>
        </w:rPr>
        <w:t>月</w:t>
      </w:r>
    </w:p>
    <w:p w14:paraId="1DAE05AD">
      <w:pPr>
        <w:spacing w:line="223" w:lineRule="auto"/>
        <w:rPr>
          <w:rFonts w:ascii="黑体" w:hAnsi="黑体" w:eastAsia="黑体" w:cs="黑体"/>
          <w:sz w:val="40"/>
          <w:szCs w:val="40"/>
        </w:rPr>
        <w:sectPr>
          <w:headerReference r:id="rId5" w:type="default"/>
          <w:pgSz w:w="11906" w:h="16839"/>
          <w:pgMar w:top="1" w:right="0" w:bottom="0" w:left="0" w:header="0" w:footer="0" w:gutter="0"/>
          <w:cols w:space="720" w:num="1"/>
        </w:sectPr>
      </w:pPr>
    </w:p>
    <w:p w14:paraId="65A341B1">
      <w:pPr>
        <w:spacing w:before="78" w:line="222" w:lineRule="auto"/>
        <w:ind w:left="139"/>
        <w:outlineLvl w:val="0"/>
        <w:rPr>
          <w:rFonts w:hint="eastAsia" w:ascii="仿宋" w:hAnsi="仿宋" w:eastAsia="仿宋" w:cs="仿宋"/>
          <w:b/>
          <w:bCs/>
          <w:sz w:val="32"/>
          <w:szCs w:val="32"/>
        </w:rPr>
      </w:pPr>
      <w:r>
        <w:rPr>
          <w:rFonts w:hint="eastAsia" w:ascii="仿宋" w:hAnsi="仿宋" w:eastAsia="仿宋" w:cs="仿宋"/>
          <w:b/>
          <w:bCs/>
          <w:spacing w:val="-14"/>
          <w:sz w:val="32"/>
          <w:szCs w:val="32"/>
        </w:rPr>
        <w:t>1</w:t>
      </w:r>
      <w:r>
        <w:rPr>
          <w:rFonts w:hint="eastAsia" w:ascii="仿宋" w:hAnsi="仿宋" w:eastAsia="仿宋" w:cs="仿宋"/>
          <w:b/>
          <w:bCs/>
          <w:spacing w:val="7"/>
          <w:sz w:val="32"/>
          <w:szCs w:val="32"/>
        </w:rPr>
        <w:t xml:space="preserve">  </w:t>
      </w:r>
      <w:r>
        <w:rPr>
          <w:rFonts w:hint="eastAsia" w:ascii="仿宋" w:hAnsi="仿宋" w:eastAsia="仿宋" w:cs="仿宋"/>
          <w:b/>
          <w:bCs/>
          <w:spacing w:val="-14"/>
          <w:sz w:val="32"/>
          <w:szCs w:val="32"/>
        </w:rPr>
        <w:t>总则</w:t>
      </w:r>
    </w:p>
    <w:p w14:paraId="0917D008">
      <w:pPr>
        <w:spacing w:before="195" w:line="231" w:lineRule="auto"/>
        <w:ind w:left="136"/>
        <w:outlineLvl w:val="1"/>
        <w:rPr>
          <w:rFonts w:hint="eastAsia" w:ascii="仿宋" w:hAnsi="仿宋" w:eastAsia="仿宋" w:cs="仿宋"/>
          <w:sz w:val="32"/>
          <w:szCs w:val="32"/>
        </w:rPr>
      </w:pPr>
      <w:r>
        <w:rPr>
          <w:rFonts w:hint="eastAsia" w:ascii="仿宋" w:hAnsi="仿宋" w:eastAsia="仿宋" w:cs="仿宋"/>
          <w:b/>
          <w:bCs/>
          <w:spacing w:val="-4"/>
          <w:sz w:val="32"/>
          <w:szCs w:val="32"/>
        </w:rPr>
        <w:t>1.1</w:t>
      </w:r>
      <w:r>
        <w:rPr>
          <w:rFonts w:hint="eastAsia" w:ascii="仿宋" w:hAnsi="仿宋" w:eastAsia="仿宋" w:cs="仿宋"/>
          <w:b/>
          <w:bCs/>
          <w:spacing w:val="19"/>
          <w:sz w:val="32"/>
          <w:szCs w:val="32"/>
        </w:rPr>
        <w:t xml:space="preserve">  </w:t>
      </w:r>
      <w:r>
        <w:rPr>
          <w:rFonts w:hint="eastAsia" w:ascii="仿宋" w:hAnsi="仿宋" w:eastAsia="仿宋" w:cs="仿宋"/>
          <w:b/>
          <w:bCs/>
          <w:spacing w:val="-4"/>
          <w:sz w:val="32"/>
          <w:szCs w:val="32"/>
        </w:rPr>
        <w:t>引言</w:t>
      </w:r>
    </w:p>
    <w:p w14:paraId="528E9CEE">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投标企业</w:t>
      </w:r>
      <w:r>
        <w:rPr>
          <w:rFonts w:hint="eastAsia" w:ascii="仿宋" w:hAnsi="仿宋" w:eastAsia="仿宋" w:cs="仿宋"/>
          <w:spacing w:val="-4"/>
          <w:sz w:val="32"/>
          <w:szCs w:val="32"/>
          <w:lang w:val="en-US" w:eastAsia="zh-CN"/>
        </w:rPr>
        <w:t>为：（1）具有</w:t>
      </w:r>
      <w:r>
        <w:rPr>
          <w:rFonts w:hint="eastAsia" w:ascii="仿宋" w:hAnsi="仿宋" w:eastAsia="仿宋" w:cs="仿宋"/>
          <w:spacing w:val="-4"/>
          <w:sz w:val="32"/>
          <w:szCs w:val="32"/>
        </w:rPr>
        <w:t>中华人民共和国境内注册合法运作的法人</w:t>
      </w:r>
      <w:r>
        <w:rPr>
          <w:rFonts w:hint="eastAsia" w:ascii="仿宋" w:hAnsi="仿宋" w:eastAsia="仿宋" w:cs="仿宋"/>
          <w:spacing w:val="-4"/>
          <w:sz w:val="32"/>
          <w:szCs w:val="32"/>
          <w:lang w:val="en-US" w:eastAsia="zh-CN"/>
        </w:rPr>
        <w:t>或其他组织，</w:t>
      </w:r>
      <w:r>
        <w:rPr>
          <w:rFonts w:hint="eastAsia" w:ascii="仿宋" w:hAnsi="仿宋" w:eastAsia="仿宋" w:cs="仿宋"/>
          <w:spacing w:val="-4"/>
          <w:sz w:val="32"/>
          <w:szCs w:val="32"/>
        </w:rPr>
        <w:t>具有独立承担民事责任的能力和独立履行合同的能力</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在有效期内</w:t>
      </w:r>
      <w:r>
        <w:rPr>
          <w:rFonts w:hint="eastAsia" w:ascii="仿宋" w:hAnsi="仿宋" w:eastAsia="仿宋" w:cs="仿宋"/>
          <w:spacing w:val="-4"/>
          <w:sz w:val="32"/>
          <w:szCs w:val="32"/>
          <w:lang w:val="en-US" w:eastAsia="zh-CN"/>
        </w:rPr>
        <w:t>满足采购货物供货的营业执照</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并具备良好的商</w:t>
      </w:r>
      <w:bookmarkStart w:id="7" w:name="_GoBack"/>
      <w:bookmarkEnd w:id="7"/>
      <w:r>
        <w:rPr>
          <w:rFonts w:hint="eastAsia" w:ascii="仿宋" w:hAnsi="仿宋" w:eastAsia="仿宋" w:cs="仿宋"/>
          <w:spacing w:val="-4"/>
          <w:sz w:val="32"/>
          <w:szCs w:val="32"/>
        </w:rPr>
        <w:t>业信誉。</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电动自行车生产厂家或拥有采购货物生产厂家分销商证明或授权委托书的经销商，需提交提供采购货物产品合格证及采购货物同规格型号货物检验合格证等。</w:t>
      </w:r>
    </w:p>
    <w:p w14:paraId="3332870E">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1.1.1 本规范提出了</w:t>
      </w:r>
      <w:r>
        <w:rPr>
          <w:rFonts w:hint="eastAsia" w:ascii="仿宋" w:hAnsi="仿宋" w:eastAsia="仿宋" w:cs="仿宋"/>
          <w:spacing w:val="-4"/>
          <w:sz w:val="32"/>
          <w:szCs w:val="32"/>
          <w:lang w:val="en-US" w:eastAsia="zh-CN"/>
        </w:rPr>
        <w:t>电动自行车</w:t>
      </w:r>
      <w:r>
        <w:rPr>
          <w:rFonts w:hint="eastAsia" w:ascii="仿宋" w:hAnsi="仿宋" w:eastAsia="仿宋" w:cs="仿宋"/>
          <w:spacing w:val="-4"/>
          <w:sz w:val="32"/>
          <w:szCs w:val="32"/>
        </w:rPr>
        <w:t>购置</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以下简称“货物”购置</w:t>
      </w:r>
      <w:r>
        <w:rPr>
          <w:rFonts w:hint="eastAsia" w:ascii="仿宋" w:hAnsi="仿宋" w:eastAsia="仿宋" w:cs="仿宋"/>
          <w:spacing w:val="-4"/>
          <w:sz w:val="32"/>
          <w:szCs w:val="32"/>
        </w:rPr>
        <w:t>的技术要求。</w:t>
      </w:r>
    </w:p>
    <w:p w14:paraId="061B08D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rPr>
        <w:t>1.1.2 本规范提出的</w:t>
      </w:r>
      <w:r>
        <w:rPr>
          <w:rFonts w:hint="eastAsia" w:ascii="仿宋" w:hAnsi="仿宋" w:eastAsia="仿宋" w:cs="仿宋"/>
          <w:spacing w:val="-4"/>
          <w:sz w:val="32"/>
          <w:szCs w:val="32"/>
          <w:lang w:val="en-US" w:eastAsia="zh-CN"/>
        </w:rPr>
        <w:t>货物，原则上满足《电动自行车安全技术规范》（GB 17761—2024）</w:t>
      </w:r>
      <w:r>
        <w:rPr>
          <w:rFonts w:hint="eastAsia" w:ascii="仿宋" w:hAnsi="仿宋" w:eastAsia="仿宋" w:cs="仿宋"/>
          <w:spacing w:val="-4"/>
          <w:sz w:val="32"/>
          <w:szCs w:val="32"/>
        </w:rPr>
        <w:t>要求</w:t>
      </w:r>
      <w:r>
        <w:rPr>
          <w:rFonts w:hint="eastAsia" w:ascii="仿宋" w:hAnsi="仿宋" w:eastAsia="仿宋" w:cs="仿宋"/>
          <w:spacing w:val="-4"/>
          <w:sz w:val="32"/>
          <w:szCs w:val="32"/>
          <w:lang w:val="en-US" w:eastAsia="zh-CN"/>
        </w:rPr>
        <w:t>和以下核心</w:t>
      </w:r>
      <w:r>
        <w:rPr>
          <w:rFonts w:hint="eastAsia" w:ascii="仿宋" w:hAnsi="仿宋" w:eastAsia="仿宋" w:cs="仿宋"/>
          <w:spacing w:val="-4"/>
          <w:sz w:val="32"/>
          <w:szCs w:val="32"/>
        </w:rPr>
        <w:t>参数要求</w:t>
      </w:r>
      <w:r>
        <w:rPr>
          <w:rFonts w:hint="eastAsia" w:ascii="仿宋" w:hAnsi="仿宋" w:eastAsia="仿宋" w:cs="仿宋"/>
          <w:spacing w:val="-4"/>
          <w:sz w:val="32"/>
          <w:szCs w:val="32"/>
          <w:lang w:val="en-US" w:eastAsia="zh-CN"/>
        </w:rPr>
        <w:t>：</w:t>
      </w:r>
    </w:p>
    <w:p w14:paraId="762490E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rPr>
        <w:t xml:space="preserve"> 核心参数要求</w:t>
      </w:r>
    </w:p>
    <w:p w14:paraId="236B6F25">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rPr>
        <w:t>车速与动力：</w:t>
      </w:r>
      <w:r>
        <w:rPr>
          <w:rFonts w:hint="eastAsia" w:ascii="仿宋" w:hAnsi="仿宋" w:eastAsia="仿宋" w:cs="仿宋"/>
          <w:spacing w:val="-4"/>
          <w:sz w:val="32"/>
          <w:szCs w:val="32"/>
          <w:lang w:val="en-US" w:eastAsia="zh-CN"/>
        </w:rPr>
        <w:t>车辆行驶显示</w:t>
      </w:r>
      <w:r>
        <w:rPr>
          <w:rFonts w:hint="eastAsia" w:ascii="仿宋" w:hAnsi="仿宋" w:eastAsia="仿宋" w:cs="仿宋"/>
          <w:spacing w:val="-4"/>
          <w:sz w:val="32"/>
          <w:szCs w:val="32"/>
        </w:rPr>
        <w:t>最高设计车速不超过25km/h；电动机额定连续输出功率</w:t>
      </w:r>
      <w:r>
        <w:rPr>
          <w:rFonts w:hint="eastAsia" w:ascii="仿宋" w:hAnsi="仿宋" w:eastAsia="仿宋" w:cs="仿宋"/>
          <w:spacing w:val="-4"/>
          <w:sz w:val="32"/>
          <w:szCs w:val="32"/>
          <w:lang w:val="en-US" w:eastAsia="zh-CN"/>
        </w:rPr>
        <w:t>10</w:t>
      </w:r>
      <w:r>
        <w:rPr>
          <w:rFonts w:hint="eastAsia" w:ascii="仿宋" w:hAnsi="仿宋" w:eastAsia="仿宋" w:cs="仿宋"/>
          <w:spacing w:val="-4"/>
          <w:sz w:val="32"/>
          <w:szCs w:val="32"/>
        </w:rPr>
        <w:t>00W。</w:t>
      </w:r>
    </w:p>
    <w:p w14:paraId="50E3D4C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rPr>
        <w:t xml:space="preserve"> 电池</w:t>
      </w:r>
      <w:r>
        <w:rPr>
          <w:rFonts w:hint="eastAsia" w:ascii="仿宋" w:hAnsi="仿宋" w:eastAsia="仿宋" w:cs="仿宋"/>
          <w:spacing w:val="-4"/>
          <w:sz w:val="32"/>
          <w:szCs w:val="32"/>
          <w:lang w:val="en-US" w:eastAsia="zh-CN"/>
        </w:rPr>
        <w:t>电压及容量</w:t>
      </w:r>
      <w:r>
        <w:rPr>
          <w:rFonts w:hint="eastAsia" w:ascii="仿宋" w:hAnsi="仿宋" w:eastAsia="仿宋" w:cs="仿宋"/>
          <w:spacing w:val="-4"/>
          <w:sz w:val="32"/>
          <w:szCs w:val="32"/>
        </w:rPr>
        <w:t>：蓄电池组标称电压</w:t>
      </w:r>
      <w:r>
        <w:rPr>
          <w:rFonts w:hint="eastAsia" w:ascii="仿宋" w:hAnsi="仿宋" w:eastAsia="仿宋" w:cs="仿宋"/>
          <w:spacing w:val="-4"/>
          <w:sz w:val="32"/>
          <w:szCs w:val="32"/>
          <w:lang w:val="en-US" w:eastAsia="zh-CN"/>
        </w:rPr>
        <w:t>72</w:t>
      </w:r>
      <w:r>
        <w:rPr>
          <w:rFonts w:hint="eastAsia" w:ascii="仿宋" w:hAnsi="仿宋" w:eastAsia="仿宋" w:cs="仿宋"/>
          <w:spacing w:val="-4"/>
          <w:sz w:val="32"/>
          <w:szCs w:val="32"/>
        </w:rPr>
        <w:t>V</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容量22Ah</w:t>
      </w:r>
      <w:r>
        <w:rPr>
          <w:rFonts w:hint="eastAsia" w:ascii="仿宋" w:hAnsi="仿宋" w:eastAsia="仿宋" w:cs="仿宋"/>
          <w:spacing w:val="-4"/>
          <w:sz w:val="32"/>
          <w:szCs w:val="32"/>
        </w:rPr>
        <w:t>。</w:t>
      </w:r>
    </w:p>
    <w:p w14:paraId="53AA4919">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rPr>
        <w:t xml:space="preserve"> 脚踏装置：不再强制要求所有车型均安装脚踏骑行装置</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仅具备电助力功能的车型必须保留，纯电驱动车型可由企业根据实际需要选择是否安装。</w:t>
      </w:r>
    </w:p>
    <w:p w14:paraId="02259970">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4</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车体尺寸：</w:t>
      </w:r>
      <w:r>
        <w:rPr>
          <w:rFonts w:hint="eastAsia" w:ascii="仿宋" w:hAnsi="仿宋" w:eastAsia="仿宋" w:cs="仿宋"/>
          <w:spacing w:val="-4"/>
          <w:sz w:val="32"/>
          <w:szCs w:val="32"/>
          <w:lang w:val="en-US" w:eastAsia="zh-CN"/>
        </w:rPr>
        <w:t>长×宽×高</w:t>
      </w:r>
      <w:r>
        <w:rPr>
          <w:rFonts w:hint="eastAsia" w:ascii="仿宋" w:hAnsi="仿宋" w:eastAsia="仿宋" w:cs="仿宋"/>
          <w:spacing w:val="-4"/>
          <w:sz w:val="32"/>
          <w:szCs w:val="32"/>
        </w:rPr>
        <w:t>（不含车把、脚蹬、后视镜及连接杆）</w:t>
      </w:r>
      <w:r>
        <w:rPr>
          <w:rFonts w:hint="eastAsia" w:ascii="仿宋" w:hAnsi="仿宋" w:eastAsia="仿宋" w:cs="仿宋"/>
          <w:spacing w:val="-4"/>
          <w:sz w:val="32"/>
          <w:szCs w:val="32"/>
          <w:lang w:val="en-US" w:eastAsia="zh-CN"/>
        </w:rPr>
        <w:t>满足相关标准规范规定</w:t>
      </w:r>
      <w:r>
        <w:rPr>
          <w:rFonts w:hint="eastAsia" w:ascii="仿宋" w:hAnsi="仿宋" w:eastAsia="仿宋" w:cs="仿宋"/>
          <w:spacing w:val="-4"/>
          <w:sz w:val="32"/>
          <w:szCs w:val="32"/>
        </w:rPr>
        <w:t>。</w:t>
      </w:r>
    </w:p>
    <w:p w14:paraId="28F4CF10">
      <w:pPr>
        <w:pStyle w:val="2"/>
        <w:rPr>
          <w:rFonts w:hint="default" w:eastAsia="仿宋"/>
          <w:lang w:val="en-US" w:eastAsia="zh-CN"/>
        </w:rPr>
      </w:pPr>
      <w:r>
        <w:rPr>
          <w:rFonts w:hint="eastAsia" w:ascii="仿宋" w:hAnsi="仿宋" w:eastAsia="仿宋" w:cs="仿宋"/>
          <w:spacing w:val="-4"/>
          <w:sz w:val="32"/>
          <w:szCs w:val="32"/>
          <w:lang w:val="en-US" w:eastAsia="zh-CN"/>
        </w:rPr>
        <w:t xml:space="preserve">     （5）电池充满电续航里程不低于70km。</w:t>
      </w:r>
    </w:p>
    <w:p w14:paraId="454DEF5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rPr>
        <w:t xml:space="preserve"> 防火阻燃与材料要求</w:t>
      </w:r>
    </w:p>
    <w:p w14:paraId="241BE17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塑料占比限制：明确电动自行车使用的塑料总质量不应超过整车质量的5.5%，以降低火灾蔓延速度和危害。</w:t>
      </w:r>
    </w:p>
    <w:p w14:paraId="25A145B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阻燃性能：强化非金属材料（如弹性软垫、纺织品、皮革、电气回路导线等）的防火阻燃性能要求。</w:t>
      </w:r>
    </w:p>
    <w:p w14:paraId="2DD14D8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rPr>
        <w:t xml:space="preserve"> 安全防范与智能监测</w:t>
      </w:r>
    </w:p>
    <w:p w14:paraId="6E284DE2">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防篡改机制：完善电池组、控制器、限速器的防篡改设计，落实“一车一池一充”互认协同机制，从技术上大幅提高非法改装门槛。</w:t>
      </w:r>
    </w:p>
    <w:p w14:paraId="6CAF86C6">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使用年限标注：生产企业需在铭牌和产品合格证上明确标注电动自行车的建议使用年限。</w:t>
      </w:r>
    </w:p>
    <w:p w14:paraId="7831DBE6">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.4</w:t>
      </w:r>
      <w:r>
        <w:rPr>
          <w:rFonts w:hint="eastAsia" w:ascii="仿宋" w:hAnsi="仿宋" w:eastAsia="仿宋" w:cs="仿宋"/>
          <w:spacing w:val="-4"/>
          <w:sz w:val="32"/>
          <w:szCs w:val="32"/>
        </w:rPr>
        <w:t xml:space="preserve"> 配套标准</w:t>
      </w:r>
    </w:p>
    <w:p w14:paraId="2119B353">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充电器需符合《电动自行车用充电器安全技术要求》（GB 42296—2022），且铅酸与锂电池充电器插头物理不通用。</w:t>
      </w:r>
    </w:p>
    <w:p w14:paraId="449C99FA">
      <w:pPr>
        <w:pStyle w:val="2"/>
        <w:ind w:firstLine="624" w:firstLineChars="2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zh-CN" w:bidi="ar-SA"/>
        </w:rPr>
        <w:t>（2）每辆配置电动自行车头盔1顶，具有</w:t>
      </w:r>
      <w:r>
        <w:rPr>
          <w:rFonts w:hint="eastAsia" w:ascii="仿宋" w:hAnsi="仿宋" w:eastAsia="仿宋" w:cs="仿宋"/>
          <w:snapToGrid w:val="0"/>
          <w:color w:val="000000"/>
          <w:spacing w:val="-4"/>
          <w:kern w:val="0"/>
          <w:sz w:val="32"/>
          <w:szCs w:val="32"/>
          <w:lang w:val="en-US" w:eastAsia="en-US" w:bidi="ar-SA"/>
        </w:rPr>
        <w:t>CCC认证。</w:t>
      </w:r>
    </w:p>
    <w:p w14:paraId="5DA427CC">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1.2  货物需求及供货范围一览表</w:t>
      </w:r>
    </w:p>
    <w:p w14:paraId="6C5E1DAD">
      <w:pPr>
        <w:pStyle w:val="2"/>
        <w:rPr>
          <w:rFonts w:hint="eastAsia"/>
        </w:rPr>
      </w:pPr>
    </w:p>
    <w:p w14:paraId="6D6D812A">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表 1 供货范围及设备技术规格一览表</w:t>
      </w:r>
    </w:p>
    <w:p w14:paraId="0EA4EAEB">
      <w:pPr>
        <w:spacing w:line="130" w:lineRule="exact"/>
      </w:pPr>
    </w:p>
    <w:tbl>
      <w:tblPr>
        <w:tblStyle w:val="6"/>
        <w:tblW w:w="9746"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721"/>
        <w:gridCol w:w="525"/>
        <w:gridCol w:w="3630"/>
        <w:gridCol w:w="3120"/>
      </w:tblGrid>
      <w:tr w14:paraId="14636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750" w:type="dxa"/>
            <w:vMerge w:val="restart"/>
            <w:tcBorders>
              <w:bottom w:val="nil"/>
            </w:tcBorders>
            <w:vAlign w:val="top"/>
          </w:tcPr>
          <w:p w14:paraId="13AF2520">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序号</w:t>
            </w:r>
          </w:p>
        </w:tc>
        <w:tc>
          <w:tcPr>
            <w:tcW w:w="1721" w:type="dxa"/>
            <w:vMerge w:val="restart"/>
            <w:tcBorders>
              <w:bottom w:val="nil"/>
            </w:tcBorders>
            <w:vAlign w:val="top"/>
          </w:tcPr>
          <w:p w14:paraId="1519EB25">
            <w:pPr>
              <w:spacing w:before="195" w:line="231" w:lineRule="auto"/>
              <w:outlineLvl w:val="1"/>
              <w:rPr>
                <w:rFonts w:hint="eastAsia" w:ascii="仿宋" w:hAnsi="仿宋" w:eastAsia="仿宋" w:cs="仿宋"/>
                <w:spacing w:val="-4"/>
                <w:sz w:val="32"/>
                <w:szCs w:val="32"/>
              </w:rPr>
            </w:pPr>
            <w:r>
              <w:rPr>
                <w:rFonts w:hint="eastAsia" w:ascii="仿宋" w:hAnsi="仿宋" w:eastAsia="仿宋" w:cs="仿宋"/>
                <w:spacing w:val="-4"/>
                <w:sz w:val="32"/>
                <w:szCs w:val="32"/>
              </w:rPr>
              <w:t>物资名称</w:t>
            </w:r>
          </w:p>
        </w:tc>
        <w:tc>
          <w:tcPr>
            <w:tcW w:w="525" w:type="dxa"/>
            <w:vMerge w:val="restart"/>
            <w:tcBorders>
              <w:bottom w:val="nil"/>
            </w:tcBorders>
            <w:vAlign w:val="top"/>
          </w:tcPr>
          <w:p w14:paraId="2A3701E0">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rPr>
              <w:t>单位</w:t>
            </w:r>
          </w:p>
        </w:tc>
        <w:tc>
          <w:tcPr>
            <w:tcW w:w="6750" w:type="dxa"/>
            <w:gridSpan w:val="2"/>
            <w:vAlign w:val="top"/>
          </w:tcPr>
          <w:p w14:paraId="478269BB">
            <w:pPr>
              <w:spacing w:before="195" w:line="231" w:lineRule="auto"/>
              <w:ind w:left="136" w:firstLine="624" w:firstLineChars="200"/>
              <w:outlineLvl w:val="1"/>
              <w:rPr>
                <w:rFonts w:hint="eastAsia" w:ascii="仿宋" w:hAnsi="仿宋" w:eastAsia="仿宋" w:cs="仿宋"/>
                <w:spacing w:val="-4"/>
                <w:sz w:val="32"/>
                <w:szCs w:val="32"/>
              </w:rPr>
            </w:pPr>
            <w:r>
              <w:rPr>
                <w:rFonts w:hint="eastAsia" w:ascii="仿宋" w:hAnsi="仿宋" w:eastAsia="仿宋" w:cs="仿宋"/>
                <w:spacing w:val="-4"/>
                <w:sz w:val="32"/>
                <w:szCs w:val="32"/>
              </w:rPr>
              <w:t>项目要求</w:t>
            </w:r>
          </w:p>
        </w:tc>
      </w:tr>
      <w:tr w14:paraId="6A503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750" w:type="dxa"/>
            <w:vMerge w:val="continue"/>
            <w:tcBorders>
              <w:top w:val="nil"/>
            </w:tcBorders>
            <w:vAlign w:val="top"/>
          </w:tcPr>
          <w:p w14:paraId="70E24005">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1721" w:type="dxa"/>
            <w:vMerge w:val="continue"/>
            <w:tcBorders>
              <w:top w:val="nil"/>
            </w:tcBorders>
            <w:vAlign w:val="top"/>
          </w:tcPr>
          <w:p w14:paraId="4DB0EDAE">
            <w:pPr>
              <w:spacing w:before="195" w:line="231" w:lineRule="auto"/>
              <w:ind w:left="136" w:firstLine="624" w:firstLineChars="200"/>
              <w:outlineLvl w:val="1"/>
              <w:rPr>
                <w:rFonts w:hint="eastAsia" w:ascii="仿宋" w:hAnsi="仿宋" w:eastAsia="仿宋" w:cs="仿宋"/>
                <w:spacing w:val="-4"/>
                <w:sz w:val="32"/>
                <w:szCs w:val="32"/>
              </w:rPr>
            </w:pPr>
          </w:p>
        </w:tc>
        <w:tc>
          <w:tcPr>
            <w:tcW w:w="525" w:type="dxa"/>
            <w:vMerge w:val="continue"/>
            <w:tcBorders>
              <w:top w:val="nil"/>
            </w:tcBorders>
            <w:vAlign w:val="top"/>
          </w:tcPr>
          <w:p w14:paraId="15D9D9D0">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3630" w:type="dxa"/>
            <w:vAlign w:val="top"/>
          </w:tcPr>
          <w:p w14:paraId="14A5636F">
            <w:pPr>
              <w:spacing w:before="195" w:line="231" w:lineRule="auto"/>
              <w:ind w:firstLine="312" w:firstLineChars="100"/>
              <w:outlineLvl w:val="1"/>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技术要求</w:t>
            </w:r>
          </w:p>
        </w:tc>
        <w:tc>
          <w:tcPr>
            <w:tcW w:w="3120" w:type="dxa"/>
            <w:vAlign w:val="top"/>
          </w:tcPr>
          <w:p w14:paraId="4C6E4298">
            <w:pPr>
              <w:spacing w:before="195" w:line="231" w:lineRule="auto"/>
              <w:jc w:val="center"/>
              <w:outlineLvl w:val="1"/>
              <w:rPr>
                <w:rFonts w:hint="eastAsia" w:ascii="仿宋" w:hAnsi="仿宋" w:eastAsia="仿宋" w:cs="仿宋"/>
                <w:spacing w:val="-4"/>
                <w:sz w:val="32"/>
                <w:szCs w:val="32"/>
                <w:lang w:eastAsia="zh-CN"/>
              </w:rPr>
            </w:pPr>
            <w:r>
              <w:rPr>
                <w:rFonts w:hint="eastAsia" w:ascii="仿宋" w:hAnsi="仿宋" w:eastAsia="仿宋" w:cs="仿宋"/>
                <w:spacing w:val="-4"/>
                <w:sz w:val="32"/>
                <w:szCs w:val="32"/>
                <w:lang w:val="en-US" w:eastAsia="zh-CN"/>
              </w:rPr>
              <w:t>预计采购数</w:t>
            </w:r>
            <w:r>
              <w:rPr>
                <w:rFonts w:hint="eastAsia" w:ascii="仿宋" w:hAnsi="仿宋" w:eastAsia="仿宋" w:cs="仿宋"/>
                <w:spacing w:val="-4"/>
                <w:sz w:val="32"/>
                <w:szCs w:val="32"/>
              </w:rPr>
              <w:t>量</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辆</w:t>
            </w:r>
            <w:r>
              <w:rPr>
                <w:rFonts w:hint="eastAsia" w:ascii="仿宋" w:hAnsi="仿宋" w:eastAsia="仿宋" w:cs="仿宋"/>
                <w:spacing w:val="-4"/>
                <w:sz w:val="32"/>
                <w:szCs w:val="32"/>
                <w:lang w:eastAsia="zh-CN"/>
              </w:rPr>
              <w:t>）</w:t>
            </w:r>
          </w:p>
        </w:tc>
      </w:tr>
      <w:tr w14:paraId="38A2A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750" w:type="dxa"/>
            <w:tcBorders>
              <w:bottom w:val="single" w:color="auto" w:sz="4" w:space="0"/>
            </w:tcBorders>
            <w:vAlign w:val="top"/>
          </w:tcPr>
          <w:p w14:paraId="6E2B1C8D">
            <w:pPr>
              <w:pStyle w:val="7"/>
              <w:spacing w:before="131" w:line="241" w:lineRule="auto"/>
              <w:jc w:val="center"/>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en-US" w:bidi="ar-SA"/>
              </w:rPr>
              <w:t>1</w:t>
            </w:r>
          </w:p>
        </w:tc>
        <w:tc>
          <w:tcPr>
            <w:tcW w:w="1721" w:type="dxa"/>
            <w:tcBorders>
              <w:bottom w:val="single" w:color="auto" w:sz="4" w:space="0"/>
            </w:tcBorders>
            <w:vAlign w:val="top"/>
          </w:tcPr>
          <w:p w14:paraId="230CC98A">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电动自行车</w:t>
            </w:r>
          </w:p>
        </w:tc>
        <w:tc>
          <w:tcPr>
            <w:tcW w:w="525" w:type="dxa"/>
            <w:tcBorders>
              <w:bottom w:val="single" w:color="auto" w:sz="4" w:space="0"/>
            </w:tcBorders>
            <w:vAlign w:val="top"/>
          </w:tcPr>
          <w:p w14:paraId="364EBF3F">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辆</w:t>
            </w:r>
          </w:p>
        </w:tc>
        <w:tc>
          <w:tcPr>
            <w:tcW w:w="3630" w:type="dxa"/>
            <w:tcBorders>
              <w:bottom w:val="single" w:color="auto" w:sz="4" w:space="0"/>
            </w:tcBorders>
            <w:vAlign w:val="top"/>
          </w:tcPr>
          <w:p w14:paraId="0E8122BE">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满足或优于本技术规范书要求。</w:t>
            </w:r>
          </w:p>
        </w:tc>
        <w:tc>
          <w:tcPr>
            <w:tcW w:w="3120" w:type="dxa"/>
            <w:tcBorders>
              <w:bottom w:val="single" w:color="auto" w:sz="4" w:space="0"/>
            </w:tcBorders>
            <w:vAlign w:val="top"/>
          </w:tcPr>
          <w:p w14:paraId="41FB66C0">
            <w:pPr>
              <w:pStyle w:val="7"/>
              <w:spacing w:before="131" w:line="241" w:lineRule="auto"/>
              <w:ind w:firstLine="312" w:firstLineChars="100"/>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16</w:t>
            </w:r>
          </w:p>
        </w:tc>
      </w:tr>
    </w:tbl>
    <w:p w14:paraId="5E23C2E4">
      <w:pPr>
        <w:pStyle w:val="2"/>
        <w:spacing w:line="274" w:lineRule="auto"/>
        <w:rPr>
          <w:rFonts w:hint="eastAsia" w:ascii="仿宋" w:hAnsi="仿宋" w:eastAsia="仿宋" w:cs="仿宋"/>
          <w:snapToGrid w:val="0"/>
          <w:color w:val="000000"/>
          <w:spacing w:val="-4"/>
          <w:kern w:val="0"/>
          <w:sz w:val="32"/>
          <w:szCs w:val="32"/>
          <w:lang w:val="en-US" w:eastAsia="zh-CN" w:bidi="ar-SA"/>
        </w:rPr>
      </w:pPr>
    </w:p>
    <w:p w14:paraId="69A0991A">
      <w:pPr>
        <w:pStyle w:val="7"/>
        <w:spacing w:before="131" w:line="241" w:lineRule="auto"/>
        <w:ind w:left="344" w:firstLine="312" w:firstLineChars="1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en-US" w:bidi="ar-SA"/>
        </w:rPr>
        <w:t>1.3  供</w:t>
      </w:r>
      <w:r>
        <w:rPr>
          <w:rFonts w:hint="eastAsia" w:ascii="仿宋" w:hAnsi="仿宋" w:eastAsia="仿宋" w:cs="仿宋"/>
          <w:snapToGrid w:val="0"/>
          <w:color w:val="000000"/>
          <w:spacing w:val="-4"/>
          <w:kern w:val="0"/>
          <w:sz w:val="32"/>
          <w:szCs w:val="32"/>
          <w:lang w:val="en-US" w:eastAsia="zh-CN" w:bidi="ar-SA"/>
        </w:rPr>
        <w:t>货</w:t>
      </w:r>
      <w:r>
        <w:rPr>
          <w:rFonts w:hint="eastAsia" w:ascii="仿宋" w:hAnsi="仿宋" w:eastAsia="仿宋" w:cs="仿宋"/>
          <w:snapToGrid w:val="0"/>
          <w:color w:val="000000"/>
          <w:spacing w:val="-4"/>
          <w:kern w:val="0"/>
          <w:sz w:val="32"/>
          <w:szCs w:val="32"/>
          <w:lang w:val="en-US" w:eastAsia="en-US" w:bidi="ar-SA"/>
        </w:rPr>
        <w:t>方职责</w:t>
      </w:r>
    </w:p>
    <w:p w14:paraId="003986B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en-US"/>
        </w:rPr>
        <w:t>供方的工作范围将包括下列内容，但不仅仅限于此内容。</w:t>
      </w:r>
    </w:p>
    <w:p w14:paraId="285EB55A">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en-US"/>
        </w:rPr>
        <w:t>1.3.</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val="en-US" w:eastAsia="en-US"/>
        </w:rPr>
        <w:t xml:space="preserve"> 供</w:t>
      </w:r>
      <w:r>
        <w:rPr>
          <w:rFonts w:hint="eastAsia" w:ascii="仿宋" w:hAnsi="仿宋" w:eastAsia="仿宋" w:cs="仿宋"/>
          <w:spacing w:val="-4"/>
          <w:sz w:val="32"/>
          <w:szCs w:val="32"/>
          <w:lang w:val="en-US" w:eastAsia="zh-CN"/>
        </w:rPr>
        <w:t>货</w:t>
      </w:r>
      <w:r>
        <w:rPr>
          <w:rFonts w:hint="eastAsia" w:ascii="仿宋" w:hAnsi="仿宋" w:eastAsia="仿宋" w:cs="仿宋"/>
          <w:spacing w:val="-4"/>
          <w:sz w:val="32"/>
          <w:szCs w:val="32"/>
          <w:lang w:val="en-US" w:eastAsia="en-US"/>
        </w:rPr>
        <w:t>方应在</w:t>
      </w:r>
      <w:r>
        <w:rPr>
          <w:rFonts w:hint="eastAsia" w:ascii="仿宋" w:hAnsi="仿宋" w:eastAsia="仿宋" w:cs="仿宋"/>
          <w:spacing w:val="-4"/>
          <w:sz w:val="32"/>
          <w:szCs w:val="32"/>
          <w:lang w:val="en-US" w:eastAsia="zh-CN"/>
        </w:rPr>
        <w:t>成交后7个工作日</w:t>
      </w:r>
      <w:r>
        <w:rPr>
          <w:rFonts w:hint="eastAsia" w:ascii="仿宋" w:hAnsi="仿宋" w:eastAsia="仿宋" w:cs="仿宋"/>
          <w:spacing w:val="-4"/>
          <w:sz w:val="32"/>
          <w:szCs w:val="32"/>
          <w:lang w:val="en-US" w:eastAsia="en-US"/>
        </w:rPr>
        <w:t>内</w:t>
      </w:r>
      <w:r>
        <w:rPr>
          <w:rFonts w:hint="eastAsia" w:ascii="仿宋" w:hAnsi="仿宋" w:eastAsia="仿宋" w:cs="仿宋"/>
          <w:spacing w:val="-4"/>
          <w:sz w:val="32"/>
          <w:szCs w:val="32"/>
          <w:lang w:val="en-US" w:eastAsia="zh-CN"/>
        </w:rPr>
        <w:t>，将货物</w:t>
      </w:r>
      <w:r>
        <w:rPr>
          <w:rFonts w:hint="eastAsia" w:ascii="仿宋" w:hAnsi="仿宋" w:eastAsia="仿宋" w:cs="仿宋"/>
          <w:spacing w:val="-4"/>
          <w:sz w:val="32"/>
          <w:szCs w:val="32"/>
          <w:lang w:val="en-US" w:eastAsia="en-US"/>
        </w:rPr>
        <w:t>发运到</w:t>
      </w:r>
      <w:r>
        <w:rPr>
          <w:rFonts w:hint="eastAsia" w:ascii="仿宋" w:hAnsi="仿宋" w:eastAsia="仿宋" w:cs="仿宋"/>
          <w:spacing w:val="-4"/>
          <w:sz w:val="32"/>
          <w:szCs w:val="32"/>
          <w:lang w:val="en-US" w:eastAsia="zh-CN"/>
        </w:rPr>
        <w:t>购买方指</w:t>
      </w:r>
      <w:r>
        <w:rPr>
          <w:rFonts w:hint="eastAsia" w:ascii="仿宋" w:hAnsi="仿宋" w:eastAsia="仿宋" w:cs="仿宋"/>
          <w:spacing w:val="-4"/>
          <w:sz w:val="32"/>
          <w:szCs w:val="32"/>
          <w:lang w:val="en-US" w:eastAsia="en-US"/>
        </w:rPr>
        <w:t>定的目的地</w:t>
      </w:r>
      <w:r>
        <w:rPr>
          <w:rFonts w:hint="eastAsia" w:ascii="仿宋" w:hAnsi="仿宋" w:eastAsia="仿宋" w:cs="仿宋"/>
          <w:spacing w:val="-4"/>
          <w:sz w:val="32"/>
          <w:szCs w:val="32"/>
          <w:lang w:val="en-US" w:eastAsia="zh-CN"/>
        </w:rPr>
        <w:t>：西双版纳州景洪市勐泐大道63号云南电网公司西双版纳供电局。</w:t>
      </w:r>
    </w:p>
    <w:p w14:paraId="53F350E3">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en-US"/>
        </w:rPr>
        <w:t>1.3.</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w:t>
      </w:r>
      <w:r>
        <w:rPr>
          <w:rFonts w:hint="eastAsia" w:ascii="仿宋" w:hAnsi="仿宋" w:eastAsia="仿宋" w:cs="仿宋"/>
          <w:spacing w:val="-4"/>
          <w:sz w:val="32"/>
          <w:szCs w:val="32"/>
          <w:lang w:val="en-US" w:eastAsia="zh-CN"/>
        </w:rPr>
        <w:t>供货方提供的货物执行的</w:t>
      </w:r>
      <w:r>
        <w:rPr>
          <w:rFonts w:hint="eastAsia" w:ascii="仿宋" w:hAnsi="仿宋" w:eastAsia="仿宋" w:cs="仿宋"/>
          <w:spacing w:val="-4"/>
          <w:sz w:val="32"/>
          <w:szCs w:val="32"/>
          <w:lang w:val="en-US" w:eastAsia="en-US"/>
        </w:rPr>
        <w:t>标准、规范与本标书的技术规范</w:t>
      </w:r>
      <w:r>
        <w:rPr>
          <w:rFonts w:hint="eastAsia" w:ascii="仿宋" w:hAnsi="仿宋" w:eastAsia="仿宋" w:cs="仿宋"/>
          <w:spacing w:val="-4"/>
          <w:sz w:val="32"/>
          <w:szCs w:val="32"/>
          <w:lang w:val="en-US" w:eastAsia="zh-CN"/>
        </w:rPr>
        <w:t>只能优于本技术规范书</w:t>
      </w:r>
      <w:r>
        <w:rPr>
          <w:rFonts w:hint="eastAsia" w:ascii="仿宋" w:hAnsi="仿宋" w:eastAsia="仿宋" w:cs="仿宋"/>
          <w:spacing w:val="-4"/>
          <w:sz w:val="32"/>
          <w:szCs w:val="32"/>
        </w:rPr>
        <w:t xml:space="preserve">1.1.2 </w:t>
      </w:r>
      <w:r>
        <w:rPr>
          <w:rFonts w:hint="eastAsia" w:ascii="仿宋" w:hAnsi="仿宋" w:eastAsia="仿宋" w:cs="仿宋"/>
          <w:spacing w:val="-4"/>
          <w:sz w:val="32"/>
          <w:szCs w:val="32"/>
          <w:lang w:val="en-US" w:eastAsia="zh-CN"/>
        </w:rPr>
        <w:t>款各项规定。</w:t>
      </w:r>
    </w:p>
    <w:p w14:paraId="4F0FB019">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en-US"/>
        </w:rPr>
        <w:t>2  应遵循的主要标准</w:t>
      </w:r>
    </w:p>
    <w:p w14:paraId="555292B3">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pacing w:val="-4"/>
          <w:sz w:val="32"/>
          <w:szCs w:val="32"/>
          <w:lang w:val="en-US" w:eastAsia="zh-CN"/>
        </w:rPr>
        <w:t>提供货物应满足或优于《电动自行车安全技术规范》（GB 17761—2024）</w:t>
      </w:r>
      <w:r>
        <w:rPr>
          <w:rFonts w:hint="eastAsia" w:ascii="仿宋" w:hAnsi="仿宋" w:eastAsia="仿宋" w:cs="仿宋"/>
          <w:spacing w:val="-4"/>
          <w:sz w:val="32"/>
          <w:szCs w:val="32"/>
          <w:lang w:val="en-US" w:eastAsia="en-US"/>
        </w:rPr>
        <w:t>规定。</w:t>
      </w:r>
    </w:p>
    <w:p w14:paraId="669370F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 xml:space="preserve">  </w:t>
      </w:r>
      <w:bookmarkStart w:id="0" w:name="OLE_LINK4"/>
      <w:r>
        <w:rPr>
          <w:rFonts w:hint="eastAsia" w:ascii="仿宋" w:hAnsi="仿宋" w:eastAsia="仿宋" w:cs="仿宋"/>
          <w:spacing w:val="-4"/>
          <w:sz w:val="32"/>
          <w:szCs w:val="32"/>
          <w:lang w:val="en-US" w:eastAsia="zh-CN"/>
        </w:rPr>
        <w:t>质量保证期</w:t>
      </w:r>
    </w:p>
    <w:bookmarkEnd w:id="0"/>
    <w:p w14:paraId="303586FD">
      <w:pPr>
        <w:pStyle w:val="2"/>
        <w:ind w:firstLine="624" w:firstLineChars="200"/>
        <w:rPr>
          <w:rFonts w:hint="default" w:eastAsia="仿宋"/>
          <w:lang w:val="en-US" w:eastAsia="zh-CN"/>
        </w:rPr>
      </w:pPr>
      <w:r>
        <w:rPr>
          <w:rFonts w:hint="eastAsia" w:ascii="仿宋" w:hAnsi="仿宋" w:eastAsia="仿宋" w:cs="仿宋"/>
          <w:spacing w:val="-4"/>
          <w:sz w:val="32"/>
          <w:szCs w:val="32"/>
          <w:lang w:val="en-US" w:eastAsia="zh-CN"/>
        </w:rPr>
        <w:t>以下质量保证指非外力破坏的情况下的</w:t>
      </w:r>
      <w:bookmarkStart w:id="1" w:name="OLE_LINK3"/>
      <w:r>
        <w:rPr>
          <w:rFonts w:hint="eastAsia" w:ascii="仿宋" w:hAnsi="仿宋" w:eastAsia="仿宋" w:cs="仿宋"/>
          <w:spacing w:val="-4"/>
          <w:sz w:val="32"/>
          <w:szCs w:val="32"/>
          <w:lang w:val="en-US" w:eastAsia="zh-CN"/>
        </w:rPr>
        <w:t>质量保证期。</w:t>
      </w:r>
      <w:bookmarkEnd w:id="1"/>
    </w:p>
    <w:p w14:paraId="3B24396A">
      <w:pPr>
        <w:pStyle w:val="2"/>
        <w:ind w:firstLine="624" w:firstLineChars="200"/>
        <w:rPr>
          <w:rFonts w:hint="eastAsia" w:ascii="仿宋" w:hAnsi="仿宋" w:eastAsia="仿宋" w:cs="仿宋"/>
          <w:snapToGrid w:val="0"/>
          <w:color w:val="000000"/>
          <w:spacing w:val="-4"/>
          <w:kern w:val="0"/>
          <w:sz w:val="32"/>
          <w:szCs w:val="32"/>
          <w:lang w:val="en-US" w:eastAsia="zh-CN" w:bidi="ar-SA"/>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1</w:t>
      </w:r>
      <w:r>
        <w:rPr>
          <w:rFonts w:hint="eastAsia" w:ascii="仿宋" w:hAnsi="仿宋" w:eastAsia="仿宋" w:cs="仿宋"/>
          <w:snapToGrid w:val="0"/>
          <w:color w:val="000000"/>
          <w:spacing w:val="-4"/>
          <w:kern w:val="0"/>
          <w:sz w:val="32"/>
          <w:szCs w:val="32"/>
          <w:lang w:val="en-US" w:eastAsia="en-US" w:bidi="ar-SA"/>
        </w:rPr>
        <w:t>整车质保</w:t>
      </w:r>
      <w:r>
        <w:rPr>
          <w:rFonts w:hint="eastAsia" w:ascii="仿宋" w:hAnsi="仿宋" w:eastAsia="仿宋" w:cs="仿宋"/>
          <w:snapToGrid w:val="0"/>
          <w:color w:val="000000"/>
          <w:spacing w:val="-4"/>
          <w:kern w:val="0"/>
          <w:sz w:val="32"/>
          <w:szCs w:val="32"/>
          <w:lang w:val="en-US" w:eastAsia="zh-CN" w:bidi="ar-SA"/>
        </w:rPr>
        <w:t>期</w:t>
      </w:r>
    </w:p>
    <w:p w14:paraId="05608176">
      <w:pPr>
        <w:pStyle w:val="2"/>
        <w:ind w:firstLine="624" w:firstLineChars="2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 xml:space="preserve">1  </w:t>
      </w:r>
      <w:r>
        <w:rPr>
          <w:rFonts w:hint="eastAsia" w:ascii="仿宋" w:hAnsi="仿宋" w:eastAsia="仿宋" w:cs="仿宋"/>
          <w:snapToGrid w:val="0"/>
          <w:color w:val="000000"/>
          <w:spacing w:val="-4"/>
          <w:kern w:val="0"/>
          <w:sz w:val="32"/>
          <w:szCs w:val="32"/>
          <w:lang w:val="en-US" w:eastAsia="en-US" w:bidi="ar-SA"/>
        </w:rPr>
        <w:t>车架、电机、控制器等主要部件</w:t>
      </w:r>
      <w:r>
        <w:rPr>
          <w:rFonts w:hint="eastAsia" w:ascii="仿宋" w:hAnsi="仿宋" w:eastAsia="仿宋" w:cs="仿宋"/>
          <w:snapToGrid w:val="0"/>
          <w:color w:val="000000"/>
          <w:spacing w:val="-4"/>
          <w:kern w:val="0"/>
          <w:sz w:val="32"/>
          <w:szCs w:val="32"/>
          <w:lang w:val="en-US" w:eastAsia="zh-CN" w:bidi="ar-SA"/>
        </w:rPr>
        <w:t>提供</w:t>
      </w:r>
      <w:r>
        <w:rPr>
          <w:rFonts w:hint="eastAsia" w:ascii="仿宋" w:hAnsi="仿宋" w:eastAsia="仿宋" w:cs="仿宋"/>
          <w:snapToGrid w:val="0"/>
          <w:color w:val="000000"/>
          <w:spacing w:val="-4"/>
          <w:kern w:val="0"/>
          <w:sz w:val="32"/>
          <w:szCs w:val="32"/>
          <w:lang w:val="en-US" w:eastAsia="en-US" w:bidi="ar-SA"/>
        </w:rPr>
        <w:t>质</w:t>
      </w:r>
      <w:r>
        <w:rPr>
          <w:rFonts w:hint="eastAsia" w:ascii="仿宋" w:hAnsi="仿宋" w:eastAsia="仿宋" w:cs="仿宋"/>
          <w:snapToGrid w:val="0"/>
          <w:color w:val="000000"/>
          <w:spacing w:val="-4"/>
          <w:kern w:val="0"/>
          <w:sz w:val="32"/>
          <w:szCs w:val="32"/>
          <w:lang w:val="en-US" w:eastAsia="zh-CN" w:bidi="ar-SA"/>
        </w:rPr>
        <w:t>量</w:t>
      </w:r>
      <w:r>
        <w:rPr>
          <w:rFonts w:hint="eastAsia" w:ascii="仿宋" w:hAnsi="仿宋" w:eastAsia="仿宋" w:cs="仿宋"/>
          <w:snapToGrid w:val="0"/>
          <w:color w:val="000000"/>
          <w:spacing w:val="-4"/>
          <w:kern w:val="0"/>
          <w:sz w:val="32"/>
          <w:szCs w:val="32"/>
          <w:lang w:val="en-US" w:eastAsia="en-US" w:bidi="ar-SA"/>
        </w:rPr>
        <w:t>保</w:t>
      </w:r>
      <w:r>
        <w:rPr>
          <w:rFonts w:hint="eastAsia" w:ascii="仿宋" w:hAnsi="仿宋" w:eastAsia="仿宋" w:cs="仿宋"/>
          <w:snapToGrid w:val="0"/>
          <w:color w:val="000000"/>
          <w:spacing w:val="-4"/>
          <w:kern w:val="0"/>
          <w:sz w:val="32"/>
          <w:szCs w:val="32"/>
          <w:lang w:val="en-US" w:eastAsia="zh-CN" w:bidi="ar-SA"/>
        </w:rPr>
        <w:t>证期不低于</w:t>
      </w:r>
      <w:r>
        <w:rPr>
          <w:rFonts w:hint="eastAsia" w:ascii="仿宋" w:hAnsi="仿宋" w:eastAsia="仿宋" w:cs="仿宋"/>
          <w:snapToGrid w:val="0"/>
          <w:color w:val="000000"/>
          <w:spacing w:val="-4"/>
          <w:kern w:val="0"/>
          <w:sz w:val="32"/>
          <w:szCs w:val="32"/>
          <w:lang w:val="en-US" w:eastAsia="en-US" w:bidi="ar-SA"/>
        </w:rPr>
        <w:t>2年的整车质保。</w:t>
      </w:r>
    </w:p>
    <w:p w14:paraId="77C37132">
      <w:pPr>
        <w:pStyle w:val="2"/>
        <w:ind w:firstLine="624" w:firstLineChars="2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napToGrid w:val="0"/>
          <w:color w:val="000000"/>
          <w:spacing w:val="-4"/>
          <w:kern w:val="0"/>
          <w:sz w:val="32"/>
          <w:szCs w:val="32"/>
          <w:lang w:val="en-US" w:eastAsia="en-US" w:bidi="ar-SA"/>
        </w:rPr>
        <w:t>电池质保</w:t>
      </w:r>
    </w:p>
    <w:p w14:paraId="3B16EB19">
      <w:pPr>
        <w:pStyle w:val="2"/>
        <w:ind w:firstLine="312" w:firstLineChars="100"/>
        <w:rPr>
          <w:rFonts w:hint="eastAsia"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（1）</w:t>
      </w:r>
      <w:r>
        <w:rPr>
          <w:rFonts w:hint="eastAsia" w:ascii="仿宋" w:hAnsi="仿宋" w:eastAsia="仿宋" w:cs="仿宋"/>
          <w:snapToGrid w:val="0"/>
          <w:color w:val="000000"/>
          <w:spacing w:val="-4"/>
          <w:kern w:val="0"/>
          <w:sz w:val="32"/>
          <w:szCs w:val="32"/>
          <w:lang w:val="en-US" w:eastAsia="en-US" w:bidi="ar-SA"/>
        </w:rPr>
        <w:t>铅酸电池：质</w:t>
      </w:r>
      <w:r>
        <w:rPr>
          <w:rFonts w:hint="eastAsia" w:ascii="仿宋" w:hAnsi="仿宋" w:eastAsia="仿宋" w:cs="仿宋"/>
          <w:snapToGrid w:val="0"/>
          <w:color w:val="000000"/>
          <w:spacing w:val="-4"/>
          <w:kern w:val="0"/>
          <w:sz w:val="32"/>
          <w:szCs w:val="32"/>
          <w:lang w:val="en-US" w:eastAsia="zh-CN" w:bidi="ar-SA"/>
        </w:rPr>
        <w:t>量</w:t>
      </w:r>
      <w:r>
        <w:rPr>
          <w:rFonts w:hint="eastAsia" w:ascii="仿宋" w:hAnsi="仿宋" w:eastAsia="仿宋" w:cs="仿宋"/>
          <w:snapToGrid w:val="0"/>
          <w:color w:val="000000"/>
          <w:spacing w:val="-4"/>
          <w:kern w:val="0"/>
          <w:sz w:val="32"/>
          <w:szCs w:val="32"/>
          <w:lang w:val="en-US" w:eastAsia="en-US" w:bidi="ar-SA"/>
        </w:rPr>
        <w:t>保</w:t>
      </w:r>
      <w:r>
        <w:rPr>
          <w:rFonts w:hint="eastAsia" w:ascii="仿宋" w:hAnsi="仿宋" w:eastAsia="仿宋" w:cs="仿宋"/>
          <w:snapToGrid w:val="0"/>
          <w:color w:val="000000"/>
          <w:spacing w:val="-4"/>
          <w:kern w:val="0"/>
          <w:sz w:val="32"/>
          <w:szCs w:val="32"/>
          <w:lang w:val="en-US" w:eastAsia="zh-CN" w:bidi="ar-SA"/>
        </w:rPr>
        <w:t>证期不低于</w:t>
      </w:r>
      <w:r>
        <w:rPr>
          <w:rFonts w:hint="eastAsia" w:ascii="仿宋" w:hAnsi="仿宋" w:eastAsia="仿宋" w:cs="仿宋"/>
          <w:snapToGrid w:val="0"/>
          <w:color w:val="000000"/>
          <w:spacing w:val="-4"/>
          <w:kern w:val="0"/>
          <w:sz w:val="32"/>
          <w:szCs w:val="32"/>
          <w:lang w:val="en-US" w:eastAsia="en-US" w:bidi="ar-SA"/>
        </w:rPr>
        <w:t>12个月</w:t>
      </w:r>
      <w:r>
        <w:rPr>
          <w:rFonts w:hint="eastAsia" w:ascii="仿宋" w:hAnsi="仿宋" w:eastAsia="仿宋" w:cs="仿宋"/>
          <w:snapToGrid w:val="0"/>
          <w:color w:val="000000"/>
          <w:spacing w:val="-4"/>
          <w:kern w:val="0"/>
          <w:sz w:val="32"/>
          <w:szCs w:val="32"/>
          <w:lang w:val="en-US" w:eastAsia="zh-CN" w:bidi="ar-SA"/>
        </w:rPr>
        <w:t>。</w:t>
      </w:r>
    </w:p>
    <w:p w14:paraId="2160E5FC">
      <w:pPr>
        <w:pStyle w:val="2"/>
        <w:ind w:firstLine="312" w:firstLineChars="100"/>
        <w:rPr>
          <w:rFonts w:hint="eastAsia" w:eastAsia="仿宋"/>
          <w:lang w:val="en-US" w:eastAsia="zh-CN"/>
        </w:rPr>
      </w:pPr>
      <w:r>
        <w:rPr>
          <w:rFonts w:hint="eastAsia" w:ascii="仿宋" w:hAnsi="仿宋" w:eastAsia="仿宋" w:cs="仿宋"/>
          <w:snapToGrid w:val="0"/>
          <w:color w:val="000000"/>
          <w:spacing w:val="-4"/>
          <w:kern w:val="0"/>
          <w:sz w:val="32"/>
          <w:szCs w:val="32"/>
          <w:lang w:val="en-US" w:eastAsia="zh-CN" w:bidi="ar-SA"/>
        </w:rPr>
        <w:t>（2）</w:t>
      </w:r>
      <w:r>
        <w:rPr>
          <w:rFonts w:hint="eastAsia" w:ascii="仿宋" w:hAnsi="仿宋" w:eastAsia="仿宋" w:cs="仿宋"/>
          <w:snapToGrid w:val="0"/>
          <w:color w:val="000000"/>
          <w:spacing w:val="-4"/>
          <w:kern w:val="0"/>
          <w:sz w:val="32"/>
          <w:szCs w:val="32"/>
          <w:lang w:val="en-US" w:eastAsia="en-US" w:bidi="ar-SA"/>
        </w:rPr>
        <w:t>刹车片、轮胎、灯泡等易损件质</w:t>
      </w:r>
      <w:r>
        <w:rPr>
          <w:rFonts w:hint="eastAsia" w:ascii="仿宋" w:hAnsi="仿宋" w:eastAsia="仿宋" w:cs="仿宋"/>
          <w:snapToGrid w:val="0"/>
          <w:color w:val="000000"/>
          <w:spacing w:val="-4"/>
          <w:kern w:val="0"/>
          <w:sz w:val="32"/>
          <w:szCs w:val="32"/>
          <w:lang w:val="en-US" w:eastAsia="zh-CN" w:bidi="ar-SA"/>
        </w:rPr>
        <w:t>量</w:t>
      </w:r>
      <w:r>
        <w:rPr>
          <w:rFonts w:hint="eastAsia" w:ascii="仿宋" w:hAnsi="仿宋" w:eastAsia="仿宋" w:cs="仿宋"/>
          <w:snapToGrid w:val="0"/>
          <w:color w:val="000000"/>
          <w:spacing w:val="-4"/>
          <w:kern w:val="0"/>
          <w:sz w:val="32"/>
          <w:szCs w:val="32"/>
          <w:lang w:val="en-US" w:eastAsia="en-US" w:bidi="ar-SA"/>
        </w:rPr>
        <w:t>保</w:t>
      </w:r>
      <w:r>
        <w:rPr>
          <w:rFonts w:hint="eastAsia" w:ascii="仿宋" w:hAnsi="仿宋" w:eastAsia="仿宋" w:cs="仿宋"/>
          <w:snapToGrid w:val="0"/>
          <w:color w:val="000000"/>
          <w:spacing w:val="-4"/>
          <w:kern w:val="0"/>
          <w:sz w:val="32"/>
          <w:szCs w:val="32"/>
          <w:lang w:val="en-US" w:eastAsia="zh-CN" w:bidi="ar-SA"/>
        </w:rPr>
        <w:t>证期不低于</w:t>
      </w:r>
      <w:r>
        <w:rPr>
          <w:rFonts w:hint="eastAsia" w:ascii="仿宋" w:hAnsi="仿宋" w:eastAsia="仿宋" w:cs="仿宋"/>
          <w:snapToGrid w:val="0"/>
          <w:color w:val="000000"/>
          <w:spacing w:val="-4"/>
          <w:kern w:val="0"/>
          <w:sz w:val="32"/>
          <w:szCs w:val="32"/>
          <w:lang w:val="en-US" w:eastAsia="en-US" w:bidi="ar-SA"/>
        </w:rPr>
        <w:t>6个月</w:t>
      </w:r>
      <w:r>
        <w:rPr>
          <w:rFonts w:hint="eastAsia" w:ascii="仿宋" w:hAnsi="仿宋" w:eastAsia="仿宋" w:cs="仿宋"/>
          <w:snapToGrid w:val="0"/>
          <w:color w:val="000000"/>
          <w:spacing w:val="-4"/>
          <w:kern w:val="0"/>
          <w:sz w:val="32"/>
          <w:szCs w:val="32"/>
          <w:lang w:val="en-US" w:eastAsia="zh-CN" w:bidi="ar-SA"/>
        </w:rPr>
        <w:t>。</w:t>
      </w:r>
    </w:p>
    <w:p w14:paraId="7C4A474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服务保证</w:t>
      </w:r>
    </w:p>
    <w:p w14:paraId="4AD152FC">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bookmarkStart w:id="2" w:name="OLE_LINK6"/>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.1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保证所提供的</w:t>
      </w:r>
      <w:r>
        <w:rPr>
          <w:rFonts w:hint="eastAsia" w:ascii="仿宋" w:hAnsi="仿宋" w:eastAsia="仿宋" w:cs="仿宋"/>
          <w:spacing w:val="-4"/>
          <w:sz w:val="32"/>
          <w:szCs w:val="32"/>
          <w:lang w:val="en-US" w:eastAsia="zh-CN"/>
        </w:rPr>
        <w:t>配件</w:t>
      </w:r>
      <w:r>
        <w:rPr>
          <w:rFonts w:hint="eastAsia" w:ascii="仿宋" w:hAnsi="仿宋" w:eastAsia="仿宋" w:cs="仿宋"/>
          <w:spacing w:val="-4"/>
          <w:sz w:val="32"/>
          <w:szCs w:val="32"/>
          <w:lang w:val="en-US" w:eastAsia="en-US"/>
        </w:rPr>
        <w:t>在各个方面符合招标文件规定的质量、规格和性能。</w:t>
      </w:r>
      <w:bookmarkEnd w:id="2"/>
    </w:p>
    <w:p w14:paraId="292A601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default" w:ascii="仿宋" w:hAnsi="仿宋" w:eastAsia="仿宋" w:cs="仿宋"/>
          <w:color w:val="0000FF"/>
          <w:spacing w:val="-4"/>
          <w:sz w:val="32"/>
          <w:szCs w:val="32"/>
          <w:lang w:val="en-US" w:eastAsia="zh-CN"/>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保证全程提供配件安装技术指导，开展技术交底、</w:t>
      </w:r>
      <w:r>
        <w:rPr>
          <w:rFonts w:hint="eastAsia" w:ascii="仿宋" w:hAnsi="仿宋" w:eastAsia="仿宋" w:cs="仿宋"/>
          <w:spacing w:val="-4"/>
          <w:sz w:val="32"/>
          <w:szCs w:val="32"/>
          <w:lang w:val="en-US" w:eastAsia="zh-CN"/>
        </w:rPr>
        <w:t>适时</w:t>
      </w:r>
      <w:r>
        <w:rPr>
          <w:rFonts w:hint="eastAsia" w:ascii="仿宋" w:hAnsi="仿宋" w:eastAsia="仿宋" w:cs="仿宋"/>
          <w:spacing w:val="-4"/>
          <w:sz w:val="32"/>
          <w:szCs w:val="32"/>
          <w:lang w:val="en-US" w:eastAsia="en-US"/>
        </w:rPr>
        <w:t>答疑。</w:t>
      </w:r>
      <w:r>
        <w:rPr>
          <w:rFonts w:hint="eastAsia" w:ascii="仿宋" w:hAnsi="仿宋" w:eastAsia="仿宋" w:cs="仿宋"/>
          <w:color w:val="auto"/>
          <w:spacing w:val="-4"/>
          <w:sz w:val="32"/>
          <w:szCs w:val="32"/>
          <w:lang w:val="en-US" w:eastAsia="zh-CN"/>
        </w:rPr>
        <w:t>负责对所销售电动</w:t>
      </w:r>
      <w:bookmarkStart w:id="3" w:name="OLE_LINK5"/>
      <w:r>
        <w:rPr>
          <w:rFonts w:hint="eastAsia" w:ascii="仿宋" w:hAnsi="仿宋" w:eastAsia="仿宋" w:cs="仿宋"/>
          <w:color w:val="auto"/>
          <w:spacing w:val="-4"/>
          <w:sz w:val="32"/>
          <w:szCs w:val="32"/>
          <w:lang w:val="en-US" w:eastAsia="zh-CN"/>
        </w:rPr>
        <w:t>自行车上绿牌办理</w:t>
      </w:r>
      <w:bookmarkEnd w:id="3"/>
      <w:r>
        <w:rPr>
          <w:rFonts w:hint="eastAsia" w:ascii="仿宋" w:hAnsi="仿宋" w:eastAsia="仿宋" w:cs="仿宋"/>
          <w:color w:val="auto"/>
          <w:spacing w:val="-4"/>
          <w:sz w:val="32"/>
          <w:szCs w:val="32"/>
          <w:lang w:val="en-US" w:eastAsia="zh-CN"/>
        </w:rPr>
        <w:t>。</w:t>
      </w:r>
    </w:p>
    <w:p w14:paraId="591D08BD">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 xml:space="preserve">  质量保证</w:t>
      </w:r>
    </w:p>
    <w:p w14:paraId="778197D8">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 xml:space="preserve">.1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应保证制造过程中的所有工艺、材料、试验等（包括卖方的外购件在内）均应符合</w:t>
      </w:r>
      <w:r>
        <w:rPr>
          <w:rFonts w:hint="eastAsia" w:ascii="仿宋" w:hAnsi="仿宋" w:eastAsia="仿宋" w:cs="仿宋"/>
          <w:spacing w:val="-4"/>
          <w:sz w:val="32"/>
          <w:szCs w:val="32"/>
          <w:lang w:val="en-US" w:eastAsia="zh-CN"/>
        </w:rPr>
        <w:t>或优于</w:t>
      </w:r>
      <w:r>
        <w:rPr>
          <w:rFonts w:hint="eastAsia" w:ascii="仿宋" w:hAnsi="仿宋" w:eastAsia="仿宋" w:cs="仿宋"/>
          <w:spacing w:val="-4"/>
          <w:sz w:val="32"/>
          <w:szCs w:val="32"/>
          <w:lang w:val="en-US" w:eastAsia="en-US"/>
        </w:rPr>
        <w:t>本规范书的规定。</w:t>
      </w:r>
    </w:p>
    <w:p w14:paraId="31A104A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保证</w:t>
      </w:r>
      <w:r>
        <w:rPr>
          <w:rFonts w:hint="eastAsia" w:ascii="仿宋" w:hAnsi="仿宋" w:eastAsia="仿宋" w:cs="仿宋"/>
          <w:spacing w:val="-4"/>
          <w:sz w:val="32"/>
          <w:szCs w:val="32"/>
          <w:lang w:val="en-US" w:eastAsia="zh-CN"/>
        </w:rPr>
        <w:t>所供货物在质量保证期</w:t>
      </w:r>
      <w:r>
        <w:rPr>
          <w:rFonts w:hint="eastAsia" w:ascii="仿宋" w:hAnsi="仿宋" w:eastAsia="仿宋" w:cs="仿宋"/>
          <w:spacing w:val="-4"/>
          <w:sz w:val="32"/>
          <w:szCs w:val="32"/>
          <w:lang w:val="en-US" w:eastAsia="en-US"/>
        </w:rPr>
        <w:t>内出现</w:t>
      </w:r>
      <w:r>
        <w:rPr>
          <w:rFonts w:hint="eastAsia" w:ascii="仿宋" w:hAnsi="仿宋" w:eastAsia="仿宋" w:cs="仿宋"/>
          <w:spacing w:val="-4"/>
          <w:sz w:val="32"/>
          <w:szCs w:val="32"/>
          <w:lang w:val="en-US" w:eastAsia="zh-CN"/>
        </w:rPr>
        <w:t>本技术规范书内</w:t>
      </w:r>
      <w:r>
        <w:rPr>
          <w:rFonts w:hint="eastAsia" w:ascii="仿宋" w:hAnsi="仿宋" w:eastAsia="仿宋" w:cs="仿宋"/>
          <w:spacing w:val="-4"/>
          <w:sz w:val="32"/>
          <w:szCs w:val="32"/>
          <w:lang w:val="en-US" w:eastAsia="en-US"/>
        </w:rPr>
        <w:t>质量</w:t>
      </w:r>
      <w:r>
        <w:rPr>
          <w:rFonts w:hint="eastAsia" w:ascii="仿宋" w:hAnsi="仿宋" w:eastAsia="仿宋" w:cs="仿宋"/>
          <w:spacing w:val="-4"/>
          <w:sz w:val="32"/>
          <w:szCs w:val="32"/>
          <w:lang w:val="en-US" w:eastAsia="zh-CN"/>
        </w:rPr>
        <w:t>问题</w:t>
      </w:r>
      <w:r>
        <w:rPr>
          <w:rFonts w:hint="eastAsia" w:ascii="仿宋" w:hAnsi="仿宋" w:eastAsia="仿宋" w:cs="仿宋"/>
          <w:spacing w:val="-4"/>
          <w:sz w:val="32"/>
          <w:szCs w:val="32"/>
          <w:lang w:val="en-US" w:eastAsia="en-US"/>
        </w:rPr>
        <w:t>，均无条件免费更换全新配件。</w:t>
      </w:r>
    </w:p>
    <w:p w14:paraId="06807A78">
      <w:pPr>
        <w:pStyle w:val="2"/>
        <w:ind w:firstLine="624" w:firstLineChars="200"/>
        <w:rPr>
          <w:rFonts w:hint="eastAsia" w:ascii="仿宋" w:hAnsi="仿宋" w:eastAsia="仿宋" w:cs="仿宋"/>
          <w:spacing w:val="-4"/>
          <w:sz w:val="32"/>
          <w:szCs w:val="32"/>
          <w:lang w:val="en-US" w:eastAsia="zh-CN"/>
        </w:rPr>
      </w:pPr>
    </w:p>
    <w:p w14:paraId="741421B0">
      <w:pPr>
        <w:pStyle w:val="2"/>
        <w:ind w:firstLine="624" w:firstLineChars="200"/>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4.报价表</w:t>
      </w:r>
    </w:p>
    <w:p w14:paraId="25705AAD">
      <w:pPr>
        <w:jc w:val="left"/>
        <w:rPr>
          <w:rFonts w:hint="eastAsia"/>
          <w:sz w:val="36"/>
          <w:szCs w:val="36"/>
          <w:lang w:val="en-US" w:eastAsia="zh-CN"/>
        </w:rPr>
      </w:pPr>
      <w:bookmarkStart w:id="4" w:name="OLE_LINK2"/>
      <w:r>
        <w:rPr>
          <w:rFonts w:hint="eastAsia" w:ascii="仿宋" w:hAnsi="仿宋" w:eastAsia="仿宋" w:cs="仿宋"/>
          <w:spacing w:val="-4"/>
          <w:sz w:val="32"/>
          <w:szCs w:val="32"/>
          <w:lang w:val="en-US" w:eastAsia="zh-CN"/>
        </w:rPr>
        <w:t xml:space="preserve">   每个投标商在报价表中填报自己生产或销售品牌电动自行车含税单价报价，在满足或优于本技术规范书要求情况下，提交一种品牌或型号的电动自行车报价。格式如下：</w:t>
      </w:r>
    </w:p>
    <w:p w14:paraId="7A35F15C">
      <w:pPr>
        <w:jc w:val="center"/>
        <w:rPr>
          <w:rFonts w:hint="eastAsia"/>
          <w:sz w:val="36"/>
          <w:szCs w:val="36"/>
          <w:lang w:val="en-US" w:eastAsia="zh-CN"/>
        </w:rPr>
      </w:pPr>
      <w:r>
        <w:rPr>
          <w:rFonts w:hint="eastAsia"/>
          <w:sz w:val="36"/>
          <w:szCs w:val="36"/>
          <w:lang w:val="en-US" w:eastAsia="zh-CN"/>
        </w:rPr>
        <w:t>电动自行车报价表</w:t>
      </w:r>
    </w:p>
    <w:tbl>
      <w:tblPr>
        <w:tblStyle w:val="6"/>
        <w:tblW w:w="511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70"/>
        <w:gridCol w:w="1829"/>
        <w:gridCol w:w="820"/>
        <w:gridCol w:w="2101"/>
        <w:gridCol w:w="761"/>
        <w:gridCol w:w="1166"/>
        <w:gridCol w:w="2837"/>
      </w:tblGrid>
      <w:tr w14:paraId="0FE59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87" w:type="pct"/>
            <w:vMerge w:val="restart"/>
            <w:tcBorders>
              <w:bottom w:val="nil"/>
            </w:tcBorders>
            <w:vAlign w:val="top"/>
          </w:tcPr>
          <w:p w14:paraId="714331D4">
            <w:pPr>
              <w:spacing w:before="195" w:line="231" w:lineRule="auto"/>
              <w:jc w:val="center"/>
              <w:outlineLvl w:val="1"/>
              <w:rPr>
                <w:rFonts w:hint="eastAsia" w:ascii="仿宋" w:hAnsi="仿宋" w:eastAsia="仿宋" w:cs="仿宋"/>
                <w:spacing w:val="-4"/>
                <w:sz w:val="32"/>
                <w:szCs w:val="32"/>
              </w:rPr>
            </w:pPr>
            <w:bookmarkStart w:id="5" w:name="OLE_LINK1"/>
            <w:r>
              <w:rPr>
                <w:rFonts w:hint="eastAsia" w:ascii="仿宋" w:hAnsi="仿宋" w:eastAsia="仿宋" w:cs="仿宋"/>
                <w:spacing w:val="-4"/>
                <w:sz w:val="32"/>
                <w:szCs w:val="32"/>
                <w:lang w:val="en-US" w:eastAsia="zh-CN"/>
              </w:rPr>
              <w:t>序号</w:t>
            </w:r>
          </w:p>
        </w:tc>
        <w:tc>
          <w:tcPr>
            <w:tcW w:w="925" w:type="pct"/>
            <w:vMerge w:val="restart"/>
            <w:tcBorders>
              <w:bottom w:val="nil"/>
            </w:tcBorders>
            <w:vAlign w:val="top"/>
          </w:tcPr>
          <w:p w14:paraId="56DA5C7C">
            <w:pPr>
              <w:spacing w:before="195" w:line="231" w:lineRule="auto"/>
              <w:outlineLvl w:val="1"/>
              <w:rPr>
                <w:rFonts w:hint="eastAsia" w:ascii="仿宋" w:hAnsi="仿宋" w:eastAsia="仿宋" w:cs="仿宋"/>
                <w:spacing w:val="-4"/>
                <w:sz w:val="32"/>
                <w:szCs w:val="32"/>
              </w:rPr>
            </w:pPr>
            <w:r>
              <w:rPr>
                <w:rFonts w:hint="eastAsia" w:ascii="仿宋" w:hAnsi="仿宋" w:eastAsia="仿宋" w:cs="仿宋"/>
                <w:spacing w:val="-4"/>
                <w:sz w:val="32"/>
                <w:szCs w:val="32"/>
              </w:rPr>
              <w:t>物资名称</w:t>
            </w:r>
          </w:p>
        </w:tc>
        <w:tc>
          <w:tcPr>
            <w:tcW w:w="415" w:type="pct"/>
            <w:vMerge w:val="restart"/>
            <w:tcBorders>
              <w:bottom w:val="nil"/>
            </w:tcBorders>
            <w:vAlign w:val="top"/>
          </w:tcPr>
          <w:p w14:paraId="4A4DE1E6">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rPr>
              <w:t>单位</w:t>
            </w:r>
          </w:p>
        </w:tc>
        <w:tc>
          <w:tcPr>
            <w:tcW w:w="3472" w:type="pct"/>
            <w:gridSpan w:val="4"/>
            <w:vAlign w:val="top"/>
          </w:tcPr>
          <w:p w14:paraId="08E6F2DF">
            <w:pPr>
              <w:spacing w:before="195" w:line="231" w:lineRule="auto"/>
              <w:ind w:firstLine="312" w:firstLineChars="100"/>
              <w:outlineLvl w:val="1"/>
              <w:rPr>
                <w:rFonts w:hint="eastAsia" w:ascii="仿宋" w:hAnsi="仿宋" w:eastAsia="仿宋" w:cs="仿宋"/>
                <w:spacing w:val="-4"/>
                <w:sz w:val="32"/>
                <w:szCs w:val="32"/>
                <w:u w:val="single"/>
                <w:lang w:val="en-US" w:eastAsia="zh-CN"/>
              </w:rPr>
            </w:pPr>
            <w:r>
              <w:rPr>
                <w:rFonts w:hint="eastAsia" w:ascii="仿宋" w:hAnsi="仿宋" w:eastAsia="仿宋" w:cs="仿宋"/>
                <w:spacing w:val="-4"/>
                <w:sz w:val="32"/>
                <w:szCs w:val="32"/>
                <w:u w:val="single"/>
                <w:lang w:val="en-US" w:eastAsia="zh-CN"/>
              </w:rPr>
              <w:t xml:space="preserve">                    </w:t>
            </w:r>
            <w:r>
              <w:rPr>
                <w:rFonts w:hint="eastAsia" w:ascii="仿宋" w:hAnsi="仿宋" w:eastAsia="仿宋" w:cs="仿宋"/>
                <w:spacing w:val="-4"/>
                <w:sz w:val="32"/>
                <w:szCs w:val="32"/>
                <w:u w:val="none"/>
                <w:lang w:val="en-US" w:eastAsia="zh-CN"/>
              </w:rPr>
              <w:t>厂家/经销商(盖章）</w:t>
            </w:r>
          </w:p>
        </w:tc>
      </w:tr>
      <w:tr w14:paraId="07F7A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187" w:type="pct"/>
            <w:vMerge w:val="continue"/>
            <w:tcBorders>
              <w:top w:val="nil"/>
            </w:tcBorders>
            <w:vAlign w:val="top"/>
          </w:tcPr>
          <w:p w14:paraId="7F0AD560">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925" w:type="pct"/>
            <w:vMerge w:val="continue"/>
            <w:tcBorders>
              <w:top w:val="nil"/>
            </w:tcBorders>
            <w:vAlign w:val="top"/>
          </w:tcPr>
          <w:p w14:paraId="42EDEB45">
            <w:pPr>
              <w:spacing w:before="195" w:line="231" w:lineRule="auto"/>
              <w:ind w:left="136" w:firstLine="624" w:firstLineChars="200"/>
              <w:outlineLvl w:val="1"/>
              <w:rPr>
                <w:rFonts w:hint="eastAsia" w:ascii="仿宋" w:hAnsi="仿宋" w:eastAsia="仿宋" w:cs="仿宋"/>
                <w:spacing w:val="-4"/>
                <w:sz w:val="32"/>
                <w:szCs w:val="32"/>
              </w:rPr>
            </w:pPr>
          </w:p>
        </w:tc>
        <w:tc>
          <w:tcPr>
            <w:tcW w:w="415" w:type="pct"/>
            <w:vMerge w:val="continue"/>
            <w:tcBorders>
              <w:top w:val="nil"/>
            </w:tcBorders>
            <w:vAlign w:val="top"/>
          </w:tcPr>
          <w:p w14:paraId="7A0B71B6">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1063" w:type="pct"/>
            <w:vAlign w:val="top"/>
          </w:tcPr>
          <w:p w14:paraId="5C7FAFFF">
            <w:pPr>
              <w:spacing w:before="195" w:line="231" w:lineRule="auto"/>
              <w:outlineLvl w:val="1"/>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技术参数</w:t>
            </w:r>
          </w:p>
        </w:tc>
        <w:tc>
          <w:tcPr>
            <w:tcW w:w="385" w:type="pct"/>
            <w:vAlign w:val="top"/>
          </w:tcPr>
          <w:p w14:paraId="65C9FE54">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数</w:t>
            </w:r>
            <w:r>
              <w:rPr>
                <w:rFonts w:hint="eastAsia" w:ascii="仿宋" w:hAnsi="仿宋" w:eastAsia="仿宋" w:cs="仿宋"/>
                <w:spacing w:val="-4"/>
                <w:sz w:val="32"/>
                <w:szCs w:val="32"/>
              </w:rPr>
              <w:t>量</w:t>
            </w:r>
          </w:p>
        </w:tc>
        <w:tc>
          <w:tcPr>
            <w:tcW w:w="587" w:type="pct"/>
            <w:vAlign w:val="top"/>
          </w:tcPr>
          <w:p w14:paraId="3AC10531">
            <w:pPr>
              <w:spacing w:before="195" w:line="231" w:lineRule="auto"/>
              <w:outlineLvl w:val="1"/>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品牌</w:t>
            </w:r>
          </w:p>
        </w:tc>
        <w:tc>
          <w:tcPr>
            <w:tcW w:w="1434" w:type="pct"/>
            <w:vAlign w:val="top"/>
          </w:tcPr>
          <w:p w14:paraId="3A511403">
            <w:pPr>
              <w:spacing w:before="195" w:line="231" w:lineRule="auto"/>
              <w:jc w:val="center"/>
              <w:outlineLvl w:val="1"/>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含税单价（元/辆）</w:t>
            </w:r>
          </w:p>
        </w:tc>
      </w:tr>
      <w:tr w14:paraId="6D080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187" w:type="pct"/>
            <w:tcBorders>
              <w:bottom w:val="single" w:color="auto" w:sz="4" w:space="0"/>
            </w:tcBorders>
            <w:vAlign w:val="top"/>
          </w:tcPr>
          <w:p w14:paraId="1F0CBD5E">
            <w:pPr>
              <w:pStyle w:val="7"/>
              <w:spacing w:before="131" w:line="241" w:lineRule="auto"/>
              <w:jc w:val="center"/>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en-US" w:bidi="ar-SA"/>
              </w:rPr>
              <w:t>1</w:t>
            </w:r>
          </w:p>
        </w:tc>
        <w:tc>
          <w:tcPr>
            <w:tcW w:w="925" w:type="pct"/>
            <w:tcBorders>
              <w:bottom w:val="single" w:color="auto" w:sz="4" w:space="0"/>
            </w:tcBorders>
            <w:vAlign w:val="center"/>
          </w:tcPr>
          <w:p w14:paraId="7F955CA4">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电动自行车</w:t>
            </w:r>
          </w:p>
        </w:tc>
        <w:tc>
          <w:tcPr>
            <w:tcW w:w="415" w:type="pct"/>
            <w:tcBorders>
              <w:bottom w:val="single" w:color="auto" w:sz="4" w:space="0"/>
            </w:tcBorders>
            <w:vAlign w:val="top"/>
          </w:tcPr>
          <w:p w14:paraId="5637EA8B">
            <w:pPr>
              <w:pStyle w:val="7"/>
              <w:spacing w:before="131" w:line="220" w:lineRule="auto"/>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辆</w:t>
            </w:r>
          </w:p>
        </w:tc>
        <w:tc>
          <w:tcPr>
            <w:tcW w:w="1063" w:type="pct"/>
            <w:tcBorders>
              <w:bottom w:val="single" w:color="auto" w:sz="4" w:space="0"/>
            </w:tcBorders>
            <w:vAlign w:val="top"/>
          </w:tcPr>
          <w:p w14:paraId="729A3347">
            <w:pPr>
              <w:pStyle w:val="7"/>
              <w:spacing w:before="131" w:line="219" w:lineRule="auto"/>
              <w:rPr>
                <w:rFonts w:hint="default" w:ascii="仿宋" w:hAnsi="仿宋" w:eastAsia="仿宋" w:cs="仿宋"/>
                <w:snapToGrid w:val="0"/>
                <w:color w:val="000000"/>
                <w:spacing w:val="-4"/>
                <w:kern w:val="0"/>
                <w:sz w:val="32"/>
                <w:szCs w:val="32"/>
                <w:lang w:val="en-US" w:eastAsia="zh-CN" w:bidi="ar-SA"/>
              </w:rPr>
            </w:pPr>
          </w:p>
        </w:tc>
        <w:tc>
          <w:tcPr>
            <w:tcW w:w="385" w:type="pct"/>
            <w:tcBorders>
              <w:bottom w:val="single" w:color="auto" w:sz="4" w:space="0"/>
            </w:tcBorders>
            <w:vAlign w:val="center"/>
          </w:tcPr>
          <w:p w14:paraId="2CB754B6">
            <w:pPr>
              <w:pStyle w:val="7"/>
              <w:spacing w:before="131" w:line="241" w:lineRule="auto"/>
              <w:ind w:firstLine="312" w:firstLineChars="100"/>
              <w:jc w:val="both"/>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16</w:t>
            </w:r>
          </w:p>
        </w:tc>
        <w:tc>
          <w:tcPr>
            <w:tcW w:w="587" w:type="pct"/>
            <w:tcBorders>
              <w:bottom w:val="single" w:color="auto" w:sz="4" w:space="0"/>
            </w:tcBorders>
            <w:vAlign w:val="top"/>
          </w:tcPr>
          <w:p w14:paraId="16BD91B2">
            <w:pPr>
              <w:rPr>
                <w:rFonts w:hint="eastAsia" w:ascii="仿宋" w:hAnsi="仿宋" w:eastAsia="仿宋" w:cs="仿宋"/>
                <w:snapToGrid w:val="0"/>
                <w:color w:val="000000"/>
                <w:spacing w:val="-4"/>
                <w:kern w:val="0"/>
                <w:sz w:val="32"/>
                <w:szCs w:val="32"/>
                <w:lang w:val="en-US" w:eastAsia="en-US" w:bidi="ar-SA"/>
              </w:rPr>
            </w:pPr>
          </w:p>
        </w:tc>
        <w:tc>
          <w:tcPr>
            <w:tcW w:w="1434" w:type="pct"/>
            <w:tcBorders>
              <w:bottom w:val="single" w:color="auto" w:sz="4" w:space="0"/>
            </w:tcBorders>
            <w:vAlign w:val="top"/>
          </w:tcPr>
          <w:p w14:paraId="1276E4DB">
            <w:pPr>
              <w:rPr>
                <w:rFonts w:hint="eastAsia" w:ascii="仿宋" w:hAnsi="仿宋" w:eastAsia="仿宋" w:cs="仿宋"/>
                <w:snapToGrid w:val="0"/>
                <w:color w:val="000000"/>
                <w:spacing w:val="-4"/>
                <w:kern w:val="0"/>
                <w:sz w:val="32"/>
                <w:szCs w:val="32"/>
                <w:lang w:val="en-US" w:eastAsia="en-US" w:bidi="ar-SA"/>
              </w:rPr>
            </w:pPr>
          </w:p>
        </w:tc>
      </w:tr>
      <w:tr w14:paraId="3EA1A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 w:hRule="atLeast"/>
        </w:trPr>
        <w:tc>
          <w:tcPr>
            <w:tcW w:w="3565" w:type="pct"/>
            <w:gridSpan w:val="6"/>
            <w:tcBorders>
              <w:top w:val="single" w:color="auto" w:sz="4" w:space="0"/>
              <w:bottom w:val="single" w:color="auto" w:sz="4" w:space="0"/>
            </w:tcBorders>
            <w:vAlign w:val="top"/>
          </w:tcPr>
          <w:p w14:paraId="0286674B">
            <w:pPr>
              <w:rPr>
                <w:rFonts w:hint="default" w:ascii="仿宋" w:hAnsi="仿宋" w:eastAsia="仿宋" w:cs="仿宋"/>
                <w:snapToGrid w:val="0"/>
                <w:color w:val="000000"/>
                <w:spacing w:val="-4"/>
                <w:kern w:val="0"/>
                <w:sz w:val="32"/>
                <w:szCs w:val="32"/>
                <w:lang w:val="en-US" w:eastAsia="zh-CN" w:bidi="ar-SA"/>
              </w:rPr>
            </w:pPr>
            <w:bookmarkStart w:id="6" w:name="OLE_LINK7"/>
            <w:r>
              <w:rPr>
                <w:rFonts w:hint="eastAsia" w:ascii="仿宋" w:hAnsi="仿宋" w:eastAsia="仿宋" w:cs="仿宋"/>
                <w:snapToGrid w:val="0"/>
                <w:color w:val="000000"/>
                <w:spacing w:val="-4"/>
                <w:kern w:val="0"/>
                <w:sz w:val="32"/>
                <w:szCs w:val="32"/>
                <w:lang w:val="en-US" w:eastAsia="zh-CN" w:bidi="ar-SA"/>
              </w:rPr>
              <w:t>报价金额合计（元）</w:t>
            </w:r>
          </w:p>
        </w:tc>
        <w:tc>
          <w:tcPr>
            <w:tcW w:w="1434" w:type="pct"/>
            <w:tcBorders>
              <w:top w:val="single" w:color="auto" w:sz="4" w:space="0"/>
              <w:bottom w:val="single" w:color="auto" w:sz="4" w:space="0"/>
            </w:tcBorders>
            <w:vAlign w:val="top"/>
          </w:tcPr>
          <w:p w14:paraId="2883543F">
            <w:pPr>
              <w:rPr>
                <w:rFonts w:hint="eastAsia" w:ascii="仿宋" w:hAnsi="仿宋" w:eastAsia="仿宋" w:cs="仿宋"/>
                <w:snapToGrid w:val="0"/>
                <w:color w:val="000000"/>
                <w:spacing w:val="-4"/>
                <w:kern w:val="0"/>
                <w:sz w:val="32"/>
                <w:szCs w:val="32"/>
                <w:lang w:val="en-US" w:eastAsia="en-US" w:bidi="ar-SA"/>
              </w:rPr>
            </w:pPr>
          </w:p>
        </w:tc>
      </w:tr>
      <w:tr w14:paraId="3B581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1527" w:type="pct"/>
            <w:gridSpan w:val="3"/>
            <w:tcBorders>
              <w:top w:val="single" w:color="auto" w:sz="4" w:space="0"/>
              <w:bottom w:val="single" w:color="auto" w:sz="4" w:space="0"/>
            </w:tcBorders>
            <w:vAlign w:val="top"/>
          </w:tcPr>
          <w:p w14:paraId="5818CF1A">
            <w:pPr>
              <w:pStyle w:val="7"/>
              <w:spacing w:before="131" w:line="220" w:lineRule="auto"/>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服务及质量承诺</w:t>
            </w:r>
            <w:bookmarkEnd w:id="6"/>
          </w:p>
        </w:tc>
        <w:tc>
          <w:tcPr>
            <w:tcW w:w="3472" w:type="pct"/>
            <w:gridSpan w:val="4"/>
            <w:tcBorders>
              <w:top w:val="single" w:color="auto" w:sz="4" w:space="0"/>
              <w:bottom w:val="single" w:color="auto" w:sz="4" w:space="0"/>
            </w:tcBorders>
            <w:vAlign w:val="top"/>
          </w:tcPr>
          <w:p w14:paraId="4F9149BE">
            <w:pPr>
              <w:rPr>
                <w:rFonts w:hint="eastAsia" w:ascii="仿宋" w:hAnsi="仿宋" w:eastAsia="仿宋" w:cs="仿宋"/>
                <w:snapToGrid w:val="0"/>
                <w:color w:val="000000"/>
                <w:spacing w:val="-4"/>
                <w:kern w:val="0"/>
                <w:sz w:val="32"/>
                <w:szCs w:val="32"/>
                <w:lang w:val="en-US" w:eastAsia="en-US" w:bidi="ar-SA"/>
              </w:rPr>
            </w:pPr>
          </w:p>
        </w:tc>
      </w:tr>
      <w:tr w14:paraId="2F576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0" w:hRule="atLeast"/>
        </w:trPr>
        <w:tc>
          <w:tcPr>
            <w:tcW w:w="5000" w:type="pct"/>
            <w:gridSpan w:val="7"/>
            <w:tcBorders>
              <w:top w:val="single" w:color="auto" w:sz="4" w:space="0"/>
            </w:tcBorders>
            <w:vAlign w:val="top"/>
          </w:tcPr>
          <w:p w14:paraId="0F30CBA0">
            <w:pPr>
              <w:pStyle w:val="2"/>
              <w:ind w:firstLine="624" w:firstLineChars="200"/>
              <w:rPr>
                <w:rFonts w:hint="eastAsia"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说明：</w:t>
            </w:r>
          </w:p>
          <w:p w14:paraId="2706E023">
            <w:pPr>
              <w:pStyle w:val="2"/>
              <w:numPr>
                <w:ilvl w:val="0"/>
                <w:numId w:val="0"/>
              </w:numPr>
              <w:ind w:firstLine="624" w:firstLineChars="200"/>
              <w:rPr>
                <w:rFonts w:hint="eastAsia" w:ascii="仿宋" w:hAnsi="仿宋" w:eastAsia="仿宋" w:cs="仿宋"/>
                <w:spacing w:val="-4"/>
                <w:sz w:val="32"/>
                <w:szCs w:val="32"/>
                <w:lang w:val="en-US" w:eastAsia="zh-CN"/>
              </w:rPr>
            </w:pPr>
            <w:r>
              <w:rPr>
                <w:rFonts w:hint="eastAsia" w:ascii="仿宋" w:hAnsi="仿宋" w:eastAsia="仿宋" w:cs="仿宋"/>
                <w:snapToGrid w:val="0"/>
                <w:color w:val="000000"/>
                <w:spacing w:val="-4"/>
                <w:kern w:val="0"/>
                <w:sz w:val="32"/>
                <w:szCs w:val="32"/>
                <w:lang w:val="en-US" w:eastAsia="zh-CN" w:bidi="ar-SA"/>
              </w:rPr>
              <w:t>1.报价为（含税和配置头盔、办理车牌费等）的单价，</w:t>
            </w:r>
            <w:r>
              <w:rPr>
                <w:rFonts w:hint="eastAsia" w:ascii="仿宋" w:hAnsi="仿宋" w:eastAsia="仿宋" w:cs="仿宋"/>
                <w:spacing w:val="-4"/>
                <w:sz w:val="32"/>
                <w:szCs w:val="32"/>
                <w:lang w:val="en-US" w:eastAsia="zh-CN"/>
              </w:rPr>
              <w:t>每个投标商在满足或优于本技术规范书核心参数情况下，对自己生产或代销的一种种品牌或型号电动自行车在表格中报价，采购方依据各投标商报价，选择报价表中报价单价最低的电动自行车为中标标的。</w:t>
            </w:r>
          </w:p>
          <w:p w14:paraId="2B62FE85">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2.参与报价的货物应满足或优于以下要求：</w:t>
            </w:r>
          </w:p>
          <w:p w14:paraId="4890911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rPr>
              <w:t>车速与动力：</w:t>
            </w:r>
            <w:r>
              <w:rPr>
                <w:rFonts w:hint="eastAsia" w:ascii="仿宋" w:hAnsi="仿宋" w:eastAsia="仿宋" w:cs="仿宋"/>
                <w:spacing w:val="-4"/>
                <w:sz w:val="32"/>
                <w:szCs w:val="32"/>
                <w:lang w:val="en-US" w:eastAsia="zh-CN"/>
              </w:rPr>
              <w:t>车辆行驶显示</w:t>
            </w:r>
            <w:r>
              <w:rPr>
                <w:rFonts w:hint="eastAsia" w:ascii="仿宋" w:hAnsi="仿宋" w:eastAsia="仿宋" w:cs="仿宋"/>
                <w:spacing w:val="-4"/>
                <w:sz w:val="32"/>
                <w:szCs w:val="32"/>
              </w:rPr>
              <w:t>最高设计车速不超过25km/h；电动机额定连续输出功率</w:t>
            </w:r>
            <w:r>
              <w:rPr>
                <w:rFonts w:hint="eastAsia" w:ascii="仿宋" w:hAnsi="仿宋" w:eastAsia="仿宋" w:cs="仿宋"/>
                <w:spacing w:val="-4"/>
                <w:sz w:val="32"/>
                <w:szCs w:val="32"/>
                <w:lang w:val="en-US" w:eastAsia="zh-CN"/>
              </w:rPr>
              <w:t>10</w:t>
            </w:r>
            <w:r>
              <w:rPr>
                <w:rFonts w:hint="eastAsia" w:ascii="仿宋" w:hAnsi="仿宋" w:eastAsia="仿宋" w:cs="仿宋"/>
                <w:spacing w:val="-4"/>
                <w:sz w:val="32"/>
                <w:szCs w:val="32"/>
              </w:rPr>
              <w:t>00W</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rPr>
              <w:t xml:space="preserve"> 电池</w:t>
            </w:r>
            <w:r>
              <w:rPr>
                <w:rFonts w:hint="eastAsia" w:ascii="仿宋" w:hAnsi="仿宋" w:eastAsia="仿宋" w:cs="仿宋"/>
                <w:spacing w:val="-4"/>
                <w:sz w:val="32"/>
                <w:szCs w:val="32"/>
                <w:lang w:val="en-US" w:eastAsia="zh-CN"/>
              </w:rPr>
              <w:t>电压及容量</w:t>
            </w:r>
            <w:r>
              <w:rPr>
                <w:rFonts w:hint="eastAsia" w:ascii="仿宋" w:hAnsi="仿宋" w:eastAsia="仿宋" w:cs="仿宋"/>
                <w:spacing w:val="-4"/>
                <w:sz w:val="32"/>
                <w:szCs w:val="32"/>
              </w:rPr>
              <w:t>：蓄电池组标称电压</w:t>
            </w:r>
            <w:r>
              <w:rPr>
                <w:rFonts w:hint="eastAsia" w:ascii="仿宋" w:hAnsi="仿宋" w:eastAsia="仿宋" w:cs="仿宋"/>
                <w:spacing w:val="-4"/>
                <w:sz w:val="32"/>
                <w:szCs w:val="32"/>
                <w:lang w:val="en-US" w:eastAsia="zh-CN"/>
              </w:rPr>
              <w:t>72</w:t>
            </w:r>
            <w:r>
              <w:rPr>
                <w:rFonts w:hint="eastAsia" w:ascii="仿宋" w:hAnsi="仿宋" w:eastAsia="仿宋" w:cs="仿宋"/>
                <w:spacing w:val="-4"/>
                <w:sz w:val="32"/>
                <w:szCs w:val="32"/>
              </w:rPr>
              <w:t>V</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容量22Ah</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续航里程不低于70km。</w:t>
            </w:r>
          </w:p>
          <w:p w14:paraId="157C5442">
            <w:pPr>
              <w:pStyle w:val="2"/>
              <w:ind w:firstLine="624" w:firstLineChars="200"/>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3.供货商负责免费对成交的电动自行车办理使用当地上绿牌服务。</w:t>
            </w:r>
          </w:p>
          <w:p w14:paraId="7482104F">
            <w:pPr>
              <w:pStyle w:val="2"/>
              <w:ind w:firstLine="624" w:firstLineChars="200"/>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4.</w:t>
            </w:r>
            <w:r>
              <w:rPr>
                <w:rFonts w:hint="eastAsia" w:ascii="仿宋" w:hAnsi="仿宋" w:eastAsia="仿宋" w:cs="仿宋"/>
                <w:snapToGrid w:val="0"/>
                <w:color w:val="000000"/>
                <w:spacing w:val="-4"/>
                <w:kern w:val="0"/>
                <w:sz w:val="32"/>
                <w:szCs w:val="32"/>
                <w:lang w:val="en-US" w:eastAsia="zh-CN" w:bidi="ar-SA"/>
              </w:rPr>
              <w:t>服务及质量承诺：供货商对提供电动自行车的电机、电池等主要部件质保期和售后服务进行承诺</w:t>
            </w:r>
            <w:r>
              <w:rPr>
                <w:rFonts w:hint="eastAsia" w:ascii="仿宋" w:hAnsi="仿宋" w:eastAsia="仿宋" w:cs="仿宋"/>
                <w:spacing w:val="-4"/>
                <w:sz w:val="32"/>
                <w:szCs w:val="32"/>
                <w:lang w:val="en-US" w:eastAsia="zh-CN"/>
              </w:rPr>
              <w:t>。</w:t>
            </w:r>
          </w:p>
          <w:p w14:paraId="30D63BE9">
            <w:pPr>
              <w:rPr>
                <w:rFonts w:hint="default" w:ascii="仿宋" w:hAnsi="仿宋" w:eastAsia="仿宋" w:cs="仿宋"/>
                <w:snapToGrid w:val="0"/>
                <w:color w:val="000000"/>
                <w:spacing w:val="-4"/>
                <w:kern w:val="0"/>
                <w:sz w:val="32"/>
                <w:szCs w:val="32"/>
                <w:lang w:val="en-US" w:eastAsia="zh-CN" w:bidi="ar-SA"/>
              </w:rPr>
            </w:pPr>
          </w:p>
        </w:tc>
      </w:tr>
      <w:bookmarkEnd w:id="4"/>
      <w:bookmarkEnd w:id="5"/>
    </w:tbl>
    <w:p w14:paraId="526AAA61">
      <w:pPr>
        <w:pStyle w:val="2"/>
        <w:rPr>
          <w:rFonts w:hint="eastAsia" w:eastAsia="宋体"/>
          <w:lang w:val="en-US" w:eastAsia="en-US"/>
        </w:rPr>
      </w:pPr>
      <w:r>
        <w:rPr>
          <w:rFonts w:hint="eastAsia" w:eastAsia="宋体"/>
          <w:lang w:val="en-US" w:eastAsia="zh-CN"/>
        </w:rPr>
        <w:t xml:space="preserve"> </w:t>
      </w:r>
    </w:p>
    <w:sectPr>
      <w:footerReference r:id="rId6" w:type="default"/>
      <w:pgSz w:w="11906" w:h="16839"/>
      <w:pgMar w:top="1240" w:right="1081" w:bottom="1156" w:left="1165" w:header="0" w:footer="994"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20CB4">
    <w:pPr>
      <w:spacing w:line="176" w:lineRule="auto"/>
      <w:ind w:left="41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5FE07">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25FE07">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D5F65">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977A57"/>
    <w:rsid w:val="01CF6E7A"/>
    <w:rsid w:val="031574E0"/>
    <w:rsid w:val="034A4587"/>
    <w:rsid w:val="038707C6"/>
    <w:rsid w:val="047C7FBC"/>
    <w:rsid w:val="07700251"/>
    <w:rsid w:val="07D60D2E"/>
    <w:rsid w:val="09AC5901"/>
    <w:rsid w:val="09B71227"/>
    <w:rsid w:val="09FC40F0"/>
    <w:rsid w:val="0AD017FF"/>
    <w:rsid w:val="0C276E90"/>
    <w:rsid w:val="0C6B0A33"/>
    <w:rsid w:val="0FD523F8"/>
    <w:rsid w:val="0FFC7697"/>
    <w:rsid w:val="107C4509"/>
    <w:rsid w:val="11F46FDF"/>
    <w:rsid w:val="126900A6"/>
    <w:rsid w:val="127461EC"/>
    <w:rsid w:val="128B40D6"/>
    <w:rsid w:val="12F74F17"/>
    <w:rsid w:val="12FC1208"/>
    <w:rsid w:val="13603642"/>
    <w:rsid w:val="139F773F"/>
    <w:rsid w:val="13FD3CDB"/>
    <w:rsid w:val="15C725C7"/>
    <w:rsid w:val="15CA01D8"/>
    <w:rsid w:val="16185F3B"/>
    <w:rsid w:val="163E5D2E"/>
    <w:rsid w:val="174F5126"/>
    <w:rsid w:val="17A96819"/>
    <w:rsid w:val="1AAA2C07"/>
    <w:rsid w:val="1CF21D9F"/>
    <w:rsid w:val="1FC976BB"/>
    <w:rsid w:val="217E1B90"/>
    <w:rsid w:val="22C50E4C"/>
    <w:rsid w:val="245F7628"/>
    <w:rsid w:val="26157489"/>
    <w:rsid w:val="27480CC2"/>
    <w:rsid w:val="27AD798A"/>
    <w:rsid w:val="27B61D42"/>
    <w:rsid w:val="28120347"/>
    <w:rsid w:val="284C5843"/>
    <w:rsid w:val="287113E7"/>
    <w:rsid w:val="28BB0E3B"/>
    <w:rsid w:val="294007BB"/>
    <w:rsid w:val="29A476D8"/>
    <w:rsid w:val="29FF1AA2"/>
    <w:rsid w:val="2A5D205C"/>
    <w:rsid w:val="2AF86E15"/>
    <w:rsid w:val="2BA93F88"/>
    <w:rsid w:val="2C475F9B"/>
    <w:rsid w:val="2D7C30AE"/>
    <w:rsid w:val="2F2F7E30"/>
    <w:rsid w:val="2FCA28F3"/>
    <w:rsid w:val="2FE30619"/>
    <w:rsid w:val="31C17414"/>
    <w:rsid w:val="31DD12CC"/>
    <w:rsid w:val="325B51AB"/>
    <w:rsid w:val="37CE1F18"/>
    <w:rsid w:val="388A2008"/>
    <w:rsid w:val="3B280A25"/>
    <w:rsid w:val="3B6301F6"/>
    <w:rsid w:val="3C6977EA"/>
    <w:rsid w:val="3D4C11F8"/>
    <w:rsid w:val="3F125131"/>
    <w:rsid w:val="3FD06E3A"/>
    <w:rsid w:val="41BF54E4"/>
    <w:rsid w:val="42AC0B91"/>
    <w:rsid w:val="454728DB"/>
    <w:rsid w:val="475254A8"/>
    <w:rsid w:val="4B3B2B1C"/>
    <w:rsid w:val="4C795228"/>
    <w:rsid w:val="4DDE0E2B"/>
    <w:rsid w:val="4F4731B4"/>
    <w:rsid w:val="50105D84"/>
    <w:rsid w:val="5100036B"/>
    <w:rsid w:val="515532D1"/>
    <w:rsid w:val="51734FE8"/>
    <w:rsid w:val="51AE73F9"/>
    <w:rsid w:val="525E77B3"/>
    <w:rsid w:val="537B61EC"/>
    <w:rsid w:val="542213E6"/>
    <w:rsid w:val="544E1024"/>
    <w:rsid w:val="545B3FFA"/>
    <w:rsid w:val="562B04CD"/>
    <w:rsid w:val="569951D6"/>
    <w:rsid w:val="57320FDA"/>
    <w:rsid w:val="58933E4D"/>
    <w:rsid w:val="594073BD"/>
    <w:rsid w:val="596677A6"/>
    <w:rsid w:val="59B01A76"/>
    <w:rsid w:val="5A045D6D"/>
    <w:rsid w:val="5D497870"/>
    <w:rsid w:val="5DD228F7"/>
    <w:rsid w:val="5E103932"/>
    <w:rsid w:val="5EE14424"/>
    <w:rsid w:val="5F0A1A2A"/>
    <w:rsid w:val="5FB51590"/>
    <w:rsid w:val="5FF00723"/>
    <w:rsid w:val="60076DE4"/>
    <w:rsid w:val="60252E4E"/>
    <w:rsid w:val="60972E19"/>
    <w:rsid w:val="60DA2C7F"/>
    <w:rsid w:val="610D3827"/>
    <w:rsid w:val="6170126D"/>
    <w:rsid w:val="617C5E54"/>
    <w:rsid w:val="626D4608"/>
    <w:rsid w:val="62A7034A"/>
    <w:rsid w:val="64552A1C"/>
    <w:rsid w:val="663E5F81"/>
    <w:rsid w:val="66607FF1"/>
    <w:rsid w:val="66A64DA1"/>
    <w:rsid w:val="66E24271"/>
    <w:rsid w:val="685272B7"/>
    <w:rsid w:val="69191D0D"/>
    <w:rsid w:val="696E774C"/>
    <w:rsid w:val="6A2D781A"/>
    <w:rsid w:val="6B103DE5"/>
    <w:rsid w:val="6BAC052E"/>
    <w:rsid w:val="6D811537"/>
    <w:rsid w:val="6E334459"/>
    <w:rsid w:val="6EC4448C"/>
    <w:rsid w:val="727602B0"/>
    <w:rsid w:val="727E1565"/>
    <w:rsid w:val="72A14049"/>
    <w:rsid w:val="732C0C1B"/>
    <w:rsid w:val="73BC0EB8"/>
    <w:rsid w:val="740817D8"/>
    <w:rsid w:val="75912D1D"/>
    <w:rsid w:val="75ED3E98"/>
    <w:rsid w:val="761756D4"/>
    <w:rsid w:val="76AD3DB6"/>
    <w:rsid w:val="79575DBE"/>
    <w:rsid w:val="7ADA11C0"/>
    <w:rsid w:val="7C2C5349"/>
    <w:rsid w:val="7C69569A"/>
    <w:rsid w:val="7CA319FA"/>
    <w:rsid w:val="7DAF38C3"/>
    <w:rsid w:val="7ED12B4B"/>
    <w:rsid w:val="7FC218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18"/>
      <w:szCs w:val="18"/>
      <w:lang w:val="en-US" w:eastAsia="en-US" w:bidi="ar-SA"/>
    </w:rPr>
  </w:style>
  <w:style w:type="paragraph" w:customStyle="1" w:styleId="8">
    <w:name w:val="WPSOffice手动目录 1"/>
    <w:qFormat/>
    <w:uiPriority w:val="0"/>
    <w:pPr>
      <w:ind w:leftChars="0"/>
    </w:pPr>
    <w:rPr>
      <w:rFonts w:ascii="Arial" w:hAnsi="Arial" w:eastAsia="Arial" w:cs="Arial"/>
      <w:sz w:val="20"/>
      <w:szCs w:val="20"/>
    </w:rPr>
  </w:style>
  <w:style w:type="paragraph" w:customStyle="1" w:styleId="9">
    <w:name w:val="WPSOffice手动目录 2"/>
    <w:qFormat/>
    <w:uiPriority w:val="0"/>
    <w:pPr>
      <w:ind w:leftChars="200"/>
    </w:pPr>
    <w:rPr>
      <w:rFonts w:ascii="Arial" w:hAnsi="Arial" w:eastAsia="Arial" w:cs="Arial"/>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TotalTime>38</TotalTime>
  <ScaleCrop>false</ScaleCrop>
  <LinksUpToDate>false</LinksUpToDate>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2025-11-26T23:39:00Z</dcterms:created>
  <dc:creator>yndw</dc:creator>
  <cp:lastModifiedBy>陈祖生</cp:lastModifiedBy>
  <dcterms:modified xsi:type="dcterms:W3CDTF">2026-09-17T06:48:38Z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2026-07-07T09:20:32Z</vt:filetime>
  </property>
  <property fmtid="{D5CDD505-2E9C-101B-9397-08002B2CF9AE}" pid="4" name="KSOProductBuildVer">
    <vt:lpwstr>2052-12.8.2.20324</vt:lpwstr>
  </property>
  <property fmtid="{D5CDD505-2E9C-101B-9397-08002B2CF9AE}" pid="5" name="ICV">
    <vt:lpwstr>994396D431C34B2EB1CFA3D0DF60807A_13</vt:lpwstr>
  </property>
</Properties>
</file>