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238E2A">
      <w:pPr>
        <w:rPr>
          <w:rFonts w:hint="default" w:ascii="Times New Roman" w:hAnsi="Times New Roman" w:eastAsia="宋体" w:cs="Times New Roman"/>
        </w:rPr>
      </w:pPr>
    </w:p>
    <w:p w14:paraId="38833FE2">
      <w:pPr>
        <w:rPr>
          <w:rFonts w:hint="default" w:ascii="Times New Roman" w:hAnsi="Times New Roman" w:eastAsia="宋体" w:cs="Times New Roman"/>
        </w:rPr>
      </w:pPr>
    </w:p>
    <w:p w14:paraId="7C1E2B97">
      <w:pPr>
        <w:rPr>
          <w:rFonts w:hint="default" w:ascii="Times New Roman" w:hAnsi="Times New Roman" w:eastAsia="宋体" w:cs="Times New Roman"/>
        </w:rPr>
      </w:pPr>
    </w:p>
    <w:p w14:paraId="5BFF58FE">
      <w:pPr>
        <w:rPr>
          <w:rFonts w:hint="default" w:ascii="Times New Roman" w:hAnsi="Times New Roman" w:eastAsia="宋体" w:cs="Times New Roman"/>
        </w:rPr>
      </w:pPr>
    </w:p>
    <w:p w14:paraId="3637507C">
      <w:pPr>
        <w:rPr>
          <w:rFonts w:hint="default" w:ascii="Times New Roman" w:hAnsi="Times New Roman" w:eastAsia="宋体" w:cs="Times New Roman"/>
        </w:rPr>
      </w:pPr>
    </w:p>
    <w:p w14:paraId="413E1226">
      <w:pPr>
        <w:rPr>
          <w:rFonts w:hint="default" w:ascii="Times New Roman" w:hAnsi="Times New Roman" w:eastAsia="宋体" w:cs="Times New Roman"/>
        </w:rPr>
      </w:pPr>
    </w:p>
    <w:p w14:paraId="1603C36F">
      <w:pPr>
        <w:rPr>
          <w:rFonts w:hint="default" w:ascii="Times New Roman" w:hAnsi="Times New Roman" w:eastAsia="宋体" w:cs="Times New Roman"/>
        </w:rPr>
      </w:pPr>
    </w:p>
    <w:p w14:paraId="1B78AED9">
      <w:pPr>
        <w:rPr>
          <w:rFonts w:hint="default" w:ascii="Times New Roman" w:hAnsi="Times New Roman" w:eastAsia="宋体" w:cs="Times New Roman"/>
        </w:rPr>
      </w:pPr>
    </w:p>
    <w:p w14:paraId="406EC6B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center"/>
        <w:textAlignment w:val="auto"/>
        <w:rPr>
          <w:rFonts w:hint="default" w:ascii="Times New Roman" w:hAnsi="Times New Roman" w:eastAsia="黑体" w:cs="Times New Roman"/>
          <w:b/>
          <w:sz w:val="44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sz w:val="44"/>
          <w:lang w:val="en-US" w:eastAsia="zh-CN"/>
        </w:rPr>
        <w:t>南方电网调峰调频发电有限公司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-948690</wp:posOffset>
            </wp:positionH>
            <wp:positionV relativeFrom="paragraph">
              <wp:posOffset>-3383280</wp:posOffset>
            </wp:positionV>
            <wp:extent cx="7765415" cy="10979150"/>
            <wp:effectExtent l="0" t="0" r="6985" b="0"/>
            <wp:wrapNone/>
            <wp:docPr id="5" name="图片 3" descr="D:\2021文件夹\南方电网\20210531——南网VI完稿修改\中国南方电网2021版交接设计稿\应用文件AI\B办公事务系统\未标题-2_画板 1.png未标题-2_画板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 descr="D:\2021文件夹\南方电网\20210531——南网VI完稿修改\中国南方电网2021版交接设计稿\应用文件AI\B办公事务系统\未标题-2_画板 1.png未标题-2_画板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65415" cy="1097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eastAsia="黑体" w:cs="Times New Roman"/>
          <w:b/>
          <w:sz w:val="44"/>
          <w:lang w:val="en-US" w:eastAsia="zh-CN"/>
        </w:rPr>
        <w:t>储能科研院</w:t>
      </w:r>
    </w:p>
    <w:p w14:paraId="33F9105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center"/>
        <w:textAlignment w:val="auto"/>
        <w:rPr>
          <w:rFonts w:hint="default" w:ascii="Times New Roman" w:hAnsi="Times New Roman" w:eastAsia="黑体" w:cs="Times New Roman"/>
          <w:b/>
          <w:sz w:val="44"/>
        </w:rPr>
      </w:pPr>
      <w:r>
        <w:rPr>
          <w:rFonts w:hint="default" w:ascii="Times New Roman" w:hAnsi="Times New Roman" w:eastAsia="黑体" w:cs="Times New Roman"/>
          <w:b/>
          <w:sz w:val="44"/>
          <w:lang w:val="en-US" w:eastAsia="zh-CN"/>
        </w:rPr>
        <w:t>实验中心</w:t>
      </w:r>
      <w:r>
        <w:rPr>
          <w:rFonts w:hint="default" w:ascii="Times New Roman" w:hAnsi="Times New Roman" w:eastAsia="黑体" w:cs="Times New Roman"/>
          <w:b/>
          <w:sz w:val="44"/>
        </w:rPr>
        <w:t>电池</w:t>
      </w:r>
      <w:r>
        <w:rPr>
          <w:rFonts w:hint="default" w:ascii="Times New Roman" w:hAnsi="Times New Roman" w:eastAsia="黑体" w:cs="Times New Roman"/>
          <w:b/>
          <w:sz w:val="44"/>
          <w:lang w:val="en-US" w:eastAsia="zh-CN"/>
        </w:rPr>
        <w:t>检测</w:t>
      </w:r>
      <w:r>
        <w:rPr>
          <w:rFonts w:hint="default" w:ascii="Times New Roman" w:hAnsi="Times New Roman" w:eastAsia="黑体" w:cs="Times New Roman"/>
          <w:b/>
          <w:sz w:val="44"/>
        </w:rPr>
        <w:t>实验室柜式</w:t>
      </w:r>
    </w:p>
    <w:p w14:paraId="7F61873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center"/>
        <w:textAlignment w:val="auto"/>
        <w:rPr>
          <w:rFonts w:hint="default" w:ascii="Times New Roman" w:hAnsi="Times New Roman" w:eastAsia="黑体" w:cs="Times New Roman"/>
        </w:rPr>
      </w:pPr>
      <w:r>
        <w:rPr>
          <w:rFonts w:hint="default" w:ascii="Times New Roman" w:hAnsi="Times New Roman" w:eastAsia="黑体" w:cs="Times New Roman"/>
          <w:b/>
          <w:sz w:val="44"/>
        </w:rPr>
        <w:t>全氟己酮灭火系统</w:t>
      </w:r>
      <w:r>
        <w:rPr>
          <w:rFonts w:hint="eastAsia" w:eastAsia="黑体" w:cs="Times New Roman"/>
          <w:b/>
          <w:sz w:val="44"/>
          <w:lang w:val="en-US" w:eastAsia="zh-CN"/>
        </w:rPr>
        <w:t>集成服务</w:t>
      </w:r>
      <w:bookmarkStart w:id="0" w:name="_GoBack"/>
      <w:bookmarkEnd w:id="0"/>
      <w:r>
        <w:rPr>
          <w:rFonts w:hint="default" w:ascii="Times New Roman" w:hAnsi="Times New Roman" w:eastAsia="黑体" w:cs="Times New Roman"/>
          <w:b/>
          <w:sz w:val="44"/>
        </w:rPr>
        <w:t>技术要求</w:t>
      </w:r>
    </w:p>
    <w:p w14:paraId="5569558B">
      <w:pPr>
        <w:rPr>
          <w:rFonts w:hint="default" w:ascii="Times New Roman" w:hAnsi="Times New Roman" w:eastAsia="宋体" w:cs="Times New Roman"/>
        </w:rPr>
      </w:pPr>
    </w:p>
    <w:p w14:paraId="44397CA5">
      <w:pPr>
        <w:rPr>
          <w:rFonts w:hint="default" w:ascii="Times New Roman" w:hAnsi="Times New Roman" w:eastAsia="宋体" w:cs="Times New Roman"/>
        </w:rPr>
      </w:pPr>
    </w:p>
    <w:p w14:paraId="6ED4886D">
      <w:pPr>
        <w:rPr>
          <w:rFonts w:hint="default" w:ascii="Times New Roman" w:hAnsi="Times New Roman" w:eastAsia="宋体" w:cs="Times New Roman"/>
        </w:rPr>
      </w:pPr>
    </w:p>
    <w:p w14:paraId="7905EE08">
      <w:pPr>
        <w:rPr>
          <w:rFonts w:hint="default" w:ascii="Times New Roman" w:hAnsi="Times New Roman" w:eastAsia="宋体" w:cs="Times New Roman"/>
        </w:rPr>
      </w:pPr>
    </w:p>
    <w:p w14:paraId="527FB540">
      <w:pPr>
        <w:rPr>
          <w:rFonts w:hint="default" w:ascii="Times New Roman" w:hAnsi="Times New Roman" w:eastAsia="宋体" w:cs="Times New Roman"/>
        </w:rPr>
      </w:pPr>
    </w:p>
    <w:p w14:paraId="15F795E0">
      <w:pPr>
        <w:rPr>
          <w:rFonts w:hint="default" w:ascii="Times New Roman" w:hAnsi="Times New Roman" w:eastAsia="宋体" w:cs="Times New Roman"/>
        </w:rPr>
      </w:pPr>
    </w:p>
    <w:p w14:paraId="3E221A34">
      <w:pPr>
        <w:rPr>
          <w:rFonts w:hint="default" w:ascii="Times New Roman" w:hAnsi="Times New Roman" w:eastAsia="宋体" w:cs="Times New Roman"/>
        </w:rPr>
      </w:pPr>
    </w:p>
    <w:p w14:paraId="775B548C">
      <w:pPr>
        <w:rPr>
          <w:rFonts w:hint="default" w:ascii="Times New Roman" w:hAnsi="Times New Roman" w:eastAsia="宋体" w:cs="Times New Roman"/>
        </w:rPr>
      </w:pPr>
    </w:p>
    <w:p w14:paraId="70E60341">
      <w:pPr>
        <w:rPr>
          <w:rFonts w:hint="default" w:ascii="Times New Roman" w:hAnsi="Times New Roman" w:eastAsia="宋体" w:cs="Times New Roman"/>
        </w:rPr>
      </w:pPr>
    </w:p>
    <w:p w14:paraId="3343F0FC">
      <w:pPr>
        <w:rPr>
          <w:rFonts w:hint="default" w:ascii="Times New Roman" w:hAnsi="Times New Roman" w:eastAsia="宋体" w:cs="Times New Roman"/>
        </w:rPr>
      </w:pPr>
    </w:p>
    <w:p w14:paraId="706A209E">
      <w:pPr>
        <w:rPr>
          <w:rFonts w:hint="default" w:ascii="Times New Roman" w:hAnsi="Times New Roman" w:eastAsia="宋体" w:cs="Times New Roman"/>
          <w:sz w:val="32"/>
          <w:szCs w:val="32"/>
        </w:rPr>
      </w:pPr>
    </w:p>
    <w:p w14:paraId="36B0CA87">
      <w:pPr>
        <w:jc w:val="center"/>
        <w:rPr>
          <w:rFonts w:hint="default" w:ascii="Times New Roman" w:hAnsi="Times New Roman" w:eastAsia="宋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宋体" w:cs="Times New Roman"/>
          <w:sz w:val="32"/>
          <w:szCs w:val="32"/>
          <w:lang w:val="en-US" w:eastAsia="zh-CN"/>
        </w:rPr>
        <w:t>南方电网调峰调频发电有限公司储能科研院</w:t>
      </w:r>
    </w:p>
    <w:p w14:paraId="6B3E7742">
      <w:pPr>
        <w:spacing w:after="160"/>
        <w:jc w:val="center"/>
        <w:rPr>
          <w:rFonts w:hint="default" w:ascii="Times New Roman" w:hAnsi="Times New Roman" w:eastAsia="宋体" w:cs="Times New Roman"/>
          <w:sz w:val="32"/>
          <w:szCs w:val="32"/>
        </w:rPr>
      </w:pPr>
      <w:r>
        <w:rPr>
          <w:rFonts w:hint="default" w:ascii="Times New Roman" w:hAnsi="Times New Roman" w:eastAsia="宋体" w:cs="Times New Roman"/>
          <w:b w:val="0"/>
          <w:sz w:val="32"/>
          <w:szCs w:val="32"/>
        </w:rPr>
        <w:t>2026年9月</w:t>
      </w:r>
    </w:p>
    <w:p w14:paraId="2A17FB44">
      <w:pPr>
        <w:rPr>
          <w:rFonts w:hint="default" w:ascii="Times New Roman" w:hAnsi="Times New Roman" w:eastAsia="宋体" w:cs="Times New Roman"/>
          <w:sz w:val="32"/>
          <w:szCs w:val="32"/>
        </w:rPr>
        <w:sectPr>
          <w:pgSz w:w="11906" w:h="16838"/>
          <w:pgMar w:top="1417" w:right="1417" w:bottom="1417" w:left="1417" w:header="720" w:footer="720" w:gutter="0"/>
          <w:cols w:space="720" w:num="1"/>
          <w:docGrid w:linePitch="360" w:charSpace="0"/>
        </w:sectPr>
      </w:pPr>
    </w:p>
    <w:p w14:paraId="4923173A">
      <w:pPr>
        <w:pStyle w:val="3"/>
        <w:spacing w:before="280" w:after="120" w:line="312" w:lineRule="auto"/>
        <w:jc w:val="left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/>
          <w:color w:val="000000"/>
          <w:sz w:val="32"/>
        </w:rPr>
        <w:t>1  总则</w:t>
      </w:r>
    </w:p>
    <w:p w14:paraId="2D234E87">
      <w:pPr>
        <w:pStyle w:val="4"/>
        <w:spacing w:before="220" w:after="100" w:line="312" w:lineRule="auto"/>
        <w:jc w:val="left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/>
          <w:color w:val="000000"/>
          <w:sz w:val="28"/>
        </w:rPr>
        <w:t>1.1  项目概况</w:t>
      </w:r>
    </w:p>
    <w:p w14:paraId="27F2F8D8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本项目为储能科研院</w:t>
      </w:r>
      <w:r>
        <w:rPr>
          <w:rFonts w:hint="default" w:ascii="Times New Roman" w:hAnsi="Times New Roman" w:eastAsia="宋体" w:cs="Times New Roman"/>
          <w:b w:val="0"/>
          <w:sz w:val="24"/>
          <w:lang w:val="en-US" w:eastAsia="zh-CN"/>
        </w:rPr>
        <w:t>实验中心电池检测</w:t>
      </w:r>
      <w:r>
        <w:rPr>
          <w:rFonts w:hint="default" w:ascii="Times New Roman" w:hAnsi="Times New Roman" w:eastAsia="宋体" w:cs="Times New Roman"/>
          <w:b w:val="0"/>
          <w:sz w:val="24"/>
        </w:rPr>
        <w:t>实验室柜式全氟己酮灭火系统的采购、安装及调试项目。房间内布置有电气设备、电池相关测试/控制设备及排风照明设施。</w:t>
      </w:r>
    </w:p>
    <w:p w14:paraId="5F635A36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本次</w:t>
      </w:r>
      <w:r>
        <w:rPr>
          <w:rFonts w:hint="default" w:ascii="Times New Roman" w:hAnsi="Times New Roman" w:eastAsia="宋体" w:cs="Times New Roman"/>
          <w:b w:val="0"/>
          <w:sz w:val="24"/>
          <w:lang w:val="en-US" w:eastAsia="zh-CN"/>
        </w:rPr>
        <w:t>采购</w:t>
      </w:r>
      <w:r>
        <w:rPr>
          <w:rFonts w:hint="default" w:ascii="Times New Roman" w:hAnsi="Times New Roman" w:eastAsia="宋体" w:cs="Times New Roman"/>
          <w:b w:val="0"/>
          <w:sz w:val="24"/>
        </w:rPr>
        <w:t>内容为：在防护区内增设柜式全氟己酮灭火系统，并配套增设感烟、感温、可燃气体探测器及火灾报警控制器，实现对防护区火灾的早期探测、自动报警、自动灭火及联动控制，满足现行消防法规及验收要求。报警主机安装于防护区外走廊墙面。</w:t>
      </w:r>
    </w:p>
    <w:p w14:paraId="52B6215F">
      <w:pPr>
        <w:pStyle w:val="4"/>
        <w:spacing w:before="220" w:after="100" w:line="312" w:lineRule="auto"/>
        <w:jc w:val="left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/>
          <w:color w:val="000000"/>
          <w:sz w:val="28"/>
        </w:rPr>
        <w:t xml:space="preserve">1.2  </w:t>
      </w:r>
      <w:r>
        <w:rPr>
          <w:rFonts w:hint="default" w:ascii="Times New Roman" w:hAnsi="Times New Roman" w:eastAsia="宋体" w:cs="Times New Roman"/>
          <w:b/>
          <w:color w:val="000000"/>
          <w:sz w:val="28"/>
          <w:lang w:val="en-US" w:eastAsia="zh-CN"/>
        </w:rPr>
        <w:t>采购</w:t>
      </w:r>
      <w:r>
        <w:rPr>
          <w:rFonts w:hint="default" w:ascii="Times New Roman" w:hAnsi="Times New Roman" w:eastAsia="宋体" w:cs="Times New Roman"/>
          <w:b/>
          <w:color w:val="000000"/>
          <w:sz w:val="28"/>
        </w:rPr>
        <w:t>范围</w:t>
      </w:r>
    </w:p>
    <w:p w14:paraId="4AF4D282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  <w:lang w:val="en-US" w:eastAsia="zh-CN"/>
        </w:rPr>
        <w:t>本项目采购</w:t>
      </w:r>
      <w:r>
        <w:rPr>
          <w:rFonts w:hint="default" w:ascii="Times New Roman" w:hAnsi="Times New Roman" w:eastAsia="宋体" w:cs="Times New Roman"/>
          <w:b w:val="0"/>
          <w:sz w:val="24"/>
        </w:rPr>
        <w:t>范围包括但不限于：</w:t>
      </w:r>
    </w:p>
    <w:p w14:paraId="48F6BF3B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（1）依据提供的</w:t>
      </w:r>
      <w:r>
        <w:rPr>
          <w:rFonts w:hint="default" w:ascii="Times New Roman" w:hAnsi="Times New Roman" w:eastAsia="宋体" w:cs="Times New Roman"/>
          <w:b w:val="0"/>
          <w:sz w:val="24"/>
          <w:lang w:val="en-US" w:eastAsia="zh-CN"/>
        </w:rPr>
        <w:t>技术规范</w:t>
      </w:r>
      <w:r>
        <w:rPr>
          <w:rFonts w:hint="default" w:ascii="Times New Roman" w:hAnsi="Times New Roman" w:eastAsia="宋体" w:cs="Times New Roman"/>
          <w:b w:val="0"/>
          <w:sz w:val="24"/>
        </w:rPr>
        <w:t>进行深化</w:t>
      </w:r>
      <w:r>
        <w:rPr>
          <w:rFonts w:hint="default" w:ascii="Times New Roman" w:hAnsi="Times New Roman" w:eastAsia="宋体" w:cs="Times New Roman"/>
          <w:b w:val="0"/>
          <w:sz w:val="24"/>
          <w:lang w:val="en-US" w:eastAsia="zh-CN"/>
        </w:rPr>
        <w:t>方案设计</w:t>
      </w:r>
      <w:r>
        <w:rPr>
          <w:rFonts w:hint="default" w:ascii="Times New Roman" w:hAnsi="Times New Roman" w:eastAsia="宋体" w:cs="Times New Roman"/>
          <w:b w:val="0"/>
          <w:sz w:val="24"/>
        </w:rPr>
        <w:t>；</w:t>
      </w:r>
    </w:p>
    <w:p w14:paraId="7AB0292D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（2）柜式全氟己酮灭火系统及配套火灾自动报警系统全部设备、材料的供货；</w:t>
      </w:r>
    </w:p>
    <w:p w14:paraId="7E02CD9F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（3）设备及材料的运输、装卸、安装、接线、调试；</w:t>
      </w:r>
    </w:p>
    <w:p w14:paraId="093B64C4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（4）系统联动试验、验收配合；</w:t>
      </w:r>
    </w:p>
    <w:p w14:paraId="5FCDED93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（5）技术培训；</w:t>
      </w:r>
    </w:p>
    <w:p w14:paraId="075CF65A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（6）竣工资料及相关技术文件的编制与移交；</w:t>
      </w:r>
    </w:p>
    <w:p w14:paraId="37EE4061">
      <w:pPr>
        <w:spacing w:before="0" w:after="0" w:line="360" w:lineRule="auto"/>
        <w:ind w:firstLine="480" w:firstLineChars="200"/>
        <w:jc w:val="both"/>
        <w:rPr>
          <w:rFonts w:hint="eastAsia" w:cs="Times New Roman"/>
          <w:b w:val="0"/>
          <w:sz w:val="24"/>
          <w:lang w:eastAsia="zh-C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（7）质保期内的售后服务</w:t>
      </w:r>
      <w:r>
        <w:rPr>
          <w:rFonts w:hint="eastAsia" w:cs="Times New Roman"/>
          <w:b w:val="0"/>
          <w:sz w:val="24"/>
          <w:lang w:eastAsia="zh-CN"/>
        </w:rPr>
        <w:t>；</w:t>
      </w:r>
    </w:p>
    <w:p w14:paraId="61B5AC08">
      <w:pPr>
        <w:spacing w:before="0" w:after="0" w:line="360" w:lineRule="auto"/>
        <w:ind w:firstLine="480" w:firstLineChars="200"/>
        <w:jc w:val="both"/>
        <w:rPr>
          <w:rFonts w:hint="default" w:cs="Times New Roman"/>
          <w:b w:val="0"/>
          <w:sz w:val="24"/>
          <w:lang w:val="en-US" w:eastAsia="zh-CN"/>
        </w:rPr>
      </w:pPr>
      <w:r>
        <w:rPr>
          <w:rFonts w:hint="eastAsia" w:cs="Times New Roman"/>
          <w:b w:val="0"/>
          <w:sz w:val="24"/>
          <w:lang w:eastAsia="zh-CN"/>
        </w:rPr>
        <w:t>（</w:t>
      </w:r>
      <w:r>
        <w:rPr>
          <w:rFonts w:hint="eastAsia" w:cs="Times New Roman"/>
          <w:b w:val="0"/>
          <w:sz w:val="24"/>
          <w:lang w:val="en-US" w:eastAsia="zh-CN"/>
        </w:rPr>
        <w:t>8</w:t>
      </w:r>
      <w:r>
        <w:rPr>
          <w:rFonts w:hint="eastAsia" w:cs="Times New Roman"/>
          <w:b w:val="0"/>
          <w:sz w:val="24"/>
          <w:lang w:eastAsia="zh-CN"/>
        </w:rPr>
        <w:t>）</w:t>
      </w:r>
      <w:r>
        <w:rPr>
          <w:rFonts w:hint="eastAsia" w:cs="Times New Roman"/>
          <w:b w:val="0"/>
          <w:sz w:val="24"/>
          <w:lang w:val="en-US" w:eastAsia="zh-CN"/>
        </w:rPr>
        <w:t>3年的设备年检服务。</w:t>
      </w:r>
    </w:p>
    <w:p w14:paraId="5677D76E">
      <w:pPr>
        <w:pStyle w:val="4"/>
        <w:spacing w:before="220" w:after="100" w:line="312" w:lineRule="auto"/>
        <w:jc w:val="left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/>
          <w:color w:val="000000"/>
          <w:sz w:val="28"/>
        </w:rPr>
        <w:t>1.3  一般要求</w:t>
      </w:r>
    </w:p>
    <w:p w14:paraId="1B6F4D6F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1.3.</w:t>
      </w:r>
      <w:r>
        <w:rPr>
          <w:rFonts w:hint="default" w:ascii="Times New Roman" w:hAnsi="Times New Roman" w:eastAsia="宋体" w:cs="Times New Roman"/>
          <w:b w:val="0"/>
          <w:sz w:val="24"/>
          <w:lang w:val="en-US" w:eastAsia="zh-CN"/>
        </w:rPr>
        <w:t>1</w:t>
      </w:r>
      <w:r>
        <w:rPr>
          <w:rFonts w:hint="default" w:ascii="Times New Roman" w:hAnsi="Times New Roman" w:eastAsia="宋体" w:cs="Times New Roman"/>
          <w:b w:val="0"/>
          <w:sz w:val="24"/>
        </w:rPr>
        <w:t xml:space="preserve">  投标人应结合现场</w:t>
      </w:r>
      <w:r>
        <w:rPr>
          <w:rFonts w:hint="default" w:ascii="Times New Roman" w:hAnsi="Times New Roman" w:eastAsia="宋体" w:cs="Times New Roman"/>
          <w:b w:val="0"/>
          <w:sz w:val="24"/>
          <w:lang w:val="en-US" w:eastAsia="zh-CN"/>
        </w:rPr>
        <w:t>情况</w:t>
      </w:r>
      <w:r>
        <w:rPr>
          <w:rFonts w:hint="default" w:ascii="Times New Roman" w:hAnsi="Times New Roman" w:eastAsia="宋体" w:cs="Times New Roman"/>
          <w:b w:val="0"/>
          <w:sz w:val="24"/>
        </w:rPr>
        <w:t>，对防护区实际尺寸、净高等参数进行实测复核；若实测参数与设计文件不一致，应据此对灭火剂设计用量、储存用量、泄压口面积及探测器布置等进行复核调整，确保系统满足规范及验收要求。由此产生的设计调整费用视为已包含在投标报价中。</w:t>
      </w:r>
    </w:p>
    <w:p w14:paraId="5110FADB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1.3.</w:t>
      </w:r>
      <w:r>
        <w:rPr>
          <w:rFonts w:hint="default" w:ascii="Times New Roman" w:hAnsi="Times New Roman" w:eastAsia="宋体" w:cs="Times New Roman"/>
          <w:b w:val="0"/>
          <w:sz w:val="24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b w:val="0"/>
          <w:sz w:val="24"/>
        </w:rPr>
        <w:t xml:space="preserve">  主要设备（柜式灭火装置、灭火剂、各类探测器、报警控制器等）应选用经消防产品认证</w:t>
      </w:r>
      <w:r>
        <w:rPr>
          <w:rFonts w:hint="default" w:ascii="Times New Roman" w:hAnsi="Times New Roman" w:eastAsia="宋体" w:cs="Times New Roman"/>
          <w:b w:val="0"/>
          <w:sz w:val="24"/>
          <w:lang w:val="en-US" w:eastAsia="zh-CN"/>
        </w:rPr>
        <w:t>符合国家消防</w:t>
      </w:r>
      <w:r>
        <w:rPr>
          <w:rFonts w:hint="default" w:ascii="Times New Roman" w:hAnsi="Times New Roman" w:eastAsia="宋体" w:cs="Times New Roman"/>
          <w:b w:val="0"/>
          <w:sz w:val="24"/>
        </w:rPr>
        <w:t>检验合格的产品，并提供相应的认证证书、检验报告。</w:t>
      </w:r>
    </w:p>
    <w:p w14:paraId="28236602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1.3.</w:t>
      </w:r>
      <w:r>
        <w:rPr>
          <w:rFonts w:hint="default" w:ascii="Times New Roman" w:hAnsi="Times New Roman" w:eastAsia="宋体" w:cs="Times New Roman"/>
          <w:b w:val="0"/>
          <w:sz w:val="24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b w:val="0"/>
          <w:sz w:val="24"/>
        </w:rPr>
        <w:t xml:space="preserve">  投标人所投产品的技术参数不得低于本技术要求的规定；本技术要求中标注“★”的条款为实质性要求，投标人必须全部满足，否则按无效投标处理。</w:t>
      </w:r>
    </w:p>
    <w:p w14:paraId="2EE9979A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1.3.</w:t>
      </w:r>
      <w:r>
        <w:rPr>
          <w:rFonts w:hint="default" w:ascii="Times New Roman" w:hAnsi="Times New Roman" w:eastAsia="宋体" w:cs="Times New Roman"/>
          <w:b w:val="0"/>
          <w:sz w:val="24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b w:val="0"/>
          <w:sz w:val="24"/>
        </w:rPr>
        <w:t xml:space="preserve">  投标文件应提供系统组成说明、设备配置清单、主要技术参数响应表及相应的认证证书、检验报告。</w:t>
      </w:r>
    </w:p>
    <w:p w14:paraId="4FFA51FE">
      <w:pPr>
        <w:pStyle w:val="3"/>
        <w:spacing w:before="280" w:after="120" w:line="312" w:lineRule="auto"/>
        <w:jc w:val="left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/>
          <w:color w:val="000000"/>
          <w:sz w:val="32"/>
        </w:rPr>
        <w:t>2  执行标准与规范</w:t>
      </w:r>
    </w:p>
    <w:p w14:paraId="146C6925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本项目设计、供货、施工、调试及验收应执行下列现行有效的国家、行业及团体标准（含但不限于）；标准有更新时，按现行有效版本执行：</w:t>
      </w:r>
    </w:p>
    <w:p w14:paraId="04E97054">
      <w:pPr>
        <w:spacing w:before="120" w:after="80" w:line="240" w:lineRule="auto"/>
        <w:jc w:val="center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/>
          <w:sz w:val="21"/>
        </w:rPr>
        <w:t>表2-1  执行标准与规范一览表</w:t>
      </w:r>
    </w:p>
    <w:tbl>
      <w:tblPr>
        <w:tblStyle w:val="32"/>
        <w:tblW w:w="0" w:type="auto"/>
        <w:jc w:val="center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6" w:space="0"/>
          <w:insideV w:val="single" w:color="000000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"/>
        <w:gridCol w:w="1753"/>
        <w:gridCol w:w="6524"/>
      </w:tblGrid>
      <w:tr w14:paraId="42693E9F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7" w:type="dxa"/>
            <w:shd w:val="clear" w:color="auto" w:fill="D9D9D9"/>
            <w:vAlign w:val="center"/>
          </w:tcPr>
          <w:p w14:paraId="24934B44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</w:rPr>
              <w:t>序号</w:t>
            </w:r>
          </w:p>
        </w:tc>
        <w:tc>
          <w:tcPr>
            <w:tcW w:w="1753" w:type="dxa"/>
            <w:shd w:val="clear" w:color="auto" w:fill="D9D9D9"/>
            <w:vAlign w:val="center"/>
          </w:tcPr>
          <w:p w14:paraId="3EAECE02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</w:rPr>
              <w:t>标准编号</w:t>
            </w:r>
          </w:p>
        </w:tc>
        <w:tc>
          <w:tcPr>
            <w:tcW w:w="6524" w:type="dxa"/>
            <w:shd w:val="clear" w:color="auto" w:fill="D9D9D9"/>
            <w:vAlign w:val="center"/>
          </w:tcPr>
          <w:p w14:paraId="519F8952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</w:rPr>
              <w:t>标准名称</w:t>
            </w:r>
          </w:p>
        </w:tc>
      </w:tr>
      <w:tr w14:paraId="53F12A20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  <w:jc w:val="center"/>
        </w:trPr>
        <w:tc>
          <w:tcPr>
            <w:tcW w:w="907" w:type="dxa"/>
            <w:vAlign w:val="center"/>
          </w:tcPr>
          <w:p w14:paraId="296879E5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1</w:t>
            </w:r>
          </w:p>
        </w:tc>
        <w:tc>
          <w:tcPr>
            <w:tcW w:w="1753" w:type="dxa"/>
            <w:vAlign w:val="center"/>
          </w:tcPr>
          <w:p w14:paraId="2FB73457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T/CFPA 054</w:t>
            </w:r>
          </w:p>
        </w:tc>
        <w:tc>
          <w:tcPr>
            <w:tcW w:w="6524" w:type="dxa"/>
            <w:vAlign w:val="center"/>
          </w:tcPr>
          <w:p w14:paraId="776F4C46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全氟己酮灭火系统技术规程</w:t>
            </w:r>
          </w:p>
        </w:tc>
      </w:tr>
      <w:tr w14:paraId="6DEF7A4E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7" w:type="dxa"/>
            <w:vAlign w:val="center"/>
          </w:tcPr>
          <w:p w14:paraId="60DD8421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2</w:t>
            </w:r>
          </w:p>
        </w:tc>
        <w:tc>
          <w:tcPr>
            <w:tcW w:w="1753" w:type="dxa"/>
            <w:vAlign w:val="center"/>
          </w:tcPr>
          <w:p w14:paraId="74DE4443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GB 50116</w:t>
            </w:r>
          </w:p>
        </w:tc>
        <w:tc>
          <w:tcPr>
            <w:tcW w:w="6524" w:type="dxa"/>
            <w:vAlign w:val="center"/>
          </w:tcPr>
          <w:p w14:paraId="45DC0C43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火灾自动报警系统设计规范</w:t>
            </w:r>
          </w:p>
        </w:tc>
      </w:tr>
      <w:tr w14:paraId="1259C460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7" w:type="dxa"/>
            <w:vAlign w:val="center"/>
          </w:tcPr>
          <w:p w14:paraId="0221EA7E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3</w:t>
            </w:r>
          </w:p>
        </w:tc>
        <w:tc>
          <w:tcPr>
            <w:tcW w:w="1753" w:type="dxa"/>
            <w:vAlign w:val="center"/>
          </w:tcPr>
          <w:p w14:paraId="7425FCEA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GB 50166</w:t>
            </w:r>
          </w:p>
        </w:tc>
        <w:tc>
          <w:tcPr>
            <w:tcW w:w="6524" w:type="dxa"/>
            <w:vAlign w:val="center"/>
          </w:tcPr>
          <w:p w14:paraId="74CB6C2C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火灾自动报警系统施工及验收标准</w:t>
            </w:r>
          </w:p>
        </w:tc>
      </w:tr>
      <w:tr w14:paraId="54E19F6C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7" w:type="dxa"/>
            <w:vAlign w:val="center"/>
          </w:tcPr>
          <w:p w14:paraId="696D576D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4</w:t>
            </w:r>
          </w:p>
        </w:tc>
        <w:tc>
          <w:tcPr>
            <w:tcW w:w="1753" w:type="dxa"/>
            <w:vAlign w:val="center"/>
          </w:tcPr>
          <w:p w14:paraId="57F2DA75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GB 50370</w:t>
            </w:r>
          </w:p>
        </w:tc>
        <w:tc>
          <w:tcPr>
            <w:tcW w:w="6524" w:type="dxa"/>
            <w:vAlign w:val="center"/>
          </w:tcPr>
          <w:p w14:paraId="0C326C2E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气体灭火系统设计规范</w:t>
            </w:r>
          </w:p>
        </w:tc>
      </w:tr>
      <w:tr w14:paraId="7D1B1524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7" w:type="dxa"/>
            <w:vAlign w:val="center"/>
          </w:tcPr>
          <w:p w14:paraId="38B0C6FE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5</w:t>
            </w:r>
          </w:p>
        </w:tc>
        <w:tc>
          <w:tcPr>
            <w:tcW w:w="1753" w:type="dxa"/>
            <w:vAlign w:val="center"/>
          </w:tcPr>
          <w:p w14:paraId="56F25A5D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GB 15322.1</w:t>
            </w:r>
          </w:p>
        </w:tc>
        <w:tc>
          <w:tcPr>
            <w:tcW w:w="6524" w:type="dxa"/>
            <w:vAlign w:val="center"/>
          </w:tcPr>
          <w:p w14:paraId="6567C5B6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可燃气体探测器 第1部分：工业及商业用途点型可燃气体探测器</w:t>
            </w:r>
          </w:p>
        </w:tc>
      </w:tr>
      <w:tr w14:paraId="3251653A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7" w:type="dxa"/>
            <w:vAlign w:val="center"/>
          </w:tcPr>
          <w:p w14:paraId="4E375D1D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6</w:t>
            </w:r>
          </w:p>
        </w:tc>
        <w:tc>
          <w:tcPr>
            <w:tcW w:w="1753" w:type="dxa"/>
            <w:vAlign w:val="center"/>
          </w:tcPr>
          <w:p w14:paraId="1DAB387D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GB/T 50493</w:t>
            </w:r>
          </w:p>
        </w:tc>
        <w:tc>
          <w:tcPr>
            <w:tcW w:w="6524" w:type="dxa"/>
            <w:vAlign w:val="center"/>
          </w:tcPr>
          <w:p w14:paraId="78C10C70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石油化工可燃气体和有毒气体检测报警设计标准</w:t>
            </w:r>
          </w:p>
        </w:tc>
      </w:tr>
      <w:tr w14:paraId="51837E13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7" w:type="dxa"/>
            <w:vAlign w:val="center"/>
          </w:tcPr>
          <w:p w14:paraId="72CB47D8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7</w:t>
            </w:r>
          </w:p>
        </w:tc>
        <w:tc>
          <w:tcPr>
            <w:tcW w:w="1753" w:type="dxa"/>
            <w:vAlign w:val="center"/>
          </w:tcPr>
          <w:p w14:paraId="7DA42E07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GB/T 42288</w:t>
            </w:r>
          </w:p>
        </w:tc>
        <w:tc>
          <w:tcPr>
            <w:tcW w:w="6524" w:type="dxa"/>
            <w:vAlign w:val="center"/>
          </w:tcPr>
          <w:p w14:paraId="219079B4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电化学储能电站安全规程</w:t>
            </w:r>
          </w:p>
        </w:tc>
      </w:tr>
      <w:tr w14:paraId="720BA5ED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7" w:type="dxa"/>
            <w:vAlign w:val="center"/>
          </w:tcPr>
          <w:p w14:paraId="3956FD5A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8</w:t>
            </w:r>
          </w:p>
        </w:tc>
        <w:tc>
          <w:tcPr>
            <w:tcW w:w="1753" w:type="dxa"/>
            <w:vAlign w:val="center"/>
          </w:tcPr>
          <w:p w14:paraId="2BB72DD3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GB 16806</w:t>
            </w:r>
          </w:p>
        </w:tc>
        <w:tc>
          <w:tcPr>
            <w:tcW w:w="6524" w:type="dxa"/>
            <w:vAlign w:val="center"/>
          </w:tcPr>
          <w:p w14:paraId="19673102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消防联动控制系统</w:t>
            </w:r>
          </w:p>
        </w:tc>
      </w:tr>
      <w:tr w14:paraId="4494473B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7" w:type="dxa"/>
            <w:vAlign w:val="center"/>
          </w:tcPr>
          <w:p w14:paraId="70B113C4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9</w:t>
            </w:r>
          </w:p>
        </w:tc>
        <w:tc>
          <w:tcPr>
            <w:tcW w:w="1753" w:type="dxa"/>
            <w:vAlign w:val="center"/>
          </w:tcPr>
          <w:p w14:paraId="740AE359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GB 25201</w:t>
            </w:r>
          </w:p>
        </w:tc>
        <w:tc>
          <w:tcPr>
            <w:tcW w:w="6524" w:type="dxa"/>
            <w:vAlign w:val="center"/>
          </w:tcPr>
          <w:p w14:paraId="21DCD5F3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建筑消防设施的维护管理</w:t>
            </w:r>
          </w:p>
        </w:tc>
      </w:tr>
      <w:tr w14:paraId="408DE614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7" w:type="dxa"/>
            <w:vAlign w:val="center"/>
          </w:tcPr>
          <w:p w14:paraId="34349694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10</w:t>
            </w:r>
          </w:p>
        </w:tc>
        <w:tc>
          <w:tcPr>
            <w:tcW w:w="1753" w:type="dxa"/>
            <w:vAlign w:val="center"/>
          </w:tcPr>
          <w:p w14:paraId="584D75A4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GB 50016</w:t>
            </w:r>
          </w:p>
        </w:tc>
        <w:tc>
          <w:tcPr>
            <w:tcW w:w="6524" w:type="dxa"/>
            <w:vAlign w:val="center"/>
          </w:tcPr>
          <w:p w14:paraId="4A1CB849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建筑设计防火规范</w:t>
            </w:r>
          </w:p>
        </w:tc>
      </w:tr>
    </w:tbl>
    <w:p w14:paraId="7D82736C">
      <w:pPr>
        <w:pStyle w:val="3"/>
        <w:spacing w:before="280" w:after="120" w:line="312" w:lineRule="auto"/>
        <w:jc w:val="left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/>
          <w:color w:val="000000"/>
          <w:sz w:val="32"/>
        </w:rPr>
        <w:t>3  防护区基本条件</w:t>
      </w:r>
    </w:p>
    <w:p w14:paraId="6ADF2DA8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3.1  防护区为B栋一层</w:t>
      </w:r>
      <w:r>
        <w:rPr>
          <w:rFonts w:hint="default" w:ascii="Times New Roman" w:hAnsi="Times New Roman" w:eastAsia="宋体" w:cs="Times New Roman"/>
          <w:b w:val="0"/>
          <w:sz w:val="24"/>
          <w:lang w:val="en-US" w:eastAsia="zh-CN"/>
        </w:rPr>
        <w:t>电池检测实验室样品室</w:t>
      </w:r>
      <w:r>
        <w:rPr>
          <w:rFonts w:hint="default" w:ascii="Times New Roman" w:hAnsi="Times New Roman" w:eastAsia="宋体" w:cs="Times New Roman"/>
          <w:b w:val="0"/>
          <w:sz w:val="24"/>
        </w:rPr>
        <w:t>，房间入口为FM1024防火门，火灾报警控制器安装于防护区外走廊墙面。</w:t>
      </w:r>
    </w:p>
    <w:p w14:paraId="172F0989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3.2  防护区主要参数如下（暂按设计文件取值，施工前须现场实测复核）：</w:t>
      </w:r>
    </w:p>
    <w:p w14:paraId="0EF9F4EE">
      <w:pPr>
        <w:spacing w:before="120" w:after="80" w:line="240" w:lineRule="auto"/>
        <w:jc w:val="center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/>
          <w:sz w:val="21"/>
        </w:rPr>
        <w:t>表3-1  防护区基本参数表</w:t>
      </w:r>
    </w:p>
    <w:tbl>
      <w:tblPr>
        <w:tblStyle w:val="32"/>
        <w:tblW w:w="0" w:type="auto"/>
        <w:jc w:val="center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6" w:space="0"/>
          <w:insideV w:val="single" w:color="000000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32"/>
        <w:gridCol w:w="2916"/>
        <w:gridCol w:w="1106"/>
        <w:gridCol w:w="2830"/>
      </w:tblGrid>
      <w:tr w14:paraId="3488D41F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32" w:type="dxa"/>
            <w:shd w:val="clear" w:color="auto" w:fill="D9D9D9"/>
            <w:vAlign w:val="center"/>
          </w:tcPr>
          <w:p w14:paraId="4F5C3BC9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</w:rPr>
              <w:t>项目</w:t>
            </w:r>
          </w:p>
        </w:tc>
        <w:tc>
          <w:tcPr>
            <w:tcW w:w="2916" w:type="dxa"/>
            <w:shd w:val="clear" w:color="auto" w:fill="D9D9D9"/>
            <w:vAlign w:val="center"/>
          </w:tcPr>
          <w:p w14:paraId="52579D07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</w:rPr>
              <w:t>参数</w:t>
            </w:r>
          </w:p>
        </w:tc>
        <w:tc>
          <w:tcPr>
            <w:tcW w:w="1106" w:type="dxa"/>
            <w:shd w:val="clear" w:color="auto" w:fill="D9D9D9"/>
            <w:vAlign w:val="center"/>
          </w:tcPr>
          <w:p w14:paraId="5D6775CC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</w:rPr>
              <w:t>单位</w:t>
            </w:r>
          </w:p>
        </w:tc>
        <w:tc>
          <w:tcPr>
            <w:tcW w:w="2830" w:type="dxa"/>
            <w:shd w:val="clear" w:color="auto" w:fill="D9D9D9"/>
            <w:vAlign w:val="center"/>
          </w:tcPr>
          <w:p w14:paraId="7CEBB5A5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</w:rPr>
              <w:t>取值依据/备注</w:t>
            </w:r>
          </w:p>
        </w:tc>
      </w:tr>
      <w:tr w14:paraId="4F5FCD71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32" w:type="dxa"/>
            <w:vAlign w:val="center"/>
          </w:tcPr>
          <w:p w14:paraId="2B949D8E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房间宽度（横向）</w:t>
            </w:r>
          </w:p>
        </w:tc>
        <w:tc>
          <w:tcPr>
            <w:tcW w:w="2916" w:type="dxa"/>
            <w:vAlign w:val="center"/>
          </w:tcPr>
          <w:p w14:paraId="08BFF455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2.82</w:t>
            </w:r>
          </w:p>
        </w:tc>
        <w:tc>
          <w:tcPr>
            <w:tcW w:w="1106" w:type="dxa"/>
            <w:vAlign w:val="center"/>
          </w:tcPr>
          <w:p w14:paraId="0F026CC6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m</w:t>
            </w:r>
          </w:p>
        </w:tc>
        <w:tc>
          <w:tcPr>
            <w:tcW w:w="2830" w:type="dxa"/>
            <w:vAlign w:val="center"/>
          </w:tcPr>
          <w:p w14:paraId="3D83082A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平面图1:100</w:t>
            </w:r>
          </w:p>
        </w:tc>
      </w:tr>
      <w:tr w14:paraId="6298BF27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32" w:type="dxa"/>
            <w:vAlign w:val="center"/>
          </w:tcPr>
          <w:p w14:paraId="20F6131F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房间长度（纵向）</w:t>
            </w:r>
          </w:p>
        </w:tc>
        <w:tc>
          <w:tcPr>
            <w:tcW w:w="2916" w:type="dxa"/>
            <w:vAlign w:val="center"/>
          </w:tcPr>
          <w:p w14:paraId="620FFA5B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3.69</w:t>
            </w:r>
          </w:p>
        </w:tc>
        <w:tc>
          <w:tcPr>
            <w:tcW w:w="1106" w:type="dxa"/>
            <w:vAlign w:val="center"/>
          </w:tcPr>
          <w:p w14:paraId="59592B82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m</w:t>
            </w:r>
          </w:p>
        </w:tc>
        <w:tc>
          <w:tcPr>
            <w:tcW w:w="2830" w:type="dxa"/>
            <w:vAlign w:val="center"/>
          </w:tcPr>
          <w:p w14:paraId="7D052713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平面图1:100</w:t>
            </w:r>
          </w:p>
        </w:tc>
      </w:tr>
      <w:tr w14:paraId="2F7AF454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32" w:type="dxa"/>
            <w:vAlign w:val="center"/>
          </w:tcPr>
          <w:p w14:paraId="66D9236F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防护区面积</w:t>
            </w:r>
          </w:p>
        </w:tc>
        <w:tc>
          <w:tcPr>
            <w:tcW w:w="2916" w:type="dxa"/>
            <w:vAlign w:val="center"/>
          </w:tcPr>
          <w:p w14:paraId="59A35793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10.4</w:t>
            </w:r>
          </w:p>
        </w:tc>
        <w:tc>
          <w:tcPr>
            <w:tcW w:w="1106" w:type="dxa"/>
            <w:vAlign w:val="center"/>
          </w:tcPr>
          <w:p w14:paraId="7CFCCBCE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m²</w:t>
            </w:r>
          </w:p>
        </w:tc>
        <w:tc>
          <w:tcPr>
            <w:tcW w:w="2830" w:type="dxa"/>
            <w:vAlign w:val="center"/>
          </w:tcPr>
          <w:p w14:paraId="6FC45E98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2.82×3.69</w:t>
            </w:r>
          </w:p>
        </w:tc>
      </w:tr>
      <w:tr w14:paraId="10EC39F8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32" w:type="dxa"/>
            <w:vAlign w:val="center"/>
          </w:tcPr>
          <w:p w14:paraId="5CA7D88A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层高（结构）</w:t>
            </w:r>
          </w:p>
        </w:tc>
        <w:tc>
          <w:tcPr>
            <w:tcW w:w="2916" w:type="dxa"/>
            <w:vAlign w:val="center"/>
          </w:tcPr>
          <w:p w14:paraId="6AAD6264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4.0</w:t>
            </w:r>
          </w:p>
        </w:tc>
        <w:tc>
          <w:tcPr>
            <w:tcW w:w="1106" w:type="dxa"/>
            <w:vAlign w:val="center"/>
          </w:tcPr>
          <w:p w14:paraId="3EB646B0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m</w:t>
            </w:r>
          </w:p>
        </w:tc>
        <w:tc>
          <w:tcPr>
            <w:tcW w:w="2830" w:type="dxa"/>
            <w:vAlign w:val="center"/>
          </w:tcPr>
          <w:p w14:paraId="24EBAF0D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现场估测，需实测确认</w:t>
            </w:r>
          </w:p>
        </w:tc>
      </w:tr>
      <w:tr w14:paraId="6F559547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32" w:type="dxa"/>
            <w:vAlign w:val="center"/>
          </w:tcPr>
          <w:p w14:paraId="6EBAFA0F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净高（扣除吊顶/梁）</w:t>
            </w:r>
          </w:p>
        </w:tc>
        <w:tc>
          <w:tcPr>
            <w:tcW w:w="2916" w:type="dxa"/>
            <w:vAlign w:val="center"/>
          </w:tcPr>
          <w:p w14:paraId="31EA91D0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3.8</w:t>
            </w:r>
          </w:p>
        </w:tc>
        <w:tc>
          <w:tcPr>
            <w:tcW w:w="1106" w:type="dxa"/>
            <w:vAlign w:val="center"/>
          </w:tcPr>
          <w:p w14:paraId="0CDFF513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m</w:t>
            </w:r>
          </w:p>
        </w:tc>
        <w:tc>
          <w:tcPr>
            <w:tcW w:w="2830" w:type="dxa"/>
            <w:vAlign w:val="center"/>
          </w:tcPr>
          <w:p w14:paraId="03BE83C0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估算值，需现场实测</w:t>
            </w:r>
          </w:p>
        </w:tc>
      </w:tr>
      <w:tr w14:paraId="5EDFA5AF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32" w:type="dxa"/>
            <w:vAlign w:val="center"/>
          </w:tcPr>
          <w:p w14:paraId="3AD014A1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防护区净容积</w:t>
            </w:r>
          </w:p>
        </w:tc>
        <w:tc>
          <w:tcPr>
            <w:tcW w:w="2916" w:type="dxa"/>
            <w:vAlign w:val="center"/>
          </w:tcPr>
          <w:p w14:paraId="2D876DE7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39.5</w:t>
            </w:r>
          </w:p>
        </w:tc>
        <w:tc>
          <w:tcPr>
            <w:tcW w:w="1106" w:type="dxa"/>
            <w:vAlign w:val="center"/>
          </w:tcPr>
          <w:p w14:paraId="4F203951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m³</w:t>
            </w:r>
          </w:p>
        </w:tc>
        <w:tc>
          <w:tcPr>
            <w:tcW w:w="2830" w:type="dxa"/>
            <w:vAlign w:val="center"/>
          </w:tcPr>
          <w:p w14:paraId="380F9874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10.4×3.8</w:t>
            </w:r>
          </w:p>
        </w:tc>
      </w:tr>
      <w:tr w14:paraId="2B22ECB7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32" w:type="dxa"/>
            <w:vAlign w:val="center"/>
          </w:tcPr>
          <w:p w14:paraId="35E0D3A2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主要可燃物</w:t>
            </w:r>
          </w:p>
        </w:tc>
        <w:tc>
          <w:tcPr>
            <w:tcW w:w="2916" w:type="dxa"/>
            <w:vAlign w:val="center"/>
          </w:tcPr>
          <w:p w14:paraId="3128ABB3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电气设备、电池相关测试/控制设备、排风照明设施</w:t>
            </w:r>
          </w:p>
        </w:tc>
        <w:tc>
          <w:tcPr>
            <w:tcW w:w="1106" w:type="dxa"/>
            <w:vAlign w:val="center"/>
          </w:tcPr>
          <w:p w14:paraId="1BCEDB27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—</w:t>
            </w:r>
          </w:p>
        </w:tc>
        <w:tc>
          <w:tcPr>
            <w:tcW w:w="2830" w:type="dxa"/>
            <w:vAlign w:val="center"/>
          </w:tcPr>
          <w:p w14:paraId="5F16B8BB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电气火灾，锂电池热失控可释放氢气、CO等可燃气体</w:t>
            </w:r>
          </w:p>
        </w:tc>
      </w:tr>
    </w:tbl>
    <w:p w14:paraId="112C0EDD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3.3  上述参数为依据设计图纸暂估。若现场实测净高等参数与本表不一致，投标人（中标人）应按第5章公式对灭火剂用量、泄压口面积及探测器布置进行复核调整，并将复核结果报招标人确认后实施。</w:t>
      </w:r>
    </w:p>
    <w:p w14:paraId="26D95A8A">
      <w:pPr>
        <w:pStyle w:val="3"/>
        <w:spacing w:before="280" w:after="120" w:line="312" w:lineRule="auto"/>
        <w:jc w:val="left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/>
          <w:color w:val="000000"/>
          <w:sz w:val="32"/>
        </w:rPr>
        <w:t>4  系统总体技术要求</w:t>
      </w:r>
    </w:p>
    <w:p w14:paraId="2500BB11">
      <w:pPr>
        <w:pStyle w:val="4"/>
        <w:spacing w:before="220" w:after="100" w:line="312" w:lineRule="auto"/>
        <w:jc w:val="left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/>
          <w:color w:val="000000"/>
          <w:sz w:val="28"/>
        </w:rPr>
        <w:t>4.1  系统组成</w:t>
      </w:r>
    </w:p>
    <w:p w14:paraId="04958481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柜式全氟己酮灭火系统由下列部分组成：</w:t>
      </w:r>
    </w:p>
    <w:p w14:paraId="59B43833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（1）柜式全氟己酮灭火装置1台（70L，含喷头、压力表、电磁阀）；</w:t>
      </w:r>
    </w:p>
    <w:p w14:paraId="6CBF9420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（2）感烟火灾探测器1只、感温火灾探测器2只；</w:t>
      </w:r>
    </w:p>
    <w:p w14:paraId="749DBC65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（3）可燃气体探测报警系统：可燃气体探测器（H₂）1只、可燃气体报警控制器1台；</w:t>
      </w:r>
    </w:p>
    <w:p w14:paraId="62895025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（4）火灾报警控制器1台；</w:t>
      </w:r>
    </w:p>
    <w:p w14:paraId="45908135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（5）声光警报器2只、放气指示灯1只、紧急启停按钮2只、手动/自动转换开关1只；</w:t>
      </w:r>
    </w:p>
    <w:p w14:paraId="02EBD607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（6）泄压口1只；</w:t>
      </w:r>
    </w:p>
    <w:p w14:paraId="3EA50862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（7）配套隔离安全栅、模块箱/端子箱、报警总线/联动线、金属管/阻燃线槽及附件等。</w:t>
      </w:r>
    </w:p>
    <w:p w14:paraId="3656E676">
      <w:pPr>
        <w:pStyle w:val="4"/>
        <w:spacing w:before="220" w:after="100" w:line="312" w:lineRule="auto"/>
        <w:jc w:val="left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/>
          <w:color w:val="000000"/>
          <w:sz w:val="28"/>
        </w:rPr>
        <w:t>4.2  系统功能</w:t>
      </w:r>
    </w:p>
    <w:p w14:paraId="3832D60D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系统应具备火灾早期探测、自动报警、自动灭火及联动控制功能，并具备自动控制、手动控制和机械应急操作三种启动方式。</w:t>
      </w:r>
    </w:p>
    <w:p w14:paraId="0783513B">
      <w:pPr>
        <w:pStyle w:val="4"/>
        <w:spacing w:before="220" w:after="100" w:line="312" w:lineRule="auto"/>
        <w:jc w:val="left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/>
          <w:color w:val="000000"/>
          <w:sz w:val="28"/>
        </w:rPr>
        <w:t>4.3  主要性能指标</w:t>
      </w:r>
    </w:p>
    <w:p w14:paraId="085E07EB">
      <w:pPr>
        <w:spacing w:before="120" w:after="80" w:line="240" w:lineRule="auto"/>
        <w:jc w:val="center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/>
          <w:sz w:val="21"/>
        </w:rPr>
        <w:t>表4-1  系统主要性能指标表</w:t>
      </w:r>
    </w:p>
    <w:tbl>
      <w:tblPr>
        <w:tblStyle w:val="32"/>
        <w:tblW w:w="0" w:type="auto"/>
        <w:jc w:val="center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6" w:space="0"/>
          <w:insideV w:val="single" w:color="000000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4"/>
        <w:gridCol w:w="1928"/>
        <w:gridCol w:w="3175"/>
        <w:gridCol w:w="3288"/>
      </w:tblGrid>
      <w:tr w14:paraId="366F0D37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94" w:type="dxa"/>
            <w:shd w:val="clear" w:color="auto" w:fill="D9D9D9"/>
            <w:vAlign w:val="center"/>
          </w:tcPr>
          <w:p w14:paraId="414114A3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</w:rPr>
              <w:t>序号</w:t>
            </w:r>
          </w:p>
        </w:tc>
        <w:tc>
          <w:tcPr>
            <w:tcW w:w="1928" w:type="dxa"/>
            <w:shd w:val="clear" w:color="auto" w:fill="D9D9D9"/>
            <w:vAlign w:val="center"/>
          </w:tcPr>
          <w:p w14:paraId="03F9D745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</w:rPr>
              <w:t>项目</w:t>
            </w:r>
          </w:p>
        </w:tc>
        <w:tc>
          <w:tcPr>
            <w:tcW w:w="3175" w:type="dxa"/>
            <w:shd w:val="clear" w:color="auto" w:fill="D9D9D9"/>
            <w:vAlign w:val="center"/>
          </w:tcPr>
          <w:p w14:paraId="64467669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</w:rPr>
              <w:t>技术要求</w:t>
            </w:r>
          </w:p>
        </w:tc>
        <w:tc>
          <w:tcPr>
            <w:tcW w:w="3288" w:type="dxa"/>
            <w:shd w:val="clear" w:color="auto" w:fill="D9D9D9"/>
            <w:vAlign w:val="center"/>
          </w:tcPr>
          <w:p w14:paraId="3F36A2F2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</w:rPr>
              <w:t>说明</w:t>
            </w:r>
          </w:p>
        </w:tc>
      </w:tr>
      <w:tr w14:paraId="68C40F56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94" w:type="dxa"/>
            <w:vAlign w:val="center"/>
          </w:tcPr>
          <w:p w14:paraId="6FE39C8C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1</w:t>
            </w:r>
          </w:p>
        </w:tc>
        <w:tc>
          <w:tcPr>
            <w:tcW w:w="1928" w:type="dxa"/>
            <w:vAlign w:val="center"/>
          </w:tcPr>
          <w:p w14:paraId="4178ED49">
            <w:pPr>
              <w:spacing w:before="40" w:after="40" w:line="276" w:lineRule="auto"/>
              <w:ind w:firstLine="0" w:firstLineChars="0"/>
              <w:jc w:val="left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灭火剂种类</w:t>
            </w:r>
          </w:p>
        </w:tc>
        <w:tc>
          <w:tcPr>
            <w:tcW w:w="3175" w:type="dxa"/>
            <w:vAlign w:val="center"/>
          </w:tcPr>
          <w:p w14:paraId="27900826">
            <w:pPr>
              <w:spacing w:before="40" w:after="40" w:line="276" w:lineRule="auto"/>
              <w:ind w:firstLine="0" w:firstLineChars="0"/>
              <w:jc w:val="left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全氟己酮（FK-5-1-12）</w:t>
            </w:r>
          </w:p>
        </w:tc>
        <w:tc>
          <w:tcPr>
            <w:tcW w:w="3288" w:type="dxa"/>
            <w:vAlign w:val="center"/>
          </w:tcPr>
          <w:p w14:paraId="3D498F84">
            <w:pPr>
              <w:spacing w:before="40" w:after="40" w:line="276" w:lineRule="auto"/>
              <w:ind w:firstLine="0" w:firstLineChars="0"/>
              <w:jc w:val="left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绝缘、清洁、灭火后无残留</w:t>
            </w:r>
          </w:p>
        </w:tc>
      </w:tr>
      <w:tr w14:paraId="46E79A1F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94" w:type="dxa"/>
            <w:vAlign w:val="center"/>
          </w:tcPr>
          <w:p w14:paraId="46DCED71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2</w:t>
            </w:r>
          </w:p>
        </w:tc>
        <w:tc>
          <w:tcPr>
            <w:tcW w:w="1928" w:type="dxa"/>
            <w:vAlign w:val="center"/>
          </w:tcPr>
          <w:p w14:paraId="73BAA026">
            <w:pPr>
              <w:spacing w:before="40" w:after="40" w:line="276" w:lineRule="auto"/>
              <w:ind w:firstLine="0" w:firstLineChars="0"/>
              <w:jc w:val="left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灭火设计浓度</w:t>
            </w:r>
          </w:p>
        </w:tc>
        <w:tc>
          <w:tcPr>
            <w:tcW w:w="3175" w:type="dxa"/>
            <w:vAlign w:val="center"/>
          </w:tcPr>
          <w:p w14:paraId="437009F0">
            <w:pPr>
              <w:spacing w:before="40" w:after="40" w:line="276" w:lineRule="auto"/>
              <w:ind w:firstLine="0" w:firstLineChars="0"/>
              <w:jc w:val="left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8%</w:t>
            </w:r>
          </w:p>
        </w:tc>
        <w:tc>
          <w:tcPr>
            <w:tcW w:w="3288" w:type="dxa"/>
            <w:vAlign w:val="center"/>
          </w:tcPr>
          <w:p w14:paraId="4137B8AC">
            <w:pPr>
              <w:spacing w:before="40" w:after="40" w:line="276" w:lineRule="auto"/>
              <w:ind w:firstLine="0" w:firstLineChars="0"/>
              <w:jc w:val="left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电气/锂电池防护，≥灭火浓度1.3倍</w:t>
            </w:r>
          </w:p>
        </w:tc>
      </w:tr>
      <w:tr w14:paraId="52844955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94" w:type="dxa"/>
            <w:vAlign w:val="center"/>
          </w:tcPr>
          <w:p w14:paraId="66C01510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3</w:t>
            </w:r>
          </w:p>
        </w:tc>
        <w:tc>
          <w:tcPr>
            <w:tcW w:w="1928" w:type="dxa"/>
            <w:vAlign w:val="center"/>
          </w:tcPr>
          <w:p w14:paraId="57013443">
            <w:pPr>
              <w:spacing w:before="40" w:after="40" w:line="276" w:lineRule="auto"/>
              <w:ind w:firstLine="0" w:firstLineChars="0"/>
              <w:jc w:val="left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灭火剂设计用量</w:t>
            </w:r>
          </w:p>
        </w:tc>
        <w:tc>
          <w:tcPr>
            <w:tcW w:w="3175" w:type="dxa"/>
            <w:vAlign w:val="center"/>
          </w:tcPr>
          <w:p w14:paraId="29C5D5E7">
            <w:pPr>
              <w:spacing w:before="40" w:after="40" w:line="276" w:lineRule="auto"/>
              <w:ind w:firstLine="0" w:firstLineChars="0"/>
              <w:jc w:val="left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≥47.8 kg</w:t>
            </w:r>
          </w:p>
        </w:tc>
        <w:tc>
          <w:tcPr>
            <w:tcW w:w="3288" w:type="dxa"/>
            <w:vAlign w:val="center"/>
          </w:tcPr>
          <w:p w14:paraId="76AB952F">
            <w:pPr>
              <w:spacing w:before="40" w:after="40" w:line="276" w:lineRule="auto"/>
              <w:ind w:firstLine="0" w:firstLineChars="0"/>
              <w:jc w:val="left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W=(C/(100−C))×(V/S)</w:t>
            </w:r>
          </w:p>
        </w:tc>
      </w:tr>
      <w:tr w14:paraId="4B919AA7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94" w:type="dxa"/>
            <w:vAlign w:val="center"/>
          </w:tcPr>
          <w:p w14:paraId="3C84C5E5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4</w:t>
            </w:r>
          </w:p>
        </w:tc>
        <w:tc>
          <w:tcPr>
            <w:tcW w:w="1928" w:type="dxa"/>
            <w:vAlign w:val="center"/>
          </w:tcPr>
          <w:p w14:paraId="7ABD0A34">
            <w:pPr>
              <w:spacing w:before="40" w:after="40" w:line="276" w:lineRule="auto"/>
              <w:ind w:firstLine="0" w:firstLineChars="0"/>
              <w:jc w:val="left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储存用量</w:t>
            </w:r>
          </w:p>
        </w:tc>
        <w:tc>
          <w:tcPr>
            <w:tcW w:w="3175" w:type="dxa"/>
            <w:vAlign w:val="center"/>
          </w:tcPr>
          <w:p w14:paraId="5501B8B9">
            <w:pPr>
              <w:spacing w:before="40" w:after="40" w:line="276" w:lineRule="auto"/>
              <w:ind w:firstLine="0" w:firstLineChars="0"/>
              <w:jc w:val="left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≥50.2 kg</w:t>
            </w:r>
          </w:p>
        </w:tc>
        <w:tc>
          <w:tcPr>
            <w:tcW w:w="3288" w:type="dxa"/>
            <w:vAlign w:val="center"/>
          </w:tcPr>
          <w:p w14:paraId="25F4FA31">
            <w:pPr>
              <w:spacing w:before="40" w:after="40" w:line="276" w:lineRule="auto"/>
              <w:ind w:firstLine="0" w:firstLineChars="0"/>
              <w:jc w:val="left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设计用量×1.05，含瓶内剩余</w:t>
            </w:r>
          </w:p>
        </w:tc>
      </w:tr>
      <w:tr w14:paraId="0D047559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94" w:type="dxa"/>
            <w:vAlign w:val="center"/>
          </w:tcPr>
          <w:p w14:paraId="559419E0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5</w:t>
            </w:r>
          </w:p>
        </w:tc>
        <w:tc>
          <w:tcPr>
            <w:tcW w:w="1928" w:type="dxa"/>
            <w:vAlign w:val="center"/>
          </w:tcPr>
          <w:p w14:paraId="4FDAD30A">
            <w:pPr>
              <w:spacing w:before="40" w:after="40" w:line="276" w:lineRule="auto"/>
              <w:ind w:firstLine="0" w:firstLineChars="0"/>
              <w:jc w:val="left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柜式装置配置</w:t>
            </w:r>
          </w:p>
        </w:tc>
        <w:tc>
          <w:tcPr>
            <w:tcW w:w="3175" w:type="dxa"/>
            <w:vAlign w:val="center"/>
          </w:tcPr>
          <w:p w14:paraId="06858E1B">
            <w:pPr>
              <w:spacing w:before="40" w:after="40" w:line="276" w:lineRule="auto"/>
              <w:ind w:firstLine="0" w:firstLineChars="0"/>
              <w:jc w:val="left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1台×70L，充装量≥55kg</w:t>
            </w:r>
          </w:p>
        </w:tc>
        <w:tc>
          <w:tcPr>
            <w:tcW w:w="3288" w:type="dxa"/>
            <w:vAlign w:val="center"/>
          </w:tcPr>
          <w:p w14:paraId="5AA0A209">
            <w:pPr>
              <w:spacing w:before="40" w:after="40" w:line="276" w:lineRule="auto"/>
              <w:ind w:firstLine="0" w:firstLineChars="0"/>
              <w:jc w:val="left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总充装量≥储存用量</w:t>
            </w:r>
          </w:p>
        </w:tc>
      </w:tr>
      <w:tr w14:paraId="735A2AAE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94" w:type="dxa"/>
            <w:vAlign w:val="center"/>
          </w:tcPr>
          <w:p w14:paraId="1D09B75F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6</w:t>
            </w:r>
          </w:p>
        </w:tc>
        <w:tc>
          <w:tcPr>
            <w:tcW w:w="1928" w:type="dxa"/>
            <w:vAlign w:val="center"/>
          </w:tcPr>
          <w:p w14:paraId="48E02A80">
            <w:pPr>
              <w:spacing w:before="40" w:after="40" w:line="276" w:lineRule="auto"/>
              <w:ind w:firstLine="0" w:firstLineChars="0"/>
              <w:jc w:val="left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充装密度</w:t>
            </w:r>
          </w:p>
        </w:tc>
        <w:tc>
          <w:tcPr>
            <w:tcW w:w="3175" w:type="dxa"/>
            <w:vAlign w:val="center"/>
          </w:tcPr>
          <w:p w14:paraId="114B5DA7">
            <w:pPr>
              <w:spacing w:before="40" w:after="40" w:line="276" w:lineRule="auto"/>
              <w:ind w:firstLine="0" w:firstLineChars="0"/>
              <w:jc w:val="left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≤1440 kg/m³（1.44kg/L）</w:t>
            </w:r>
          </w:p>
        </w:tc>
        <w:tc>
          <w:tcPr>
            <w:tcW w:w="3288" w:type="dxa"/>
            <w:vAlign w:val="center"/>
          </w:tcPr>
          <w:p w14:paraId="03873A09">
            <w:pPr>
              <w:spacing w:before="40" w:after="40" w:line="276" w:lineRule="auto"/>
              <w:ind w:firstLine="0" w:firstLineChars="0"/>
              <w:jc w:val="left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—</w:t>
            </w:r>
          </w:p>
        </w:tc>
      </w:tr>
      <w:tr w14:paraId="52913EB0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94" w:type="dxa"/>
            <w:vAlign w:val="center"/>
          </w:tcPr>
          <w:p w14:paraId="2F80B54A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7</w:t>
            </w:r>
          </w:p>
        </w:tc>
        <w:tc>
          <w:tcPr>
            <w:tcW w:w="1928" w:type="dxa"/>
            <w:vAlign w:val="center"/>
          </w:tcPr>
          <w:p w14:paraId="238B98EB">
            <w:pPr>
              <w:spacing w:before="40" w:after="40" w:line="276" w:lineRule="auto"/>
              <w:ind w:firstLine="0" w:firstLineChars="0"/>
              <w:jc w:val="left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喷射时间</w:t>
            </w:r>
          </w:p>
        </w:tc>
        <w:tc>
          <w:tcPr>
            <w:tcW w:w="3175" w:type="dxa"/>
            <w:vAlign w:val="center"/>
          </w:tcPr>
          <w:p w14:paraId="16285777">
            <w:pPr>
              <w:spacing w:before="40" w:after="40" w:line="276" w:lineRule="auto"/>
              <w:ind w:firstLine="0" w:firstLineChars="0"/>
              <w:jc w:val="left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≤10 s</w:t>
            </w:r>
          </w:p>
        </w:tc>
        <w:tc>
          <w:tcPr>
            <w:tcW w:w="3288" w:type="dxa"/>
            <w:vAlign w:val="center"/>
          </w:tcPr>
          <w:p w14:paraId="63E090B4">
            <w:pPr>
              <w:spacing w:before="40" w:after="40" w:line="276" w:lineRule="auto"/>
              <w:ind w:firstLine="0" w:firstLineChars="0"/>
              <w:jc w:val="left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10s内达到设计浓度</w:t>
            </w:r>
          </w:p>
        </w:tc>
      </w:tr>
      <w:tr w14:paraId="2E17BC11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94" w:type="dxa"/>
            <w:vAlign w:val="center"/>
          </w:tcPr>
          <w:p w14:paraId="2509D966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8</w:t>
            </w:r>
          </w:p>
        </w:tc>
        <w:tc>
          <w:tcPr>
            <w:tcW w:w="1928" w:type="dxa"/>
            <w:vAlign w:val="center"/>
          </w:tcPr>
          <w:p w14:paraId="21117B08">
            <w:pPr>
              <w:spacing w:before="40" w:after="40" w:line="276" w:lineRule="auto"/>
              <w:ind w:firstLine="0" w:firstLineChars="0"/>
              <w:jc w:val="left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单台保护容积</w:t>
            </w:r>
          </w:p>
        </w:tc>
        <w:tc>
          <w:tcPr>
            <w:tcW w:w="3175" w:type="dxa"/>
            <w:vAlign w:val="center"/>
          </w:tcPr>
          <w:p w14:paraId="5F2AAA7F">
            <w:pPr>
              <w:spacing w:before="40" w:after="40" w:line="276" w:lineRule="auto"/>
              <w:ind w:firstLine="0" w:firstLineChars="0"/>
              <w:jc w:val="left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≤150 m³</w:t>
            </w:r>
          </w:p>
        </w:tc>
        <w:tc>
          <w:tcPr>
            <w:tcW w:w="3288" w:type="dxa"/>
            <w:vAlign w:val="center"/>
          </w:tcPr>
          <w:p w14:paraId="64818706">
            <w:pPr>
              <w:spacing w:before="40" w:after="40" w:line="276" w:lineRule="auto"/>
              <w:ind w:firstLine="0" w:firstLineChars="0"/>
              <w:jc w:val="left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本防护区39.5m³满足</w:t>
            </w:r>
          </w:p>
        </w:tc>
      </w:tr>
      <w:tr w14:paraId="7D395021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94" w:type="dxa"/>
            <w:vAlign w:val="center"/>
          </w:tcPr>
          <w:p w14:paraId="36E9B69C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9</w:t>
            </w:r>
          </w:p>
        </w:tc>
        <w:tc>
          <w:tcPr>
            <w:tcW w:w="1928" w:type="dxa"/>
            <w:vAlign w:val="center"/>
          </w:tcPr>
          <w:p w14:paraId="044E2E11">
            <w:pPr>
              <w:spacing w:before="40" w:after="40" w:line="276" w:lineRule="auto"/>
              <w:ind w:firstLine="0" w:firstLineChars="0"/>
              <w:jc w:val="left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泄压口泄压面积</w:t>
            </w:r>
          </w:p>
        </w:tc>
        <w:tc>
          <w:tcPr>
            <w:tcW w:w="3175" w:type="dxa"/>
            <w:vAlign w:val="center"/>
          </w:tcPr>
          <w:p w14:paraId="32B3B992">
            <w:pPr>
              <w:spacing w:before="40" w:after="40" w:line="276" w:lineRule="auto"/>
              <w:ind w:firstLine="0" w:firstLineChars="0"/>
              <w:jc w:val="left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≥0.021 m²</w:t>
            </w:r>
          </w:p>
        </w:tc>
        <w:tc>
          <w:tcPr>
            <w:tcW w:w="3288" w:type="dxa"/>
            <w:vAlign w:val="center"/>
          </w:tcPr>
          <w:p w14:paraId="69574F7A">
            <w:pPr>
              <w:spacing w:before="40" w:after="40" w:line="276" w:lineRule="auto"/>
              <w:ind w:firstLine="0" w:firstLineChars="0"/>
              <w:jc w:val="left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选型XYK-A1（0.101m²）</w:t>
            </w:r>
          </w:p>
        </w:tc>
      </w:tr>
      <w:tr w14:paraId="759F8178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94" w:type="dxa"/>
            <w:vAlign w:val="center"/>
          </w:tcPr>
          <w:p w14:paraId="381DA4B1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10</w:t>
            </w:r>
          </w:p>
        </w:tc>
        <w:tc>
          <w:tcPr>
            <w:tcW w:w="1928" w:type="dxa"/>
            <w:vAlign w:val="center"/>
          </w:tcPr>
          <w:p w14:paraId="60332A80">
            <w:pPr>
              <w:spacing w:before="40" w:after="40" w:line="276" w:lineRule="auto"/>
              <w:ind w:firstLine="0" w:firstLineChars="0"/>
              <w:jc w:val="left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灭火后残留</w:t>
            </w:r>
          </w:p>
        </w:tc>
        <w:tc>
          <w:tcPr>
            <w:tcW w:w="3175" w:type="dxa"/>
            <w:vAlign w:val="center"/>
          </w:tcPr>
          <w:p w14:paraId="315D334D">
            <w:pPr>
              <w:spacing w:before="40" w:after="40" w:line="276" w:lineRule="auto"/>
              <w:ind w:firstLine="0" w:firstLineChars="0"/>
              <w:jc w:val="left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无残留、绝缘、清洁</w:t>
            </w:r>
          </w:p>
        </w:tc>
        <w:tc>
          <w:tcPr>
            <w:tcW w:w="3288" w:type="dxa"/>
            <w:vAlign w:val="center"/>
          </w:tcPr>
          <w:p w14:paraId="5EA64D55">
            <w:pPr>
              <w:spacing w:before="40" w:after="40" w:line="276" w:lineRule="auto"/>
              <w:ind w:firstLine="0" w:firstLineChars="0"/>
              <w:jc w:val="left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—</w:t>
            </w:r>
          </w:p>
        </w:tc>
      </w:tr>
    </w:tbl>
    <w:p w14:paraId="30EEC717">
      <w:pPr>
        <w:pStyle w:val="3"/>
        <w:spacing w:before="280" w:after="120" w:line="312" w:lineRule="auto"/>
        <w:jc w:val="left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/>
          <w:color w:val="000000"/>
          <w:sz w:val="32"/>
        </w:rPr>
        <w:t>5  主要设备技术要求</w:t>
      </w:r>
    </w:p>
    <w:p w14:paraId="75981253">
      <w:pPr>
        <w:pStyle w:val="4"/>
        <w:spacing w:before="220" w:after="100" w:line="312" w:lineRule="auto"/>
        <w:jc w:val="left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/>
          <w:color w:val="000000"/>
          <w:sz w:val="28"/>
        </w:rPr>
        <w:t>5.1  柜式全氟己酮灭火装置</w:t>
      </w:r>
    </w:p>
    <w:p w14:paraId="24B35BDD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（1）型式：柜式（预制）全氟己酮灭火装置，容积70L；</w:t>
      </w:r>
    </w:p>
    <w:p w14:paraId="3FDD7871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（2）★充装量：单台充装量不低于55kg，总充装量不低于储存用量50.2kg；</w:t>
      </w:r>
    </w:p>
    <w:p w14:paraId="19D130F7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（3）★充装密度不大于1440kg/m³（1.44kg/L）；</w:t>
      </w:r>
    </w:p>
    <w:p w14:paraId="647DD362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（4）★喷射时间不大于10s，喷放后10s内达到设计浓度；</w:t>
      </w:r>
    </w:p>
    <w:p w14:paraId="508CD9AF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（5）装置应配齐喷头、压力表、电磁阀等部件，压力表指示正常，电磁阀动作可靠，具备远距离手动启动接口；</w:t>
      </w:r>
    </w:p>
    <w:p w14:paraId="15B59A78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（6）★应选用经消防产品认证</w:t>
      </w:r>
      <w:r>
        <w:rPr>
          <w:rFonts w:hint="default" w:ascii="Times New Roman" w:hAnsi="Times New Roman" w:eastAsia="宋体" w:cs="Times New Roman"/>
          <w:b w:val="0"/>
          <w:sz w:val="24"/>
          <w:lang w:val="en-US" w:eastAsia="zh-CN"/>
        </w:rPr>
        <w:t>与</w:t>
      </w:r>
      <w:r>
        <w:rPr>
          <w:rFonts w:hint="default" w:ascii="Times New Roman" w:hAnsi="Times New Roman" w:eastAsia="宋体" w:cs="Times New Roman"/>
          <w:b w:val="0"/>
          <w:sz w:val="24"/>
        </w:rPr>
        <w:t>检验合格的产品，并提供检验报告；</w:t>
      </w:r>
    </w:p>
    <w:p w14:paraId="0C823364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（7）设备铭牌、警示标识齐全，内容包含灭火剂名称、充装量、生产日期、检验合格标志等；</w:t>
      </w:r>
    </w:p>
    <w:p w14:paraId="30773EA7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8）安装：装置布置于防护区内靠墙位置，避开通道、不影响设备操作，预留检修空间；底部设固定支脚并可靠接地；喷头向上安装，距顶棚不大于1.0m，安装高度不小于1.5m时喷头保护半径不大于5m，确保全淹没浓度均匀。</w:t>
      </w:r>
    </w:p>
    <w:p w14:paraId="605A7412">
      <w:pPr>
        <w:pStyle w:val="4"/>
        <w:spacing w:before="220" w:after="100" w:line="312" w:lineRule="auto"/>
        <w:jc w:val="left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/>
          <w:color w:val="000000"/>
          <w:sz w:val="28"/>
        </w:rPr>
        <w:t>5.2  全氟己酮灭火剂</w:t>
      </w:r>
    </w:p>
    <w:p w14:paraId="05008938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（1）★灭火剂为全氟己酮（FK-5-1-12，化学名称十二氟-2-甲基-3-戊酮），质量符合现行标准及设计要求；</w:t>
      </w:r>
    </w:p>
    <w:p w14:paraId="2D09F078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（2）灭火剂应具有绝缘、清洁、灭火后无残留的特性，适用于电气火灾及锂电池相关场所；</w:t>
      </w:r>
    </w:p>
    <w:p w14:paraId="69D82C96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（3）★应提供符合要求的合格产品检验报告，灭火剂充装量满足设计要求。</w:t>
      </w:r>
    </w:p>
    <w:p w14:paraId="27B52BEA">
      <w:pPr>
        <w:pStyle w:val="4"/>
        <w:spacing w:before="220" w:after="100" w:line="312" w:lineRule="auto"/>
        <w:jc w:val="left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/>
          <w:color w:val="000000"/>
          <w:sz w:val="28"/>
        </w:rPr>
        <w:t>5.3  感烟火灾探测器</w:t>
      </w:r>
    </w:p>
    <w:p w14:paraId="4B02DCF1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（1）数量不少于1只，安装于防护区顶棚；</w:t>
      </w:r>
    </w:p>
    <w:p w14:paraId="7B64A7B7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</w:t>
      </w:r>
      <w:r>
        <w:rPr>
          <w:rFonts w:hint="default" w:ascii="Times New Roman" w:hAnsi="Times New Roman" w:eastAsia="宋体" w:cs="Times New Roman"/>
          <w:b w:val="0"/>
          <w:sz w:val="24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b w:val="0"/>
          <w:sz w:val="24"/>
        </w:rPr>
        <w:t>）安装于顶棚，距墙不小于0.5m，与出风口水平距离不小于1.5m；</w:t>
      </w:r>
    </w:p>
    <w:p w14:paraId="5D85A116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</w:t>
      </w:r>
      <w:r>
        <w:rPr>
          <w:rFonts w:hint="default" w:ascii="Times New Roman" w:hAnsi="Times New Roman" w:eastAsia="宋体" w:cs="Times New Roman"/>
          <w:b w:val="0"/>
          <w:sz w:val="24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b w:val="0"/>
          <w:sz w:val="24"/>
        </w:rPr>
        <w:t>）★应选用经消防产品认证（CCCF）合格的产品，接线可靠、回路导通、地址编码正确。</w:t>
      </w:r>
    </w:p>
    <w:p w14:paraId="3B4A156A">
      <w:pPr>
        <w:pStyle w:val="4"/>
        <w:spacing w:before="220" w:after="100" w:line="312" w:lineRule="auto"/>
        <w:jc w:val="left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/>
          <w:color w:val="000000"/>
          <w:sz w:val="28"/>
        </w:rPr>
        <w:t>5.4  感温火灾探测器</w:t>
      </w:r>
    </w:p>
    <w:p w14:paraId="2D506533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（1）数量不少于2只，于防护区顶棚对角布置；</w:t>
      </w:r>
    </w:p>
    <w:p w14:paraId="17BF01C7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</w:t>
      </w:r>
      <w:r>
        <w:rPr>
          <w:rFonts w:hint="default" w:ascii="Times New Roman" w:hAnsi="Times New Roman" w:eastAsia="宋体" w:cs="Times New Roman"/>
          <w:b w:val="0"/>
          <w:sz w:val="24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b w:val="0"/>
          <w:sz w:val="24"/>
        </w:rPr>
        <w:t>）与感烟火灾探测器错开布置，避免重叠死角；</w:t>
      </w:r>
    </w:p>
    <w:p w14:paraId="4462E7F0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</w:t>
      </w:r>
      <w:r>
        <w:rPr>
          <w:rFonts w:hint="default" w:ascii="Times New Roman" w:hAnsi="Times New Roman" w:eastAsia="宋体" w:cs="Times New Roman"/>
          <w:b w:val="0"/>
          <w:sz w:val="24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b w:val="0"/>
          <w:sz w:val="24"/>
        </w:rPr>
        <w:t>）★应选用经消防产品认证（CCCF）合格的产品。</w:t>
      </w:r>
    </w:p>
    <w:p w14:paraId="2EA87B17">
      <w:pPr>
        <w:pStyle w:val="4"/>
        <w:spacing w:before="220" w:after="100" w:line="312" w:lineRule="auto"/>
        <w:jc w:val="left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/>
          <w:color w:val="000000"/>
          <w:sz w:val="28"/>
        </w:rPr>
        <w:t>5.5  可燃气体探测报警系统</w:t>
      </w:r>
    </w:p>
    <w:p w14:paraId="5D315BE9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（1）防护区内含电池相关电气/控制设备，锂电池热失控可释放氢气（H₂）、一氧化碳（CO）等可燃气体，应按GB 50116-2013第8章及GB/T 50493-2019设置可燃气体探测报警系统；</w:t>
      </w:r>
    </w:p>
    <w:p w14:paraId="40000C83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（2）★系统应独立组成，由可燃气体报警控制器、可燃气体探测器和火灾声光警报器等组成；</w:t>
      </w:r>
    </w:p>
    <w:p w14:paraId="6E59BB70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（3）★可燃气体探测器（H₂）不少于1只，安装于被保护空间顶部、距顶棚（天花板）30~60cm，传感器朝下；探测器距释放源水平距离不大于5m，探测器间距不大于7m；</w:t>
      </w:r>
    </w:p>
    <w:p w14:paraId="455FF088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（4）★可燃气体探测器不应接入火灾报警控制器的探测器回路，应接入可燃气体报警控制器，由控制器独立显示、报警，并经其报警输出（无源触点/输入模块）接入火灾报警控制器实现联动；</w:t>
      </w:r>
    </w:p>
    <w:p w14:paraId="07316B06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（5）★可燃气体报警控制器不少于1台，壁挂式安装于防护区外走廊，置于有人值班场所；</w:t>
      </w:r>
    </w:p>
    <w:p w14:paraId="59DA55AC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（6）报警值设定：一级报警（预警）、二级报警（联动）值按GB/T 50493-2019设定；二级报警应联动启动声光警报并切断电源；</w:t>
      </w:r>
    </w:p>
    <w:p w14:paraId="56F1A162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（7）可燃气体报警控制器发出报警信号时，应能启动保护区域的火灾声光警报器（GB 50116-2013第8.1.5条）。</w:t>
      </w:r>
    </w:p>
    <w:p w14:paraId="36AF4740">
      <w:pPr>
        <w:pStyle w:val="4"/>
        <w:spacing w:before="220" w:after="100" w:line="312" w:lineRule="auto"/>
        <w:jc w:val="left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/>
          <w:color w:val="000000"/>
          <w:sz w:val="28"/>
        </w:rPr>
        <w:t>5.6  火灾报警控制器</w:t>
      </w:r>
    </w:p>
    <w:p w14:paraId="54DD7C04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（1）数量1台，安装于防护区外走廊墙面，便于值班观察及紧急操作；</w:t>
      </w:r>
    </w:p>
    <w:p w14:paraId="45907100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（2）应具备回路卡、联动控制、声光/放气/启停接口；</w:t>
      </w:r>
    </w:p>
    <w:p w14:paraId="7C5E398B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（3）★应满足GB 50116-2013及GB 16806-2006的要求；</w:t>
      </w:r>
    </w:p>
    <w:p w14:paraId="52C3C054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（4）应能显示每只探测器的故障、报警状态，并具备历史记录功能；</w:t>
      </w:r>
    </w:p>
    <w:p w14:paraId="08E88C21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（5）应具备自动、手动及机械应急三种启动方式，紧急启停按钮应在延时期间有效。</w:t>
      </w:r>
    </w:p>
    <w:p w14:paraId="68DE370D">
      <w:pPr>
        <w:pStyle w:val="4"/>
        <w:spacing w:before="220" w:after="100" w:line="312" w:lineRule="auto"/>
        <w:jc w:val="left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/>
          <w:color w:val="000000"/>
          <w:sz w:val="28"/>
        </w:rPr>
        <w:t>5.7  声光警报器、放气指示灯、紧急启停按钮及转换开关</w:t>
      </w:r>
    </w:p>
    <w:p w14:paraId="09F625E3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（1）声光警报器：不少于2只，防护区内顶棚/门口及门外各1只，用于联动报警及灭火前声光提示；</w:t>
      </w:r>
    </w:p>
    <w:p w14:paraId="1E92D137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（2）放气指示灯：1只，安装于防护区门口上方，灭火剂喷放后点亮“放气勿入”提示；</w:t>
      </w:r>
    </w:p>
    <w:p w14:paraId="37C94700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（3）紧急启停按钮：2只，安装于防护区门口内、外各1只，用于手动启动/紧急停止；</w:t>
      </w:r>
    </w:p>
    <w:p w14:paraId="5ABA87BB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（4）手动/自动转换开关：1只，安装于防护区门口，实现自动/手动/机械应急三种启动方式切换。</w:t>
      </w:r>
    </w:p>
    <w:p w14:paraId="338EC8EA">
      <w:pPr>
        <w:pStyle w:val="4"/>
        <w:spacing w:before="220" w:after="100" w:line="312" w:lineRule="auto"/>
        <w:jc w:val="left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/>
          <w:color w:val="000000"/>
          <w:sz w:val="28"/>
        </w:rPr>
        <w:t>5.8  泄压口</w:t>
      </w:r>
    </w:p>
    <w:p w14:paraId="7898A425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（1）★泄压口泄压面积不小于0.021m²（参考选型XYK-A1，泄压面积0.101m²）；</w:t>
      </w:r>
    </w:p>
    <w:p w14:paraId="199B642C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（2）泄压口应设于防护区外墙上，位于防护区净高的2/3以上；</w:t>
      </w:r>
    </w:p>
    <w:p w14:paraId="1363A658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（3）泄压口平时应封闭，灭火剂喷放时自动开启泄压，防止围护结构超压。</w:t>
      </w:r>
    </w:p>
    <w:p w14:paraId="48827EBA">
      <w:pPr>
        <w:pStyle w:val="4"/>
        <w:spacing w:before="220" w:after="100" w:line="312" w:lineRule="auto"/>
        <w:jc w:val="left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/>
          <w:color w:val="000000"/>
          <w:sz w:val="28"/>
        </w:rPr>
        <w:t>5.9  其他配套设备</w:t>
      </w:r>
    </w:p>
    <w:p w14:paraId="4A4D0947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（1）隔离安全栅、模块箱/端子箱各不少于1只（套），满足防爆隔离及接线要求；</w:t>
      </w:r>
    </w:p>
    <w:p w14:paraId="6AC30CA6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（2）报警总线/联动线应采用阻燃双绞屏蔽线，数量按现场实际配置；</w:t>
      </w:r>
    </w:p>
    <w:p w14:paraId="2AE1305C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（3）配套金属管、阻燃线槽、支架、标识等附件按现场实际配置。</w:t>
      </w:r>
    </w:p>
    <w:p w14:paraId="154D1361">
      <w:pPr>
        <w:pStyle w:val="3"/>
        <w:spacing w:before="280" w:after="120" w:line="312" w:lineRule="auto"/>
        <w:jc w:val="left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/>
          <w:color w:val="000000"/>
          <w:sz w:val="32"/>
        </w:rPr>
        <w:t>6  系统联动控制技术要求</w:t>
      </w:r>
    </w:p>
    <w:p w14:paraId="6019CF71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6.1  系统应采用自动控制、手动控制和机械应急操作三种启动方式。联动触发信号为同一防护区内两只独立的火灾探测器报警信号（本系统为感烟+感温组合）或一只探测器与一只手动报警按钮的报警信号。</w:t>
      </w:r>
    </w:p>
    <w:p w14:paraId="22E23C6B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6.2  联动控制逻辑应满足下列要求：</w:t>
      </w:r>
    </w:p>
    <w:p w14:paraId="5C17A270">
      <w:pPr>
        <w:spacing w:before="120" w:after="80" w:line="240" w:lineRule="auto"/>
        <w:jc w:val="center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/>
          <w:sz w:val="21"/>
        </w:rPr>
        <w:t>表6-1  系统联动控制逻辑表</w:t>
      </w:r>
    </w:p>
    <w:tbl>
      <w:tblPr>
        <w:tblStyle w:val="32"/>
        <w:tblW w:w="0" w:type="auto"/>
        <w:jc w:val="center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6" w:space="0"/>
          <w:insideV w:val="single" w:color="000000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2608"/>
        <w:gridCol w:w="3969"/>
        <w:gridCol w:w="1928"/>
      </w:tblGrid>
      <w:tr w14:paraId="1DAAC1CA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0" w:type="dxa"/>
            <w:shd w:val="clear" w:color="auto" w:fill="D9D9D9"/>
            <w:vAlign w:val="center"/>
          </w:tcPr>
          <w:p w14:paraId="3B15D345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</w:rPr>
              <w:t>序号</w:t>
            </w:r>
          </w:p>
        </w:tc>
        <w:tc>
          <w:tcPr>
            <w:tcW w:w="2608" w:type="dxa"/>
            <w:shd w:val="clear" w:color="auto" w:fill="D9D9D9"/>
            <w:vAlign w:val="center"/>
          </w:tcPr>
          <w:p w14:paraId="253AE3FE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</w:rPr>
              <w:t>触发条件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3DA83407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</w:rPr>
              <w:t>联动动作</w:t>
            </w:r>
          </w:p>
        </w:tc>
        <w:tc>
          <w:tcPr>
            <w:tcW w:w="1928" w:type="dxa"/>
            <w:shd w:val="clear" w:color="auto" w:fill="D9D9D9"/>
            <w:vAlign w:val="center"/>
          </w:tcPr>
          <w:p w14:paraId="5EB9435D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</w:rPr>
              <w:t>执行时间</w:t>
            </w:r>
          </w:p>
        </w:tc>
      </w:tr>
      <w:tr w14:paraId="46652E6D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0" w:type="dxa"/>
            <w:vAlign w:val="center"/>
          </w:tcPr>
          <w:p w14:paraId="56F6568C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1</w:t>
            </w:r>
          </w:p>
        </w:tc>
        <w:tc>
          <w:tcPr>
            <w:tcW w:w="2608" w:type="dxa"/>
            <w:vAlign w:val="center"/>
          </w:tcPr>
          <w:p w14:paraId="664C5583">
            <w:pPr>
              <w:spacing w:before="40" w:after="40" w:line="276" w:lineRule="auto"/>
              <w:ind w:firstLine="0" w:firstLineChars="0"/>
              <w:jc w:val="left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防护区内任一感烟探测器报警</w:t>
            </w:r>
          </w:p>
        </w:tc>
        <w:tc>
          <w:tcPr>
            <w:tcW w:w="3969" w:type="dxa"/>
            <w:vAlign w:val="center"/>
          </w:tcPr>
          <w:p w14:paraId="77387AEF">
            <w:pPr>
              <w:spacing w:before="40" w:after="40" w:line="276" w:lineRule="auto"/>
              <w:ind w:firstLine="0" w:firstLineChars="0"/>
              <w:jc w:val="left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启动防护区内声光警报器，火灾报警控制器显示报警部位</w:t>
            </w:r>
          </w:p>
        </w:tc>
        <w:tc>
          <w:tcPr>
            <w:tcW w:w="1928" w:type="dxa"/>
            <w:vAlign w:val="center"/>
          </w:tcPr>
          <w:p w14:paraId="6C167DAF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立即</w:t>
            </w:r>
          </w:p>
        </w:tc>
      </w:tr>
      <w:tr w14:paraId="44B2F34A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0" w:type="dxa"/>
            <w:vAlign w:val="center"/>
          </w:tcPr>
          <w:p w14:paraId="68FF533E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2</w:t>
            </w:r>
          </w:p>
        </w:tc>
        <w:tc>
          <w:tcPr>
            <w:tcW w:w="2608" w:type="dxa"/>
            <w:vAlign w:val="center"/>
          </w:tcPr>
          <w:p w14:paraId="60E7E15E">
            <w:pPr>
              <w:spacing w:before="40" w:after="40" w:line="276" w:lineRule="auto"/>
              <w:ind w:firstLine="0" w:firstLineChars="0"/>
              <w:jc w:val="left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感烟+感温双报警（两独立信号）</w:t>
            </w:r>
          </w:p>
        </w:tc>
        <w:tc>
          <w:tcPr>
            <w:tcW w:w="3969" w:type="dxa"/>
            <w:vAlign w:val="center"/>
          </w:tcPr>
          <w:p w14:paraId="0FA3D93E">
            <w:pPr>
              <w:spacing w:before="40" w:after="40" w:line="276" w:lineRule="auto"/>
              <w:ind w:firstLine="0" w:firstLineChars="0"/>
              <w:jc w:val="left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再次启动声光警报，关闭防护区通风空调、关闭防火门，进入30s延时</w:t>
            </w:r>
          </w:p>
        </w:tc>
        <w:tc>
          <w:tcPr>
            <w:tcW w:w="1928" w:type="dxa"/>
            <w:vAlign w:val="center"/>
          </w:tcPr>
          <w:p w14:paraId="3D57EEB1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延时30s</w:t>
            </w:r>
          </w:p>
        </w:tc>
      </w:tr>
      <w:tr w14:paraId="7E5FF455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0" w:type="dxa"/>
            <w:vAlign w:val="center"/>
          </w:tcPr>
          <w:p w14:paraId="2F723BF2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3</w:t>
            </w:r>
          </w:p>
        </w:tc>
        <w:tc>
          <w:tcPr>
            <w:tcW w:w="2608" w:type="dxa"/>
            <w:vAlign w:val="center"/>
          </w:tcPr>
          <w:p w14:paraId="26156275">
            <w:pPr>
              <w:spacing w:before="40" w:after="40" w:line="276" w:lineRule="auto"/>
              <w:ind w:firstLine="0" w:firstLineChars="0"/>
              <w:jc w:val="left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延时结束（无紧急停止）</w:t>
            </w:r>
          </w:p>
        </w:tc>
        <w:tc>
          <w:tcPr>
            <w:tcW w:w="3969" w:type="dxa"/>
            <w:vAlign w:val="center"/>
          </w:tcPr>
          <w:p w14:paraId="7018508F">
            <w:pPr>
              <w:spacing w:before="40" w:after="40" w:line="276" w:lineRule="auto"/>
              <w:ind w:firstLine="0" w:firstLineChars="0"/>
              <w:jc w:val="left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启动1台柜式全氟己酮灭火装置，喷放全氟己酮</w:t>
            </w:r>
          </w:p>
        </w:tc>
        <w:tc>
          <w:tcPr>
            <w:tcW w:w="1928" w:type="dxa"/>
            <w:vAlign w:val="center"/>
          </w:tcPr>
          <w:p w14:paraId="30D757B6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延时后≤10s喷放完成</w:t>
            </w:r>
          </w:p>
        </w:tc>
      </w:tr>
      <w:tr w14:paraId="08D439B4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0" w:type="dxa"/>
            <w:vAlign w:val="center"/>
          </w:tcPr>
          <w:p w14:paraId="6F5FDDAA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4</w:t>
            </w:r>
          </w:p>
        </w:tc>
        <w:tc>
          <w:tcPr>
            <w:tcW w:w="2608" w:type="dxa"/>
            <w:vAlign w:val="center"/>
          </w:tcPr>
          <w:p w14:paraId="5CE999B1">
            <w:pPr>
              <w:spacing w:before="40" w:after="40" w:line="276" w:lineRule="auto"/>
              <w:ind w:firstLine="0" w:firstLineChars="0"/>
              <w:jc w:val="left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灭火剂喷放完成</w:t>
            </w:r>
          </w:p>
        </w:tc>
        <w:tc>
          <w:tcPr>
            <w:tcW w:w="3969" w:type="dxa"/>
            <w:vAlign w:val="center"/>
          </w:tcPr>
          <w:p w14:paraId="271E9379">
            <w:pPr>
              <w:spacing w:before="40" w:after="40" w:line="276" w:lineRule="auto"/>
              <w:ind w:firstLine="0" w:firstLineChars="0"/>
              <w:jc w:val="left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点亮防护区门口放气指示灯“放气勿入”</w:t>
            </w:r>
          </w:p>
        </w:tc>
        <w:tc>
          <w:tcPr>
            <w:tcW w:w="1928" w:type="dxa"/>
            <w:vAlign w:val="center"/>
          </w:tcPr>
          <w:p w14:paraId="7191D703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喷放后</w:t>
            </w:r>
          </w:p>
        </w:tc>
      </w:tr>
      <w:tr w14:paraId="1B262DDA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0" w:type="dxa"/>
            <w:vAlign w:val="center"/>
          </w:tcPr>
          <w:p w14:paraId="50DE7B6F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5</w:t>
            </w:r>
          </w:p>
        </w:tc>
        <w:tc>
          <w:tcPr>
            <w:tcW w:w="2608" w:type="dxa"/>
            <w:vAlign w:val="center"/>
          </w:tcPr>
          <w:p w14:paraId="3075BB2F">
            <w:pPr>
              <w:spacing w:before="40" w:after="40" w:line="276" w:lineRule="auto"/>
              <w:ind w:firstLine="0" w:firstLineChars="0"/>
              <w:jc w:val="left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可燃气体报警控制器二级报警</w:t>
            </w:r>
          </w:p>
        </w:tc>
        <w:tc>
          <w:tcPr>
            <w:tcW w:w="3969" w:type="dxa"/>
            <w:vAlign w:val="center"/>
          </w:tcPr>
          <w:p w14:paraId="16C08EEE">
            <w:pPr>
              <w:spacing w:before="40" w:after="40" w:line="276" w:lineRule="auto"/>
              <w:ind w:firstLine="0" w:firstLineChars="0"/>
              <w:jc w:val="left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联动启动声光警报、切断电源（经控制器输出接入报警主机）</w:t>
            </w:r>
          </w:p>
        </w:tc>
        <w:tc>
          <w:tcPr>
            <w:tcW w:w="1928" w:type="dxa"/>
            <w:vAlign w:val="center"/>
          </w:tcPr>
          <w:p w14:paraId="16DCF67A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报警后</w:t>
            </w:r>
          </w:p>
        </w:tc>
      </w:tr>
      <w:tr w14:paraId="4F3AC05C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0" w:type="dxa"/>
            <w:vAlign w:val="center"/>
          </w:tcPr>
          <w:p w14:paraId="427AD300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6</w:t>
            </w:r>
          </w:p>
        </w:tc>
        <w:tc>
          <w:tcPr>
            <w:tcW w:w="2608" w:type="dxa"/>
            <w:vAlign w:val="center"/>
          </w:tcPr>
          <w:p w14:paraId="17892561">
            <w:pPr>
              <w:spacing w:before="40" w:after="40" w:line="276" w:lineRule="auto"/>
              <w:ind w:firstLine="0" w:firstLineChars="0"/>
              <w:jc w:val="left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紧急启停按钮/控制器手动启动</w:t>
            </w:r>
          </w:p>
        </w:tc>
        <w:tc>
          <w:tcPr>
            <w:tcW w:w="3969" w:type="dxa"/>
            <w:vAlign w:val="center"/>
          </w:tcPr>
          <w:p w14:paraId="3A760D63">
            <w:pPr>
              <w:spacing w:before="40" w:after="40" w:line="276" w:lineRule="auto"/>
              <w:ind w:firstLine="0" w:firstLineChars="0"/>
              <w:jc w:val="left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直接启动或停止灭火装置</w:t>
            </w:r>
          </w:p>
        </w:tc>
        <w:tc>
          <w:tcPr>
            <w:tcW w:w="1928" w:type="dxa"/>
            <w:vAlign w:val="center"/>
          </w:tcPr>
          <w:p w14:paraId="049E9545">
            <w:pPr>
              <w:spacing w:before="40" w:after="40" w:line="276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1"/>
              </w:rPr>
              <w:t>随时</w:t>
            </w:r>
          </w:p>
        </w:tc>
      </w:tr>
    </w:tbl>
    <w:p w14:paraId="0166E051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6.3  联动要求：</w:t>
      </w:r>
    </w:p>
    <w:p w14:paraId="728A9F80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（1）灭火装置启动前应联动切断防护区内设备电源；</w:t>
      </w:r>
    </w:p>
    <w:p w14:paraId="351748E5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（2）紧急停止按钮应在延时期间有效，一旦喷放不可恢复；</w:t>
      </w:r>
    </w:p>
    <w:p w14:paraId="58FDA153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（3）报警主机应能显示每只探测器的故障、报警状态，并具备历史记录功能；</w:t>
      </w:r>
    </w:p>
    <w:p w14:paraId="53C770DB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（4）联动控制应满足GB 50116-2013及GB 16806-2006的相关要求。</w:t>
      </w:r>
    </w:p>
    <w:p w14:paraId="583B9CF4">
      <w:pPr>
        <w:pStyle w:val="3"/>
        <w:spacing w:before="280" w:after="120" w:line="312" w:lineRule="auto"/>
        <w:jc w:val="left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/>
          <w:color w:val="000000"/>
          <w:sz w:val="32"/>
        </w:rPr>
        <w:t>7  安装施工技术要求</w:t>
      </w:r>
    </w:p>
    <w:p w14:paraId="55776B49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7.1  设备材料：柜式全氟己酮灭火装置、火灾报警控制器、各类探测器、声光警报器、紧急启停按钮等均应选用经消防产品认证检验合格的产品；全氟己酮灭火剂应选用符合要求的合格产品并提供检验报告。</w:t>
      </w:r>
    </w:p>
    <w:p w14:paraId="49891146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7.2  柜式装置安装：安装牢固，喷头朝向正确，喷射方向无障碍物遮挡；瓶组压力表指示正常，充装量满足设计要求；设备铭牌、警示标识齐全。</w:t>
      </w:r>
    </w:p>
    <w:p w14:paraId="44D41A08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7.3  探测器安装：感烟、感温探测器安装于顶棚，位置及间距满足规范要求；可燃气体探测器安装于顶部距顶棚30~60cm；接线可靠，回路导通，地址编码正确。</w:t>
      </w:r>
    </w:p>
    <w:p w14:paraId="2DF525E4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7.4  管线敷设：报警及联动线路穿金属管或阻燃线槽敷设，与动力线路分开，强弱电分离；信号线路接地、屏蔽符合要求。</w:t>
      </w:r>
    </w:p>
    <w:p w14:paraId="6DFF9DF0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7.5  安全措施：施工期间对房间内设备采取隔离防护措施，动火作业办理审批手续。</w:t>
      </w:r>
    </w:p>
    <w:p w14:paraId="2BB18166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7.6  施工及验收执行GB 50166-2019《火灾自动报警系统施工及验收标准》等有关规定。</w:t>
      </w:r>
    </w:p>
    <w:p w14:paraId="357D98E9">
      <w:pPr>
        <w:pStyle w:val="3"/>
        <w:spacing w:before="280" w:after="120" w:line="312" w:lineRule="auto"/>
        <w:jc w:val="left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/>
          <w:color w:val="000000"/>
          <w:sz w:val="32"/>
        </w:rPr>
        <w:t>8  调试与验收要求</w:t>
      </w:r>
    </w:p>
    <w:p w14:paraId="1A5A3805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8.1  调试内容：逐只探测器加烟、加温、加气试验，验证报警、联动、延时、喷放启动、放气指示等全流程功能。</w:t>
      </w:r>
    </w:p>
    <w:p w14:paraId="7301EA6A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8.2  系统调试完成后，应进行系统联动试验，验证下列功能：</w:t>
      </w:r>
    </w:p>
    <w:p w14:paraId="0F29F803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（1）探测器报警及报警主机显示；</w:t>
      </w:r>
    </w:p>
    <w:p w14:paraId="3224C8EF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（2）声光警报、放气指示灯动作；</w:t>
      </w:r>
    </w:p>
    <w:p w14:paraId="1A9D216B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（3）延时、紧急停止、喷放启动全流程；</w:t>
      </w:r>
    </w:p>
    <w:p w14:paraId="58972F80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（4）可燃气体探测报警及联动；</w:t>
      </w:r>
    </w:p>
    <w:p w14:paraId="1802E5CE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（5）手动启动/机械应急启动。</w:t>
      </w:r>
    </w:p>
    <w:p w14:paraId="4FF7DAB2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8.3  验收标准：系统安装、调试及验收执行GB 50166-2019、GB 50116-2013、T/CFPA 054-2026等现行标准，并配合招标人通过消防验收。</w:t>
      </w:r>
    </w:p>
    <w:p w14:paraId="4E6026DB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8.4  中标人应提供完整的调试记录、试验报告及验收资料。</w:t>
      </w:r>
    </w:p>
    <w:p w14:paraId="4F3C99BB">
      <w:pPr>
        <w:pStyle w:val="3"/>
        <w:spacing w:before="280" w:after="120" w:line="312" w:lineRule="auto"/>
        <w:jc w:val="left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/>
          <w:color w:val="000000"/>
          <w:sz w:val="32"/>
        </w:rPr>
        <w:t>9  技术资料交付</w:t>
      </w:r>
    </w:p>
    <w:p w14:paraId="1FBA7EE1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中标人应交付以下技术资料（纸质版及电子版各一套）：</w:t>
      </w:r>
    </w:p>
    <w:p w14:paraId="2A9F40B1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（1）深化设计图纸（含平面布置图、系统图、接线图）及竣工图；</w:t>
      </w:r>
    </w:p>
    <w:p w14:paraId="5F2BDC1E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（2）产品说明书、操作手册、维护保养手册；</w:t>
      </w:r>
    </w:p>
    <w:p w14:paraId="5C47E0D4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（3）设备检验报告、认证证书；</w:t>
      </w:r>
    </w:p>
    <w:p w14:paraId="7635248C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（4）调试记录、联动试验报告、验收资料；</w:t>
      </w:r>
    </w:p>
    <w:p w14:paraId="2EA62420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（5）主要设备合格证、保修卡等。</w:t>
      </w:r>
    </w:p>
    <w:p w14:paraId="2FAC5DB1">
      <w:pPr>
        <w:pStyle w:val="3"/>
        <w:spacing w:before="280" w:after="120" w:line="312" w:lineRule="auto"/>
        <w:jc w:val="left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/>
          <w:color w:val="000000"/>
          <w:sz w:val="32"/>
        </w:rPr>
        <w:t>10  技术培训与售后服务</w:t>
      </w:r>
    </w:p>
    <w:p w14:paraId="54554B50">
      <w:pPr>
        <w:pStyle w:val="4"/>
        <w:spacing w:before="220" w:after="100" w:line="312" w:lineRule="auto"/>
        <w:jc w:val="left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/>
          <w:color w:val="000000"/>
          <w:sz w:val="28"/>
        </w:rPr>
        <w:t>10.1  技术培训</w:t>
      </w:r>
    </w:p>
    <w:p w14:paraId="6B99EBE1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中标人应对招标人运行维护人员进行系统操作、日常维护及应急处置培训，确保其能独立操作和维护系统，培训内容包括但不限于：系统工作原理、操作流程、维护保养要求、故障处理及应急操作。</w:t>
      </w:r>
    </w:p>
    <w:p w14:paraId="5B3D35AC">
      <w:pPr>
        <w:pStyle w:val="4"/>
        <w:spacing w:before="220" w:after="100" w:line="312" w:lineRule="auto"/>
        <w:jc w:val="left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/>
          <w:color w:val="000000"/>
          <w:sz w:val="28"/>
        </w:rPr>
        <w:t>10.2  质保期</w:t>
      </w:r>
    </w:p>
    <w:p w14:paraId="71D7E8FB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自系统验收合格之日起，质保期不少于【</w:t>
      </w:r>
      <w:r>
        <w:rPr>
          <w:rFonts w:hint="default" w:ascii="Times New Roman" w:hAnsi="Times New Roman" w:eastAsia="宋体" w:cs="Times New Roman"/>
          <w:b w:val="0"/>
          <w:sz w:val="24"/>
          <w:lang w:val="en-US" w:eastAsia="zh-CN"/>
        </w:rPr>
        <w:t>12</w:t>
      </w:r>
      <w:r>
        <w:rPr>
          <w:rFonts w:hint="default" w:ascii="Times New Roman" w:hAnsi="Times New Roman" w:eastAsia="宋体" w:cs="Times New Roman"/>
          <w:b w:val="0"/>
          <w:sz w:val="24"/>
        </w:rPr>
        <w:t>】个月。质保期内因产品质量或安装质量原因发生的故障，由中标人免费维修、更换。</w:t>
      </w:r>
    </w:p>
    <w:p w14:paraId="1D7697E7">
      <w:pPr>
        <w:pStyle w:val="4"/>
        <w:spacing w:before="220" w:after="100" w:line="312" w:lineRule="auto"/>
        <w:jc w:val="left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b/>
          <w:color w:val="000000"/>
          <w:sz w:val="28"/>
        </w:rPr>
        <w:t>10.3  售后服务</w:t>
      </w:r>
    </w:p>
    <w:p w14:paraId="0C3626EB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  <w:b w:val="0"/>
          <w:sz w:val="24"/>
        </w:rPr>
      </w:pPr>
      <w:r>
        <w:rPr>
          <w:rFonts w:hint="default" w:ascii="Times New Roman" w:hAnsi="Times New Roman" w:eastAsia="宋体" w:cs="Times New Roman"/>
          <w:b w:val="0"/>
          <w:sz w:val="24"/>
        </w:rPr>
        <w:t>质保期内及质保期满后，中标人应提供及时的技术支持和维修服务；系统发生故障时，应在【</w:t>
      </w:r>
      <w:r>
        <w:rPr>
          <w:rFonts w:hint="default" w:ascii="Times New Roman" w:hAnsi="Times New Roman" w:eastAsia="宋体" w:cs="Times New Roman"/>
          <w:b w:val="0"/>
          <w:sz w:val="24"/>
          <w:lang w:val="en-US" w:eastAsia="zh-CN"/>
        </w:rPr>
        <w:t>24</w:t>
      </w:r>
      <w:r>
        <w:rPr>
          <w:rFonts w:hint="default" w:ascii="Times New Roman" w:hAnsi="Times New Roman" w:eastAsia="宋体" w:cs="Times New Roman"/>
          <w:b w:val="0"/>
          <w:sz w:val="24"/>
        </w:rPr>
        <w:t>】小时内响应，【</w:t>
      </w:r>
      <w:r>
        <w:rPr>
          <w:rFonts w:hint="default" w:ascii="Times New Roman" w:hAnsi="Times New Roman" w:eastAsia="宋体" w:cs="Times New Roman"/>
          <w:b w:val="0"/>
          <w:sz w:val="24"/>
          <w:lang w:val="en-US" w:eastAsia="zh-CN"/>
        </w:rPr>
        <w:t>48</w:t>
      </w:r>
      <w:r>
        <w:rPr>
          <w:rFonts w:hint="default" w:ascii="Times New Roman" w:hAnsi="Times New Roman" w:eastAsia="宋体" w:cs="Times New Roman"/>
          <w:b w:val="0"/>
          <w:sz w:val="24"/>
        </w:rPr>
        <w:t>】小时内到场处理，并保证常用备品备件的及时供应。</w:t>
      </w:r>
    </w:p>
    <w:p w14:paraId="0FBFA271">
      <w:pPr>
        <w:spacing w:before="0" w:after="0" w:line="360" w:lineRule="auto"/>
        <w:ind w:firstLine="480" w:firstLineChars="200"/>
        <w:jc w:val="both"/>
        <w:rPr>
          <w:rFonts w:hint="default" w:ascii="Times New Roman" w:hAnsi="Times New Roman" w:eastAsia="宋体" w:cs="Times New Roman"/>
          <w:b w:val="0"/>
          <w:sz w:val="24"/>
          <w:lang w:val="en-US" w:eastAsia="zh-CN"/>
        </w:rPr>
        <w:sectPr>
          <w:footerReference r:id="rId5" w:type="default"/>
          <w:pgSz w:w="11906" w:h="16838"/>
          <w:pgMar w:top="1417" w:right="1417" w:bottom="1417" w:left="1417" w:header="720" w:footer="720" w:gutter="0"/>
          <w:pgNumType w:start="1"/>
          <w:cols w:space="720" w:num="1"/>
          <w:docGrid w:linePitch="360" w:charSpace="0"/>
        </w:sectPr>
      </w:pPr>
      <w:r>
        <w:rPr>
          <w:rFonts w:hint="eastAsia" w:ascii="Times New Roman" w:hAnsi="Times New Roman" w:eastAsia="宋体" w:cs="Times New Roman"/>
          <w:b w:val="0"/>
          <w:sz w:val="24"/>
          <w:lang w:val="en-US" w:eastAsia="zh-CN"/>
        </w:rPr>
        <w:t>中标人应配合招标人对所提供的产品开展3年的年检工作，并提交</w:t>
      </w:r>
      <w:r>
        <w:rPr>
          <w:rFonts w:hint="default" w:cs="Times New Roman"/>
          <w:b w:val="0"/>
          <w:sz w:val="24"/>
          <w:lang w:eastAsia="zh-CN"/>
          <w:woUserID w:val="1"/>
        </w:rPr>
        <w:t>检测</w:t>
      </w:r>
      <w:r>
        <w:rPr>
          <w:rFonts w:hint="eastAsia" w:ascii="Times New Roman" w:hAnsi="Times New Roman" w:eastAsia="宋体" w:cs="Times New Roman"/>
          <w:b w:val="0"/>
          <w:sz w:val="24"/>
          <w:lang w:val="en-US" w:eastAsia="zh-CN"/>
        </w:rPr>
        <w:t>报告。</w:t>
      </w:r>
    </w:p>
    <w:p w14:paraId="30B667D4">
      <w:pPr>
        <w:spacing w:before="0" w:after="0" w:line="360" w:lineRule="auto"/>
        <w:jc w:val="both"/>
        <w:rPr>
          <w:rFonts w:hint="default" w:ascii="Times New Roman" w:hAnsi="Times New Roman" w:eastAsia="宋体" w:cs="Times New Roman"/>
          <w:b w:val="0"/>
          <w:sz w:val="24"/>
          <w:szCs w:val="22"/>
          <w:lang w:val="en-US" w:eastAsia="zh-CN"/>
        </w:rPr>
      </w:pPr>
      <w:r>
        <w:rPr>
          <w:rFonts w:hint="eastAsia" w:cs="Times New Roman"/>
          <w:b w:val="0"/>
          <w:sz w:val="24"/>
          <w:szCs w:val="22"/>
          <w:lang w:val="en-US" w:eastAsia="zh-CN"/>
        </w:rPr>
        <w:t>附件1：项目图纸（红色框位置为项目地点）</w:t>
      </w:r>
    </w:p>
    <w:p w14:paraId="5D4FC264">
      <w:pPr>
        <w:spacing w:before="0" w:after="0" w:line="360" w:lineRule="auto"/>
        <w:ind w:firstLine="480" w:firstLineChars="200"/>
        <w:jc w:val="center"/>
        <w:rPr>
          <w:rFonts w:hint="default" w:ascii="Times New Roman" w:hAnsi="Times New Roman" w:eastAsia="宋体" w:cs="Times New Roma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2676525</wp:posOffset>
                </wp:positionH>
                <wp:positionV relativeFrom="paragraph">
                  <wp:posOffset>684530</wp:posOffset>
                </wp:positionV>
                <wp:extent cx="577850" cy="678180"/>
                <wp:effectExtent l="52705" t="29845" r="55245" b="8255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76320" y="1880235"/>
                          <a:ext cx="577850" cy="67818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10.75pt;margin-top:53.9pt;height:53.4pt;width:45.5pt;z-index:251660288;v-text-anchor:middle;mso-width-relative:page;mso-height-relative:page;" filled="f" stroked="t" coordsize="21600,21600" o:gfxdata="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">
                <v:fill on="f" focussize="0,0"/>
                <v:stroke weight="3pt" color="#C00000 [3204]" joinstyle="round"/>
                <v:imagedata o:title=""/>
                <o:lock v:ext="edit" aspectratio="f"/>
                <v:shadow on="t" color="#000000" opacity="22937f" offset="0pt,1.81102362204724pt" origin="0f,32768f" matrix="65536f,0f,0f,65536f"/>
              </v:rect>
            </w:pict>
          </mc:Fallback>
        </mc:AlternateContent>
      </w:r>
      <w:r>
        <w:drawing>
          <wp:inline distT="0" distB="0" distL="114300" distR="114300">
            <wp:extent cx="7668260" cy="5426075"/>
            <wp:effectExtent l="0" t="0" r="8890" b="31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68260" cy="542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6838" w:h="11906" w:orient="landscape"/>
      <w:pgMar w:top="1417" w:right="1417" w:bottom="1417" w:left="1417" w:header="720" w:footer="720" w:gutter="0"/>
      <w:pgNumType w:start="1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Yu Gothic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704ABB8">
    <w:pPr>
      <w:pStyle w:val="24"/>
      <w:jc w:val="center"/>
    </w:pPr>
    <w:r>
      <w:rPr>
        <w:rFonts w:ascii="Times New Roman" w:hAnsi="Times New Roman" w:eastAsia="宋体"/>
        <w:b w:val="0"/>
        <w:sz w:val="21"/>
      </w:rPr>
      <w:fldChar w:fldCharType="begin"/>
    </w:r>
    <w:r>
      <w:rPr>
        <w:rFonts w:ascii="Times New Roman" w:hAnsi="Times New Roman" w:eastAsia="宋体"/>
        <w:b w:val="0"/>
        <w:sz w:val="21"/>
      </w:rPr>
      <w:instrText xml:space="preserve"> PAGE </w:instrText>
    </w:r>
    <w:r>
      <w:rPr>
        <w:rFonts w:ascii="Times New Roman" w:hAnsi="Times New Roman" w:eastAsia="宋体"/>
        <w:b w:val="0"/>
        <w:sz w:val="21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</w:pPr>
      <w:r>
        <w:separator/>
      </w:r>
    </w:p>
  </w:footnote>
  <w:footnote w:type="continuationSeparator" w:id="1">
    <w:p>
      <w:pPr>
        <w:spacing w:before="0" w:after="0"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04513BA5"/>
    <w:rsid w:val="053354E9"/>
    <w:rsid w:val="0C9C593D"/>
    <w:rsid w:val="0D9D0734"/>
    <w:rsid w:val="10540494"/>
    <w:rsid w:val="133253C2"/>
    <w:rsid w:val="1F535FF1"/>
    <w:rsid w:val="202D3756"/>
    <w:rsid w:val="20B816B5"/>
    <w:rsid w:val="26AA787D"/>
    <w:rsid w:val="2A1E4926"/>
    <w:rsid w:val="31447BE1"/>
    <w:rsid w:val="315B2562"/>
    <w:rsid w:val="34745AFB"/>
    <w:rsid w:val="39D82D71"/>
    <w:rsid w:val="3A6D4BEB"/>
    <w:rsid w:val="46D973C9"/>
    <w:rsid w:val="47BA7D3C"/>
    <w:rsid w:val="49651627"/>
    <w:rsid w:val="4C087FCB"/>
    <w:rsid w:val="4C1D713C"/>
    <w:rsid w:val="53113CD6"/>
    <w:rsid w:val="5D907F8D"/>
    <w:rsid w:val="638A155C"/>
    <w:rsid w:val="64053424"/>
    <w:rsid w:val="66030CEB"/>
    <w:rsid w:val="6CBC5B71"/>
    <w:rsid w:val="6D167504"/>
    <w:rsid w:val="6DB15184"/>
    <w:rsid w:val="6E557E91"/>
    <w:rsid w:val="711C739F"/>
    <w:rsid w:val="7EA67DD6"/>
    <w:rsid w:val="7F795BB0"/>
    <w:rsid w:val="B5CA9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before="0" w:after="0" w:line="360" w:lineRule="auto"/>
    </w:pPr>
    <w:rPr>
      <w:rFonts w:ascii="Times New Roman" w:hAnsi="Times New Roman" w:eastAsia="宋体" w:cstheme="minorBidi"/>
      <w:sz w:val="24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000000"/>
      <w:sz w:val="32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000000"/>
      <w:sz w:val="28"/>
      <w:szCs w:val="26"/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000000"/>
      <w:sz w:val="24"/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qFormat/>
    <w:uiPriority w:val="1"/>
  </w:style>
  <w:style w:type="table" w:default="1" w:styleId="3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qFormat/>
    <w:uiPriority w:val="99"/>
    <w:pPr>
      <w:spacing w:after="120"/>
    </w:pPr>
  </w:style>
  <w:style w:type="paragraph" w:styleId="20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qFormat/>
    <w:uiPriority w:val="99"/>
    <w:pPr>
      <w:spacing w:after="120" w:line="480" w:lineRule="auto"/>
    </w:pPr>
  </w:style>
  <w:style w:type="paragraph" w:styleId="29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b/>
      <w:color w:val="000000"/>
      <w:spacing w:val="5"/>
      <w:kern w:val="28"/>
      <w:sz w:val="36"/>
      <w:szCs w:val="52"/>
    </w:rPr>
  </w:style>
  <w:style w:type="table" w:styleId="33">
    <w:name w:val="Table Grid"/>
    <w:basedOn w:val="3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qFormat/>
    <w:uiPriority w:val="99"/>
  </w:style>
  <w:style w:type="character" w:customStyle="1" w:styleId="136">
    <w:name w:val="Footer Char"/>
    <w:basedOn w:val="132"/>
    <w:link w:val="24"/>
    <w:qFormat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32"/>
    <w:link w:val="19"/>
    <w:qFormat/>
    <w:uiPriority w:val="99"/>
  </w:style>
  <w:style w:type="character" w:customStyle="1" w:styleId="145">
    <w:name w:val="Body Text 2 Char"/>
    <w:basedOn w:val="132"/>
    <w:link w:val="28"/>
    <w:qFormat/>
    <w:uiPriority w:val="99"/>
  </w:style>
  <w:style w:type="character" w:customStyle="1" w:styleId="146">
    <w:name w:val="Body Text 3 Char"/>
    <w:basedOn w:val="132"/>
    <w:link w:val="17"/>
    <w:qFormat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qFormat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2.png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tyleName="APA" SelectedStyle="/APA.XSL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11</Pages>
  <Words>1268</Words>
  <Characters>1435</Characters>
  <Lines>0</Lines>
  <Paragraphs>0</Paragraphs>
  <TotalTime>11</TotalTime>
  <ScaleCrop>false</ScaleCrop>
  <LinksUpToDate>false</LinksUpToDate>
  <CharactersWithSpaces>1480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2013-12-24T07:15:00Z</dcterms:created>
  <dc:creator>python-docx</dc:creator>
  <dc:description>generated by python-docx</dc:description>
  <cp:lastModifiedBy>Administrator</cp:lastModifiedBy>
  <dcterms:modified xsi:type="dcterms:W3CDTF">2026-09-15T00:45:43Z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eyJoZGlkIjoiYWE5MzA1NjcyNDAzMzg5OTk0ZDYxZjk0NmU0OTkwYWMiLCJ1c2VySWQiOiI1NjgxNTYzIn0=</vt:lpwstr>
  </property>
  <property fmtid="{D5CDD505-2E9C-101B-9397-08002B2CF9AE}" pid="3" name="KSOProductBuildVer">
    <vt:lpwstr>2052-12.1.0.23125</vt:lpwstr>
  </property>
  <property fmtid="{D5CDD505-2E9C-101B-9397-08002B2CF9AE}" pid="4" name="ICV">
    <vt:lpwstr>CF4C1705B60E450A9BE86289D21DFFA1_12</vt:lpwstr>
  </property>
</Properties>
</file>