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510E6CB">
      <w:pPr>
        <w:jc w:val="center"/>
        <w:rPr>
          <w:rFonts w:hint="eastAsia"/>
          <w:b/>
          <w:bCs w:val="0"/>
          <w:sz w:val="32"/>
          <w:szCs w:val="32"/>
        </w:rPr>
      </w:pPr>
      <w:r>
        <w:rPr>
          <w:rFonts w:hint="eastAsia"/>
          <w:b/>
          <w:bCs w:val="0"/>
          <w:sz w:val="32"/>
          <w:szCs w:val="32"/>
          <w:lang w:val="en-US" w:eastAsia="zh-CN"/>
        </w:rPr>
        <w:t>佛山电力调度控制中心光储新能源多协议智能融合网关终端研制项目材料采购</w:t>
      </w:r>
      <w:r>
        <w:rPr>
          <w:rFonts w:hint="eastAsia"/>
          <w:b/>
          <w:bCs w:val="0"/>
          <w:sz w:val="32"/>
          <w:szCs w:val="32"/>
        </w:rPr>
        <w:t>方案</w:t>
      </w:r>
    </w:p>
    <w:p w14:paraId="5FD0640A">
      <w:pPr>
        <w:spacing w:before="156" w:beforeLines="50"/>
        <w:ind w:firstLine="560" w:firstLineChars="200"/>
        <w:rPr>
          <w:rFonts w:ascii="宋体" w:hAnsi="宋体"/>
          <w:i w:val="0"/>
          <w:iCs w:val="0"/>
          <w:sz w:val="28"/>
          <w:szCs w:val="28"/>
        </w:rPr>
      </w:pPr>
      <w:r>
        <w:rPr>
          <w:rFonts w:hint="eastAsia" w:ascii="宋体" w:hAnsi="宋体"/>
          <w:i w:val="0"/>
          <w:iCs w:val="0"/>
          <w:sz w:val="28"/>
          <w:szCs w:val="28"/>
        </w:rPr>
        <w:t>现对开展“光储新能源多协议智能融合网关终端研制”</w:t>
      </w:r>
      <w:r>
        <w:rPr>
          <w:rFonts w:hint="eastAsia" w:ascii="宋体" w:hAnsi="宋体"/>
          <w:i w:val="0"/>
          <w:iCs w:val="0"/>
          <w:sz w:val="28"/>
          <w:szCs w:val="28"/>
          <w:lang w:eastAsia="zh-CN"/>
        </w:rPr>
        <w:t>职创</w:t>
      </w:r>
      <w:r>
        <w:rPr>
          <w:rFonts w:hint="eastAsia" w:ascii="宋体" w:hAnsi="宋体"/>
          <w:i w:val="0"/>
          <w:iCs w:val="0"/>
          <w:sz w:val="28"/>
          <w:szCs w:val="28"/>
        </w:rPr>
        <w:t>项目</w:t>
      </w:r>
      <w:r>
        <w:rPr>
          <w:rFonts w:hint="eastAsia" w:ascii="宋体" w:hAnsi="宋体"/>
          <w:i w:val="0"/>
          <w:iCs w:val="0"/>
          <w:sz w:val="28"/>
          <w:szCs w:val="28"/>
          <w:lang w:val="en-US" w:eastAsia="zh-CN"/>
        </w:rPr>
        <w:t>中的材料费</w:t>
      </w:r>
      <w:r>
        <w:rPr>
          <w:rFonts w:hint="eastAsia" w:ascii="宋体" w:hAnsi="宋体"/>
          <w:i w:val="0"/>
          <w:iCs w:val="0"/>
          <w:sz w:val="28"/>
          <w:szCs w:val="28"/>
        </w:rPr>
        <w:t>进行零星采购，制订本方案如下：</w:t>
      </w:r>
    </w:p>
    <w:p w14:paraId="75DC0049">
      <w:pPr>
        <w:numPr>
          <w:ilvl w:val="0"/>
          <w:numId w:val="1"/>
        </w:numPr>
        <w:ind w:left="1281"/>
        <w:outlineLvl w:val="0"/>
        <w:rPr>
          <w:rFonts w:hint="default" w:ascii="宋体" w:hAnsi="宋体"/>
          <w:sz w:val="28"/>
          <w:szCs w:val="28"/>
          <w:lang w:val="en-US"/>
        </w:rPr>
      </w:pPr>
      <w:r>
        <w:rPr>
          <w:rFonts w:ascii="宋体" w:hAnsi="宋体"/>
          <w:sz w:val="28"/>
          <w:szCs w:val="28"/>
        </w:rPr>
        <w:t>项目</w:t>
      </w:r>
      <w:r>
        <w:rPr>
          <w:rFonts w:hint="eastAsia" w:ascii="宋体" w:hAnsi="宋体"/>
          <w:sz w:val="28"/>
          <w:szCs w:val="28"/>
          <w:lang w:val="en-US" w:eastAsia="zh-CN"/>
        </w:rPr>
        <w:t>基本情况</w:t>
      </w:r>
    </w:p>
    <w:p w14:paraId="6F623F04">
      <w:pPr>
        <w:numPr>
          <w:ilvl w:val="0"/>
          <w:numId w:val="2"/>
        </w:numPr>
        <w:ind w:firstLine="560" w:firstLineChars="200"/>
        <w:rPr>
          <w:rFonts w:hint="eastAsia" w:ascii="宋体" w:hAnsi="宋体"/>
          <w:sz w:val="28"/>
          <w:szCs w:val="28"/>
        </w:rPr>
      </w:pPr>
      <w:r>
        <w:rPr>
          <w:rFonts w:ascii="宋体" w:hAnsi="宋体"/>
          <w:sz w:val="28"/>
          <w:szCs w:val="28"/>
        </w:rPr>
        <w:t>项目概述</w:t>
      </w:r>
      <w:r>
        <w:rPr>
          <w:rFonts w:hint="eastAsia" w:ascii="宋体" w:hAnsi="宋体"/>
          <w:sz w:val="28"/>
          <w:szCs w:val="28"/>
        </w:rPr>
        <w:t>：</w:t>
      </w:r>
    </w:p>
    <w:tbl>
      <w:tblPr>
        <w:tblStyle w:val="5"/>
        <w:tblW w:w="9886" w:type="dxa"/>
        <w:tblInd w:w="-47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26"/>
        <w:gridCol w:w="1833"/>
        <w:gridCol w:w="1050"/>
        <w:gridCol w:w="1009"/>
        <w:gridCol w:w="1405"/>
        <w:gridCol w:w="1104"/>
        <w:gridCol w:w="1459"/>
      </w:tblGrid>
      <w:tr w14:paraId="343D37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6" w:hRule="atLeast"/>
        </w:trPr>
        <w:tc>
          <w:tcPr>
            <w:tcW w:w="2026" w:type="dxa"/>
            <w:vMerge w:val="restart"/>
            <w:noWrap w:val="0"/>
            <w:vAlign w:val="center"/>
          </w:tcPr>
          <w:p w14:paraId="511600D2">
            <w:pPr>
              <w:adjustRightInd w:val="0"/>
              <w:snapToGrid w:val="0"/>
              <w:spacing w:before="312"/>
              <w:jc w:val="center"/>
              <w:rPr>
                <w:rFonts w:hint="default" w:ascii="宋体" w:hAnsi="宋体" w:eastAsia="宋体"/>
                <w:b/>
                <w:bCs/>
                <w:color w:val="auto"/>
                <w:szCs w:val="21"/>
                <w:highlight w:val="none"/>
                <w:lang w:val="en-US" w:eastAsia="zh-CN"/>
              </w:rPr>
            </w:pPr>
            <w:bookmarkStart w:id="0" w:name="_GoBack"/>
            <w:bookmarkEnd w:id="0"/>
            <w:r>
              <w:rPr>
                <w:rFonts w:hint="eastAsia" w:ascii="宋体" w:hAnsi="宋体"/>
                <w:b/>
                <w:bCs/>
                <w:color w:val="auto"/>
                <w:szCs w:val="21"/>
                <w:highlight w:val="none"/>
                <w:lang w:val="en-US" w:eastAsia="zh-CN"/>
              </w:rPr>
              <w:t>项目基本情况</w:t>
            </w:r>
          </w:p>
        </w:tc>
        <w:tc>
          <w:tcPr>
            <w:tcW w:w="1833" w:type="dxa"/>
            <w:noWrap w:val="0"/>
            <w:vAlign w:val="center"/>
          </w:tcPr>
          <w:p w14:paraId="2640036B">
            <w:pPr>
              <w:adjustRightInd w:val="0"/>
              <w:snapToGrid w:val="0"/>
              <w:rPr>
                <w:rFonts w:hint="default" w:ascii="宋体" w:hAnsi="宋体" w:eastAsia="宋体"/>
                <w:b/>
                <w:bCs/>
                <w:color w:val="auto"/>
                <w:szCs w:val="21"/>
                <w:highlight w:val="none"/>
                <w:lang w:val="en-US" w:eastAsia="zh-CN"/>
              </w:rPr>
            </w:pPr>
            <w:r>
              <w:rPr>
                <w:rFonts w:hint="eastAsia" w:ascii="宋体" w:hAnsi="宋体"/>
                <w:b/>
                <w:bCs/>
                <w:color w:val="auto"/>
                <w:szCs w:val="21"/>
                <w:highlight w:val="none"/>
                <w:lang w:val="en-US" w:eastAsia="zh-CN"/>
              </w:rPr>
              <w:t>项目名称</w:t>
            </w:r>
          </w:p>
        </w:tc>
        <w:tc>
          <w:tcPr>
            <w:tcW w:w="6027" w:type="dxa"/>
            <w:gridSpan w:val="5"/>
            <w:noWrap w:val="0"/>
            <w:vAlign w:val="center"/>
          </w:tcPr>
          <w:p w14:paraId="5F957BF2">
            <w:pPr>
              <w:adjustRightInd w:val="0"/>
              <w:snapToGrid w:val="0"/>
              <w:rPr>
                <w:rFonts w:hint="eastAsia" w:ascii="宋体" w:hAnsi="宋体"/>
                <w:color w:val="auto"/>
                <w:szCs w:val="21"/>
                <w:highlight w:val="none"/>
              </w:rPr>
            </w:pPr>
            <w:r>
              <w:rPr>
                <w:rFonts w:hint="eastAsia" w:ascii="宋体" w:hAnsi="宋体"/>
                <w:color w:val="auto"/>
                <w:szCs w:val="21"/>
                <w:highlight w:val="none"/>
              </w:rPr>
              <w:t>光储新能源多协议智能融合网关终端研制</w:t>
            </w:r>
          </w:p>
        </w:tc>
      </w:tr>
      <w:tr w14:paraId="196AEC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4" w:hRule="atLeast"/>
        </w:trPr>
        <w:tc>
          <w:tcPr>
            <w:tcW w:w="2026" w:type="dxa"/>
            <w:vMerge w:val="continue"/>
            <w:noWrap w:val="0"/>
            <w:vAlign w:val="center"/>
          </w:tcPr>
          <w:p w14:paraId="36ECD9ED">
            <w:pPr>
              <w:adjustRightInd w:val="0"/>
              <w:snapToGrid w:val="0"/>
              <w:spacing w:before="312"/>
              <w:jc w:val="center"/>
              <w:rPr>
                <w:rFonts w:hint="eastAsia" w:ascii="宋体" w:hAnsi="宋体"/>
                <w:color w:val="auto"/>
                <w:szCs w:val="21"/>
                <w:highlight w:val="none"/>
              </w:rPr>
            </w:pPr>
          </w:p>
        </w:tc>
        <w:tc>
          <w:tcPr>
            <w:tcW w:w="1833" w:type="dxa"/>
            <w:noWrap w:val="0"/>
            <w:vAlign w:val="center"/>
          </w:tcPr>
          <w:p w14:paraId="3B3335FE">
            <w:pPr>
              <w:adjustRightInd w:val="0"/>
              <w:snapToGrid w:val="0"/>
              <w:rPr>
                <w:rFonts w:hint="default" w:ascii="宋体" w:hAnsi="宋体" w:eastAsia="宋体"/>
                <w:b/>
                <w:bCs/>
                <w:color w:val="auto"/>
                <w:szCs w:val="21"/>
                <w:highlight w:val="none"/>
                <w:lang w:val="en-US" w:eastAsia="zh-CN"/>
              </w:rPr>
            </w:pPr>
            <w:r>
              <w:rPr>
                <w:rFonts w:hint="eastAsia" w:ascii="宋体" w:hAnsi="宋体"/>
                <w:b/>
                <w:bCs/>
                <w:color w:val="auto"/>
                <w:szCs w:val="21"/>
                <w:highlight w:val="none"/>
                <w:lang w:val="en-US" w:eastAsia="zh-CN"/>
              </w:rPr>
              <w:t>项目性质</w:t>
            </w:r>
          </w:p>
        </w:tc>
        <w:tc>
          <w:tcPr>
            <w:tcW w:w="6027" w:type="dxa"/>
            <w:gridSpan w:val="5"/>
            <w:noWrap w:val="0"/>
            <w:vAlign w:val="center"/>
          </w:tcPr>
          <w:p w14:paraId="65ED268F">
            <w:pPr>
              <w:adjustRightInd w:val="0"/>
              <w:snapToGrid w:val="0"/>
              <w:rPr>
                <w:rFonts w:hint="default" w:ascii="宋体" w:hAnsi="宋体" w:eastAsia="宋体"/>
                <w:color w:val="auto"/>
                <w:szCs w:val="21"/>
                <w:highlight w:val="none"/>
                <w:lang w:val="en-US" w:eastAsia="zh-CN"/>
              </w:rPr>
            </w:pPr>
            <w:r>
              <w:rPr>
                <w:rFonts w:hint="eastAsia" w:ascii="Times New Roman" w:hAnsi="Times New Roman" w:eastAsia="宋体"/>
                <w:color w:val="auto"/>
                <w:sz w:val="24"/>
              </w:rPr>
              <w:t>□</w:t>
            </w:r>
            <w:r>
              <w:rPr>
                <w:rFonts w:hint="eastAsia" w:ascii="Times New Roman" w:hAnsi="Times New Roman"/>
                <w:color w:val="auto"/>
                <w:sz w:val="24"/>
                <w:lang w:val="en-US" w:eastAsia="zh-CN"/>
              </w:rPr>
              <w:t>科技</w:t>
            </w:r>
            <w:r>
              <w:rPr>
                <w:rFonts w:hint="eastAsia" w:ascii="Times New Roman" w:hAnsi="Times New Roman" w:eastAsia="宋体"/>
                <w:color w:val="auto"/>
                <w:sz w:val="24"/>
                <w:lang w:val="en-US" w:eastAsia="zh-CN"/>
              </w:rPr>
              <w:t>项目</w:t>
            </w:r>
            <w:r>
              <w:rPr>
                <w:rFonts w:hint="eastAsia" w:ascii="Times New Roman" w:hAnsi="Times New Roman"/>
                <w:color w:val="auto"/>
                <w:sz w:val="24"/>
                <w:lang w:val="en-US" w:eastAsia="zh-CN"/>
              </w:rPr>
              <w:t xml:space="preserve">    </w:t>
            </w:r>
            <w:r>
              <w:rPr>
                <w:rFonts w:hint="eastAsia" w:ascii="Times New Roman" w:hAnsi="Times New Roman"/>
                <w:color w:val="auto"/>
                <w:sz w:val="24"/>
                <w:lang w:eastAsia="zh-CN"/>
              </w:rPr>
              <w:t>☑</w:t>
            </w:r>
            <w:r>
              <w:rPr>
                <w:rFonts w:hint="eastAsia" w:ascii="Times New Roman" w:hAnsi="Times New Roman" w:eastAsia="宋体"/>
                <w:color w:val="auto"/>
                <w:sz w:val="24"/>
                <w:lang w:val="en-US" w:eastAsia="zh-CN"/>
              </w:rPr>
              <w:t>职创项目</w:t>
            </w:r>
            <w:r>
              <w:rPr>
                <w:rFonts w:hint="eastAsia" w:ascii="Times New Roman" w:hAnsi="Times New Roman"/>
                <w:color w:val="auto"/>
                <w:sz w:val="24"/>
                <w:lang w:val="en-US" w:eastAsia="zh-CN"/>
              </w:rPr>
              <w:t xml:space="preserve">    </w:t>
            </w:r>
            <w:r>
              <w:rPr>
                <w:rFonts w:hint="eastAsia" w:ascii="Times New Roman" w:hAnsi="Times New Roman" w:eastAsia="宋体"/>
                <w:color w:val="auto"/>
                <w:sz w:val="24"/>
              </w:rPr>
              <w:t>□</w:t>
            </w:r>
            <w:r>
              <w:rPr>
                <w:rFonts w:hint="eastAsia" w:ascii="Times New Roman" w:hAnsi="Times New Roman"/>
                <w:color w:val="auto"/>
                <w:sz w:val="24"/>
                <w:lang w:val="en-US" w:eastAsia="zh-CN"/>
              </w:rPr>
              <w:t>其他项目</w:t>
            </w:r>
          </w:p>
        </w:tc>
      </w:tr>
      <w:tr w14:paraId="5D402F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4" w:hRule="atLeast"/>
        </w:trPr>
        <w:tc>
          <w:tcPr>
            <w:tcW w:w="2026" w:type="dxa"/>
            <w:vMerge w:val="continue"/>
            <w:noWrap w:val="0"/>
            <w:vAlign w:val="center"/>
          </w:tcPr>
          <w:p w14:paraId="509A9902">
            <w:pPr>
              <w:adjustRightInd w:val="0"/>
              <w:snapToGrid w:val="0"/>
              <w:spacing w:before="312"/>
              <w:jc w:val="center"/>
              <w:rPr>
                <w:rFonts w:hint="eastAsia" w:ascii="宋体" w:hAnsi="宋体"/>
                <w:color w:val="auto"/>
                <w:szCs w:val="21"/>
                <w:highlight w:val="none"/>
              </w:rPr>
            </w:pPr>
          </w:p>
        </w:tc>
        <w:tc>
          <w:tcPr>
            <w:tcW w:w="1833" w:type="dxa"/>
            <w:noWrap w:val="0"/>
            <w:vAlign w:val="center"/>
          </w:tcPr>
          <w:p w14:paraId="2D50D08D">
            <w:pPr>
              <w:adjustRightInd w:val="0"/>
              <w:snapToGrid w:val="0"/>
              <w:rPr>
                <w:rFonts w:hint="eastAsia" w:ascii="宋体" w:hAnsi="宋体" w:eastAsia="宋体"/>
                <w:b/>
                <w:bCs/>
                <w:color w:val="auto"/>
                <w:kern w:val="2"/>
                <w:sz w:val="21"/>
                <w:szCs w:val="21"/>
                <w:highlight w:val="none"/>
                <w:lang w:val="en-US" w:eastAsia="zh-CN" w:bidi="ar-SA"/>
              </w:rPr>
            </w:pPr>
            <w:r>
              <w:rPr>
                <w:rFonts w:hint="eastAsia" w:ascii="宋体" w:hAnsi="宋体"/>
                <w:b/>
                <w:bCs/>
                <w:color w:val="auto"/>
                <w:szCs w:val="21"/>
                <w:highlight w:val="none"/>
              </w:rPr>
              <w:t>项目编号</w:t>
            </w:r>
          </w:p>
        </w:tc>
        <w:tc>
          <w:tcPr>
            <w:tcW w:w="2059" w:type="dxa"/>
            <w:gridSpan w:val="2"/>
            <w:noWrap w:val="0"/>
            <w:vAlign w:val="center"/>
          </w:tcPr>
          <w:p w14:paraId="7562E9BB">
            <w:pPr>
              <w:jc w:val="center"/>
              <w:rPr>
                <w:rFonts w:hint="eastAsia" w:ascii="宋体" w:hAnsi="宋体" w:eastAsia="宋体"/>
                <w:color w:val="auto"/>
                <w:kern w:val="2"/>
                <w:sz w:val="21"/>
                <w:szCs w:val="21"/>
                <w:highlight w:val="none"/>
                <w:lang w:val="en-US" w:eastAsia="zh-CN" w:bidi="ar-SA"/>
              </w:rPr>
            </w:pPr>
            <w:r>
              <w:rPr>
                <w:rFonts w:hint="eastAsia" w:ascii="宋体" w:hAnsi="宋体" w:eastAsia="宋体"/>
                <w:color w:val="auto"/>
                <w:kern w:val="2"/>
                <w:sz w:val="21"/>
                <w:szCs w:val="21"/>
                <w:highlight w:val="none"/>
                <w:lang w:val="en-US" w:eastAsia="zh-CN" w:bidi="ar-SA"/>
              </w:rPr>
              <w:t>030600KZ25120098</w:t>
            </w:r>
          </w:p>
        </w:tc>
        <w:tc>
          <w:tcPr>
            <w:tcW w:w="2509" w:type="dxa"/>
            <w:gridSpan w:val="2"/>
            <w:noWrap w:val="0"/>
            <w:vAlign w:val="center"/>
          </w:tcPr>
          <w:p w14:paraId="034A06F0">
            <w:pPr>
              <w:adjustRightInd w:val="0"/>
              <w:snapToGrid w:val="0"/>
              <w:rPr>
                <w:rFonts w:hint="eastAsia" w:ascii="宋体" w:hAnsi="宋体" w:eastAsia="宋体"/>
                <w:color w:val="auto"/>
                <w:kern w:val="2"/>
                <w:sz w:val="21"/>
                <w:szCs w:val="21"/>
                <w:highlight w:val="none"/>
                <w:lang w:val="en-US" w:eastAsia="zh-CN" w:bidi="ar-SA"/>
              </w:rPr>
            </w:pPr>
            <w:r>
              <w:rPr>
                <w:rFonts w:hint="eastAsia" w:ascii="宋体" w:hAnsi="宋体"/>
                <w:b/>
                <w:bCs/>
                <w:color w:val="auto"/>
                <w:szCs w:val="21"/>
                <w:highlight w:val="none"/>
              </w:rPr>
              <w:t>项目</w:t>
            </w:r>
            <w:r>
              <w:rPr>
                <w:rFonts w:hint="eastAsia" w:ascii="宋体" w:hAnsi="宋体"/>
                <w:b/>
                <w:bCs/>
                <w:color w:val="auto"/>
                <w:szCs w:val="21"/>
                <w:highlight w:val="none"/>
                <w:lang w:val="en-US" w:eastAsia="zh-CN"/>
              </w:rPr>
              <w:t>总</w:t>
            </w:r>
            <w:r>
              <w:rPr>
                <w:rFonts w:hint="eastAsia" w:ascii="宋体" w:hAnsi="宋体"/>
                <w:b/>
                <w:bCs/>
                <w:color w:val="auto"/>
                <w:szCs w:val="21"/>
                <w:highlight w:val="none"/>
              </w:rPr>
              <w:t>资金</w:t>
            </w:r>
            <w:r>
              <w:rPr>
                <w:rFonts w:hint="eastAsia" w:ascii="宋体" w:hAnsi="宋体"/>
                <w:b/>
                <w:bCs/>
                <w:color w:val="auto"/>
                <w:szCs w:val="21"/>
                <w:highlight w:val="none"/>
                <w:lang w:eastAsia="zh-CN"/>
              </w:rPr>
              <w:t>（</w:t>
            </w:r>
            <w:r>
              <w:rPr>
                <w:rFonts w:hint="eastAsia" w:ascii="宋体" w:hAnsi="宋体"/>
                <w:b/>
                <w:bCs/>
                <w:color w:val="auto"/>
                <w:szCs w:val="21"/>
                <w:highlight w:val="none"/>
                <w:lang w:val="en-US" w:eastAsia="zh-CN"/>
              </w:rPr>
              <w:t>万元</w:t>
            </w:r>
            <w:r>
              <w:rPr>
                <w:rFonts w:hint="eastAsia" w:ascii="宋体" w:hAnsi="宋体"/>
                <w:b/>
                <w:bCs/>
                <w:color w:val="auto"/>
                <w:szCs w:val="21"/>
                <w:highlight w:val="none"/>
                <w:lang w:eastAsia="zh-CN"/>
              </w:rPr>
              <w:t>）</w:t>
            </w:r>
          </w:p>
        </w:tc>
        <w:tc>
          <w:tcPr>
            <w:tcW w:w="1459" w:type="dxa"/>
            <w:noWrap w:val="0"/>
            <w:vAlign w:val="center"/>
          </w:tcPr>
          <w:p w14:paraId="747C8BB3">
            <w:pPr>
              <w:adjustRightInd w:val="0"/>
              <w:snapToGrid w:val="0"/>
              <w:rPr>
                <w:rFonts w:hint="default" w:ascii="宋体" w:hAnsi="宋体" w:eastAsia="宋体"/>
                <w:color w:val="auto"/>
                <w:kern w:val="2"/>
                <w:sz w:val="21"/>
                <w:szCs w:val="21"/>
                <w:highlight w:val="none"/>
                <w:lang w:val="en-US" w:eastAsia="zh-CN" w:bidi="ar-SA"/>
              </w:rPr>
            </w:pPr>
          </w:p>
        </w:tc>
      </w:tr>
      <w:tr w14:paraId="501B30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4" w:hRule="atLeast"/>
          <w:hidden/>
        </w:trPr>
        <w:tc>
          <w:tcPr>
            <w:tcW w:w="2026" w:type="dxa"/>
            <w:noWrap w:val="0"/>
            <w:vAlign w:val="center"/>
          </w:tcPr>
          <w:p w14:paraId="6A243506">
            <w:pPr>
              <w:spacing w:line="360" w:lineRule="exact"/>
              <w:jc w:val="left"/>
              <w:rPr>
                <w:rFonts w:hint="eastAsia" w:ascii="宋体" w:hAnsi="宋体"/>
                <w:b/>
                <w:i w:val="0"/>
                <w:iCs w:val="0"/>
                <w:vanish w:val="0"/>
                <w:szCs w:val="21"/>
              </w:rPr>
            </w:pPr>
            <w:r>
              <w:rPr>
                <w:rFonts w:hint="eastAsia" w:ascii="宋体" w:hAnsi="宋体"/>
                <w:b/>
                <w:i w:val="0"/>
                <w:iCs w:val="0"/>
                <w:vanish w:val="0"/>
                <w:szCs w:val="21"/>
              </w:rPr>
              <w:t>可用预算</w:t>
            </w:r>
            <w:r>
              <w:rPr>
                <w:rFonts w:hint="eastAsia" w:ascii="宋体" w:hAnsi="宋体"/>
                <w:b/>
                <w:i w:val="0"/>
                <w:iCs w:val="0"/>
                <w:vanish w:val="0"/>
                <w:szCs w:val="21"/>
                <w:lang w:eastAsia="zh-CN"/>
              </w:rPr>
              <w:t>（</w:t>
            </w:r>
            <w:r>
              <w:rPr>
                <w:rFonts w:hint="eastAsia" w:ascii="宋体" w:hAnsi="宋体"/>
                <w:b/>
                <w:i w:val="0"/>
                <w:iCs w:val="0"/>
                <w:vanish w:val="0"/>
                <w:szCs w:val="21"/>
                <w:lang w:val="en-US" w:eastAsia="zh-CN"/>
              </w:rPr>
              <w:t>万元</w:t>
            </w:r>
            <w:r>
              <w:rPr>
                <w:rFonts w:hint="eastAsia" w:ascii="宋体" w:hAnsi="宋体"/>
                <w:b/>
                <w:i w:val="0"/>
                <w:iCs w:val="0"/>
                <w:vanish w:val="0"/>
                <w:szCs w:val="21"/>
                <w:lang w:eastAsia="zh-CN"/>
              </w:rPr>
              <w:t>）</w:t>
            </w:r>
            <w:r>
              <w:rPr>
                <w:rFonts w:hint="eastAsia" w:ascii="宋体" w:hAnsi="宋体"/>
                <w:b/>
                <w:i w:val="0"/>
                <w:iCs w:val="0"/>
                <w:vanish w:val="0"/>
                <w:szCs w:val="21"/>
              </w:rPr>
              <w:t>：</w:t>
            </w:r>
          </w:p>
          <w:p w14:paraId="27B91000">
            <w:pPr>
              <w:spacing w:line="360" w:lineRule="exact"/>
              <w:jc w:val="left"/>
              <w:rPr>
                <w:rFonts w:hint="eastAsia" w:ascii="宋体" w:hAnsi="宋体"/>
                <w:i w:val="0"/>
                <w:iCs w:val="0"/>
                <w:color w:val="auto"/>
                <w:szCs w:val="21"/>
                <w:highlight w:val="none"/>
              </w:rPr>
            </w:pPr>
            <w:r>
              <w:rPr>
                <w:rFonts w:hint="eastAsia" w:ascii="宋体" w:hAnsi="宋体" w:cs="Times New Roman"/>
                <w:b/>
                <w:i w:val="0"/>
                <w:iCs w:val="0"/>
                <w:vanish w:val="0"/>
                <w:szCs w:val="21"/>
                <w:lang w:val="en-US" w:eastAsia="zh-CN"/>
              </w:rPr>
              <w:t>测试化验加工</w:t>
            </w:r>
          </w:p>
        </w:tc>
        <w:tc>
          <w:tcPr>
            <w:tcW w:w="2883" w:type="dxa"/>
            <w:gridSpan w:val="2"/>
            <w:noWrap w:val="0"/>
            <w:vAlign w:val="center"/>
          </w:tcPr>
          <w:p w14:paraId="6AE62796">
            <w:pPr>
              <w:adjustRightInd w:val="0"/>
              <w:snapToGrid w:val="0"/>
              <w:rPr>
                <w:rFonts w:hint="default" w:ascii="宋体" w:hAnsi="宋体" w:eastAsia="宋体"/>
                <w:i w:val="0"/>
                <w:iCs w:val="0"/>
                <w:color w:val="auto"/>
                <w:szCs w:val="21"/>
                <w:highlight w:val="none"/>
                <w:lang w:val="en-US" w:eastAsia="zh-CN"/>
              </w:rPr>
            </w:pPr>
          </w:p>
        </w:tc>
        <w:tc>
          <w:tcPr>
            <w:tcW w:w="2414" w:type="dxa"/>
            <w:gridSpan w:val="2"/>
            <w:noWrap w:val="0"/>
            <w:vAlign w:val="center"/>
          </w:tcPr>
          <w:p w14:paraId="29E258AD">
            <w:pPr>
              <w:spacing w:line="360" w:lineRule="exact"/>
              <w:jc w:val="left"/>
              <w:rPr>
                <w:rFonts w:ascii="宋体" w:hAnsi="宋体"/>
                <w:b/>
                <w:i w:val="0"/>
                <w:iCs w:val="0"/>
                <w:vanish w:val="0"/>
                <w:szCs w:val="21"/>
              </w:rPr>
            </w:pPr>
            <w:r>
              <w:rPr>
                <w:rFonts w:hint="eastAsia" w:ascii="宋体" w:hAnsi="宋体"/>
                <w:b/>
                <w:i w:val="0"/>
                <w:iCs w:val="0"/>
                <w:vanish w:val="0"/>
                <w:szCs w:val="21"/>
              </w:rPr>
              <w:t>本次</w:t>
            </w:r>
            <w:r>
              <w:rPr>
                <w:rFonts w:ascii="宋体" w:hAnsi="宋体"/>
                <w:b/>
                <w:i w:val="0"/>
                <w:iCs w:val="0"/>
                <w:vanish w:val="0"/>
                <w:szCs w:val="21"/>
              </w:rPr>
              <w:t>申请</w:t>
            </w:r>
            <w:r>
              <w:rPr>
                <w:rFonts w:hint="eastAsia" w:ascii="宋体" w:hAnsi="宋体"/>
                <w:b/>
                <w:i w:val="0"/>
                <w:iCs w:val="0"/>
                <w:vanish w:val="0"/>
                <w:szCs w:val="21"/>
              </w:rPr>
              <w:t>预算</w:t>
            </w:r>
            <w:r>
              <w:rPr>
                <w:rFonts w:hint="eastAsia" w:ascii="宋体" w:hAnsi="宋体"/>
                <w:b/>
                <w:i w:val="0"/>
                <w:iCs w:val="0"/>
                <w:vanish w:val="0"/>
                <w:szCs w:val="21"/>
                <w:lang w:eastAsia="zh-CN"/>
              </w:rPr>
              <w:t>（</w:t>
            </w:r>
            <w:r>
              <w:rPr>
                <w:rFonts w:hint="eastAsia" w:ascii="宋体" w:hAnsi="宋体"/>
                <w:b/>
                <w:i w:val="0"/>
                <w:iCs w:val="0"/>
                <w:vanish w:val="0"/>
                <w:szCs w:val="21"/>
                <w:lang w:val="en-US" w:eastAsia="zh-CN"/>
              </w:rPr>
              <w:t>万元</w:t>
            </w:r>
            <w:r>
              <w:rPr>
                <w:rFonts w:hint="eastAsia" w:ascii="宋体" w:hAnsi="宋体"/>
                <w:b/>
                <w:i w:val="0"/>
                <w:iCs w:val="0"/>
                <w:vanish w:val="0"/>
                <w:szCs w:val="21"/>
                <w:lang w:eastAsia="zh-CN"/>
              </w:rPr>
              <w:t>）</w:t>
            </w:r>
            <w:r>
              <w:rPr>
                <w:rFonts w:hint="eastAsia" w:ascii="宋体" w:hAnsi="宋体"/>
                <w:b/>
                <w:i w:val="0"/>
                <w:iCs w:val="0"/>
                <w:vanish w:val="0"/>
                <w:szCs w:val="21"/>
              </w:rPr>
              <w:t>：</w:t>
            </w:r>
          </w:p>
          <w:p w14:paraId="568C33B3">
            <w:pPr>
              <w:jc w:val="both"/>
              <w:rPr>
                <w:rFonts w:hint="default" w:ascii="宋体" w:hAnsi="宋体" w:eastAsia="宋体"/>
                <w:i w:val="0"/>
                <w:iCs w:val="0"/>
                <w:color w:val="auto"/>
                <w:kern w:val="2"/>
                <w:sz w:val="21"/>
                <w:szCs w:val="21"/>
                <w:highlight w:val="none"/>
                <w:lang w:val="en-US" w:eastAsia="zh-CN" w:bidi="ar-SA"/>
              </w:rPr>
            </w:pPr>
            <w:r>
              <w:rPr>
                <w:rFonts w:hint="eastAsia" w:ascii="宋体" w:hAnsi="宋体" w:cs="Times New Roman"/>
                <w:b/>
                <w:i w:val="0"/>
                <w:iCs w:val="0"/>
                <w:vanish w:val="0"/>
                <w:szCs w:val="21"/>
                <w:lang w:val="en-US" w:eastAsia="zh-CN"/>
              </w:rPr>
              <w:t>测试化验加工</w:t>
            </w:r>
          </w:p>
        </w:tc>
        <w:tc>
          <w:tcPr>
            <w:tcW w:w="2563" w:type="dxa"/>
            <w:gridSpan w:val="2"/>
            <w:noWrap w:val="0"/>
            <w:vAlign w:val="center"/>
          </w:tcPr>
          <w:p w14:paraId="59602D47">
            <w:pPr>
              <w:adjustRightInd w:val="0"/>
              <w:snapToGrid w:val="0"/>
              <w:rPr>
                <w:rFonts w:hint="default" w:ascii="宋体" w:hAnsi="宋体" w:eastAsia="宋体"/>
                <w:color w:val="auto"/>
                <w:kern w:val="2"/>
                <w:sz w:val="21"/>
                <w:szCs w:val="21"/>
                <w:highlight w:val="none"/>
                <w:lang w:val="en-US" w:eastAsia="zh-CN" w:bidi="ar-SA"/>
              </w:rPr>
            </w:pPr>
          </w:p>
        </w:tc>
      </w:tr>
      <w:tr w14:paraId="7214FF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606" w:hRule="atLeast"/>
        </w:trPr>
        <w:tc>
          <w:tcPr>
            <w:tcW w:w="2026" w:type="dxa"/>
            <w:noWrap w:val="0"/>
            <w:vAlign w:val="center"/>
          </w:tcPr>
          <w:p w14:paraId="3A1C837B">
            <w:pPr>
              <w:adjustRightInd w:val="0"/>
              <w:snapToGrid w:val="0"/>
              <w:jc w:val="center"/>
              <w:rPr>
                <w:rFonts w:hint="eastAsia" w:ascii="宋体" w:hAnsi="宋体"/>
                <w:color w:val="auto"/>
                <w:szCs w:val="21"/>
                <w:highlight w:val="none"/>
              </w:rPr>
            </w:pPr>
            <w:r>
              <w:rPr>
                <w:rFonts w:hint="eastAsia" w:ascii="宋体" w:hAnsi="宋体"/>
                <w:b/>
                <w:bCs/>
                <w:color w:val="auto"/>
                <w:szCs w:val="21"/>
                <w:highlight w:val="none"/>
                <w:lang w:val="en-US" w:eastAsia="zh-CN"/>
              </w:rPr>
              <w:t>采购</w:t>
            </w:r>
            <w:r>
              <w:rPr>
                <w:rFonts w:hint="eastAsia" w:ascii="宋体" w:hAnsi="宋体"/>
                <w:b/>
                <w:bCs/>
                <w:color w:val="auto"/>
                <w:szCs w:val="21"/>
                <w:highlight w:val="none"/>
              </w:rPr>
              <w:t>理由</w:t>
            </w:r>
          </w:p>
        </w:tc>
        <w:tc>
          <w:tcPr>
            <w:tcW w:w="7860" w:type="dxa"/>
            <w:gridSpan w:val="6"/>
            <w:noWrap w:val="0"/>
            <w:vAlign w:val="center"/>
          </w:tcPr>
          <w:p w14:paraId="2AC3161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i w:val="0"/>
                <w:iCs w:val="0"/>
                <w:color w:val="auto"/>
                <w:sz w:val="24"/>
                <w:szCs w:val="24"/>
                <w:highlight w:val="none"/>
                <w:lang w:val="en-US" w:eastAsia="zh-CN"/>
              </w:rPr>
            </w:pPr>
            <w:r>
              <w:rPr>
                <w:rFonts w:hint="eastAsia" w:ascii="宋体" w:hAnsi="宋体"/>
                <w:i w:val="0"/>
                <w:iCs w:val="0"/>
                <w:color w:val="auto"/>
                <w:sz w:val="24"/>
                <w:szCs w:val="24"/>
                <w:highlight w:val="none"/>
                <w:lang w:val="en-US" w:eastAsia="zh-CN"/>
              </w:rPr>
              <w:t>本项目已正式下达，该项目为适随着“碳达峰、碳中和”战略的深入推进，我国能源结构正加速向清洁化、分布式转型。国家能源局明确提出加快智能微电网建设，强调提升新能源功率预测、分布式储能调控、虚拟电厂响应等能力，为能源边缘终端的智能化、标准化提供政策引领。作为粤港澳大湾区能源转型的典型区域，佛山地区分布式光伏装机规模正呈现爆发式增长，海量分布式电源已成为区域能源结构清洁化的重要支撑。然而，在快速发展的同时，系统性问题也日益凸显。</w:t>
            </w:r>
          </w:p>
          <w:p w14:paraId="4928510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i w:val="0"/>
                <w:iCs w:val="0"/>
                <w:color w:val="auto"/>
                <w:sz w:val="24"/>
                <w:szCs w:val="24"/>
                <w:highlight w:val="none"/>
                <w:lang w:val="en-US" w:eastAsia="zh-CN"/>
              </w:rPr>
            </w:pPr>
            <w:r>
              <w:rPr>
                <w:rFonts w:hint="eastAsia" w:ascii="宋体" w:hAnsi="宋体"/>
                <w:i w:val="0"/>
                <w:iCs w:val="0"/>
                <w:color w:val="auto"/>
                <w:sz w:val="24"/>
                <w:szCs w:val="24"/>
                <w:highlight w:val="none"/>
                <w:lang w:val="en-US" w:eastAsia="zh-CN"/>
              </w:rPr>
              <w:t>在此背景下，研发支持多协议接入、智能计算与主站协同的“光储新能源多协议智能融合网关终端”，对构建新型电力系统具有至关重要的意义。</w:t>
            </w:r>
          </w:p>
          <w:p w14:paraId="19122FE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i w:val="0"/>
                <w:iCs w:val="0"/>
                <w:color w:val="auto"/>
                <w:sz w:val="24"/>
                <w:szCs w:val="24"/>
                <w:highlight w:val="none"/>
                <w:lang w:val="en-US" w:eastAsia="zh-CN"/>
              </w:rPr>
            </w:pPr>
            <w:r>
              <w:rPr>
                <w:rFonts w:hint="eastAsia" w:ascii="宋体" w:hAnsi="宋体"/>
                <w:i w:val="0"/>
                <w:iCs w:val="0"/>
                <w:color w:val="auto"/>
                <w:sz w:val="24"/>
                <w:szCs w:val="24"/>
                <w:highlight w:val="none"/>
                <w:lang w:val="en-US" w:eastAsia="zh-CN"/>
              </w:rPr>
              <w:t>本次需购置多协议智能融合网关终端材料，主要包括：CPU主控板件、电源模块、南向通讯模组、无线传输模组，以及原型机制作所需的线缆、接插件等测试辅料，所采购的定制材料需满足多协议智能融合网关终端的组装要求。</w:t>
            </w:r>
          </w:p>
          <w:p w14:paraId="5F932E8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eastAsia="宋体"/>
                <w:color w:val="auto"/>
                <w:sz w:val="21"/>
                <w:szCs w:val="21"/>
                <w:highlight w:val="none"/>
                <w:lang w:val="en-US" w:eastAsia="zh-CN"/>
              </w:rPr>
            </w:pPr>
            <w:r>
              <w:rPr>
                <w:rFonts w:hint="eastAsia" w:ascii="宋体" w:hAnsi="宋体"/>
                <w:i w:val="0"/>
                <w:iCs w:val="0"/>
                <w:color w:val="auto"/>
                <w:sz w:val="24"/>
                <w:szCs w:val="24"/>
                <w:highlight w:val="none"/>
                <w:lang w:val="en-US" w:eastAsia="zh-CN"/>
              </w:rPr>
              <w:t xml:space="preserve">另外，由于本创新项目所需设备组件在公司集中采购目录清单以外，且未在采购目录中，采购数量较少，总金额少于5万元，未能形成规模采购，所以申请零星采购。     </w:t>
            </w:r>
            <w:r>
              <w:rPr>
                <w:rFonts w:hint="eastAsia"/>
                <w:color w:val="auto"/>
                <w:sz w:val="21"/>
                <w:szCs w:val="21"/>
                <w:highlight w:val="none"/>
              </w:rPr>
              <w:t xml:space="preserve"> </w:t>
            </w:r>
          </w:p>
        </w:tc>
      </w:tr>
    </w:tbl>
    <w:p w14:paraId="092D61D3">
      <w:pPr>
        <w:numPr>
          <w:ilvl w:val="0"/>
          <w:numId w:val="0"/>
        </w:numPr>
        <w:rPr>
          <w:rFonts w:hint="eastAsia" w:ascii="宋体" w:hAnsi="宋体"/>
          <w:sz w:val="28"/>
          <w:szCs w:val="28"/>
        </w:rPr>
      </w:pPr>
    </w:p>
    <w:p w14:paraId="6ACF7D6D">
      <w:pPr>
        <w:numPr>
          <w:ilvl w:val="0"/>
          <w:numId w:val="1"/>
        </w:numPr>
        <w:ind w:left="1281"/>
        <w:outlineLvl w:val="0"/>
        <w:rPr>
          <w:rFonts w:hint="eastAsia" w:ascii="宋体" w:hAnsi="宋体"/>
          <w:sz w:val="28"/>
          <w:szCs w:val="28"/>
        </w:rPr>
      </w:pPr>
      <w:r>
        <w:rPr>
          <w:rFonts w:ascii="宋体" w:hAnsi="宋体"/>
          <w:sz w:val="28"/>
          <w:szCs w:val="28"/>
        </w:rPr>
        <w:t>采购范围及</w:t>
      </w:r>
      <w:r>
        <w:rPr>
          <w:rFonts w:hint="eastAsia" w:ascii="宋体" w:hAnsi="宋体"/>
          <w:sz w:val="28"/>
          <w:szCs w:val="28"/>
        </w:rPr>
        <w:t>内容</w:t>
      </w:r>
    </w:p>
    <w:tbl>
      <w:tblPr>
        <w:tblStyle w:val="5"/>
        <w:tblW w:w="542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29"/>
        <w:gridCol w:w="1850"/>
        <w:gridCol w:w="6259"/>
      </w:tblGrid>
      <w:tr w14:paraId="0E989B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trPr>
        <w:tc>
          <w:tcPr>
            <w:tcW w:w="611" w:type="pct"/>
            <w:noWrap w:val="0"/>
            <w:vAlign w:val="center"/>
          </w:tcPr>
          <w:p w14:paraId="1D6B1AAD">
            <w:pPr>
              <w:jc w:val="center"/>
              <w:rPr>
                <w:rFonts w:hint="eastAsia" w:ascii="宋体" w:hAnsi="宋体" w:cs="宋体"/>
                <w:b/>
                <w:bCs/>
                <w:color w:val="000000"/>
                <w:sz w:val="24"/>
              </w:rPr>
            </w:pPr>
            <w:r>
              <w:rPr>
                <w:rFonts w:hint="eastAsia" w:ascii="宋体" w:hAnsi="宋体" w:cs="宋体"/>
                <w:b/>
                <w:bCs/>
                <w:color w:val="000000"/>
                <w:sz w:val="24"/>
              </w:rPr>
              <w:t>序号</w:t>
            </w:r>
          </w:p>
        </w:tc>
        <w:tc>
          <w:tcPr>
            <w:tcW w:w="1001" w:type="pct"/>
            <w:noWrap w:val="0"/>
            <w:vAlign w:val="center"/>
          </w:tcPr>
          <w:p w14:paraId="6850A573">
            <w:pPr>
              <w:jc w:val="center"/>
              <w:rPr>
                <w:rFonts w:ascii="宋体" w:hAnsi="宋体" w:cs="宋体"/>
                <w:b/>
                <w:bCs/>
                <w:color w:val="000000"/>
                <w:sz w:val="24"/>
              </w:rPr>
            </w:pPr>
            <w:r>
              <w:rPr>
                <w:rFonts w:hint="eastAsia"/>
                <w:b/>
                <w:bCs/>
                <w:color w:val="000000"/>
                <w:sz w:val="24"/>
              </w:rPr>
              <w:t>采购内容</w:t>
            </w:r>
          </w:p>
        </w:tc>
        <w:tc>
          <w:tcPr>
            <w:tcW w:w="3387" w:type="pct"/>
            <w:noWrap w:val="0"/>
            <w:vAlign w:val="center"/>
          </w:tcPr>
          <w:p w14:paraId="3FED0153">
            <w:pPr>
              <w:jc w:val="center"/>
              <w:rPr>
                <w:rFonts w:ascii="宋体" w:hAnsi="宋体" w:cs="宋体"/>
                <w:b/>
                <w:bCs/>
                <w:color w:val="000000"/>
                <w:sz w:val="24"/>
              </w:rPr>
            </w:pPr>
            <w:r>
              <w:rPr>
                <w:rFonts w:hint="eastAsia"/>
                <w:b/>
                <w:bCs/>
                <w:color w:val="000000"/>
                <w:sz w:val="24"/>
              </w:rPr>
              <w:t>相关要求</w:t>
            </w:r>
          </w:p>
        </w:tc>
      </w:tr>
      <w:tr w14:paraId="0DBAE3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trPr>
        <w:tc>
          <w:tcPr>
            <w:tcW w:w="611" w:type="pct"/>
            <w:noWrap w:val="0"/>
            <w:vAlign w:val="center"/>
          </w:tcPr>
          <w:p w14:paraId="73C0E8F4">
            <w:pPr>
              <w:jc w:val="center"/>
              <w:rPr>
                <w:rFonts w:hint="eastAsia" w:ascii="宋体" w:hAnsi="宋体"/>
                <w:sz w:val="28"/>
                <w:szCs w:val="28"/>
              </w:rPr>
            </w:pPr>
            <w:r>
              <w:rPr>
                <w:rFonts w:hint="eastAsia" w:ascii="宋体" w:hAnsi="宋体"/>
                <w:sz w:val="28"/>
                <w:szCs w:val="28"/>
              </w:rPr>
              <w:t>1</w:t>
            </w:r>
          </w:p>
        </w:tc>
        <w:tc>
          <w:tcPr>
            <w:tcW w:w="1001" w:type="pct"/>
            <w:noWrap w:val="0"/>
            <w:vAlign w:val="center"/>
          </w:tcPr>
          <w:p w14:paraId="17065639">
            <w:pPr>
              <w:keepNext w:val="0"/>
              <w:keepLines w:val="0"/>
              <w:pageBreakBefore w:val="0"/>
              <w:widowControl w:val="0"/>
              <w:kinsoku/>
              <w:wordWrap/>
              <w:overflowPunct/>
              <w:topLinePunct w:val="0"/>
              <w:autoSpaceDE/>
              <w:autoSpaceDN/>
              <w:bidi w:val="0"/>
              <w:adjustRightInd/>
              <w:snapToGrid/>
              <w:spacing w:line="480" w:lineRule="exact"/>
              <w:textAlignment w:val="auto"/>
              <w:rPr>
                <w:rFonts w:hint="default" w:ascii="宋体" w:hAnsi="宋体"/>
                <w:i w:val="0"/>
                <w:iCs w:val="0"/>
                <w:color w:val="auto"/>
                <w:sz w:val="24"/>
                <w:szCs w:val="24"/>
                <w:highlight w:val="none"/>
                <w:lang w:val="en-US" w:eastAsia="zh-CN"/>
              </w:rPr>
            </w:pPr>
            <w:r>
              <w:rPr>
                <w:rFonts w:hint="default" w:ascii="宋体" w:hAnsi="宋体"/>
                <w:i w:val="0"/>
                <w:iCs w:val="0"/>
                <w:color w:val="auto"/>
                <w:sz w:val="24"/>
                <w:szCs w:val="24"/>
                <w:highlight w:val="none"/>
                <w:shd w:val="clear"/>
                <w:lang w:val="en-US" w:eastAsia="zh-CN"/>
              </w:rPr>
              <w:t>多协议智能融合网关终端材料</w:t>
            </w:r>
            <w:r>
              <w:rPr>
                <w:rFonts w:hint="eastAsia" w:ascii="宋体" w:hAnsi="宋体"/>
                <w:i w:val="0"/>
                <w:iCs w:val="0"/>
                <w:color w:val="auto"/>
                <w:sz w:val="24"/>
                <w:szCs w:val="24"/>
                <w:highlight w:val="none"/>
                <w:shd w:val="clear"/>
                <w:lang w:val="en-US" w:eastAsia="zh-CN"/>
              </w:rPr>
              <w:t>（1台套）</w:t>
            </w:r>
          </w:p>
        </w:tc>
        <w:tc>
          <w:tcPr>
            <w:tcW w:w="3387" w:type="pct"/>
            <w:noWrap w:val="0"/>
            <w:vAlign w:val="center"/>
          </w:tcPr>
          <w:p w14:paraId="48DC68A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i w:val="0"/>
                <w:iCs w:val="0"/>
                <w:color w:val="auto"/>
                <w:sz w:val="24"/>
                <w:szCs w:val="24"/>
                <w:highlight w:val="none"/>
                <w:lang w:val="en-US" w:eastAsia="zh-CN"/>
              </w:rPr>
            </w:pPr>
            <w:r>
              <w:rPr>
                <w:rFonts w:hint="eastAsia" w:ascii="宋体" w:hAnsi="宋体"/>
                <w:i w:val="0"/>
                <w:iCs w:val="0"/>
                <w:color w:val="auto"/>
                <w:sz w:val="24"/>
                <w:szCs w:val="24"/>
                <w:highlight w:val="none"/>
                <w:lang w:val="en-US" w:eastAsia="zh-CN"/>
              </w:rPr>
              <w:t>主要包括：CPU主控板件、电源模块、南向通讯模组、无线传输模组，以及原型机制作所需的线缆、接插件等测试辅料，其性能要求如下：</w:t>
            </w:r>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4"/>
              <w:gridCol w:w="1316"/>
              <w:gridCol w:w="1373"/>
              <w:gridCol w:w="2490"/>
            </w:tblGrid>
            <w:tr w14:paraId="2FE634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2170" w:type="dxa"/>
                  <w:gridSpan w:val="2"/>
                  <w:tcBorders>
                    <w:top w:val="single" w:color="000000" w:sz="4" w:space="0"/>
                    <w:left w:val="single" w:color="000000" w:sz="4" w:space="0"/>
                    <w:bottom w:val="single" w:color="000000" w:sz="4" w:space="0"/>
                    <w:right w:val="single" w:color="000000" w:sz="4" w:space="0"/>
                    <w:tl2br w:val="nil"/>
                  </w:tcBorders>
                  <w:shd w:val="clear" w:color="auto" w:fill="FFFFFF"/>
                  <w:vAlign w:val="top"/>
                </w:tcPr>
                <w:p w14:paraId="5248C834">
                  <w:pPr>
                    <w:textAlignment w:val="center"/>
                    <w:rPr>
                      <w:rFonts w:hint="default"/>
                      <w:b w:val="0"/>
                      <w:color w:val="000000"/>
                      <w:vertAlign w:val="baseline"/>
                      <w:lang w:val="en-US" w:eastAsia="zh-CN"/>
                    </w:rPr>
                  </w:pPr>
                  <w:r>
                    <w:rPr>
                      <w:rFonts w:hint="eastAsia"/>
                      <w:b w:val="0"/>
                      <w:color w:val="000000"/>
                      <w:vertAlign w:val="baseline"/>
                      <w:lang w:val="en-US" w:eastAsia="zh-CN"/>
                    </w:rPr>
                    <w:t>CPU主控板件</w:t>
                  </w:r>
                </w:p>
              </w:tc>
              <w:tc>
                <w:tcPr>
                  <w:tcW w:w="3863" w:type="dxa"/>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4FCF7488">
                  <w:pPr>
                    <w:textAlignment w:val="center"/>
                    <w:rPr>
                      <w:rFonts w:hint="default"/>
                      <w:b w:val="0"/>
                      <w:color w:val="000000"/>
                      <w:vertAlign w:val="baseline"/>
                      <w:lang w:val="en-US" w:eastAsia="zh-CN"/>
                    </w:rPr>
                  </w:pPr>
                  <w:r>
                    <w:rPr>
                      <w:rFonts w:hint="eastAsia" w:ascii="宋体" w:hAnsi="宋体" w:cs="宋体"/>
                      <w:b w:val="0"/>
                      <w:color w:val="000000"/>
                      <w:lang w:bidi="ar"/>
                    </w:rPr>
                    <w:t>采用工业级宽温处理器</w:t>
                  </w:r>
                  <w:r>
                    <w:rPr>
                      <w:rFonts w:hint="default" w:ascii="Arial" w:hAnsi="Arial" w:cs="Arial"/>
                      <w:b w:val="0"/>
                      <w:color w:val="000000"/>
                      <w:lang w:bidi="ar"/>
                    </w:rPr>
                    <w:t>≥</w:t>
                  </w:r>
                  <w:r>
                    <w:rPr>
                      <w:rFonts w:hint="eastAsia" w:ascii="宋体" w:hAnsi="宋体" w:cs="宋体"/>
                      <w:b w:val="0"/>
                      <w:color w:val="000000"/>
                      <w:lang w:bidi="ar"/>
                    </w:rPr>
                    <w:t>8核ARM处理器，主频</w:t>
                  </w:r>
                  <w:r>
                    <w:rPr>
                      <w:rFonts w:hint="eastAsia" w:ascii="宋体" w:hAnsi="宋体" w:cs="宋体"/>
                      <w:b w:val="0"/>
                      <w:color w:val="000000"/>
                      <w:lang w:val="en-US" w:eastAsia="zh-CN" w:bidi="ar"/>
                    </w:rPr>
                    <w:t>2</w:t>
                  </w:r>
                  <w:r>
                    <w:rPr>
                      <w:rFonts w:ascii="宋体" w:hAnsi="宋体" w:cs="宋体"/>
                      <w:b w:val="0"/>
                      <w:color w:val="000000"/>
                      <w:lang w:bidi="ar"/>
                    </w:rPr>
                    <w:t>.</w:t>
                  </w:r>
                  <w:r>
                    <w:rPr>
                      <w:rFonts w:hint="eastAsia" w:ascii="宋体" w:hAnsi="宋体" w:cs="宋体"/>
                      <w:b w:val="0"/>
                      <w:color w:val="000000"/>
                      <w:lang w:val="en-US" w:eastAsia="zh-CN" w:bidi="ar"/>
                    </w:rPr>
                    <w:t>0</w:t>
                  </w:r>
                  <w:r>
                    <w:rPr>
                      <w:rFonts w:ascii="宋体" w:hAnsi="宋体" w:cs="宋体"/>
                      <w:b w:val="0"/>
                      <w:color w:val="000000"/>
                      <w:lang w:bidi="ar"/>
                    </w:rPr>
                    <w:t>G Hz</w:t>
                  </w:r>
                  <w:r>
                    <w:rPr>
                      <w:rFonts w:hint="eastAsia" w:ascii="宋体" w:hAnsi="宋体" w:cs="宋体"/>
                      <w:b w:val="0"/>
                      <w:color w:val="000000"/>
                      <w:lang w:eastAsia="zh-CN" w:bidi="ar"/>
                    </w:rPr>
                    <w:t>及以上，算力6</w:t>
                  </w:r>
                  <w:r>
                    <w:rPr>
                      <w:rFonts w:hint="eastAsia" w:ascii="宋体" w:hAnsi="宋体" w:cs="宋体"/>
                      <w:b w:val="0"/>
                      <w:color w:val="000000"/>
                      <w:lang w:val="en-US" w:eastAsia="zh-CN" w:bidi="ar"/>
                    </w:rPr>
                    <w:t xml:space="preserve"> TOP及以上，</w:t>
                  </w:r>
                  <w:r>
                    <w:rPr>
                      <w:rFonts w:hint="eastAsia" w:ascii="宋体" w:hAnsi="宋体"/>
                      <w:b w:val="0"/>
                      <w:color w:val="000000"/>
                    </w:rPr>
                    <w:t>功耗</w:t>
                  </w:r>
                  <w:r>
                    <w:rPr>
                      <w:rFonts w:hint="eastAsia" w:ascii="宋体" w:hAnsi="宋体"/>
                      <w:b w:val="0"/>
                      <w:color w:val="000000"/>
                      <w:lang w:val="en-US" w:eastAsia="zh-CN"/>
                    </w:rPr>
                    <w:t xml:space="preserve"> </w:t>
                  </w:r>
                  <w:r>
                    <w:rPr>
                      <w:rFonts w:ascii="宋体" w:hAnsi="宋体"/>
                      <w:b w:val="0"/>
                      <w:color w:val="000000"/>
                    </w:rPr>
                    <w:t>&lt;</w:t>
                  </w:r>
                  <w:r>
                    <w:rPr>
                      <w:rFonts w:hint="eastAsia" w:ascii="宋体" w:hAnsi="宋体"/>
                      <w:b w:val="0"/>
                      <w:color w:val="000000"/>
                      <w:lang w:val="en-US" w:eastAsia="zh-CN"/>
                    </w:rPr>
                    <w:t>20</w:t>
                  </w:r>
                  <w:r>
                    <w:rPr>
                      <w:rFonts w:ascii="宋体" w:hAnsi="宋体"/>
                      <w:b w:val="0"/>
                      <w:color w:val="000000"/>
                    </w:rPr>
                    <w:t>W</w:t>
                  </w:r>
                </w:p>
              </w:tc>
            </w:tr>
            <w:tr w14:paraId="64C822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2170" w:type="dxa"/>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68110869">
                  <w:pPr>
                    <w:textAlignment w:val="center"/>
                    <w:rPr>
                      <w:rFonts w:hint="default"/>
                      <w:b w:val="0"/>
                      <w:color w:val="000000"/>
                      <w:vertAlign w:val="baseline"/>
                      <w:lang w:val="en-US" w:eastAsia="zh-CN"/>
                    </w:rPr>
                  </w:pPr>
                  <w:r>
                    <w:rPr>
                      <w:rFonts w:hint="eastAsia"/>
                      <w:b w:val="0"/>
                      <w:color w:val="000000"/>
                      <w:vertAlign w:val="baseline"/>
                      <w:lang w:val="en-US" w:eastAsia="zh-CN"/>
                    </w:rPr>
                    <w:t>存储模组</w:t>
                  </w:r>
                </w:p>
              </w:tc>
              <w:tc>
                <w:tcPr>
                  <w:tcW w:w="3863" w:type="dxa"/>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553E5244">
                  <w:pPr>
                    <w:textAlignment w:val="center"/>
                    <w:rPr>
                      <w:rFonts w:hint="default"/>
                      <w:b w:val="0"/>
                      <w:color w:val="000000"/>
                      <w:vertAlign w:val="baseline"/>
                      <w:lang w:val="en-US" w:eastAsia="zh-CN"/>
                    </w:rPr>
                  </w:pPr>
                  <w:r>
                    <w:rPr>
                      <w:rFonts w:hint="eastAsia" w:ascii="宋体" w:hAnsi="宋体"/>
                      <w:b w:val="0"/>
                      <w:color w:val="000000"/>
                    </w:rPr>
                    <w:t>内存</w:t>
                  </w:r>
                  <w:r>
                    <w:rPr>
                      <w:rFonts w:hint="default" w:ascii="Arial" w:hAnsi="Arial" w:cs="Arial"/>
                      <w:b w:val="0"/>
                      <w:color w:val="000000"/>
                      <w:lang w:bidi="ar"/>
                    </w:rPr>
                    <w:t>≥</w:t>
                  </w:r>
                  <w:r>
                    <w:rPr>
                      <w:rFonts w:ascii="宋体" w:hAnsi="宋体"/>
                      <w:b w:val="0"/>
                      <w:color w:val="000000"/>
                    </w:rPr>
                    <w:t>4</w:t>
                  </w:r>
                  <w:r>
                    <w:rPr>
                      <w:rFonts w:hint="eastAsia" w:ascii="宋体" w:hAnsi="宋体"/>
                      <w:b w:val="0"/>
                      <w:color w:val="000000"/>
                    </w:rPr>
                    <w:t>G，片内EMMC</w:t>
                  </w:r>
                  <w:r>
                    <w:rPr>
                      <w:rFonts w:hint="default" w:ascii="Arial" w:hAnsi="Arial" w:cs="Arial"/>
                      <w:b w:val="0"/>
                      <w:color w:val="000000"/>
                      <w:lang w:bidi="ar"/>
                    </w:rPr>
                    <w:t>≥</w:t>
                  </w:r>
                  <w:r>
                    <w:rPr>
                      <w:rFonts w:ascii="宋体" w:hAnsi="宋体"/>
                      <w:b w:val="0"/>
                      <w:color w:val="000000"/>
                    </w:rPr>
                    <w:t>32</w:t>
                  </w:r>
                  <w:r>
                    <w:rPr>
                      <w:rFonts w:hint="eastAsia" w:ascii="宋体" w:hAnsi="宋体"/>
                      <w:b w:val="0"/>
                      <w:color w:val="000000"/>
                    </w:rPr>
                    <w:t>G，支持SATA扩展</w:t>
                  </w:r>
                </w:p>
              </w:tc>
            </w:tr>
            <w:tr w14:paraId="15DB99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9" w:hRule="atLeast"/>
              </w:trPr>
              <w:tc>
                <w:tcPr>
                  <w:tcW w:w="2170" w:type="dxa"/>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74D5A496">
                  <w:pPr>
                    <w:textAlignment w:val="center"/>
                    <w:rPr>
                      <w:rFonts w:hint="default"/>
                      <w:b w:val="0"/>
                      <w:color w:val="000000"/>
                      <w:vertAlign w:val="baseline"/>
                      <w:lang w:val="en-US" w:eastAsia="zh-CN"/>
                    </w:rPr>
                  </w:pPr>
                  <w:r>
                    <w:rPr>
                      <w:rFonts w:hint="eastAsia"/>
                      <w:b w:val="0"/>
                      <w:color w:val="000000"/>
                      <w:vertAlign w:val="baseline"/>
                      <w:lang w:val="en-US" w:eastAsia="zh-CN"/>
                    </w:rPr>
                    <w:t>对时模组</w:t>
                  </w:r>
                </w:p>
              </w:tc>
              <w:tc>
                <w:tcPr>
                  <w:tcW w:w="3863" w:type="dxa"/>
                  <w:gridSpan w:val="2"/>
                  <w:tcBorders>
                    <w:top w:val="single" w:color="000000" w:sz="4" w:space="0"/>
                    <w:left w:val="single" w:color="000000" w:sz="4" w:space="0"/>
                    <w:bottom w:val="single" w:color="000000" w:sz="4" w:space="0"/>
                    <w:right w:val="single" w:color="000000" w:sz="4" w:space="0"/>
                  </w:tcBorders>
                  <w:shd w:val="clear" w:color="auto" w:fill="FFFFFF"/>
                  <w:vAlign w:val="top"/>
                </w:tcPr>
                <w:p w14:paraId="5CE3BF13">
                  <w:pPr>
                    <w:textAlignment w:val="center"/>
                    <w:rPr>
                      <w:rFonts w:hint="default"/>
                      <w:b w:val="0"/>
                      <w:color w:val="000000"/>
                      <w:vertAlign w:val="baseline"/>
                      <w:lang w:val="en-US" w:eastAsia="zh-CN"/>
                    </w:rPr>
                  </w:pPr>
                  <w:r>
                    <w:rPr>
                      <w:rFonts w:hint="eastAsia" w:ascii="宋体" w:hAnsi="宋体"/>
                      <w:b w:val="0"/>
                      <w:color w:val="000000"/>
                    </w:rPr>
                    <w:t>支持电B码对时，支持SNTP网络对时</w:t>
                  </w:r>
                </w:p>
              </w:tc>
            </w:tr>
            <w:tr w14:paraId="3178A0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9" w:hRule="atLeast"/>
              </w:trPr>
              <w:tc>
                <w:tcPr>
                  <w:tcW w:w="854" w:type="dxa"/>
                  <w:vMerge w:val="restart"/>
                </w:tcPr>
                <w:p w14:paraId="547E73AC">
                  <w:pPr>
                    <w:pStyle w:val="2"/>
                    <w:ind w:left="0" w:leftChars="0" w:firstLine="0" w:firstLineChars="0"/>
                    <w:rPr>
                      <w:rFonts w:hint="default"/>
                      <w:vertAlign w:val="baseline"/>
                      <w:lang w:val="en-US" w:eastAsia="zh-CN"/>
                    </w:rPr>
                  </w:pPr>
                  <w:r>
                    <w:rPr>
                      <w:rFonts w:hint="eastAsia"/>
                      <w:vertAlign w:val="baseline"/>
                      <w:lang w:val="en-US" w:eastAsia="zh-CN"/>
                    </w:rPr>
                    <w:t>电源模块</w:t>
                  </w:r>
                </w:p>
              </w:tc>
              <w:tc>
                <w:tcPr>
                  <w:tcW w:w="1316" w:type="dxa"/>
                  <w:vAlign w:val="top"/>
                </w:tcPr>
                <w:p w14:paraId="78AE25E1">
                  <w:pPr>
                    <w:textAlignment w:val="center"/>
                    <w:rPr>
                      <w:rFonts w:hint="default"/>
                      <w:vertAlign w:val="baseline"/>
                      <w:lang w:val="en-US" w:eastAsia="zh-CN"/>
                    </w:rPr>
                  </w:pPr>
                  <w:r>
                    <w:rPr>
                      <w:rFonts w:hint="eastAsia" w:ascii="宋体" w:hAnsi="宋体"/>
                    </w:rPr>
                    <w:t>电源电压</w:t>
                  </w:r>
                </w:p>
              </w:tc>
              <w:tc>
                <w:tcPr>
                  <w:tcW w:w="3863" w:type="dxa"/>
                  <w:gridSpan w:val="2"/>
                  <w:vAlign w:val="top"/>
                </w:tcPr>
                <w:p w14:paraId="4316FE82">
                  <w:pPr>
                    <w:textAlignment w:val="center"/>
                    <w:rPr>
                      <w:rFonts w:hint="default"/>
                      <w:vertAlign w:val="baseline"/>
                      <w:lang w:val="en-US" w:eastAsia="zh-CN"/>
                    </w:rPr>
                  </w:pPr>
                  <w:r>
                    <w:rPr>
                      <w:rFonts w:hint="eastAsia" w:ascii="宋体" w:hAnsi="宋体" w:eastAsia="宋体"/>
                    </w:rPr>
                    <w:t>双通道</w:t>
                  </w:r>
                  <w:r>
                    <w:rPr>
                      <w:rFonts w:ascii="宋体" w:hAnsi="宋体" w:eastAsia="宋体"/>
                    </w:rPr>
                    <w:t xml:space="preserve">110V- 220V </w:t>
                  </w:r>
                  <w:r>
                    <w:rPr>
                      <w:rFonts w:hint="eastAsia" w:ascii="宋体" w:hAnsi="宋体" w:eastAsia="宋体"/>
                    </w:rPr>
                    <w:t>交直流宽幅电源</w:t>
                  </w:r>
                </w:p>
              </w:tc>
            </w:tr>
            <w:tr w14:paraId="72E3D3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9" w:hRule="atLeast"/>
              </w:trPr>
              <w:tc>
                <w:tcPr>
                  <w:tcW w:w="854" w:type="dxa"/>
                  <w:vMerge w:val="continue"/>
                </w:tcPr>
                <w:p w14:paraId="31A6D588">
                  <w:pPr>
                    <w:pStyle w:val="2"/>
                    <w:ind w:left="0" w:leftChars="0" w:firstLine="0" w:firstLineChars="0"/>
                    <w:rPr>
                      <w:rFonts w:hint="default"/>
                      <w:vertAlign w:val="baseline"/>
                      <w:lang w:val="en-US" w:eastAsia="zh-CN"/>
                    </w:rPr>
                  </w:pPr>
                </w:p>
              </w:tc>
              <w:tc>
                <w:tcPr>
                  <w:tcW w:w="1316" w:type="dxa"/>
                  <w:vAlign w:val="top"/>
                </w:tcPr>
                <w:p w14:paraId="02E73C83">
                  <w:pPr>
                    <w:textAlignment w:val="center"/>
                    <w:rPr>
                      <w:rFonts w:hint="default"/>
                      <w:vertAlign w:val="baseline"/>
                      <w:lang w:val="en-US" w:eastAsia="zh-CN"/>
                    </w:rPr>
                  </w:pPr>
                  <w:r>
                    <w:rPr>
                      <w:rFonts w:hint="eastAsia" w:ascii="宋体" w:hAnsi="宋体"/>
                    </w:rPr>
                    <w:t>电源输入范围</w:t>
                  </w:r>
                </w:p>
              </w:tc>
              <w:tc>
                <w:tcPr>
                  <w:tcW w:w="3863" w:type="dxa"/>
                  <w:gridSpan w:val="2"/>
                  <w:vAlign w:val="top"/>
                </w:tcPr>
                <w:p w14:paraId="60BE41F7">
                  <w:pPr>
                    <w:textAlignment w:val="center"/>
                    <w:rPr>
                      <w:rFonts w:hint="default"/>
                      <w:vertAlign w:val="baseline"/>
                      <w:lang w:val="en-US" w:eastAsia="zh-CN"/>
                    </w:rPr>
                  </w:pPr>
                  <w:r>
                    <w:rPr>
                      <w:rFonts w:ascii="宋体" w:hAnsi="宋体"/>
                    </w:rPr>
                    <w:t>80%~120%</w:t>
                  </w:r>
                </w:p>
              </w:tc>
            </w:tr>
            <w:tr w14:paraId="4C4E42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54" w:type="dxa"/>
                  <w:vMerge w:val="continue"/>
                </w:tcPr>
                <w:p w14:paraId="544D4602">
                  <w:pPr>
                    <w:pStyle w:val="2"/>
                    <w:ind w:left="0" w:leftChars="0" w:firstLine="0" w:firstLineChars="0"/>
                    <w:rPr>
                      <w:rFonts w:hint="default"/>
                      <w:vertAlign w:val="baseline"/>
                      <w:lang w:val="en-US" w:eastAsia="zh-CN"/>
                    </w:rPr>
                  </w:pPr>
                </w:p>
              </w:tc>
              <w:tc>
                <w:tcPr>
                  <w:tcW w:w="1316" w:type="dxa"/>
                  <w:vAlign w:val="top"/>
                </w:tcPr>
                <w:p w14:paraId="5999AA01">
                  <w:pPr>
                    <w:textAlignment w:val="center"/>
                    <w:rPr>
                      <w:rFonts w:hint="default"/>
                      <w:vertAlign w:val="baseline"/>
                      <w:lang w:val="en-US" w:eastAsia="zh-CN"/>
                    </w:rPr>
                  </w:pPr>
                  <w:r>
                    <w:rPr>
                      <w:rFonts w:hint="eastAsia" w:ascii="宋体" w:hAnsi="宋体"/>
                    </w:rPr>
                    <w:t>功耗</w:t>
                  </w:r>
                </w:p>
              </w:tc>
              <w:tc>
                <w:tcPr>
                  <w:tcW w:w="3863" w:type="dxa"/>
                  <w:gridSpan w:val="2"/>
                  <w:vAlign w:val="top"/>
                </w:tcPr>
                <w:p w14:paraId="7E04AC83">
                  <w:pPr>
                    <w:textAlignment w:val="center"/>
                    <w:rPr>
                      <w:rFonts w:hint="default"/>
                      <w:vertAlign w:val="baseline"/>
                      <w:lang w:val="en-US" w:eastAsia="zh-CN"/>
                    </w:rPr>
                  </w:pPr>
                  <w:r>
                    <w:rPr>
                      <w:rFonts w:ascii="宋体" w:hAnsi="宋体"/>
                    </w:rPr>
                    <w:t>&lt;</w:t>
                  </w:r>
                  <w:r>
                    <w:rPr>
                      <w:rFonts w:hint="eastAsia" w:ascii="宋体" w:hAnsi="宋体"/>
                      <w:lang w:val="en-US" w:eastAsia="zh-CN"/>
                    </w:rPr>
                    <w:t>20</w:t>
                  </w:r>
                  <w:r>
                    <w:rPr>
                      <w:rFonts w:ascii="宋体" w:hAnsi="宋体"/>
                    </w:rPr>
                    <w:t>W</w:t>
                  </w:r>
                </w:p>
              </w:tc>
            </w:tr>
            <w:tr w14:paraId="463549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854" w:type="dxa"/>
                  <w:vMerge w:val="restart"/>
                  <w:shd w:val="clear" w:color="auto" w:fill="FFFFFF"/>
                  <w:vAlign w:val="center"/>
                </w:tcPr>
                <w:p w14:paraId="0FCD65AE">
                  <w:pPr>
                    <w:jc w:val="both"/>
                    <w:textAlignment w:val="center"/>
                    <w:rPr>
                      <w:rFonts w:hint="eastAsia" w:ascii="宋体" w:hAnsi="宋体" w:cs="宋体"/>
                      <w:b w:val="0"/>
                      <w:color w:val="000000"/>
                      <w:lang w:bidi="ar"/>
                    </w:rPr>
                  </w:pPr>
                  <w:r>
                    <w:rPr>
                      <w:rFonts w:hint="eastAsia" w:ascii="宋体" w:hAnsi="宋体" w:cs="宋体"/>
                      <w:b w:val="0"/>
                      <w:bCs/>
                      <w:color w:val="000000"/>
                      <w:lang w:eastAsia="zh-CN" w:bidi="ar"/>
                    </w:rPr>
                    <w:t>南向</w:t>
                  </w:r>
                  <w:r>
                    <w:rPr>
                      <w:rFonts w:hint="eastAsia" w:ascii="宋体" w:hAnsi="宋体" w:cs="宋体"/>
                      <w:b w:val="0"/>
                      <w:bCs/>
                      <w:color w:val="000000"/>
                      <w:lang w:bidi="ar"/>
                    </w:rPr>
                    <w:t>通信</w:t>
                  </w:r>
                  <w:r>
                    <w:rPr>
                      <w:rFonts w:hint="eastAsia" w:ascii="宋体" w:hAnsi="宋体" w:cs="宋体"/>
                      <w:b w:val="0"/>
                      <w:bCs/>
                      <w:color w:val="000000"/>
                      <w:lang w:eastAsia="zh-CN" w:bidi="ar"/>
                    </w:rPr>
                    <w:t>模组</w:t>
                  </w:r>
                </w:p>
                <w:p w14:paraId="5C13E1AD">
                  <w:pPr>
                    <w:jc w:val="both"/>
                    <w:textAlignment w:val="center"/>
                    <w:rPr>
                      <w:rFonts w:hint="default" w:ascii="宋体" w:hAnsi="宋体" w:eastAsia="宋体" w:cs="宋体"/>
                      <w:b w:val="0"/>
                      <w:color w:val="000000"/>
                      <w:kern w:val="2"/>
                      <w:sz w:val="21"/>
                      <w:szCs w:val="24"/>
                      <w:lang w:val="en-US" w:eastAsia="zh-CN" w:bidi="ar-SA"/>
                    </w:rPr>
                  </w:pPr>
                </w:p>
              </w:tc>
              <w:tc>
                <w:tcPr>
                  <w:tcW w:w="1316" w:type="dxa"/>
                  <w:vMerge w:val="restart"/>
                  <w:shd w:val="clear" w:color="auto" w:fill="FFFFFF"/>
                  <w:vAlign w:val="center"/>
                </w:tcPr>
                <w:p w14:paraId="14F94AEF">
                  <w:pPr>
                    <w:jc w:val="left"/>
                    <w:textAlignment w:val="center"/>
                    <w:rPr>
                      <w:rFonts w:hint="eastAsia" w:ascii="宋体" w:hAnsi="宋体" w:cs="宋体"/>
                      <w:b w:val="0"/>
                      <w:color w:val="000000"/>
                      <w:lang w:bidi="ar"/>
                    </w:rPr>
                  </w:pPr>
                </w:p>
                <w:p w14:paraId="2198D867">
                  <w:pPr>
                    <w:jc w:val="left"/>
                    <w:textAlignment w:val="center"/>
                    <w:rPr>
                      <w:rFonts w:hint="eastAsia" w:ascii="宋体" w:hAnsi="宋体" w:cs="宋体"/>
                      <w:b w:val="0"/>
                      <w:color w:val="000000"/>
                      <w:lang w:bidi="ar"/>
                    </w:rPr>
                  </w:pPr>
                  <w:r>
                    <w:rPr>
                      <w:rFonts w:hint="eastAsia" w:ascii="宋体" w:hAnsi="宋体" w:cs="宋体"/>
                      <w:b w:val="0"/>
                      <w:color w:val="000000"/>
                      <w:lang w:bidi="ar"/>
                    </w:rPr>
                    <w:t>以太网</w:t>
                  </w:r>
                </w:p>
                <w:p w14:paraId="03D6EDA7">
                  <w:pPr>
                    <w:jc w:val="left"/>
                    <w:textAlignment w:val="center"/>
                    <w:rPr>
                      <w:rFonts w:hint="eastAsia" w:ascii="宋体" w:hAnsi="宋体" w:eastAsia="宋体" w:cs="宋体"/>
                      <w:b w:val="0"/>
                      <w:color w:val="000000"/>
                      <w:kern w:val="2"/>
                      <w:sz w:val="21"/>
                      <w:szCs w:val="24"/>
                      <w:lang w:val="en-US" w:eastAsia="zh-CN" w:bidi="ar-SA"/>
                    </w:rPr>
                  </w:pPr>
                  <w:r>
                    <w:rPr>
                      <w:rFonts w:hint="eastAsia" w:ascii="宋体" w:hAnsi="宋体" w:cs="宋体"/>
                      <w:b w:val="0"/>
                      <w:color w:val="000000"/>
                      <w:bdr w:val="single" w:color="000000" w:sz="4" w:space="0"/>
                    </w:rPr>
                    <w:drawing>
                      <wp:anchor distT="0" distB="0" distL="114300" distR="114300" simplePos="0" relativeHeight="251659264" behindDoc="0" locked="0" layoutInCell="1" allowOverlap="1">
                        <wp:simplePos x="0" y="0"/>
                        <wp:positionH relativeFrom="column">
                          <wp:posOffset>0</wp:posOffset>
                        </wp:positionH>
                        <wp:positionV relativeFrom="paragraph">
                          <wp:posOffset>685800</wp:posOffset>
                        </wp:positionV>
                        <wp:extent cx="10160" cy="10160"/>
                        <wp:effectExtent l="0" t="0" r="0" b="0"/>
                        <wp:wrapNone/>
                        <wp:docPr id="6" name="图片_11"/>
                        <wp:cNvGraphicFramePr/>
                        <a:graphic xmlns:a="http://schemas.openxmlformats.org/drawingml/2006/main">
                          <a:graphicData uri="http://schemas.openxmlformats.org/drawingml/2006/picture">
                            <pic:pic xmlns:pic="http://schemas.openxmlformats.org/drawingml/2006/picture">
                              <pic:nvPicPr>
                                <pic:cNvPr id="6" name="图片_11"/>
                                <pic:cNvPicPr/>
                              </pic:nvPicPr>
                              <pic:blipFill>
                                <a:blip r:embed="rId5"/>
                                <a:stretch>
                                  <a:fillRect/>
                                </a:stretch>
                              </pic:blipFill>
                              <pic:spPr>
                                <a:xfrm>
                                  <a:off x="0" y="0"/>
                                  <a:ext cx="10160" cy="10160"/>
                                </a:xfrm>
                                <a:prstGeom prst="rect">
                                  <a:avLst/>
                                </a:prstGeom>
                                <a:noFill/>
                                <a:ln>
                                  <a:noFill/>
                                </a:ln>
                              </pic:spPr>
                            </pic:pic>
                          </a:graphicData>
                        </a:graphic>
                      </wp:anchor>
                    </w:drawing>
                  </w:r>
                  <w:r>
                    <w:rPr>
                      <w:rFonts w:hint="eastAsia" w:ascii="宋体" w:hAnsi="宋体" w:cs="宋体"/>
                      <w:b w:val="0"/>
                      <w:color w:val="000000"/>
                      <w:lang w:eastAsia="zh-CN" w:bidi="ar"/>
                    </w:rPr>
                    <w:t>（</w:t>
                  </w:r>
                  <w:r>
                    <w:rPr>
                      <w:rFonts w:hint="eastAsia" w:ascii="宋体" w:hAnsi="宋体" w:cs="宋体"/>
                      <w:b w:val="0"/>
                      <w:color w:val="000000"/>
                      <w:lang w:bidi="ar"/>
                    </w:rPr>
                    <w:t>电</w:t>
                  </w:r>
                  <w:r>
                    <w:rPr>
                      <w:rFonts w:hint="eastAsia" w:ascii="宋体" w:hAnsi="宋体" w:cs="宋体"/>
                      <w:b w:val="0"/>
                      <w:color w:val="000000"/>
                      <w:lang w:eastAsia="zh-CN" w:bidi="ar"/>
                    </w:rPr>
                    <w:t>口）</w:t>
                  </w:r>
                </w:p>
              </w:tc>
              <w:tc>
                <w:tcPr>
                  <w:tcW w:w="1373" w:type="dxa"/>
                  <w:shd w:val="clear" w:color="auto" w:fill="FFFFFF"/>
                  <w:vAlign w:val="center"/>
                </w:tcPr>
                <w:p w14:paraId="2D735A58">
                  <w:pPr>
                    <w:textAlignment w:val="center"/>
                    <w:rPr>
                      <w:rFonts w:hint="default" w:ascii="宋体" w:hAnsi="宋体" w:eastAsia="宋体" w:cs="宋体"/>
                      <w:b w:val="0"/>
                      <w:color w:val="000000"/>
                      <w:kern w:val="2"/>
                      <w:sz w:val="21"/>
                      <w:szCs w:val="24"/>
                      <w:lang w:val="en-US" w:eastAsia="zh-CN" w:bidi="ar-SA"/>
                    </w:rPr>
                  </w:pPr>
                  <w:r>
                    <w:rPr>
                      <w:rFonts w:hint="eastAsia" w:ascii="宋体" w:hAnsi="宋体" w:cs="宋体"/>
                      <w:b w:val="0"/>
                      <w:color w:val="000000"/>
                      <w:lang w:bidi="ar"/>
                    </w:rPr>
                    <w:t>端口个数</w:t>
                  </w:r>
                </w:p>
              </w:tc>
              <w:tc>
                <w:tcPr>
                  <w:tcW w:w="2490" w:type="dxa"/>
                  <w:shd w:val="clear" w:color="auto" w:fill="FFFFFF"/>
                  <w:vAlign w:val="center"/>
                </w:tcPr>
                <w:p w14:paraId="546F2B34">
                  <w:pPr>
                    <w:textAlignment w:val="center"/>
                    <w:rPr>
                      <w:rFonts w:hint="default" w:ascii="Times New Roman" w:hAnsi="Times New Roman" w:eastAsia="宋体" w:cs="Times New Roman"/>
                      <w:b w:val="0"/>
                      <w:color w:val="000000"/>
                      <w:kern w:val="2"/>
                      <w:sz w:val="21"/>
                      <w:szCs w:val="24"/>
                      <w:lang w:val="en-US" w:eastAsia="zh-CN" w:bidi="ar-SA"/>
                    </w:rPr>
                  </w:pPr>
                  <w:r>
                    <w:rPr>
                      <w:rFonts w:hint="eastAsia"/>
                      <w:b w:val="0"/>
                      <w:color w:val="000000"/>
                    </w:rPr>
                    <w:t>4</w:t>
                  </w:r>
                </w:p>
              </w:tc>
            </w:tr>
            <w:tr w14:paraId="710BF6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854" w:type="dxa"/>
                  <w:vMerge w:val="continue"/>
                </w:tcPr>
                <w:p w14:paraId="478083FB">
                  <w:pPr>
                    <w:pStyle w:val="2"/>
                    <w:rPr>
                      <w:rFonts w:hint="default"/>
                      <w:vertAlign w:val="baseline"/>
                      <w:lang w:val="en-US" w:eastAsia="zh-CN"/>
                    </w:rPr>
                  </w:pPr>
                </w:p>
              </w:tc>
              <w:tc>
                <w:tcPr>
                  <w:tcW w:w="1316" w:type="dxa"/>
                  <w:vMerge w:val="continue"/>
                  <w:vAlign w:val="center"/>
                </w:tcPr>
                <w:p w14:paraId="5A3F743C">
                  <w:pPr>
                    <w:pStyle w:val="2"/>
                    <w:jc w:val="left"/>
                    <w:rPr>
                      <w:rFonts w:hint="default"/>
                      <w:vertAlign w:val="baseline"/>
                      <w:lang w:val="en-US" w:eastAsia="zh-CN"/>
                    </w:rPr>
                  </w:pPr>
                </w:p>
              </w:tc>
              <w:tc>
                <w:tcPr>
                  <w:tcW w:w="1373" w:type="dxa"/>
                  <w:shd w:val="clear" w:color="auto" w:fill="FFFFFF"/>
                  <w:vAlign w:val="center"/>
                </w:tcPr>
                <w:p w14:paraId="1B109D5E">
                  <w:pPr>
                    <w:textAlignment w:val="center"/>
                    <w:rPr>
                      <w:rFonts w:hint="default" w:ascii="宋体" w:hAnsi="宋体" w:eastAsia="宋体" w:cs="宋体"/>
                      <w:b w:val="0"/>
                      <w:color w:val="000000"/>
                      <w:kern w:val="2"/>
                      <w:sz w:val="21"/>
                      <w:szCs w:val="24"/>
                      <w:lang w:val="en-US" w:eastAsia="zh-CN" w:bidi="ar-SA"/>
                    </w:rPr>
                  </w:pPr>
                  <w:r>
                    <w:rPr>
                      <w:rFonts w:hint="eastAsia" w:ascii="宋体" w:hAnsi="宋体" w:cs="宋体"/>
                      <w:b w:val="0"/>
                      <w:color w:val="000000"/>
                      <w:lang w:bidi="ar"/>
                    </w:rPr>
                    <w:t>接口形式</w:t>
                  </w:r>
                </w:p>
              </w:tc>
              <w:tc>
                <w:tcPr>
                  <w:tcW w:w="2490" w:type="dxa"/>
                  <w:shd w:val="clear" w:color="auto" w:fill="FFFFFF"/>
                  <w:vAlign w:val="center"/>
                </w:tcPr>
                <w:p w14:paraId="40FEAF10">
                  <w:pPr>
                    <w:textAlignment w:val="center"/>
                    <w:rPr>
                      <w:rFonts w:hint="default" w:ascii="Times New Roman" w:hAnsi="Times New Roman" w:eastAsia="宋体" w:cs="Times New Roman"/>
                      <w:b w:val="0"/>
                      <w:color w:val="000000"/>
                      <w:kern w:val="2"/>
                      <w:sz w:val="21"/>
                      <w:szCs w:val="24"/>
                      <w:lang w:val="en-US" w:eastAsia="zh-CN" w:bidi="ar-SA"/>
                    </w:rPr>
                  </w:pPr>
                  <w:r>
                    <w:rPr>
                      <w:b w:val="0"/>
                      <w:color w:val="000000"/>
                      <w:lang w:bidi="ar"/>
                    </w:rPr>
                    <w:t>RJ-45</w:t>
                  </w:r>
                </w:p>
              </w:tc>
            </w:tr>
            <w:tr w14:paraId="7F0B5D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854" w:type="dxa"/>
                  <w:vMerge w:val="continue"/>
                </w:tcPr>
                <w:p w14:paraId="39FFE883">
                  <w:pPr>
                    <w:pStyle w:val="2"/>
                    <w:rPr>
                      <w:rFonts w:hint="default"/>
                      <w:vertAlign w:val="baseline"/>
                      <w:lang w:val="en-US" w:eastAsia="zh-CN"/>
                    </w:rPr>
                  </w:pPr>
                </w:p>
              </w:tc>
              <w:tc>
                <w:tcPr>
                  <w:tcW w:w="1316" w:type="dxa"/>
                  <w:vMerge w:val="continue"/>
                  <w:vAlign w:val="center"/>
                </w:tcPr>
                <w:p w14:paraId="2B9D0BF8">
                  <w:pPr>
                    <w:pStyle w:val="2"/>
                    <w:jc w:val="left"/>
                    <w:rPr>
                      <w:rFonts w:hint="default"/>
                      <w:vertAlign w:val="baseline"/>
                      <w:lang w:val="en-US" w:eastAsia="zh-CN"/>
                    </w:rPr>
                  </w:pPr>
                </w:p>
              </w:tc>
              <w:tc>
                <w:tcPr>
                  <w:tcW w:w="1373" w:type="dxa"/>
                  <w:shd w:val="clear" w:color="auto" w:fill="FFFFFF"/>
                  <w:vAlign w:val="center"/>
                </w:tcPr>
                <w:p w14:paraId="768C8011">
                  <w:pPr>
                    <w:textAlignment w:val="center"/>
                    <w:rPr>
                      <w:rFonts w:hint="default" w:ascii="宋体" w:hAnsi="宋体" w:eastAsia="宋体" w:cs="宋体"/>
                      <w:b w:val="0"/>
                      <w:color w:val="000000"/>
                      <w:kern w:val="2"/>
                      <w:sz w:val="21"/>
                      <w:szCs w:val="24"/>
                      <w:lang w:val="en-US" w:eastAsia="zh-CN" w:bidi="ar-SA"/>
                    </w:rPr>
                  </w:pPr>
                  <w:r>
                    <w:rPr>
                      <w:rFonts w:hint="eastAsia" w:ascii="宋体" w:hAnsi="宋体" w:cs="宋体"/>
                      <w:b w:val="0"/>
                      <w:color w:val="000000"/>
                      <w:lang w:bidi="ar"/>
                    </w:rPr>
                    <w:t>传输速率</w:t>
                  </w:r>
                </w:p>
              </w:tc>
              <w:tc>
                <w:tcPr>
                  <w:tcW w:w="2490" w:type="dxa"/>
                  <w:shd w:val="clear" w:color="auto" w:fill="FFFFFF"/>
                  <w:vAlign w:val="center"/>
                </w:tcPr>
                <w:p w14:paraId="6659985C">
                  <w:pPr>
                    <w:textAlignment w:val="center"/>
                    <w:rPr>
                      <w:rFonts w:hint="default" w:ascii="Times New Roman" w:hAnsi="Times New Roman" w:eastAsia="宋体" w:cs="Times New Roman"/>
                      <w:b w:val="0"/>
                      <w:color w:val="000000"/>
                      <w:kern w:val="2"/>
                      <w:sz w:val="21"/>
                      <w:szCs w:val="24"/>
                      <w:lang w:val="en-US" w:eastAsia="zh-CN" w:bidi="ar-SA"/>
                    </w:rPr>
                  </w:pPr>
                  <w:r>
                    <w:rPr>
                      <w:b w:val="0"/>
                      <w:color w:val="000000"/>
                      <w:lang w:bidi="ar"/>
                    </w:rPr>
                    <w:t>100Mbps</w:t>
                  </w:r>
                </w:p>
              </w:tc>
            </w:tr>
            <w:tr w14:paraId="0A8453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854" w:type="dxa"/>
                  <w:vMerge w:val="continue"/>
                </w:tcPr>
                <w:p w14:paraId="7FDB9FB8">
                  <w:pPr>
                    <w:pStyle w:val="2"/>
                    <w:rPr>
                      <w:rFonts w:hint="default"/>
                      <w:vertAlign w:val="baseline"/>
                      <w:lang w:val="en-US" w:eastAsia="zh-CN"/>
                    </w:rPr>
                  </w:pPr>
                </w:p>
              </w:tc>
              <w:tc>
                <w:tcPr>
                  <w:tcW w:w="1316" w:type="dxa"/>
                  <w:vMerge w:val="continue"/>
                  <w:vAlign w:val="center"/>
                </w:tcPr>
                <w:p w14:paraId="2D3321B5">
                  <w:pPr>
                    <w:pStyle w:val="2"/>
                    <w:jc w:val="left"/>
                    <w:rPr>
                      <w:rFonts w:hint="default"/>
                      <w:vertAlign w:val="baseline"/>
                      <w:lang w:val="en-US" w:eastAsia="zh-CN"/>
                    </w:rPr>
                  </w:pPr>
                </w:p>
              </w:tc>
              <w:tc>
                <w:tcPr>
                  <w:tcW w:w="1373" w:type="dxa"/>
                  <w:shd w:val="clear" w:color="auto" w:fill="FFFFFF"/>
                  <w:vAlign w:val="center"/>
                </w:tcPr>
                <w:p w14:paraId="0E54F298">
                  <w:pPr>
                    <w:textAlignment w:val="center"/>
                    <w:rPr>
                      <w:rFonts w:hint="default" w:ascii="宋体" w:hAnsi="宋体" w:eastAsia="宋体" w:cs="宋体"/>
                      <w:b w:val="0"/>
                      <w:color w:val="000000"/>
                      <w:kern w:val="2"/>
                      <w:sz w:val="21"/>
                      <w:szCs w:val="24"/>
                      <w:lang w:val="en-US" w:eastAsia="zh-CN" w:bidi="ar-SA"/>
                    </w:rPr>
                  </w:pPr>
                  <w:r>
                    <w:rPr>
                      <w:rFonts w:hint="eastAsia" w:ascii="宋体" w:hAnsi="宋体" w:cs="宋体"/>
                      <w:b w:val="0"/>
                      <w:color w:val="000000"/>
                      <w:lang w:bidi="ar"/>
                    </w:rPr>
                    <w:t>传输标准</w:t>
                  </w:r>
                </w:p>
              </w:tc>
              <w:tc>
                <w:tcPr>
                  <w:tcW w:w="2490" w:type="dxa"/>
                  <w:shd w:val="clear" w:color="auto" w:fill="FFFFFF"/>
                  <w:vAlign w:val="center"/>
                </w:tcPr>
                <w:p w14:paraId="550D6A19">
                  <w:pPr>
                    <w:textAlignment w:val="center"/>
                    <w:rPr>
                      <w:rFonts w:hint="default" w:ascii="Times New Roman" w:hAnsi="Times New Roman" w:eastAsia="宋体" w:cs="Times New Roman"/>
                      <w:b w:val="0"/>
                      <w:color w:val="000000"/>
                      <w:kern w:val="2"/>
                      <w:sz w:val="21"/>
                      <w:szCs w:val="24"/>
                      <w:lang w:val="en-US" w:eastAsia="zh-CN" w:bidi="ar-SA"/>
                    </w:rPr>
                  </w:pPr>
                  <w:r>
                    <w:rPr>
                      <w:b w:val="0"/>
                      <w:color w:val="000000"/>
                      <w:lang w:bidi="ar"/>
                    </w:rPr>
                    <w:t>100Base-TX</w:t>
                  </w:r>
                </w:p>
              </w:tc>
            </w:tr>
            <w:tr w14:paraId="08378D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854" w:type="dxa"/>
                  <w:vMerge w:val="continue"/>
                </w:tcPr>
                <w:p w14:paraId="0F67FDFE">
                  <w:pPr>
                    <w:pStyle w:val="2"/>
                    <w:rPr>
                      <w:rFonts w:hint="default"/>
                      <w:vertAlign w:val="baseline"/>
                      <w:lang w:val="en-US" w:eastAsia="zh-CN"/>
                    </w:rPr>
                  </w:pPr>
                </w:p>
              </w:tc>
              <w:tc>
                <w:tcPr>
                  <w:tcW w:w="1316" w:type="dxa"/>
                  <w:vMerge w:val="continue"/>
                  <w:vAlign w:val="center"/>
                </w:tcPr>
                <w:p w14:paraId="17852B3F">
                  <w:pPr>
                    <w:pStyle w:val="2"/>
                    <w:jc w:val="left"/>
                    <w:rPr>
                      <w:rFonts w:hint="default"/>
                      <w:vertAlign w:val="baseline"/>
                      <w:lang w:val="en-US" w:eastAsia="zh-CN"/>
                    </w:rPr>
                  </w:pPr>
                </w:p>
              </w:tc>
              <w:tc>
                <w:tcPr>
                  <w:tcW w:w="1373" w:type="dxa"/>
                  <w:shd w:val="clear" w:color="auto" w:fill="FFFFFF"/>
                  <w:vAlign w:val="center"/>
                </w:tcPr>
                <w:p w14:paraId="663BEA91">
                  <w:pPr>
                    <w:textAlignment w:val="center"/>
                    <w:rPr>
                      <w:rFonts w:hint="default" w:ascii="宋体" w:hAnsi="宋体" w:eastAsia="宋体" w:cs="宋体"/>
                      <w:b w:val="0"/>
                      <w:color w:val="000000"/>
                      <w:kern w:val="2"/>
                      <w:sz w:val="21"/>
                      <w:szCs w:val="24"/>
                      <w:lang w:val="en-US" w:eastAsia="zh-CN" w:bidi="ar-SA"/>
                    </w:rPr>
                  </w:pPr>
                  <w:r>
                    <w:rPr>
                      <w:rFonts w:hint="eastAsia" w:ascii="宋体" w:hAnsi="宋体" w:cs="宋体"/>
                      <w:b w:val="0"/>
                      <w:color w:val="000000"/>
                      <w:lang w:bidi="ar"/>
                    </w:rPr>
                    <w:t>传输距离</w:t>
                  </w:r>
                </w:p>
              </w:tc>
              <w:tc>
                <w:tcPr>
                  <w:tcW w:w="2490" w:type="dxa"/>
                  <w:shd w:val="clear" w:color="auto" w:fill="FFFFFF"/>
                  <w:vAlign w:val="center"/>
                </w:tcPr>
                <w:p w14:paraId="1FC096C7">
                  <w:pPr>
                    <w:textAlignment w:val="center"/>
                    <w:rPr>
                      <w:rFonts w:hint="default" w:ascii="Times New Roman" w:hAnsi="Times New Roman" w:eastAsia="宋体" w:cs="Times New Roman"/>
                      <w:b w:val="0"/>
                      <w:color w:val="000000"/>
                      <w:kern w:val="2"/>
                      <w:sz w:val="21"/>
                      <w:szCs w:val="24"/>
                      <w:lang w:val="en-US" w:eastAsia="zh-CN" w:bidi="ar-SA"/>
                    </w:rPr>
                  </w:pPr>
                  <w:r>
                    <w:rPr>
                      <w:b w:val="0"/>
                      <w:color w:val="000000"/>
                      <w:lang w:bidi="ar"/>
                    </w:rPr>
                    <w:t>&lt;100m</w:t>
                  </w:r>
                </w:p>
              </w:tc>
            </w:tr>
            <w:tr w14:paraId="6A41ED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854" w:type="dxa"/>
                  <w:vMerge w:val="continue"/>
                </w:tcPr>
                <w:p w14:paraId="21BFE34E">
                  <w:pPr>
                    <w:pStyle w:val="2"/>
                    <w:rPr>
                      <w:rFonts w:hint="default"/>
                      <w:vertAlign w:val="baseline"/>
                      <w:lang w:val="en-US" w:eastAsia="zh-CN"/>
                    </w:rPr>
                  </w:pPr>
                </w:p>
              </w:tc>
              <w:tc>
                <w:tcPr>
                  <w:tcW w:w="1316" w:type="dxa"/>
                  <w:vMerge w:val="continue"/>
                  <w:vAlign w:val="center"/>
                </w:tcPr>
                <w:p w14:paraId="66ABE591">
                  <w:pPr>
                    <w:pStyle w:val="2"/>
                    <w:jc w:val="left"/>
                    <w:rPr>
                      <w:rFonts w:hint="default"/>
                      <w:vertAlign w:val="baseline"/>
                      <w:lang w:val="en-US" w:eastAsia="zh-CN"/>
                    </w:rPr>
                  </w:pPr>
                </w:p>
              </w:tc>
              <w:tc>
                <w:tcPr>
                  <w:tcW w:w="1373" w:type="dxa"/>
                  <w:shd w:val="clear" w:color="auto" w:fill="FFFFFF"/>
                  <w:vAlign w:val="center"/>
                </w:tcPr>
                <w:p w14:paraId="78437D22">
                  <w:pPr>
                    <w:textAlignment w:val="center"/>
                    <w:rPr>
                      <w:rFonts w:hint="default" w:ascii="宋体" w:hAnsi="宋体" w:eastAsia="宋体" w:cs="宋体"/>
                      <w:b w:val="0"/>
                      <w:color w:val="000000"/>
                      <w:kern w:val="2"/>
                      <w:sz w:val="21"/>
                      <w:szCs w:val="24"/>
                      <w:lang w:val="en-US" w:eastAsia="zh-CN" w:bidi="ar-SA"/>
                    </w:rPr>
                  </w:pPr>
                  <w:r>
                    <w:rPr>
                      <w:rFonts w:hint="eastAsia" w:ascii="宋体" w:hAnsi="宋体" w:cs="宋体"/>
                      <w:b w:val="0"/>
                      <w:color w:val="000000"/>
                      <w:bdr w:val="single" w:color="000000" w:sz="4" w:space="0"/>
                    </w:rPr>
                    <w:drawing>
                      <wp:anchor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10160" cy="10160"/>
                        <wp:effectExtent l="0" t="0" r="0" b="0"/>
                        <wp:wrapNone/>
                        <wp:docPr id="7" name="图片_12"/>
                        <wp:cNvGraphicFramePr/>
                        <a:graphic xmlns:a="http://schemas.openxmlformats.org/drawingml/2006/main">
                          <a:graphicData uri="http://schemas.openxmlformats.org/drawingml/2006/picture">
                            <pic:pic xmlns:pic="http://schemas.openxmlformats.org/drawingml/2006/picture">
                              <pic:nvPicPr>
                                <pic:cNvPr id="7" name="图片_12"/>
                                <pic:cNvPicPr/>
                              </pic:nvPicPr>
                              <pic:blipFill>
                                <a:blip r:embed="rId6"/>
                                <a:stretch>
                                  <a:fillRect/>
                                </a:stretch>
                              </pic:blipFill>
                              <pic:spPr>
                                <a:xfrm>
                                  <a:off x="0" y="0"/>
                                  <a:ext cx="10160" cy="10160"/>
                                </a:xfrm>
                                <a:prstGeom prst="rect">
                                  <a:avLst/>
                                </a:prstGeom>
                                <a:noFill/>
                                <a:ln>
                                  <a:noFill/>
                                </a:ln>
                              </pic:spPr>
                            </pic:pic>
                          </a:graphicData>
                        </a:graphic>
                      </wp:anchor>
                    </w:drawing>
                  </w:r>
                  <w:r>
                    <w:rPr>
                      <w:rFonts w:hint="eastAsia" w:ascii="宋体" w:hAnsi="宋体" w:cs="宋体"/>
                      <w:b w:val="0"/>
                      <w:color w:val="000000"/>
                      <w:lang w:bidi="ar"/>
                    </w:rPr>
                    <w:t>通信规约</w:t>
                  </w:r>
                </w:p>
              </w:tc>
              <w:tc>
                <w:tcPr>
                  <w:tcW w:w="2490" w:type="dxa"/>
                  <w:shd w:val="clear" w:color="auto" w:fill="FFFFFF"/>
                  <w:vAlign w:val="center"/>
                </w:tcPr>
                <w:p w14:paraId="4706547C">
                  <w:pPr>
                    <w:textAlignment w:val="center"/>
                    <w:rPr>
                      <w:rFonts w:hint="default" w:ascii="Times New Roman" w:hAnsi="Times New Roman" w:eastAsia="宋体" w:cs="Times New Roman"/>
                      <w:b w:val="0"/>
                      <w:color w:val="000000"/>
                      <w:kern w:val="2"/>
                      <w:sz w:val="21"/>
                      <w:szCs w:val="24"/>
                      <w:lang w:val="en-US" w:eastAsia="zh-CN" w:bidi="ar-SA"/>
                    </w:rPr>
                  </w:pPr>
                  <w:r>
                    <w:rPr>
                      <w:b w:val="0"/>
                      <w:color w:val="000000"/>
                      <w:lang w:bidi="ar"/>
                    </w:rPr>
                    <w:t>IEC 61850</w:t>
                  </w:r>
                  <w:r>
                    <w:rPr>
                      <w:rFonts w:hint="eastAsia"/>
                      <w:b w:val="0"/>
                      <w:color w:val="000000"/>
                      <w:lang w:bidi="ar"/>
                    </w:rPr>
                    <w:t>，</w:t>
                  </w:r>
                  <w:r>
                    <w:rPr>
                      <w:b w:val="0"/>
                      <w:color w:val="000000"/>
                      <w:lang w:bidi="ar"/>
                    </w:rPr>
                    <w:t>IEC 60870-5-104</w:t>
                  </w:r>
                </w:p>
              </w:tc>
            </w:tr>
            <w:tr w14:paraId="242FD4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854" w:type="dxa"/>
                  <w:vMerge w:val="continue"/>
                </w:tcPr>
                <w:p w14:paraId="5D5A0134">
                  <w:pPr>
                    <w:pStyle w:val="2"/>
                    <w:ind w:left="0" w:leftChars="0" w:firstLine="0" w:firstLineChars="0"/>
                    <w:rPr>
                      <w:rFonts w:hint="default"/>
                      <w:vertAlign w:val="baseline"/>
                      <w:lang w:val="en-US" w:eastAsia="zh-CN"/>
                    </w:rPr>
                  </w:pPr>
                </w:p>
              </w:tc>
              <w:tc>
                <w:tcPr>
                  <w:tcW w:w="1316" w:type="dxa"/>
                  <w:vMerge w:val="restart"/>
                  <w:vAlign w:val="center"/>
                </w:tcPr>
                <w:p w14:paraId="79263509">
                  <w:pPr>
                    <w:pStyle w:val="2"/>
                    <w:ind w:left="0" w:leftChars="0" w:firstLine="0" w:firstLineChars="0"/>
                    <w:jc w:val="left"/>
                    <w:rPr>
                      <w:rFonts w:hint="default"/>
                      <w:vertAlign w:val="baseline"/>
                      <w:lang w:val="en-US" w:eastAsia="zh-CN"/>
                    </w:rPr>
                  </w:pPr>
                  <w:r>
                    <w:rPr>
                      <w:b w:val="0"/>
                      <w:color w:val="000000"/>
                      <w:lang w:bidi="ar"/>
                    </w:rPr>
                    <w:t>RS-232</w:t>
                  </w:r>
                  <w:r>
                    <w:rPr>
                      <w:rFonts w:hint="eastAsia" w:ascii="宋体" w:hAnsi="宋体" w:cs="宋体"/>
                      <w:b w:val="0"/>
                      <w:bCs/>
                      <w:color w:val="000000"/>
                      <w:lang w:bidi="ar"/>
                    </w:rPr>
                    <w:t xml:space="preserve">调试端口 </w:t>
                  </w:r>
                </w:p>
              </w:tc>
              <w:tc>
                <w:tcPr>
                  <w:tcW w:w="1373" w:type="dxa"/>
                  <w:shd w:val="clear" w:color="auto" w:fill="FFFFFF"/>
                  <w:vAlign w:val="center"/>
                </w:tcPr>
                <w:p w14:paraId="4FB1CA44">
                  <w:pPr>
                    <w:textAlignment w:val="center"/>
                    <w:rPr>
                      <w:rFonts w:hint="eastAsia" w:ascii="宋体" w:hAnsi="宋体" w:cs="宋体"/>
                      <w:b w:val="0"/>
                      <w:color w:val="000000"/>
                      <w:bdr w:val="single" w:color="000000" w:sz="4" w:space="0"/>
                    </w:rPr>
                  </w:pPr>
                  <w:r>
                    <w:rPr>
                      <w:rFonts w:hint="eastAsia" w:ascii="宋体" w:hAnsi="宋体" w:cs="宋体"/>
                      <w:lang w:bidi="ar"/>
                    </w:rPr>
                    <w:t>端口个数</w:t>
                  </w:r>
                </w:p>
              </w:tc>
              <w:tc>
                <w:tcPr>
                  <w:tcW w:w="2490" w:type="dxa"/>
                  <w:shd w:val="clear" w:color="auto" w:fill="FFFFFF"/>
                  <w:vAlign w:val="center"/>
                </w:tcPr>
                <w:p w14:paraId="76C5EE16">
                  <w:pPr>
                    <w:textAlignment w:val="center"/>
                    <w:rPr>
                      <w:b w:val="0"/>
                      <w:color w:val="000000"/>
                      <w:lang w:bidi="ar"/>
                    </w:rPr>
                  </w:pPr>
                  <w:r>
                    <w:rPr>
                      <w:lang w:bidi="ar"/>
                    </w:rPr>
                    <w:t>1</w:t>
                  </w:r>
                </w:p>
              </w:tc>
            </w:tr>
            <w:tr w14:paraId="6F7427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854" w:type="dxa"/>
                  <w:vMerge w:val="continue"/>
                </w:tcPr>
                <w:p w14:paraId="47900A79">
                  <w:pPr>
                    <w:pStyle w:val="2"/>
                    <w:ind w:left="0" w:leftChars="0" w:firstLine="0" w:firstLineChars="0"/>
                    <w:rPr>
                      <w:rFonts w:hint="default"/>
                      <w:vertAlign w:val="baseline"/>
                      <w:lang w:val="en-US" w:eastAsia="zh-CN"/>
                    </w:rPr>
                  </w:pPr>
                </w:p>
              </w:tc>
              <w:tc>
                <w:tcPr>
                  <w:tcW w:w="1316" w:type="dxa"/>
                  <w:vMerge w:val="continue"/>
                  <w:vAlign w:val="center"/>
                </w:tcPr>
                <w:p w14:paraId="05499BBC">
                  <w:pPr>
                    <w:pStyle w:val="2"/>
                    <w:ind w:left="0" w:leftChars="0" w:firstLine="0" w:firstLineChars="0"/>
                    <w:jc w:val="left"/>
                    <w:rPr>
                      <w:b w:val="0"/>
                      <w:color w:val="000000"/>
                      <w:lang w:bidi="ar"/>
                    </w:rPr>
                  </w:pPr>
                </w:p>
              </w:tc>
              <w:tc>
                <w:tcPr>
                  <w:tcW w:w="1373" w:type="dxa"/>
                  <w:shd w:val="clear" w:color="auto" w:fill="FFFFFF"/>
                  <w:vAlign w:val="center"/>
                </w:tcPr>
                <w:p w14:paraId="136E6B44">
                  <w:pPr>
                    <w:textAlignment w:val="center"/>
                    <w:rPr>
                      <w:rFonts w:hint="eastAsia" w:ascii="宋体" w:hAnsi="宋体" w:cs="宋体"/>
                      <w:b w:val="0"/>
                      <w:color w:val="000000"/>
                      <w:bdr w:val="single" w:color="000000" w:sz="4" w:space="0"/>
                    </w:rPr>
                  </w:pPr>
                  <w:r>
                    <w:rPr>
                      <w:rFonts w:hint="eastAsia" w:ascii="宋体" w:hAnsi="宋体" w:cs="宋体"/>
                      <w:lang w:bidi="ar"/>
                    </w:rPr>
                    <w:t>接口形式</w:t>
                  </w:r>
                </w:p>
              </w:tc>
              <w:tc>
                <w:tcPr>
                  <w:tcW w:w="2490" w:type="dxa"/>
                  <w:shd w:val="clear" w:color="auto" w:fill="FFFFFF"/>
                  <w:vAlign w:val="center"/>
                </w:tcPr>
                <w:p w14:paraId="2B0FE99B">
                  <w:pPr>
                    <w:textAlignment w:val="center"/>
                    <w:rPr>
                      <w:b w:val="0"/>
                      <w:color w:val="000000"/>
                      <w:lang w:bidi="ar"/>
                    </w:rPr>
                  </w:pPr>
                  <w:r>
                    <w:rPr>
                      <w:rFonts w:hint="eastAsia"/>
                    </w:rPr>
                    <w:t>电信号</w:t>
                  </w:r>
                </w:p>
              </w:tc>
            </w:tr>
            <w:tr w14:paraId="46F65B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854" w:type="dxa"/>
                  <w:vMerge w:val="continue"/>
                </w:tcPr>
                <w:p w14:paraId="259822F5">
                  <w:pPr>
                    <w:pStyle w:val="2"/>
                    <w:ind w:left="0" w:leftChars="0" w:firstLine="0" w:firstLineChars="0"/>
                    <w:rPr>
                      <w:rFonts w:hint="default"/>
                      <w:vertAlign w:val="baseline"/>
                      <w:lang w:val="en-US" w:eastAsia="zh-CN"/>
                    </w:rPr>
                  </w:pPr>
                </w:p>
              </w:tc>
              <w:tc>
                <w:tcPr>
                  <w:tcW w:w="1316" w:type="dxa"/>
                  <w:vMerge w:val="continue"/>
                  <w:vAlign w:val="center"/>
                </w:tcPr>
                <w:p w14:paraId="187D93BB">
                  <w:pPr>
                    <w:pStyle w:val="2"/>
                    <w:ind w:left="0" w:leftChars="0" w:firstLine="0" w:firstLineChars="0"/>
                    <w:jc w:val="left"/>
                    <w:rPr>
                      <w:b w:val="0"/>
                      <w:color w:val="000000"/>
                      <w:lang w:bidi="ar"/>
                    </w:rPr>
                  </w:pPr>
                </w:p>
              </w:tc>
              <w:tc>
                <w:tcPr>
                  <w:tcW w:w="1373" w:type="dxa"/>
                  <w:shd w:val="clear" w:color="auto" w:fill="FFFFFF"/>
                  <w:vAlign w:val="center"/>
                </w:tcPr>
                <w:p w14:paraId="60F20424">
                  <w:pPr>
                    <w:textAlignment w:val="center"/>
                    <w:rPr>
                      <w:rFonts w:hint="eastAsia" w:ascii="宋体" w:hAnsi="宋体" w:cs="宋体"/>
                      <w:b w:val="0"/>
                      <w:color w:val="000000"/>
                      <w:bdr w:val="single" w:color="000000" w:sz="4" w:space="0"/>
                    </w:rPr>
                  </w:pPr>
                  <w:r>
                    <w:rPr>
                      <w:rFonts w:hint="eastAsia" w:ascii="宋体" w:hAnsi="宋体" w:cs="宋体"/>
                      <w:bdr w:val="single" w:color="000000" w:sz="4" w:space="0"/>
                    </w:rPr>
                    <w:drawing>
                      <wp:anchor distT="0" distB="0" distL="114300" distR="114300" simplePos="0" relativeHeight="251661312" behindDoc="0" locked="0" layoutInCell="1" allowOverlap="1">
                        <wp:simplePos x="0" y="0"/>
                        <wp:positionH relativeFrom="column">
                          <wp:posOffset>0</wp:posOffset>
                        </wp:positionH>
                        <wp:positionV relativeFrom="paragraph">
                          <wp:posOffset>0</wp:posOffset>
                        </wp:positionV>
                        <wp:extent cx="10160" cy="10160"/>
                        <wp:effectExtent l="0" t="0" r="0" b="0"/>
                        <wp:wrapNone/>
                        <wp:docPr id="8" name="图片_14"/>
                        <wp:cNvGraphicFramePr/>
                        <a:graphic xmlns:a="http://schemas.openxmlformats.org/drawingml/2006/main">
                          <a:graphicData uri="http://schemas.openxmlformats.org/drawingml/2006/picture">
                            <pic:pic xmlns:pic="http://schemas.openxmlformats.org/drawingml/2006/picture">
                              <pic:nvPicPr>
                                <pic:cNvPr id="8" name="图片_14"/>
                                <pic:cNvPicPr/>
                              </pic:nvPicPr>
                              <pic:blipFill>
                                <a:blip r:embed="rId7"/>
                                <a:stretch>
                                  <a:fillRect/>
                                </a:stretch>
                              </pic:blipFill>
                              <pic:spPr>
                                <a:xfrm>
                                  <a:off x="0" y="0"/>
                                  <a:ext cx="10160" cy="10160"/>
                                </a:xfrm>
                                <a:prstGeom prst="rect">
                                  <a:avLst/>
                                </a:prstGeom>
                                <a:noFill/>
                                <a:ln>
                                  <a:noFill/>
                                </a:ln>
                              </pic:spPr>
                            </pic:pic>
                          </a:graphicData>
                        </a:graphic>
                      </wp:anchor>
                    </w:drawing>
                  </w:r>
                  <w:r>
                    <w:rPr>
                      <w:rFonts w:hint="eastAsia" w:ascii="宋体" w:hAnsi="宋体" w:cs="宋体"/>
                      <w:lang w:bidi="ar"/>
                    </w:rPr>
                    <w:t>传输速率</w:t>
                  </w:r>
                </w:p>
              </w:tc>
              <w:tc>
                <w:tcPr>
                  <w:tcW w:w="2490" w:type="dxa"/>
                  <w:shd w:val="clear" w:color="auto" w:fill="FFFFFF"/>
                  <w:vAlign w:val="center"/>
                </w:tcPr>
                <w:p w14:paraId="2C7EF7D7">
                  <w:pPr>
                    <w:textAlignment w:val="center"/>
                    <w:rPr>
                      <w:b w:val="0"/>
                      <w:color w:val="000000"/>
                      <w:lang w:bidi="ar"/>
                    </w:rPr>
                  </w:pPr>
                  <w:r>
                    <w:rPr>
                      <w:lang w:bidi="ar"/>
                    </w:rPr>
                    <w:t>115200</w:t>
                  </w:r>
                </w:p>
              </w:tc>
            </w:tr>
            <w:tr w14:paraId="614F95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854" w:type="dxa"/>
                  <w:vMerge w:val="continue"/>
                </w:tcPr>
                <w:p w14:paraId="23E776E5">
                  <w:pPr>
                    <w:pStyle w:val="2"/>
                    <w:rPr>
                      <w:rFonts w:hint="default"/>
                      <w:vertAlign w:val="baseline"/>
                      <w:lang w:val="en-US" w:eastAsia="zh-CN"/>
                    </w:rPr>
                  </w:pPr>
                </w:p>
              </w:tc>
              <w:tc>
                <w:tcPr>
                  <w:tcW w:w="1316" w:type="dxa"/>
                  <w:vMerge w:val="restart"/>
                  <w:shd w:val="clear" w:color="auto" w:fill="FFFFFF"/>
                  <w:vAlign w:val="center"/>
                </w:tcPr>
                <w:p w14:paraId="02456CE8">
                  <w:pPr>
                    <w:jc w:val="left"/>
                    <w:textAlignment w:val="center"/>
                    <w:rPr>
                      <w:rFonts w:hint="default" w:ascii="Times New Roman" w:hAnsi="Times New Roman" w:eastAsia="宋体" w:cs="Times New Roman"/>
                      <w:b w:val="0"/>
                      <w:color w:val="000000"/>
                      <w:kern w:val="2"/>
                      <w:sz w:val="21"/>
                      <w:szCs w:val="24"/>
                      <w:lang w:val="en-US" w:eastAsia="zh-CN" w:bidi="ar-SA"/>
                    </w:rPr>
                  </w:pPr>
                  <w:r>
                    <w:rPr>
                      <w:rFonts w:hint="eastAsia"/>
                      <w:b w:val="0"/>
                      <w:color w:val="000000"/>
                      <w:lang w:bidi="ar"/>
                    </w:rPr>
                    <w:t>CAN</w:t>
                  </w:r>
                  <w:r>
                    <w:rPr>
                      <w:rFonts w:hint="eastAsia" w:ascii="宋体" w:hAnsi="宋体" w:cs="宋体"/>
                      <w:b w:val="0"/>
                      <w:bCs/>
                      <w:color w:val="000000"/>
                      <w:lang w:bidi="ar"/>
                    </w:rPr>
                    <w:t>端口</w:t>
                  </w:r>
                </w:p>
              </w:tc>
              <w:tc>
                <w:tcPr>
                  <w:tcW w:w="1373" w:type="dxa"/>
                  <w:shd w:val="clear" w:color="auto" w:fill="FFFFFF"/>
                  <w:vAlign w:val="center"/>
                </w:tcPr>
                <w:p w14:paraId="44316322">
                  <w:pPr>
                    <w:textAlignment w:val="center"/>
                    <w:rPr>
                      <w:rFonts w:hint="eastAsia" w:ascii="宋体" w:hAnsi="宋体" w:cs="宋体"/>
                      <w:b w:val="0"/>
                      <w:color w:val="000000"/>
                      <w:bdr w:val="single" w:color="000000" w:sz="4" w:space="0"/>
                    </w:rPr>
                  </w:pPr>
                  <w:r>
                    <w:rPr>
                      <w:rFonts w:hint="eastAsia" w:ascii="宋体" w:hAnsi="宋体" w:cs="宋体"/>
                      <w:lang w:bidi="ar"/>
                    </w:rPr>
                    <w:t>端口个数</w:t>
                  </w:r>
                </w:p>
              </w:tc>
              <w:tc>
                <w:tcPr>
                  <w:tcW w:w="2490" w:type="dxa"/>
                  <w:shd w:val="clear" w:color="auto" w:fill="FFFFFF"/>
                  <w:vAlign w:val="center"/>
                </w:tcPr>
                <w:p w14:paraId="1A566B6E">
                  <w:pPr>
                    <w:textAlignment w:val="center"/>
                    <w:rPr>
                      <w:b w:val="0"/>
                      <w:color w:val="000000"/>
                      <w:lang w:bidi="ar"/>
                    </w:rPr>
                  </w:pPr>
                  <w:r>
                    <w:rPr>
                      <w:rFonts w:hint="eastAsia"/>
                      <w:lang w:bidi="ar"/>
                    </w:rPr>
                    <w:t>2</w:t>
                  </w:r>
                </w:p>
              </w:tc>
            </w:tr>
            <w:tr w14:paraId="6B1F34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854" w:type="dxa"/>
                  <w:vMerge w:val="continue"/>
                </w:tcPr>
                <w:p w14:paraId="4836AE36">
                  <w:pPr>
                    <w:pStyle w:val="2"/>
                    <w:rPr>
                      <w:rFonts w:hint="default"/>
                      <w:vertAlign w:val="baseline"/>
                      <w:lang w:val="en-US" w:eastAsia="zh-CN"/>
                    </w:rPr>
                  </w:pPr>
                </w:p>
              </w:tc>
              <w:tc>
                <w:tcPr>
                  <w:tcW w:w="1316" w:type="dxa"/>
                  <w:vMerge w:val="continue"/>
                  <w:shd w:val="clear" w:color="auto" w:fill="FFFFFF"/>
                  <w:vAlign w:val="center"/>
                </w:tcPr>
                <w:p w14:paraId="077D4357">
                  <w:pPr>
                    <w:jc w:val="left"/>
                    <w:textAlignment w:val="center"/>
                    <w:rPr>
                      <w:rFonts w:hint="eastAsia"/>
                      <w:b w:val="0"/>
                      <w:color w:val="000000"/>
                      <w:lang w:bidi="ar"/>
                    </w:rPr>
                  </w:pPr>
                </w:p>
              </w:tc>
              <w:tc>
                <w:tcPr>
                  <w:tcW w:w="1373" w:type="dxa"/>
                  <w:shd w:val="clear" w:color="auto" w:fill="FFFFFF"/>
                  <w:vAlign w:val="center"/>
                </w:tcPr>
                <w:p w14:paraId="7A05DC89">
                  <w:pPr>
                    <w:textAlignment w:val="center"/>
                    <w:rPr>
                      <w:rFonts w:hint="eastAsia" w:ascii="宋体" w:hAnsi="宋体" w:cs="宋体"/>
                      <w:b w:val="0"/>
                      <w:color w:val="000000"/>
                      <w:bdr w:val="single" w:color="000000" w:sz="4" w:space="0"/>
                    </w:rPr>
                  </w:pPr>
                  <w:r>
                    <w:rPr>
                      <w:rFonts w:hint="eastAsia" w:ascii="宋体" w:hAnsi="宋体" w:cs="宋体"/>
                      <w:lang w:bidi="ar"/>
                    </w:rPr>
                    <w:t>通信速率</w:t>
                  </w:r>
                </w:p>
              </w:tc>
              <w:tc>
                <w:tcPr>
                  <w:tcW w:w="2490" w:type="dxa"/>
                  <w:shd w:val="clear" w:color="auto" w:fill="FFFFFF"/>
                  <w:vAlign w:val="center"/>
                </w:tcPr>
                <w:p w14:paraId="3334F073">
                  <w:pPr>
                    <w:textAlignment w:val="center"/>
                    <w:rPr>
                      <w:b w:val="0"/>
                      <w:color w:val="000000"/>
                      <w:lang w:bidi="ar"/>
                    </w:rPr>
                  </w:pPr>
                  <w:r>
                    <w:rPr>
                      <w:rFonts w:hint="eastAsia"/>
                      <w:lang w:bidi="ar"/>
                    </w:rPr>
                    <w:t>最高1M</w:t>
                  </w:r>
                </w:p>
              </w:tc>
            </w:tr>
            <w:tr w14:paraId="4D1A83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854" w:type="dxa"/>
                  <w:vMerge w:val="continue"/>
                </w:tcPr>
                <w:p w14:paraId="32F5DF23">
                  <w:pPr>
                    <w:pStyle w:val="2"/>
                    <w:rPr>
                      <w:rFonts w:hint="default"/>
                      <w:vertAlign w:val="baseline"/>
                      <w:lang w:val="en-US" w:eastAsia="zh-CN"/>
                    </w:rPr>
                  </w:pPr>
                </w:p>
              </w:tc>
              <w:tc>
                <w:tcPr>
                  <w:tcW w:w="1316" w:type="dxa"/>
                  <w:vMerge w:val="restart"/>
                  <w:vAlign w:val="center"/>
                </w:tcPr>
                <w:p w14:paraId="0BD51EFD">
                  <w:pPr>
                    <w:jc w:val="left"/>
                    <w:textAlignment w:val="center"/>
                    <w:rPr>
                      <w:rFonts w:hint="default" w:ascii="Times New Roman" w:hAnsi="Times New Roman" w:eastAsia="宋体" w:cs="Times New Roman"/>
                      <w:b w:val="0"/>
                      <w:color w:val="000000"/>
                      <w:kern w:val="2"/>
                      <w:sz w:val="21"/>
                      <w:szCs w:val="24"/>
                      <w:lang w:val="en-US" w:eastAsia="zh-CN" w:bidi="ar-SA"/>
                    </w:rPr>
                  </w:pPr>
                  <w:r>
                    <w:rPr>
                      <w:rFonts w:hint="eastAsia"/>
                      <w:b w:val="0"/>
                      <w:color w:val="000000"/>
                      <w:lang w:bidi="ar"/>
                    </w:rPr>
                    <w:t>RS-</w:t>
                  </w:r>
                  <w:r>
                    <w:rPr>
                      <w:b w:val="0"/>
                      <w:color w:val="000000"/>
                      <w:lang w:bidi="ar"/>
                    </w:rPr>
                    <w:t>485</w:t>
                  </w:r>
                  <w:r>
                    <w:rPr>
                      <w:rFonts w:hint="eastAsia"/>
                      <w:b w:val="0"/>
                      <w:color w:val="000000"/>
                      <w:lang w:eastAsia="zh-CN" w:bidi="ar"/>
                    </w:rPr>
                    <w:t>端口</w:t>
                  </w:r>
                </w:p>
              </w:tc>
              <w:tc>
                <w:tcPr>
                  <w:tcW w:w="1373" w:type="dxa"/>
                  <w:shd w:val="clear" w:color="auto" w:fill="FFFFFF"/>
                  <w:vAlign w:val="center"/>
                </w:tcPr>
                <w:p w14:paraId="1EB65BD5">
                  <w:pPr>
                    <w:textAlignment w:val="center"/>
                    <w:rPr>
                      <w:rFonts w:hint="eastAsia" w:ascii="宋体" w:hAnsi="宋体" w:cs="宋体"/>
                      <w:b w:val="0"/>
                      <w:color w:val="000000"/>
                      <w:bdr w:val="single" w:color="000000" w:sz="4" w:space="0"/>
                    </w:rPr>
                  </w:pPr>
                  <w:r>
                    <w:rPr>
                      <w:rFonts w:hint="eastAsia" w:ascii="宋体" w:hAnsi="宋体" w:cs="宋体"/>
                      <w:lang w:bidi="ar"/>
                    </w:rPr>
                    <w:t>端口个数</w:t>
                  </w:r>
                </w:p>
              </w:tc>
              <w:tc>
                <w:tcPr>
                  <w:tcW w:w="2490" w:type="dxa"/>
                  <w:shd w:val="clear" w:color="auto" w:fill="FFFFFF"/>
                  <w:vAlign w:val="center"/>
                </w:tcPr>
                <w:p w14:paraId="221B66EF">
                  <w:pPr>
                    <w:textAlignment w:val="center"/>
                    <w:rPr>
                      <w:b w:val="0"/>
                      <w:color w:val="000000"/>
                      <w:lang w:bidi="ar"/>
                    </w:rPr>
                  </w:pPr>
                  <w:r>
                    <w:rPr>
                      <w:rFonts w:hint="eastAsia"/>
                      <w:lang w:val="en-US" w:eastAsia="zh-CN"/>
                    </w:rPr>
                    <w:t>14</w:t>
                  </w:r>
                </w:p>
              </w:tc>
            </w:tr>
            <w:tr w14:paraId="429317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854" w:type="dxa"/>
                  <w:vMerge w:val="continue"/>
                </w:tcPr>
                <w:p w14:paraId="60B31403">
                  <w:pPr>
                    <w:pStyle w:val="2"/>
                    <w:rPr>
                      <w:rFonts w:hint="default"/>
                      <w:vertAlign w:val="baseline"/>
                      <w:lang w:val="en-US" w:eastAsia="zh-CN"/>
                    </w:rPr>
                  </w:pPr>
                </w:p>
              </w:tc>
              <w:tc>
                <w:tcPr>
                  <w:tcW w:w="1316" w:type="dxa"/>
                  <w:vMerge w:val="continue"/>
                  <w:shd w:val="clear" w:color="auto" w:fill="FFFFFF"/>
                  <w:vAlign w:val="center"/>
                </w:tcPr>
                <w:p w14:paraId="0D5DA09F">
                  <w:pPr>
                    <w:jc w:val="left"/>
                    <w:textAlignment w:val="center"/>
                    <w:rPr>
                      <w:rFonts w:hint="default" w:ascii="Times New Roman" w:hAnsi="Times New Roman" w:eastAsia="宋体" w:cs="Times New Roman"/>
                      <w:b w:val="0"/>
                      <w:color w:val="000000"/>
                      <w:kern w:val="2"/>
                      <w:sz w:val="21"/>
                      <w:szCs w:val="24"/>
                      <w:lang w:val="en-US" w:eastAsia="zh-CN" w:bidi="ar-SA"/>
                    </w:rPr>
                  </w:pPr>
                </w:p>
              </w:tc>
              <w:tc>
                <w:tcPr>
                  <w:tcW w:w="1373" w:type="dxa"/>
                  <w:shd w:val="clear" w:color="auto" w:fill="FFFFFF"/>
                  <w:vAlign w:val="center"/>
                </w:tcPr>
                <w:p w14:paraId="6B998AA9">
                  <w:pPr>
                    <w:textAlignment w:val="center"/>
                    <w:rPr>
                      <w:rFonts w:hint="eastAsia" w:ascii="宋体" w:hAnsi="宋体" w:cs="宋体"/>
                      <w:b w:val="0"/>
                      <w:color w:val="000000"/>
                      <w:bdr w:val="single" w:color="000000" w:sz="4" w:space="0"/>
                    </w:rPr>
                  </w:pPr>
                  <w:r>
                    <w:rPr>
                      <w:rFonts w:hint="eastAsia" w:ascii="宋体" w:hAnsi="宋体" w:cs="宋体"/>
                      <w:lang w:bidi="ar"/>
                    </w:rPr>
                    <w:t>通信速率</w:t>
                  </w:r>
                </w:p>
              </w:tc>
              <w:tc>
                <w:tcPr>
                  <w:tcW w:w="2490" w:type="dxa"/>
                  <w:shd w:val="clear" w:color="auto" w:fill="FFFFFF"/>
                  <w:vAlign w:val="center"/>
                </w:tcPr>
                <w:p w14:paraId="5B47F0C4">
                  <w:pPr>
                    <w:textAlignment w:val="center"/>
                    <w:rPr>
                      <w:b w:val="0"/>
                      <w:color w:val="000000"/>
                      <w:lang w:bidi="ar"/>
                    </w:rPr>
                  </w:pPr>
                  <w:r>
                    <w:rPr>
                      <w:rFonts w:hint="eastAsia"/>
                      <w:lang w:bidi="ar"/>
                    </w:rPr>
                    <w:t>最高1</w:t>
                  </w:r>
                  <w:r>
                    <w:rPr>
                      <w:lang w:bidi="ar"/>
                    </w:rPr>
                    <w:t>15200</w:t>
                  </w:r>
                </w:p>
              </w:tc>
            </w:tr>
            <w:tr w14:paraId="292147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854" w:type="dxa"/>
                  <w:vMerge w:val="restart"/>
                </w:tcPr>
                <w:p w14:paraId="1CB8398F">
                  <w:pPr>
                    <w:pStyle w:val="2"/>
                    <w:spacing w:line="240" w:lineRule="auto"/>
                    <w:ind w:left="0" w:leftChars="0" w:firstLine="0" w:firstLineChars="0"/>
                    <w:rPr>
                      <w:rFonts w:hint="default"/>
                      <w:vertAlign w:val="baseline"/>
                      <w:lang w:val="en-US" w:eastAsia="zh-CN"/>
                    </w:rPr>
                  </w:pPr>
                  <w:r>
                    <w:rPr>
                      <w:rFonts w:hint="eastAsia"/>
                      <w:b w:val="0"/>
                      <w:bCs/>
                      <w:color w:val="000000"/>
                      <w:lang w:bidi="ar"/>
                    </w:rPr>
                    <w:t>无线传输</w:t>
                  </w:r>
                  <w:r>
                    <w:rPr>
                      <w:rFonts w:hint="eastAsia"/>
                      <w:b w:val="0"/>
                      <w:bCs/>
                      <w:color w:val="000000"/>
                      <w:lang w:eastAsia="zh-CN" w:bidi="ar"/>
                    </w:rPr>
                    <w:t>模组（北向）</w:t>
                  </w:r>
                </w:p>
              </w:tc>
              <w:tc>
                <w:tcPr>
                  <w:tcW w:w="1316" w:type="dxa"/>
                  <w:vMerge w:val="restart"/>
                  <w:vAlign w:val="center"/>
                </w:tcPr>
                <w:p w14:paraId="58993C71">
                  <w:pPr>
                    <w:pStyle w:val="2"/>
                    <w:ind w:left="0" w:leftChars="0" w:firstLine="0" w:firstLineChars="0"/>
                    <w:jc w:val="left"/>
                    <w:rPr>
                      <w:rFonts w:hint="default"/>
                      <w:vertAlign w:val="baseline"/>
                      <w:lang w:val="en-US" w:eastAsia="zh-CN"/>
                    </w:rPr>
                  </w:pPr>
                  <w:r>
                    <w:rPr>
                      <w:rFonts w:hint="eastAsia"/>
                      <w:b w:val="0"/>
                      <w:color w:val="000000"/>
                    </w:rPr>
                    <w:t>4G</w:t>
                  </w:r>
                  <w:r>
                    <w:rPr>
                      <w:b w:val="0"/>
                      <w:color w:val="000000"/>
                    </w:rPr>
                    <w:t>/5G</w:t>
                  </w:r>
                </w:p>
              </w:tc>
              <w:tc>
                <w:tcPr>
                  <w:tcW w:w="1373" w:type="dxa"/>
                  <w:shd w:val="clear" w:color="auto" w:fill="FFFFFF"/>
                  <w:vAlign w:val="center"/>
                </w:tcPr>
                <w:p w14:paraId="0FA9DA77">
                  <w:pPr>
                    <w:textAlignment w:val="center"/>
                    <w:rPr>
                      <w:rFonts w:hint="eastAsia" w:ascii="宋体" w:hAnsi="宋体" w:cs="宋体"/>
                      <w:b w:val="0"/>
                      <w:color w:val="000000"/>
                      <w:bdr w:val="single" w:color="000000" w:sz="4" w:space="0"/>
                    </w:rPr>
                  </w:pPr>
                  <w:r>
                    <w:rPr>
                      <w:rFonts w:hint="eastAsia" w:ascii="宋体" w:hAnsi="宋体" w:cs="宋体"/>
                      <w:b w:val="0"/>
                      <w:color w:val="000000"/>
                      <w:lang w:bidi="ar"/>
                    </w:rPr>
                    <w:t>端口个数</w:t>
                  </w:r>
                </w:p>
              </w:tc>
              <w:tc>
                <w:tcPr>
                  <w:tcW w:w="2490" w:type="dxa"/>
                  <w:shd w:val="clear" w:color="auto" w:fill="FFFFFF"/>
                  <w:vAlign w:val="center"/>
                </w:tcPr>
                <w:p w14:paraId="5CC69B72">
                  <w:pPr>
                    <w:textAlignment w:val="center"/>
                    <w:rPr>
                      <w:b w:val="0"/>
                      <w:color w:val="000000"/>
                      <w:lang w:bidi="ar"/>
                    </w:rPr>
                  </w:pPr>
                  <w:r>
                    <w:rPr>
                      <w:rFonts w:hint="eastAsia"/>
                      <w:b w:val="0"/>
                      <w:color w:val="000000"/>
                      <w:lang w:val="en-US" w:eastAsia="zh-CN" w:bidi="ar"/>
                    </w:rPr>
                    <w:t>2</w:t>
                  </w:r>
                </w:p>
              </w:tc>
            </w:tr>
            <w:tr w14:paraId="3AF936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854" w:type="dxa"/>
                  <w:vMerge w:val="continue"/>
                </w:tcPr>
                <w:p w14:paraId="63E9864D">
                  <w:pPr>
                    <w:pStyle w:val="2"/>
                    <w:rPr>
                      <w:rFonts w:hint="default"/>
                      <w:vertAlign w:val="baseline"/>
                      <w:lang w:val="en-US" w:eastAsia="zh-CN"/>
                    </w:rPr>
                  </w:pPr>
                </w:p>
              </w:tc>
              <w:tc>
                <w:tcPr>
                  <w:tcW w:w="1316" w:type="dxa"/>
                  <w:vMerge w:val="continue"/>
                </w:tcPr>
                <w:p w14:paraId="2315460C">
                  <w:pPr>
                    <w:pStyle w:val="2"/>
                    <w:rPr>
                      <w:rFonts w:hint="default"/>
                      <w:vertAlign w:val="baseline"/>
                      <w:lang w:val="en-US" w:eastAsia="zh-CN"/>
                    </w:rPr>
                  </w:pPr>
                </w:p>
              </w:tc>
              <w:tc>
                <w:tcPr>
                  <w:tcW w:w="1373" w:type="dxa"/>
                  <w:shd w:val="clear" w:color="auto" w:fill="FFFFFF"/>
                  <w:vAlign w:val="center"/>
                </w:tcPr>
                <w:p w14:paraId="69B34782">
                  <w:pPr>
                    <w:textAlignment w:val="center"/>
                    <w:rPr>
                      <w:rFonts w:hint="eastAsia" w:ascii="宋体" w:hAnsi="宋体" w:cs="宋体"/>
                      <w:b w:val="0"/>
                      <w:color w:val="000000"/>
                      <w:bdr w:val="single" w:color="000000" w:sz="4" w:space="0"/>
                    </w:rPr>
                  </w:pPr>
                  <w:r>
                    <w:rPr>
                      <w:rFonts w:hint="eastAsia" w:ascii="宋体" w:hAnsi="宋体" w:cs="宋体"/>
                      <w:b w:val="0"/>
                      <w:color w:val="000000"/>
                      <w:lang w:bidi="ar"/>
                    </w:rPr>
                    <w:t>网络制式</w:t>
                  </w:r>
                </w:p>
              </w:tc>
              <w:tc>
                <w:tcPr>
                  <w:tcW w:w="2490" w:type="dxa"/>
                  <w:shd w:val="clear" w:color="auto" w:fill="FFFFFF"/>
                  <w:vAlign w:val="center"/>
                </w:tcPr>
                <w:p w14:paraId="08A86847">
                  <w:pPr>
                    <w:textAlignment w:val="center"/>
                    <w:rPr>
                      <w:b w:val="0"/>
                      <w:color w:val="000000"/>
                      <w:lang w:bidi="ar"/>
                    </w:rPr>
                  </w:pPr>
                  <w:r>
                    <w:rPr>
                      <w:rFonts w:hint="eastAsia"/>
                      <w:b w:val="0"/>
                      <w:color w:val="000000"/>
                      <w:lang w:bidi="ar"/>
                    </w:rPr>
                    <w:t>全网通</w:t>
                  </w:r>
                </w:p>
              </w:tc>
            </w:tr>
            <w:tr w14:paraId="26266A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54" w:type="dxa"/>
                  <w:vMerge w:val="continue"/>
                </w:tcPr>
                <w:p w14:paraId="589DADFF">
                  <w:pPr>
                    <w:pStyle w:val="2"/>
                    <w:rPr>
                      <w:rFonts w:hint="default"/>
                      <w:vertAlign w:val="baseline"/>
                      <w:lang w:val="en-US" w:eastAsia="zh-CN"/>
                    </w:rPr>
                  </w:pPr>
                </w:p>
              </w:tc>
              <w:tc>
                <w:tcPr>
                  <w:tcW w:w="1316" w:type="dxa"/>
                  <w:vMerge w:val="continue"/>
                </w:tcPr>
                <w:p w14:paraId="384446A9">
                  <w:pPr>
                    <w:pStyle w:val="2"/>
                    <w:rPr>
                      <w:rFonts w:hint="default"/>
                      <w:vertAlign w:val="baseline"/>
                      <w:lang w:val="en-US" w:eastAsia="zh-CN"/>
                    </w:rPr>
                  </w:pPr>
                </w:p>
              </w:tc>
              <w:tc>
                <w:tcPr>
                  <w:tcW w:w="1373" w:type="dxa"/>
                  <w:shd w:val="clear" w:color="auto" w:fill="FFFFFF"/>
                  <w:vAlign w:val="center"/>
                </w:tcPr>
                <w:p w14:paraId="6044A4E5">
                  <w:pPr>
                    <w:textAlignment w:val="center"/>
                    <w:rPr>
                      <w:rFonts w:hint="eastAsia" w:ascii="宋体" w:hAnsi="宋体" w:cs="宋体"/>
                      <w:b w:val="0"/>
                      <w:color w:val="000000"/>
                      <w:bdr w:val="single" w:color="000000" w:sz="4" w:space="0"/>
                    </w:rPr>
                  </w:pPr>
                  <w:r>
                    <w:rPr>
                      <w:rFonts w:hint="eastAsia" w:ascii="宋体" w:hAnsi="宋体" w:cs="宋体"/>
                      <w:b w:val="0"/>
                      <w:color w:val="000000"/>
                      <w:lang w:eastAsia="zh-CN" w:bidi="ar"/>
                    </w:rPr>
                    <w:t>加密支持</w:t>
                  </w:r>
                </w:p>
              </w:tc>
              <w:tc>
                <w:tcPr>
                  <w:tcW w:w="2490" w:type="dxa"/>
                  <w:shd w:val="clear" w:color="auto" w:fill="FFFFFF"/>
                  <w:vAlign w:val="center"/>
                </w:tcPr>
                <w:p w14:paraId="5CFCFD57">
                  <w:pPr>
                    <w:textAlignment w:val="center"/>
                    <w:rPr>
                      <w:b w:val="0"/>
                      <w:color w:val="000000"/>
                      <w:lang w:bidi="ar"/>
                    </w:rPr>
                  </w:pPr>
                  <w:r>
                    <w:rPr>
                      <w:rFonts w:hint="eastAsia"/>
                      <w:b w:val="0"/>
                      <w:color w:val="000000"/>
                      <w:lang w:eastAsia="zh-CN" w:bidi="ar"/>
                    </w:rPr>
                    <w:t>至少支持</w:t>
                  </w:r>
                  <w:r>
                    <w:rPr>
                      <w:rFonts w:hint="eastAsia"/>
                      <w:b w:val="0"/>
                      <w:color w:val="000000"/>
                      <w:lang w:val="en-US" w:eastAsia="zh-CN" w:bidi="ar"/>
                    </w:rPr>
                    <w:t>SM2加密</w:t>
                  </w:r>
                </w:p>
              </w:tc>
            </w:tr>
            <w:tr w14:paraId="7E88F7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2170" w:type="dxa"/>
                  <w:gridSpan w:val="2"/>
                </w:tcPr>
                <w:p w14:paraId="49FAE342">
                  <w:pPr>
                    <w:pStyle w:val="2"/>
                    <w:ind w:left="0" w:leftChars="0" w:firstLine="0" w:firstLineChars="0"/>
                    <w:rPr>
                      <w:rFonts w:hint="default"/>
                      <w:vertAlign w:val="baseline"/>
                      <w:lang w:val="en-US" w:eastAsia="zh-CN"/>
                    </w:rPr>
                  </w:pPr>
                  <w:r>
                    <w:rPr>
                      <w:rFonts w:hint="eastAsia"/>
                      <w:b w:val="0"/>
                      <w:color w:val="000000"/>
                    </w:rPr>
                    <w:t>线缆、接插件等辅料</w:t>
                  </w:r>
                </w:p>
              </w:tc>
              <w:tc>
                <w:tcPr>
                  <w:tcW w:w="3863" w:type="dxa"/>
                  <w:gridSpan w:val="2"/>
                  <w:shd w:val="clear" w:color="auto" w:fill="FFFFFF"/>
                  <w:vAlign w:val="center"/>
                </w:tcPr>
                <w:p w14:paraId="3215A797">
                  <w:pPr>
                    <w:textAlignment w:val="center"/>
                    <w:rPr>
                      <w:b w:val="0"/>
                      <w:color w:val="000000"/>
                      <w:lang w:bidi="ar"/>
                    </w:rPr>
                  </w:pPr>
                  <w:r>
                    <w:rPr>
                      <w:rFonts w:hint="eastAsia"/>
                      <w:lang w:eastAsia="zh-CN"/>
                    </w:rPr>
                    <w:t>原型机制作所需的线缆、接插件等辅料，需与上述模组接口相匹配。</w:t>
                  </w:r>
                </w:p>
              </w:tc>
            </w:tr>
          </w:tbl>
          <w:p w14:paraId="637E191D">
            <w:pPr>
              <w:pStyle w:val="2"/>
              <w:ind w:left="0" w:leftChars="0" w:firstLine="0" w:firstLineChars="0"/>
              <w:rPr>
                <w:rFonts w:hint="default"/>
                <w:lang w:val="en-US" w:eastAsia="zh-CN"/>
              </w:rPr>
            </w:pPr>
          </w:p>
        </w:tc>
      </w:tr>
    </w:tbl>
    <w:p w14:paraId="781B91F1">
      <w:pPr>
        <w:ind w:firstLine="560" w:firstLineChars="200"/>
        <w:outlineLvl w:val="1"/>
        <w:rPr>
          <w:rFonts w:hint="eastAsia" w:ascii="宋体" w:hAnsi="宋体"/>
          <w:sz w:val="28"/>
          <w:szCs w:val="28"/>
          <w:highlight w:val="none"/>
        </w:rPr>
      </w:pPr>
      <w:r>
        <w:rPr>
          <w:rFonts w:hint="eastAsia" w:ascii="宋体" w:hAnsi="宋体"/>
          <w:sz w:val="28"/>
          <w:szCs w:val="28"/>
          <w:highlight w:val="none"/>
        </w:rPr>
        <w:t>三、零星采购方式</w:t>
      </w:r>
    </w:p>
    <w:p w14:paraId="35A3ACB9">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outlineLvl w:val="9"/>
        <w:rPr>
          <w:rFonts w:hint="eastAsia" w:ascii="宋体" w:hAnsi="宋体" w:eastAsia="宋体" w:cs="宋体"/>
          <w:i w:val="0"/>
          <w:iCs w:val="0"/>
          <w:color w:val="auto"/>
          <w:sz w:val="24"/>
          <w:szCs w:val="24"/>
          <w:highlight w:val="none"/>
          <w:lang w:val="en-US" w:eastAsia="zh-CN"/>
        </w:rPr>
      </w:pPr>
      <w:r>
        <w:rPr>
          <w:rFonts w:hint="eastAsia" w:ascii="宋体" w:hAnsi="宋体"/>
          <w:i w:val="0"/>
          <w:iCs w:val="0"/>
          <w:color w:val="auto"/>
          <w:sz w:val="28"/>
          <w:szCs w:val="28"/>
          <w:highlight w:val="none"/>
        </w:rPr>
        <w:t>本项目符合《广东电网有限责任公司非招标采购方式管理细则》中零星采购的条件（单项采购估算金额在5万以下，且不易形成批量的项目）</w:t>
      </w:r>
      <w:r>
        <w:rPr>
          <w:rFonts w:hint="eastAsia" w:ascii="宋体" w:hAnsi="宋体"/>
          <w:i w:val="0"/>
          <w:iCs w:val="0"/>
          <w:color w:val="auto"/>
          <w:sz w:val="28"/>
          <w:szCs w:val="28"/>
          <w:highlight w:val="none"/>
          <w:lang w:eastAsia="zh-CN"/>
        </w:rPr>
        <w:t>，</w:t>
      </w:r>
      <w:r>
        <w:rPr>
          <w:rFonts w:hint="eastAsia" w:ascii="宋体" w:hAnsi="宋体"/>
          <w:i w:val="0"/>
          <w:iCs w:val="0"/>
          <w:color w:val="auto"/>
          <w:sz w:val="28"/>
          <w:szCs w:val="28"/>
          <w:highlight w:val="none"/>
          <w:lang w:val="en-US" w:eastAsia="zh-CN"/>
        </w:rPr>
        <w:t>采用公开零星采购方式。</w:t>
      </w:r>
    </w:p>
    <w:p w14:paraId="2385303B">
      <w:pPr>
        <w:ind w:firstLine="560" w:firstLineChars="200"/>
        <w:outlineLvl w:val="1"/>
        <w:rPr>
          <w:rFonts w:hint="default" w:ascii="宋体" w:hAnsi="宋体" w:eastAsia="宋体"/>
          <w:i w:val="0"/>
          <w:iCs w:val="0"/>
          <w:sz w:val="28"/>
          <w:szCs w:val="28"/>
          <w:highlight w:val="none"/>
          <w:lang w:val="en-US" w:eastAsia="zh-CN"/>
        </w:rPr>
      </w:pPr>
      <w:r>
        <w:rPr>
          <w:rFonts w:hint="eastAsia" w:ascii="宋体" w:hAnsi="宋体"/>
          <w:i w:val="0"/>
          <w:iCs w:val="0"/>
          <w:sz w:val="28"/>
          <w:szCs w:val="28"/>
          <w:highlight w:val="none"/>
        </w:rPr>
        <w:t>四、零星采购供应商的选取</w:t>
      </w:r>
    </w:p>
    <w:p w14:paraId="33ABF595">
      <w:pPr>
        <w:ind w:firstLine="560" w:firstLineChars="200"/>
        <w:outlineLvl w:val="1"/>
        <w:rPr>
          <w:rFonts w:hint="eastAsia" w:ascii="宋体" w:hAnsi="宋体"/>
          <w:i w:val="0"/>
          <w:iCs w:val="0"/>
          <w:sz w:val="28"/>
          <w:szCs w:val="28"/>
          <w:highlight w:val="none"/>
        </w:rPr>
      </w:pPr>
      <w:r>
        <w:rPr>
          <w:rFonts w:hint="eastAsia" w:ascii="宋体" w:hAnsi="宋体"/>
          <w:i w:val="0"/>
          <w:iCs w:val="0"/>
          <w:sz w:val="28"/>
          <w:szCs w:val="28"/>
          <w:highlight w:val="none"/>
        </w:rPr>
        <w:t>（一）零星采购供应商的资格要求</w:t>
      </w:r>
    </w:p>
    <w:p w14:paraId="5E5D415C">
      <w:pPr>
        <w:ind w:firstLine="560" w:firstLineChars="200"/>
        <w:outlineLvl w:val="1"/>
        <w:rPr>
          <w:rFonts w:hint="eastAsia" w:ascii="宋体" w:hAnsi="宋体"/>
          <w:i w:val="0"/>
          <w:iCs w:val="0"/>
          <w:sz w:val="28"/>
          <w:szCs w:val="28"/>
          <w:highlight w:val="none"/>
        </w:rPr>
      </w:pPr>
      <w:r>
        <w:rPr>
          <w:rFonts w:hint="eastAsia" w:ascii="宋体" w:hAnsi="宋体"/>
          <w:i w:val="0"/>
          <w:iCs w:val="0"/>
          <w:sz w:val="28"/>
          <w:szCs w:val="28"/>
          <w:highlight w:val="none"/>
        </w:rPr>
        <w:t>必须具备必须具备电气设备销售、电子产品销售及技术服务开发能力，</w:t>
      </w:r>
      <w:r>
        <w:rPr>
          <w:rFonts w:hint="eastAsia" w:ascii="宋体" w:hAnsi="宋体"/>
          <w:i w:val="0"/>
          <w:iCs w:val="0"/>
          <w:sz w:val="28"/>
          <w:szCs w:val="28"/>
          <w:highlight w:val="none"/>
          <w:lang w:val="en-US" w:eastAsia="zh-CN"/>
        </w:rPr>
        <w:t>注册资金需大于等于100万元，公司营业范围覆盖该项目采购要求。</w:t>
      </w:r>
      <w:r>
        <w:rPr>
          <w:rFonts w:hint="default" w:ascii="宋体" w:hAnsi="宋体"/>
          <w:i w:val="0"/>
          <w:iCs w:val="0"/>
          <w:sz w:val="28"/>
          <w:szCs w:val="28"/>
          <w:highlight w:val="none"/>
          <w:lang w:val="en-US" w:eastAsia="zh-CN"/>
        </w:rPr>
        <w:t>具备质量管理体系认证证书、环境管理体系认证证书、职业健康安全管理体系认证证书。</w:t>
      </w:r>
      <w:r>
        <w:rPr>
          <w:rFonts w:hint="eastAsia" w:hAnsi="宋体"/>
          <w:sz w:val="28"/>
          <w:szCs w:val="28"/>
          <w:highlight w:val="none"/>
        </w:rPr>
        <w:t>能根据项目需求供给项目研发所需的</w:t>
      </w:r>
      <w:r>
        <w:rPr>
          <w:rFonts w:hint="eastAsia" w:hAnsi="宋体"/>
          <w:sz w:val="28"/>
          <w:szCs w:val="28"/>
          <w:highlight w:val="none"/>
          <w:lang w:val="en-US" w:eastAsia="zh-CN"/>
        </w:rPr>
        <w:t>材料</w:t>
      </w:r>
      <w:r>
        <w:rPr>
          <w:rFonts w:hint="eastAsia" w:hAnsi="宋体"/>
          <w:sz w:val="28"/>
          <w:szCs w:val="28"/>
          <w:highlight w:val="none"/>
        </w:rPr>
        <w:t>，承担</w:t>
      </w:r>
      <w:r>
        <w:rPr>
          <w:rFonts w:hint="eastAsia" w:hAnsi="宋体"/>
          <w:sz w:val="28"/>
          <w:szCs w:val="28"/>
          <w:highlight w:val="none"/>
          <w:lang w:eastAsia="zh-CN"/>
        </w:rPr>
        <w:t>设备材料及相关附件</w:t>
      </w:r>
      <w:r>
        <w:rPr>
          <w:rFonts w:hint="eastAsia" w:hAnsi="宋体"/>
          <w:sz w:val="28"/>
          <w:szCs w:val="28"/>
          <w:highlight w:val="none"/>
        </w:rPr>
        <w:t>递送服务。</w:t>
      </w:r>
    </w:p>
    <w:p w14:paraId="0CD9E786">
      <w:pPr>
        <w:ind w:firstLine="560" w:firstLineChars="200"/>
        <w:outlineLvl w:val="1"/>
        <w:rPr>
          <w:rFonts w:ascii="宋体" w:hAnsi="宋体"/>
          <w:kern w:val="0"/>
          <w:sz w:val="28"/>
          <w:szCs w:val="28"/>
        </w:rPr>
      </w:pPr>
      <w:r>
        <w:rPr>
          <w:rFonts w:hint="eastAsia" w:ascii="宋体" w:hAnsi="宋体"/>
          <w:sz w:val="28"/>
          <w:szCs w:val="28"/>
          <w:lang w:eastAsia="zh-CN"/>
        </w:rPr>
        <w:t>（</w:t>
      </w:r>
      <w:r>
        <w:rPr>
          <w:rFonts w:hint="eastAsia" w:ascii="宋体" w:hAnsi="宋体"/>
          <w:sz w:val="28"/>
          <w:szCs w:val="28"/>
          <w:lang w:val="en-US" w:eastAsia="zh-CN"/>
        </w:rPr>
        <w:t>二</w:t>
      </w:r>
      <w:r>
        <w:rPr>
          <w:rFonts w:hint="eastAsia" w:ascii="宋体" w:hAnsi="宋体"/>
          <w:sz w:val="28"/>
          <w:szCs w:val="28"/>
          <w:lang w:eastAsia="zh-CN"/>
        </w:rPr>
        <w:t>）</w:t>
      </w:r>
      <w:r>
        <w:rPr>
          <w:rFonts w:hint="eastAsia" w:ascii="宋体" w:hAnsi="宋体"/>
          <w:sz w:val="28"/>
          <w:szCs w:val="28"/>
        </w:rPr>
        <w:t>零星采购</w:t>
      </w:r>
      <w:r>
        <w:rPr>
          <w:rFonts w:hint="eastAsia" w:ascii="宋体" w:hAnsi="宋体"/>
          <w:kern w:val="0"/>
          <w:sz w:val="28"/>
          <w:szCs w:val="28"/>
        </w:rPr>
        <w:t>成交</w:t>
      </w:r>
      <w:r>
        <w:rPr>
          <w:rFonts w:ascii="宋体" w:hAnsi="宋体"/>
          <w:kern w:val="0"/>
          <w:sz w:val="28"/>
          <w:szCs w:val="28"/>
        </w:rPr>
        <w:t>标准</w:t>
      </w:r>
    </w:p>
    <w:p w14:paraId="51F0BCFD">
      <w:pPr>
        <w:ind w:firstLine="560" w:firstLineChars="200"/>
        <w:outlineLvl w:val="1"/>
        <w:rPr>
          <w:rFonts w:hint="eastAsia" w:ascii="宋体" w:hAnsi="宋体"/>
          <w:i w:val="0"/>
          <w:iCs w:val="0"/>
          <w:color w:val="auto"/>
          <w:sz w:val="28"/>
          <w:szCs w:val="28"/>
          <w:highlight w:val="none"/>
        </w:rPr>
      </w:pPr>
      <w:r>
        <w:rPr>
          <w:rFonts w:hint="eastAsia" w:ascii="宋体" w:hAnsi="宋体"/>
          <w:i w:val="0"/>
          <w:iCs w:val="0"/>
          <w:color w:val="auto"/>
          <w:sz w:val="28"/>
          <w:szCs w:val="28"/>
          <w:highlight w:val="none"/>
          <w:lang w:val="en-US" w:eastAsia="zh-CN"/>
        </w:rPr>
        <w:t>推荐成交供应商主要依据</w:t>
      </w:r>
      <w:r>
        <w:rPr>
          <w:rFonts w:hint="eastAsia" w:ascii="宋体" w:hAnsi="宋体" w:cs="Times New Roman"/>
          <w:i w:val="0"/>
          <w:iCs w:val="0"/>
          <w:color w:val="auto"/>
          <w:sz w:val="28"/>
          <w:szCs w:val="28"/>
          <w:highlight w:val="none"/>
          <w:lang w:val="en-US" w:eastAsia="zh-CN"/>
        </w:rPr>
        <w:t>满足技术要求前提下，推荐“价格、售后”综合最优的作为成交供应商。</w:t>
      </w:r>
    </w:p>
    <w:p w14:paraId="48F47D38">
      <w:pPr>
        <w:rPr>
          <w:color w:val="auto"/>
          <w:highlight w:val="none"/>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DejaVu Sans">
    <w:panose1 w:val="020B0603030804020204"/>
    <w:charset w:val="00"/>
    <w:family w:val="auto"/>
    <w:pitch w:val="default"/>
    <w:sig w:usb0="E7006EFF" w:usb1="D200FDFF" w:usb2="0A246029" w:usb3="0400200C" w:csb0="600001FF" w:csb1="D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3313D4">
    <w:pPr>
      <w:spacing w:line="440" w:lineRule="exact"/>
      <w:jc w:val="center"/>
    </w:pPr>
    <w:r>
      <w:rPr>
        <w:rFonts w:hint="eastAsia" w:ascii="黑体" w:hAnsi="宋体" w:eastAsia="黑体"/>
        <w:vanish w:val="0"/>
        <w:szCs w:val="21"/>
      </w:rPr>
      <w:t>备注：一式两份，审批完成后一份由实施</w:t>
    </w:r>
    <w:r>
      <w:rPr>
        <w:rFonts w:hint="eastAsia" w:ascii="黑体" w:hAnsi="宋体" w:eastAsia="黑体"/>
        <w:vanish w:val="0"/>
        <w:szCs w:val="21"/>
        <w:lang w:val="en-US" w:eastAsia="zh-CN"/>
      </w:rPr>
      <w:t>分部</w:t>
    </w:r>
    <w:r>
      <w:rPr>
        <w:rFonts w:hint="eastAsia" w:ascii="黑体" w:hAnsi="宋体" w:eastAsia="黑体"/>
        <w:vanish w:val="0"/>
        <w:szCs w:val="21"/>
      </w:rPr>
      <w:t>存档，一份办理费用报销时提供。</w: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4AC81D9"/>
    <w:multiLevelType w:val="singleLevel"/>
    <w:tmpl w:val="94AC81D9"/>
    <w:lvl w:ilvl="0" w:tentative="0">
      <w:start w:val="1"/>
      <w:numFmt w:val="chineseCounting"/>
      <w:suff w:val="nothing"/>
      <w:lvlText w:val="（%1）"/>
      <w:lvlJc w:val="left"/>
      <w:rPr>
        <w:rFonts w:hint="eastAsia"/>
      </w:rPr>
    </w:lvl>
  </w:abstractNum>
  <w:abstractNum w:abstractNumId="1">
    <w:nsid w:val="00000009"/>
    <w:multiLevelType w:val="multilevel"/>
    <w:tmpl w:val="00000009"/>
    <w:lvl w:ilvl="0" w:tentative="0">
      <w:start w:val="1"/>
      <w:numFmt w:val="japaneseCounting"/>
      <w:lvlText w:val="%1、"/>
      <w:lvlJc w:val="left"/>
      <w:pPr>
        <w:tabs>
          <w:tab w:val="left" w:pos="1080"/>
        </w:tabs>
        <w:ind w:left="1080" w:hanging="720"/>
      </w:pPr>
      <w:rPr>
        <w:rFonts w:hint="default"/>
        <w:lang w:val="en-US"/>
      </w:rPr>
    </w:lvl>
    <w:lvl w:ilvl="1" w:tentative="0">
      <w:start w:val="1"/>
      <w:numFmt w:val="lowerLetter"/>
      <w:lvlText w:val="%2)"/>
      <w:lvlJc w:val="left"/>
      <w:pPr>
        <w:tabs>
          <w:tab w:val="left" w:pos="1200"/>
        </w:tabs>
        <w:ind w:left="1200" w:hanging="420"/>
      </w:pPr>
    </w:lvl>
    <w:lvl w:ilvl="2" w:tentative="0">
      <w:start w:val="1"/>
      <w:numFmt w:val="lowerRoman"/>
      <w:lvlText w:val="%3."/>
      <w:lvlJc w:val="right"/>
      <w:pPr>
        <w:tabs>
          <w:tab w:val="left" w:pos="1620"/>
        </w:tabs>
        <w:ind w:left="1620" w:hanging="420"/>
      </w:pPr>
    </w:lvl>
    <w:lvl w:ilvl="3" w:tentative="0">
      <w:start w:val="1"/>
      <w:numFmt w:val="decimal"/>
      <w:lvlText w:val="%4."/>
      <w:lvlJc w:val="left"/>
      <w:pPr>
        <w:tabs>
          <w:tab w:val="left" w:pos="2040"/>
        </w:tabs>
        <w:ind w:left="2040" w:hanging="420"/>
      </w:pPr>
    </w:lvl>
    <w:lvl w:ilvl="4" w:tentative="0">
      <w:start w:val="1"/>
      <w:numFmt w:val="lowerLetter"/>
      <w:lvlText w:val="%5)"/>
      <w:lvlJc w:val="left"/>
      <w:pPr>
        <w:tabs>
          <w:tab w:val="left" w:pos="2460"/>
        </w:tabs>
        <w:ind w:left="2460" w:hanging="420"/>
      </w:pPr>
    </w:lvl>
    <w:lvl w:ilvl="5" w:tentative="0">
      <w:start w:val="1"/>
      <w:numFmt w:val="lowerRoman"/>
      <w:lvlText w:val="%6."/>
      <w:lvlJc w:val="right"/>
      <w:pPr>
        <w:tabs>
          <w:tab w:val="left" w:pos="2880"/>
        </w:tabs>
        <w:ind w:left="2880" w:hanging="420"/>
      </w:pPr>
    </w:lvl>
    <w:lvl w:ilvl="6" w:tentative="0">
      <w:start w:val="1"/>
      <w:numFmt w:val="decimal"/>
      <w:lvlText w:val="%7."/>
      <w:lvlJc w:val="left"/>
      <w:pPr>
        <w:tabs>
          <w:tab w:val="left" w:pos="3300"/>
        </w:tabs>
        <w:ind w:left="3300" w:hanging="420"/>
      </w:pPr>
    </w:lvl>
    <w:lvl w:ilvl="7" w:tentative="0">
      <w:start w:val="1"/>
      <w:numFmt w:val="lowerLetter"/>
      <w:lvlText w:val="%8)"/>
      <w:lvlJc w:val="left"/>
      <w:pPr>
        <w:tabs>
          <w:tab w:val="left" w:pos="3720"/>
        </w:tabs>
        <w:ind w:left="3720" w:hanging="420"/>
      </w:pPr>
    </w:lvl>
    <w:lvl w:ilvl="8" w:tentative="0">
      <w:start w:val="1"/>
      <w:numFmt w:val="lowerRoman"/>
      <w:lvlText w:val="%9."/>
      <w:lvlJc w:val="right"/>
      <w:pPr>
        <w:tabs>
          <w:tab w:val="left" w:pos="4140"/>
        </w:tabs>
        <w:ind w:left="414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055781"/>
    <w:rsid w:val="005A6A7B"/>
    <w:rsid w:val="00CA73C5"/>
    <w:rsid w:val="037620D9"/>
    <w:rsid w:val="06FB7168"/>
    <w:rsid w:val="085C188C"/>
    <w:rsid w:val="0A036D3E"/>
    <w:rsid w:val="0F426E96"/>
    <w:rsid w:val="14AF3AF6"/>
    <w:rsid w:val="16393878"/>
    <w:rsid w:val="176E57E8"/>
    <w:rsid w:val="18D80C51"/>
    <w:rsid w:val="20FC2F50"/>
    <w:rsid w:val="220133CB"/>
    <w:rsid w:val="248E5B34"/>
    <w:rsid w:val="262B4221"/>
    <w:rsid w:val="284C65D8"/>
    <w:rsid w:val="29355243"/>
    <w:rsid w:val="2BAE15BF"/>
    <w:rsid w:val="34441B5E"/>
    <w:rsid w:val="36474378"/>
    <w:rsid w:val="36F579F3"/>
    <w:rsid w:val="3A767A79"/>
    <w:rsid w:val="3B010A0D"/>
    <w:rsid w:val="436E0B6F"/>
    <w:rsid w:val="447E00A5"/>
    <w:rsid w:val="45BE4689"/>
    <w:rsid w:val="46846D05"/>
    <w:rsid w:val="4D103609"/>
    <w:rsid w:val="512F2584"/>
    <w:rsid w:val="548E0FA2"/>
    <w:rsid w:val="56BF4260"/>
    <w:rsid w:val="57AA30DF"/>
    <w:rsid w:val="599849FC"/>
    <w:rsid w:val="5D77384F"/>
    <w:rsid w:val="5DF6663C"/>
    <w:rsid w:val="5DF91C96"/>
    <w:rsid w:val="6327452B"/>
    <w:rsid w:val="65CB6F6C"/>
    <w:rsid w:val="663F1F0B"/>
    <w:rsid w:val="66DE0594"/>
    <w:rsid w:val="678A50E2"/>
    <w:rsid w:val="687703F0"/>
    <w:rsid w:val="691A30C5"/>
    <w:rsid w:val="6A433408"/>
    <w:rsid w:val="6D0B0226"/>
    <w:rsid w:val="6EC06CF4"/>
    <w:rsid w:val="700C68AA"/>
    <w:rsid w:val="71ABAF63"/>
    <w:rsid w:val="73203E3C"/>
    <w:rsid w:val="745A5E80"/>
    <w:rsid w:val="77A65A82"/>
    <w:rsid w:val="790F2B95"/>
    <w:rsid w:val="7BB225C6"/>
    <w:rsid w:val="7DC921BF"/>
    <w:rsid w:val="7DEF3FD0"/>
    <w:rsid w:val="7EE7C9CE"/>
    <w:rsid w:val="85FB48F6"/>
    <w:rsid w:val="96DE957C"/>
    <w:rsid w:val="B3F6EAFB"/>
    <w:rsid w:val="B3FFD3C9"/>
    <w:rsid w:val="B77B64B8"/>
    <w:rsid w:val="DBDF6184"/>
    <w:rsid w:val="EAFFD823"/>
    <w:rsid w:val="FB766E15"/>
    <w:rsid w:val="FDBCBB34"/>
    <w:rsid w:val="FDFFEE07"/>
    <w:rsid w:val="FFB7585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7">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pPr>
      <w:spacing w:after="120" w:line="288" w:lineRule="auto"/>
      <w:ind w:firstLine="1440" w:firstLineChars="200"/>
    </w:pPr>
    <w:rPr>
      <w:rFonts w:ascii="Times New Roman" w:hAnsi="Times New Roman"/>
    </w:r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8">
    <w:name w:val="Default"/>
    <w:qFormat/>
    <w:uiPriority w:val="0"/>
    <w:pPr>
      <w:widowControl w:val="0"/>
      <w:autoSpaceDE w:val="0"/>
      <w:autoSpaceDN w:val="0"/>
      <w:adjustRightInd w:val="0"/>
    </w:pPr>
    <w:rPr>
      <w:rFonts w:ascii="仿宋_GB2312" w:hAnsi="Calibri" w:eastAsia="仿宋_GB2312" w:cs="仿宋_GB2312"/>
      <w:color w:val="000000"/>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image" Target="media/image3.png"/><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0</TotalTime>
  <ScaleCrop>false</ScaleCrop>
  <LinksUpToDate>false</LinksUpToDate>
  <CharactersWithSpaces>0</CharactersWithSpaces>
  <Application>WPS Office_12.1.2.24720_F1E327BC-269C-435d-A152-05C5408002CA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2022-02-12T16:30:00Z</dcterms:created>
  <dc:creator>heyinsheng</dc:creator>
  <cp:lastModifiedBy>ouyangweinian</cp:lastModifiedBy>
  <dcterms:modified xsi:type="dcterms:W3CDTF">2026-09-16T09:45:46Z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2052-12.1.2.24720</vt:lpwstr>
  </property>
  <property fmtid="{D5CDD505-2E9C-101B-9397-08002B2CF9AE}" pid="3" name="ICV">
    <vt:lpwstr>7BE22D50C8184FD0B62334791961FCEC</vt:lpwstr>
  </property>
</Properties>
</file>