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eastAsia="黑体"/>
          <w:b/>
          <w:color w:val="000000" w:themeColor="text1"/>
          <w:sz w:val="52"/>
          <w:lang w:val="en-US" w:eastAsia="zh-CN"/>
          <w14:textFill>
            <w14:solidFill>
              <w14:schemeClr w14:val="tx1"/>
            </w14:solidFill>
          </w14:textFill>
        </w:rPr>
      </w:pPr>
      <w:bookmarkStart w:id="334" w:name="_GoBack"/>
      <w:bookmarkEnd w:id="334"/>
      <w:bookmarkStart w:id="0" w:name="_Toc246216323"/>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-1258570</wp:posOffset>
            </wp:positionH>
            <wp:positionV relativeFrom="paragraph">
              <wp:posOffset>-896620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pPr>
        <w:jc w:val="center"/>
        <w:rPr>
          <w:rFonts w:hint="eastAsia" w:eastAsia="黑体"/>
          <w:b/>
          <w:color w:val="000000" w:themeColor="text1"/>
          <w:sz w:val="52"/>
          <w:lang w:val="en-US" w:eastAsia="zh-CN"/>
          <w14:textFill>
            <w14:solidFill>
              <w14:schemeClr w14:val="tx1"/>
            </w14:solidFill>
          </w14:textFill>
        </w:rPr>
      </w:pPr>
    </w:p>
    <w:p>
      <w:pPr>
        <w:jc w:val="center"/>
        <w:rPr>
          <w:rFonts w:hint="eastAsia" w:eastAsia="黑体"/>
          <w:b/>
          <w:color w:val="000000" w:themeColor="text1"/>
          <w:sz w:val="52"/>
          <w:lang w:val="en-US" w:eastAsia="zh-CN"/>
          <w14:textFill>
            <w14:solidFill>
              <w14:schemeClr w14:val="tx1"/>
            </w14:solidFill>
          </w14:textFill>
        </w:rPr>
      </w:pPr>
    </w:p>
    <w:p>
      <w:pPr>
        <w:jc w:val="center"/>
        <w:rPr>
          <w:rFonts w:hint="eastAsia" w:eastAsia="黑体"/>
          <w:b/>
          <w:color w:val="000000" w:themeColor="text1"/>
          <w:sz w:val="52"/>
          <w:lang w:val="en-US" w:eastAsia="zh-CN"/>
          <w14:textFill>
            <w14:solidFill>
              <w14:schemeClr w14:val="tx1"/>
            </w14:solidFill>
          </w14:textFill>
        </w:rPr>
      </w:pPr>
    </w:p>
    <w:p>
      <w:pPr>
        <w:jc w:val="center"/>
        <w:rPr>
          <w:rFonts w:hint="eastAsia" w:eastAsia="黑体"/>
          <w:b/>
          <w:color w:val="000000" w:themeColor="text1"/>
          <w:sz w:val="52"/>
          <w:lang w:val="en-US" w:eastAsia="zh-CN"/>
          <w14:textFill>
            <w14:solidFill>
              <w14:schemeClr w14:val="tx1"/>
            </w14:solidFill>
          </w14:textFill>
        </w:rPr>
      </w:pPr>
    </w:p>
    <w:p>
      <w:pPr>
        <w:jc w:val="center"/>
        <w:rPr>
          <w:rFonts w:eastAsia="黑体"/>
          <w:b/>
          <w:color w:val="000000" w:themeColor="text1"/>
          <w:sz w:val="36"/>
          <w14:textFill>
            <w14:solidFill>
              <w14:schemeClr w14:val="tx1"/>
            </w14:solidFill>
          </w14:textFill>
        </w:rPr>
      </w:pPr>
      <w:r>
        <w:rPr>
          <w:rFonts w:hint="eastAsia" w:eastAsia="黑体"/>
          <w:b/>
          <w:color w:val="000000" w:themeColor="text1"/>
          <w:sz w:val="52"/>
          <w:lang w:val="en-US" w:eastAsia="zh-CN"/>
          <w14:textFill>
            <w14:solidFill>
              <w14:schemeClr w14:val="tx1"/>
            </w14:solidFill>
          </w14:textFill>
        </w:rPr>
        <w:t>广东天广能源科技发展有限公司非接触行波采集的分布式高压直流线路故障测距装置2026—2028年生产代工框架采购项目</w:t>
      </w:r>
      <w:r>
        <w:rPr>
          <w:rFonts w:eastAsia="黑体"/>
          <w:b/>
          <w:color w:val="000000" w:themeColor="text1"/>
          <w:sz w:val="52"/>
          <w14:textFill>
            <w14:solidFill>
              <w14:schemeClr w14:val="tx1"/>
            </w14:solidFill>
          </w14:textFill>
        </w:rPr>
        <w:t>技术</w:t>
      </w:r>
      <w:r>
        <w:rPr>
          <w:rFonts w:hint="eastAsia" w:eastAsia="黑体"/>
          <w:b/>
          <w:color w:val="000000" w:themeColor="text1"/>
          <w:sz w:val="52"/>
          <w14:textFill>
            <w14:solidFill>
              <w14:schemeClr w14:val="tx1"/>
            </w14:solidFill>
          </w14:textFill>
        </w:rPr>
        <w:t>规范书</w:t>
      </w:r>
    </w:p>
    <w:p>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p>
    <w:p>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批准：</w:t>
      </w:r>
    </w:p>
    <w:p>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审定：</w:t>
      </w:r>
    </w:p>
    <w:p>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审核：</w:t>
      </w:r>
    </w:p>
    <w:p>
      <w:pPr>
        <w:adjustRightInd w:val="0"/>
        <w:snapToGrid w:val="0"/>
        <w:spacing w:before="480" w:beforeLines="200"/>
        <w:ind w:firstLine="2873" w:firstLineChars="795"/>
        <w:rPr>
          <w:rFonts w:eastAsia="黑体"/>
          <w:b/>
          <w:color w:val="000000" w:themeColor="text1"/>
          <w:spacing w:val="20"/>
          <w:w w:val="135"/>
          <w:sz w:val="30"/>
          <w14:textFill>
            <w14:solidFill>
              <w14:schemeClr w14:val="tx1"/>
            </w14:solidFill>
          </w14:textFill>
        </w:rPr>
      </w:pPr>
      <w:r>
        <w:rPr>
          <w:rFonts w:hint="eastAsia" w:eastAsia="黑体"/>
          <w:b/>
          <w:color w:val="000000" w:themeColor="text1"/>
          <w:sz w:val="36"/>
          <w14:textFill>
            <w14:solidFill>
              <w14:schemeClr w14:val="tx1"/>
            </w14:solidFill>
          </w14:textFill>
        </w:rPr>
        <w:t>编写：</w:t>
      </w:r>
    </w:p>
    <w:p>
      <w:pPr>
        <w:spacing w:before="480" w:beforeLines="200"/>
        <w:jc w:val="both"/>
        <w:rPr>
          <w:rFonts w:hint="eastAsia" w:eastAsia="黑体"/>
          <w:b/>
          <w:color w:val="000000" w:themeColor="text1"/>
          <w:spacing w:val="20"/>
          <w:w w:val="135"/>
          <w:sz w:val="30"/>
          <w:lang w:eastAsia="zh-CN"/>
          <w14:textFill>
            <w14:solidFill>
              <w14:schemeClr w14:val="tx1"/>
            </w14:solidFill>
          </w14:textFill>
        </w:rPr>
      </w:pPr>
    </w:p>
    <w:p>
      <w:pPr>
        <w:spacing w:before="480" w:beforeLines="200"/>
        <w:jc w:val="center"/>
        <w:rPr>
          <w:rFonts w:hint="eastAsia" w:eastAsia="黑体"/>
          <w:b/>
          <w:color w:val="000000" w:themeColor="text1"/>
          <w:spacing w:val="20"/>
          <w:w w:val="135"/>
          <w:sz w:val="30"/>
          <w:lang w:eastAsia="zh-CN"/>
          <w14:textFill>
            <w14:solidFill>
              <w14:schemeClr w14:val="tx1"/>
            </w14:solidFill>
          </w14:textFill>
        </w:rPr>
      </w:pPr>
      <w:r>
        <w:rPr>
          <w:rFonts w:hint="eastAsia" w:eastAsia="黑体"/>
          <w:b/>
          <w:bCs w:val="0"/>
          <w:color w:val="000000" w:themeColor="text1"/>
          <w:spacing w:val="20"/>
          <w:w w:val="135"/>
          <w:sz w:val="30"/>
          <w:lang w:val="en-US" w:eastAsia="zh-CN"/>
          <w14:textFill>
            <w14:solidFill>
              <w14:schemeClr w14:val="tx1"/>
            </w14:solidFill>
          </w14:textFill>
        </w:rPr>
        <w:t>广东天广能源科技</w:t>
      </w:r>
      <w:r>
        <w:rPr>
          <w:rFonts w:hint="eastAsia" w:eastAsia="黑体"/>
          <w:b/>
          <w:bCs w:val="0"/>
          <w:color w:val="000000" w:themeColor="text1"/>
          <w:spacing w:val="20"/>
          <w:w w:val="135"/>
          <w:sz w:val="30"/>
          <w:lang w:eastAsia="zh-CN"/>
          <w14:textFill>
            <w14:solidFill>
              <w14:schemeClr w14:val="tx1"/>
            </w14:solidFill>
          </w14:textFill>
        </w:rPr>
        <w:t>发展有限公司</w:t>
      </w:r>
    </w:p>
    <w:p>
      <w:pPr>
        <w:spacing w:before="480" w:beforeLines="200"/>
        <w:jc w:val="center"/>
        <w:rPr>
          <w:rFonts w:eastAsia="黑体"/>
          <w:b/>
          <w:color w:val="000000" w:themeColor="text1"/>
          <w:spacing w:val="20"/>
          <w:w w:val="135"/>
          <w:sz w:val="30"/>
          <w14:textFill>
            <w14:solidFill>
              <w14:schemeClr w14:val="tx1"/>
            </w14:solidFill>
          </w14:textFill>
        </w:rPr>
        <w:sectPr>
          <w:headerReference r:id="rId3" w:type="default"/>
          <w:footerReference r:id="rId4" w:type="default"/>
          <w:footerReference r:id="rId5" w:type="even"/>
          <w:pgSz w:w="11907" w:h="16839"/>
          <w:pgMar w:top="1440" w:right="1701" w:bottom="1440" w:left="1701" w:header="964" w:footer="737" w:gutter="0"/>
          <w:pgBorders>
            <w:top w:val="none" w:sz="0" w:space="0"/>
            <w:left w:val="none" w:sz="0" w:space="0"/>
            <w:bottom w:val="none" w:sz="0" w:space="0"/>
            <w:right w:val="none" w:sz="0" w:space="0"/>
          </w:pgBorders>
          <w:pgNumType w:start="1"/>
          <w:cols w:space="425" w:num="1"/>
          <w:titlePg/>
          <w:docGrid w:linePitch="312" w:charSpace="0"/>
        </w:sectPr>
      </w:pPr>
      <w:r>
        <w:rPr>
          <w:rFonts w:eastAsia="黑体"/>
          <w:b/>
          <w:color w:val="000000" w:themeColor="text1"/>
          <w:spacing w:val="20"/>
          <w:w w:val="135"/>
          <w:sz w:val="30"/>
          <w14:textFill>
            <w14:solidFill>
              <w14:schemeClr w14:val="tx1"/>
            </w14:solidFill>
          </w14:textFill>
        </w:rPr>
        <w:t>20</w:t>
      </w:r>
      <w:r>
        <w:rPr>
          <w:rFonts w:hint="eastAsia" w:eastAsia="黑体"/>
          <w:b/>
          <w:color w:val="000000" w:themeColor="text1"/>
          <w:spacing w:val="20"/>
          <w:w w:val="135"/>
          <w:sz w:val="30"/>
          <w:lang w:val="en-US" w:eastAsia="zh-CN"/>
          <w14:textFill>
            <w14:solidFill>
              <w14:schemeClr w14:val="tx1"/>
            </w14:solidFill>
          </w14:textFill>
        </w:rPr>
        <w:t>26</w:t>
      </w:r>
      <w:r>
        <w:rPr>
          <w:rFonts w:eastAsia="黑体"/>
          <w:b/>
          <w:color w:val="000000" w:themeColor="text1"/>
          <w:spacing w:val="20"/>
          <w:w w:val="135"/>
          <w:sz w:val="30"/>
          <w14:textFill>
            <w14:solidFill>
              <w14:schemeClr w14:val="tx1"/>
            </w14:solidFill>
          </w14:textFill>
        </w:rPr>
        <w:t>年</w:t>
      </w:r>
      <w:r>
        <w:rPr>
          <w:rFonts w:hint="eastAsia" w:eastAsia="黑体"/>
          <w:b/>
          <w:color w:val="000000" w:themeColor="text1"/>
          <w:spacing w:val="20"/>
          <w:w w:val="135"/>
          <w:sz w:val="30"/>
          <w:lang w:val="en-US" w:eastAsia="zh-CN"/>
          <w14:textFill>
            <w14:solidFill>
              <w14:schemeClr w14:val="tx1"/>
            </w14:solidFill>
          </w14:textFill>
        </w:rPr>
        <w:t>0</w:t>
      </w:r>
      <w:r>
        <w:rPr>
          <w:rFonts w:hint="default" w:eastAsia="黑体"/>
          <w:b/>
          <w:color w:val="000000" w:themeColor="text1"/>
          <w:spacing w:val="20"/>
          <w:w w:val="135"/>
          <w:sz w:val="30"/>
          <w:lang w:val="en-US" w:eastAsia="zh-CN"/>
          <w14:textFill>
            <w14:solidFill>
              <w14:schemeClr w14:val="tx1"/>
            </w14:solidFill>
          </w14:textFill>
        </w:rPr>
        <w:t>9</w:t>
      </w:r>
      <w:r>
        <w:rPr>
          <w:rFonts w:eastAsia="黑体"/>
          <w:b/>
          <w:color w:val="000000" w:themeColor="text1"/>
          <w:spacing w:val="20"/>
          <w:w w:val="135"/>
          <w:sz w:val="30"/>
          <w14:textFill>
            <w14:solidFill>
              <w14:schemeClr w14:val="tx1"/>
            </w14:solidFill>
          </w14:textFill>
        </w:rPr>
        <w:t>月</w:t>
      </w:r>
    </w:p>
    <w:p>
      <w:pPr>
        <w:spacing w:before="480" w:beforeLines="200"/>
        <w:jc w:val="center"/>
        <w:rPr>
          <w:rFonts w:eastAsia="黑体"/>
          <w:b/>
          <w:color w:val="000000" w:themeColor="text1"/>
          <w:spacing w:val="20"/>
          <w:w w:val="135"/>
          <w:sz w:val="30"/>
          <w14:textFill>
            <w14:solidFill>
              <w14:schemeClr w14:val="tx1"/>
            </w14:solidFill>
          </w14:textFill>
        </w:rPr>
      </w:pPr>
    </w:p>
    <w:p>
      <w:pPr>
        <w:spacing w:before="0" w:beforeLines="-2147483648"/>
        <w:jc w:val="left"/>
        <w:rPr>
          <w:rFonts w:eastAsia="黑体"/>
          <w:b/>
          <w:color w:val="000000" w:themeColor="text1"/>
          <w:spacing w:val="20"/>
          <w:w w:val="135"/>
          <w:sz w:val="30"/>
          <w14:textFill>
            <w14:solidFill>
              <w14:schemeClr w14:val="tx1"/>
            </w14:solidFill>
          </w14:textFill>
        </w:rPr>
      </w:pPr>
      <w:r>
        <w:rPr>
          <w:rFonts w:eastAsia="黑体"/>
          <w:b/>
          <w:color w:val="000000" w:themeColor="text1"/>
          <w:spacing w:val="20"/>
          <w:w w:val="135"/>
          <w:sz w:val="30"/>
          <w14:textFill>
            <w14:solidFill>
              <w14:schemeClr w14:val="tx1"/>
            </w14:solidFill>
          </w14:textFill>
        </w:rPr>
        <w:br w:type="page"/>
      </w:r>
    </w:p>
    <w:p>
      <w:pPr>
        <w:spacing w:before="480" w:beforeLines="200"/>
        <w:jc w:val="center"/>
        <w:rPr>
          <w:rFonts w:eastAsia="黑体"/>
          <w:b/>
          <w:color w:val="000000" w:themeColor="text1"/>
          <w:spacing w:val="20"/>
          <w:w w:val="135"/>
          <w:sz w:val="30"/>
          <w14:textFill>
            <w14:solidFill>
              <w14:schemeClr w14:val="tx1"/>
            </w14:solidFill>
          </w14:textFill>
        </w:rPr>
        <w:sectPr>
          <w:pgSz w:w="11907" w:h="16839"/>
          <w:pgMar w:top="1440" w:right="1701" w:bottom="1440" w:left="1701" w:header="964" w:footer="737" w:gutter="0"/>
          <w:pgBorders>
            <w:top w:val="none" w:sz="0" w:space="0"/>
            <w:left w:val="none" w:sz="0" w:space="0"/>
            <w:bottom w:val="none" w:sz="0" w:space="0"/>
            <w:right w:val="none" w:sz="0" w:space="0"/>
          </w:pgBorders>
          <w:pgNumType w:start="1"/>
          <w:cols w:space="425" w:num="1"/>
          <w:titlePg/>
          <w:docGrid w:linePitch="312" w:charSpace="0"/>
        </w:sectPr>
      </w:pPr>
    </w:p>
    <w:sdt>
      <w:sdtPr>
        <w:rPr>
          <w:rFonts w:ascii="宋体" w:hAnsi="宋体" w:eastAsia="宋体" w:cs="Times New Roman"/>
          <w:color w:val="000000" w:themeColor="text1"/>
          <w:kern w:val="2"/>
          <w:sz w:val="21"/>
          <w:szCs w:val="24"/>
          <w:lang w:val="en-US" w:eastAsia="zh-CN" w:bidi="ar-SA"/>
          <w14:textFill>
            <w14:solidFill>
              <w14:schemeClr w14:val="tx1"/>
            </w14:solidFill>
          </w14:textFill>
        </w:rPr>
        <w:id w:val="147458825"/>
        <w15:color w:val="DBDBDB"/>
        <w:docPartObj>
          <w:docPartGallery w:val="Table of Contents"/>
          <w:docPartUnique/>
        </w:docPartObj>
      </w:sdtPr>
      <w:sdtEndPr>
        <w:rPr>
          <w:rFonts w:ascii="宋体" w:hAnsi="宋体" w:eastAsia="宋体" w:cs="Times New Roman"/>
          <w:color w:val="000000" w:themeColor="text1"/>
          <w:kern w:val="2"/>
          <w:sz w:val="21"/>
          <w:szCs w:val="24"/>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color w:val="000000" w:themeColor="text1"/>
              <w14:textFill>
                <w14:solidFill>
                  <w14:schemeClr w14:val="tx1"/>
                </w14:solidFill>
              </w14:textFill>
            </w:rPr>
          </w:pPr>
          <w:bookmarkStart w:id="1" w:name="_Toc229476588"/>
          <w:bookmarkEnd w:id="1"/>
          <w:bookmarkStart w:id="2" w:name="_Toc229476378"/>
          <w:bookmarkEnd w:id="2"/>
          <w:bookmarkStart w:id="3" w:name="_Toc229476473"/>
          <w:bookmarkEnd w:id="3"/>
          <w:bookmarkStart w:id="4" w:name="_Toc229476507"/>
          <w:bookmarkEnd w:id="4"/>
          <w:bookmarkStart w:id="5" w:name="_Toc112756677"/>
          <w:r>
            <w:rPr>
              <w:rFonts w:ascii="宋体" w:hAnsi="宋体" w:eastAsia="宋体"/>
              <w:color w:val="000000" w:themeColor="text1"/>
              <w:sz w:val="21"/>
              <w14:textFill>
                <w14:solidFill>
                  <w14:schemeClr w14:val="tx1"/>
                </w14:solidFill>
              </w14:textFill>
            </w:rPr>
            <w:t>目录</w:t>
          </w:r>
        </w:p>
        <w:p>
          <w:pPr>
            <w:pStyle w:val="21"/>
            <w:tabs>
              <w:tab w:val="right" w:leader="dot" w:pos="8312"/>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"1-2" \h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_Toc12202 </w:instrText>
          </w:r>
          <w:r>
            <w:fldChar w:fldCharType="separate"/>
          </w:r>
          <w:r>
            <w:rPr>
              <w:rFonts w:hint="eastAsia"/>
              <w:szCs w:val="24"/>
            </w:rPr>
            <w:t>前 言</w:t>
          </w:r>
          <w:r>
            <w:tab/>
          </w:r>
          <w:r>
            <w:fldChar w:fldCharType="begin"/>
          </w:r>
          <w:r>
            <w:instrText xml:space="preserve"> PAGEREF _Toc12202 \h </w:instrText>
          </w:r>
          <w:r>
            <w:fldChar w:fldCharType="separate"/>
          </w:r>
          <w:r>
            <w:t>1</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_Toc20581 </w:instrText>
          </w:r>
          <w:r>
            <w:fldChar w:fldCharType="separate"/>
          </w:r>
          <w:r>
            <w:rPr>
              <w:rFonts w:hint="default" w:ascii="Times New Roman" w:hAnsi="Times New Roman" w:cs="Times New Roman"/>
              <w:lang w:val="en-US" w:eastAsia="zh-CN"/>
            </w:rPr>
            <w:t>1</w:t>
          </w:r>
          <w:r>
            <w:rPr>
              <w:szCs w:val="24"/>
            </w:rPr>
            <w:t>总则</w:t>
          </w:r>
          <w:r>
            <w:tab/>
          </w:r>
          <w:r>
            <w:fldChar w:fldCharType="begin"/>
          </w:r>
          <w:r>
            <w:instrText xml:space="preserve"> PAGEREF _Toc20581 \h </w:instrText>
          </w:r>
          <w:r>
            <w:fldChar w:fldCharType="separate"/>
          </w:r>
          <w:r>
            <w:t>2</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_Toc6670 </w:instrText>
          </w:r>
          <w:r>
            <w:fldChar w:fldCharType="separate"/>
          </w:r>
          <w:r>
            <w:rPr>
              <w:rFonts w:hint="default" w:ascii="Times New Roman" w:hAnsi="Times New Roman" w:cs="Times New Roman"/>
              <w:bCs/>
            </w:rPr>
            <w:t xml:space="preserve">1.1. </w:t>
          </w:r>
          <w:r>
            <w:rPr>
              <w:rFonts w:hint="eastAsia" w:ascii="黑体" w:hAnsi="黑体" w:eastAsia="黑体" w:cs="黑体"/>
              <w:bCs/>
              <w:szCs w:val="24"/>
            </w:rPr>
            <w:t>适用范围</w:t>
          </w:r>
          <w:r>
            <w:tab/>
          </w:r>
          <w:r>
            <w:fldChar w:fldCharType="begin"/>
          </w:r>
          <w:r>
            <w:instrText xml:space="preserve"> PAGEREF _Toc6670 \h </w:instrText>
          </w:r>
          <w:r>
            <w:fldChar w:fldCharType="separate"/>
          </w:r>
          <w:r>
            <w:t>2</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_Toc31289 </w:instrText>
          </w:r>
          <w:r>
            <w:fldChar w:fldCharType="separate"/>
          </w:r>
          <w:r>
            <w:rPr>
              <w:rFonts w:hint="default" w:ascii="Times New Roman" w:hAnsi="Times New Roman" w:eastAsia="黑体" w:cs="Times New Roman"/>
              <w:bCs/>
              <w:szCs w:val="24"/>
            </w:rPr>
            <w:t xml:space="preserve">1.2. </w:t>
          </w:r>
          <w:r>
            <w:rPr>
              <w:rFonts w:hint="eastAsia" w:ascii="黑体" w:hAnsi="黑体" w:eastAsia="黑体" w:cs="黑体"/>
              <w:bCs/>
              <w:szCs w:val="24"/>
            </w:rPr>
            <w:t>规范性引用文件</w:t>
          </w:r>
          <w:r>
            <w:tab/>
          </w:r>
          <w:r>
            <w:fldChar w:fldCharType="begin"/>
          </w:r>
          <w:r>
            <w:instrText xml:space="preserve"> PAGEREF _Toc31289 \h </w:instrText>
          </w:r>
          <w:r>
            <w:fldChar w:fldCharType="separate"/>
          </w:r>
          <w:r>
            <w:t>2</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_Toc8244 </w:instrText>
          </w:r>
          <w:r>
            <w:fldChar w:fldCharType="separate"/>
          </w:r>
          <w:r>
            <w:rPr>
              <w:rFonts w:hint="default" w:ascii="Times New Roman" w:hAnsi="Times New Roman" w:eastAsia="黑体" w:cs="Times New Roman"/>
              <w:bCs/>
              <w:szCs w:val="24"/>
            </w:rPr>
            <w:t xml:space="preserve">1.3. </w:t>
          </w:r>
          <w:r>
            <w:rPr>
              <w:rFonts w:hint="eastAsia" w:ascii="黑体" w:hAnsi="黑体" w:eastAsia="黑体" w:cs="黑体"/>
              <w:bCs/>
              <w:szCs w:val="24"/>
            </w:rPr>
            <w:t>术语和定义</w:t>
          </w:r>
          <w:r>
            <w:tab/>
          </w:r>
          <w:r>
            <w:fldChar w:fldCharType="begin"/>
          </w:r>
          <w:r>
            <w:instrText xml:space="preserve"> PAGEREF _Toc8244 \h </w:instrText>
          </w:r>
          <w:r>
            <w:fldChar w:fldCharType="separate"/>
          </w:r>
          <w:r>
            <w:t>2</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_Toc8448 </w:instrText>
          </w:r>
          <w:r>
            <w:fldChar w:fldCharType="separate"/>
          </w:r>
          <w:r>
            <w:rPr>
              <w:rFonts w:hint="default" w:ascii="Times New Roman" w:hAnsi="Times New Roman" w:eastAsia="黑体" w:cs="Times New Roman"/>
              <w:bCs/>
              <w:szCs w:val="24"/>
            </w:rPr>
            <w:t xml:space="preserve">1.4. </w:t>
          </w:r>
          <w:r>
            <w:rPr>
              <w:rFonts w:hint="eastAsia" w:ascii="黑体" w:hAnsi="黑体" w:eastAsia="黑体" w:cs="黑体"/>
              <w:bCs/>
              <w:szCs w:val="24"/>
            </w:rPr>
            <w:t>总体技术原则</w:t>
          </w:r>
          <w:r>
            <w:tab/>
          </w:r>
          <w:r>
            <w:fldChar w:fldCharType="begin"/>
          </w:r>
          <w:r>
            <w:instrText xml:space="preserve"> PAGEREF _Toc8448 \h </w:instrText>
          </w:r>
          <w:r>
            <w:fldChar w:fldCharType="separate"/>
          </w:r>
          <w:r>
            <w:t>3</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_Toc13270 </w:instrText>
          </w:r>
          <w:r>
            <w:fldChar w:fldCharType="separate"/>
          </w:r>
          <w:r>
            <w:rPr>
              <w:rFonts w:hint="default" w:ascii="Times New Roman" w:hAnsi="Times New Roman" w:eastAsia="黑体" w:cs="Times New Roman"/>
              <w:bCs/>
              <w:szCs w:val="24"/>
            </w:rPr>
            <w:t xml:space="preserve">1.5. </w:t>
          </w:r>
          <w:r>
            <w:rPr>
              <w:rFonts w:hint="eastAsia" w:ascii="黑体" w:hAnsi="黑体" w:eastAsia="黑体" w:cs="黑体"/>
              <w:bCs/>
              <w:szCs w:val="24"/>
            </w:rPr>
            <w:t>框架采购约定</w:t>
          </w:r>
          <w:r>
            <w:tab/>
          </w:r>
          <w:r>
            <w:fldChar w:fldCharType="begin"/>
          </w:r>
          <w:r>
            <w:instrText xml:space="preserve"> PAGEREF _Toc13270 \h </w:instrText>
          </w:r>
          <w:r>
            <w:fldChar w:fldCharType="separate"/>
          </w:r>
          <w:r>
            <w:t>3</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_Toc13140 </w:instrText>
          </w:r>
          <w:r>
            <w:fldChar w:fldCharType="separate"/>
          </w:r>
          <w:r>
            <w:rPr>
              <w:rFonts w:hint="default" w:ascii="Times New Roman" w:hAnsi="Times New Roman" w:cs="Times New Roman"/>
              <w:szCs w:val="24"/>
              <w:lang w:val="en-US" w:eastAsia="zh-CN"/>
            </w:rPr>
            <w:t>2</w:t>
          </w:r>
          <w:r>
            <w:rPr>
              <w:rFonts w:hint="eastAsia" w:ascii="宋体" w:hAnsi="宋体" w:eastAsia="宋体" w:cs="宋体"/>
              <w:szCs w:val="24"/>
            </w:rPr>
            <w:t>项目概况及代加工要求</w:t>
          </w:r>
          <w:r>
            <w:tab/>
          </w:r>
          <w:r>
            <w:fldChar w:fldCharType="begin"/>
          </w:r>
          <w:r>
            <w:instrText xml:space="preserve"> PAGEREF _Toc13140 \h </w:instrText>
          </w:r>
          <w:r>
            <w:fldChar w:fldCharType="separate"/>
          </w:r>
          <w:r>
            <w:t>4</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_Toc26055 </w:instrText>
          </w:r>
          <w:r>
            <w:fldChar w:fldCharType="separate"/>
          </w:r>
          <w:r>
            <w:rPr>
              <w:rFonts w:hint="default" w:ascii="Times New Roman" w:hAnsi="Times New Roman" w:eastAsia="黑体" w:cs="Times New Roman"/>
              <w:szCs w:val="24"/>
            </w:rPr>
            <w:t xml:space="preserve">2.1. </w:t>
          </w:r>
          <w:r>
            <w:rPr>
              <w:rFonts w:hint="eastAsia" w:ascii="黑体" w:hAnsi="黑体" w:eastAsia="黑体" w:cs="黑体"/>
              <w:szCs w:val="24"/>
            </w:rPr>
            <w:t>项目概况</w:t>
          </w:r>
          <w:r>
            <w:tab/>
          </w:r>
          <w:r>
            <w:fldChar w:fldCharType="begin"/>
          </w:r>
          <w:r>
            <w:instrText xml:space="preserve"> PAGEREF _Toc26055 \h </w:instrText>
          </w:r>
          <w:r>
            <w:fldChar w:fldCharType="separate"/>
          </w:r>
          <w:r>
            <w:t>4</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_Toc28890 </w:instrText>
          </w:r>
          <w:r>
            <w:fldChar w:fldCharType="separate"/>
          </w:r>
          <w:r>
            <w:rPr>
              <w:rFonts w:hint="default" w:ascii="Times New Roman" w:hAnsi="Times New Roman" w:eastAsia="黑体" w:cs="Times New Roman"/>
              <w:szCs w:val="24"/>
            </w:rPr>
            <w:t xml:space="preserve">2.2. </w:t>
          </w:r>
          <w:r>
            <w:rPr>
              <w:rFonts w:hint="eastAsia" w:ascii="黑体" w:hAnsi="黑体" w:eastAsia="黑体" w:cs="黑体"/>
              <w:szCs w:val="24"/>
            </w:rPr>
            <w:t>代加工核心要求</w:t>
          </w:r>
          <w:r>
            <w:tab/>
          </w:r>
          <w:r>
            <w:fldChar w:fldCharType="begin"/>
          </w:r>
          <w:r>
            <w:instrText xml:space="preserve"> PAGEREF _Toc28890 \h </w:instrText>
          </w:r>
          <w:r>
            <w:fldChar w:fldCharType="separate"/>
          </w:r>
          <w:r>
            <w:t>4</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_Toc2250 </w:instrText>
          </w:r>
          <w:r>
            <w:fldChar w:fldCharType="separate"/>
          </w:r>
          <w:r>
            <w:rPr>
              <w:rFonts w:hint="default" w:ascii="Times New Roman" w:hAnsi="Times New Roman" w:eastAsia="黑体" w:cs="Times New Roman"/>
              <w:szCs w:val="24"/>
            </w:rPr>
            <w:t xml:space="preserve">2.3. </w:t>
          </w:r>
          <w:r>
            <w:rPr>
              <w:rFonts w:hint="eastAsia" w:ascii="黑体" w:hAnsi="黑体" w:eastAsia="黑体" w:cs="黑体"/>
              <w:szCs w:val="24"/>
            </w:rPr>
            <w:t>现场及生产环境要求</w:t>
          </w:r>
          <w:r>
            <w:tab/>
          </w:r>
          <w:r>
            <w:fldChar w:fldCharType="begin"/>
          </w:r>
          <w:r>
            <w:instrText xml:space="preserve"> PAGEREF _Toc2250 \h </w:instrText>
          </w:r>
          <w:r>
            <w:fldChar w:fldCharType="separate"/>
          </w:r>
          <w:r>
            <w:t>4</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_Toc29745 </w:instrText>
          </w:r>
          <w:r>
            <w:fldChar w:fldCharType="separate"/>
          </w:r>
          <w:r>
            <w:rPr>
              <w:rFonts w:hint="default" w:ascii="Times New Roman" w:hAnsi="Times New Roman" w:eastAsia="黑体" w:cs="Times New Roman"/>
              <w:szCs w:val="24"/>
            </w:rPr>
            <w:t xml:space="preserve">2.4. </w:t>
          </w:r>
          <w:r>
            <w:rPr>
              <w:rFonts w:hint="eastAsia" w:ascii="黑体" w:hAnsi="黑体" w:eastAsia="黑体" w:cs="黑体"/>
              <w:szCs w:val="24"/>
              <w:highlight w:val="none"/>
              <w:lang w:val="en-US" w:eastAsia="zh-CN"/>
            </w:rPr>
            <w:t>供货范围一览表</w:t>
          </w:r>
          <w:r>
            <w:tab/>
          </w:r>
          <w:r>
            <w:fldChar w:fldCharType="begin"/>
          </w:r>
          <w:r>
            <w:instrText xml:space="preserve"> PAGEREF _Toc29745 \h </w:instrText>
          </w:r>
          <w:r>
            <w:fldChar w:fldCharType="separate"/>
          </w:r>
          <w:r>
            <w:t>5</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_Toc15429 </w:instrText>
          </w:r>
          <w:r>
            <w:fldChar w:fldCharType="separate"/>
          </w:r>
          <w:r>
            <w:rPr>
              <w:rFonts w:hint="default" w:ascii="Times New Roman" w:hAnsi="Times New Roman" w:cs="Times New Roman"/>
              <w:szCs w:val="24"/>
              <w:lang w:val="en-US" w:eastAsia="zh-CN"/>
            </w:rPr>
            <w:t>3</w:t>
          </w:r>
          <w:r>
            <w:rPr>
              <w:rFonts w:hint="eastAsia" w:ascii="宋体" w:hAnsi="宋体" w:eastAsia="宋体" w:cs="宋体"/>
              <w:szCs w:val="24"/>
            </w:rPr>
            <w:t>代加工范围及内容</w:t>
          </w:r>
          <w:r>
            <w:tab/>
          </w:r>
          <w:r>
            <w:fldChar w:fldCharType="begin"/>
          </w:r>
          <w:r>
            <w:instrText xml:space="preserve"> PAGEREF _Toc15429 \h </w:instrText>
          </w:r>
          <w:r>
            <w:fldChar w:fldCharType="separate"/>
          </w:r>
          <w:r>
            <w:t>6</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_Toc6499 </w:instrText>
          </w:r>
          <w:r>
            <w:fldChar w:fldCharType="separate"/>
          </w:r>
          <w:r>
            <w:rPr>
              <w:rFonts w:hint="default" w:ascii="Times New Roman" w:hAnsi="Times New Roman" w:cs="Times New Roman"/>
              <w:szCs w:val="24"/>
              <w:lang w:val="en-US" w:eastAsia="zh-CN"/>
            </w:rPr>
            <w:t>4</w:t>
          </w:r>
          <w:r>
            <w:rPr>
              <w:rFonts w:hint="eastAsia" w:ascii="宋体" w:hAnsi="宋体" w:eastAsia="宋体" w:cs="宋体"/>
              <w:szCs w:val="24"/>
            </w:rPr>
            <w:t>详细技术及代加工要求</w:t>
          </w:r>
          <w:r>
            <w:tab/>
          </w:r>
          <w:r>
            <w:fldChar w:fldCharType="begin"/>
          </w:r>
          <w:r>
            <w:instrText xml:space="preserve"> PAGEREF _Toc6499 \h </w:instrText>
          </w:r>
          <w:r>
            <w:fldChar w:fldCharType="separate"/>
          </w:r>
          <w:r>
            <w:t>6</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_Toc9578 </w:instrText>
          </w:r>
          <w:r>
            <w:fldChar w:fldCharType="separate"/>
          </w:r>
          <w:r>
            <w:rPr>
              <w:rFonts w:hint="default" w:ascii="Times New Roman" w:hAnsi="Times New Roman" w:eastAsia="黑体" w:cs="Times New Roman"/>
              <w:szCs w:val="24"/>
            </w:rPr>
            <w:t xml:space="preserve">4.1 </w:t>
          </w:r>
          <w:r>
            <w:rPr>
              <w:rFonts w:hint="eastAsia" w:ascii="黑体" w:hAnsi="黑体" w:eastAsia="黑体" w:cs="黑体"/>
              <w:szCs w:val="24"/>
            </w:rPr>
            <w:t>代加工及生产能力要求</w:t>
          </w:r>
          <w:r>
            <w:tab/>
          </w:r>
          <w:r>
            <w:fldChar w:fldCharType="begin"/>
          </w:r>
          <w:r>
            <w:instrText xml:space="preserve"> PAGEREF _Toc9578 \h </w:instrText>
          </w:r>
          <w:r>
            <w:fldChar w:fldCharType="separate"/>
          </w:r>
          <w:r>
            <w:t>6</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_Toc3296 </w:instrText>
          </w:r>
          <w:r>
            <w:fldChar w:fldCharType="separate"/>
          </w:r>
          <w:r>
            <w:rPr>
              <w:rFonts w:hint="default" w:ascii="Times New Roman" w:hAnsi="Times New Roman" w:eastAsia="黑体" w:cs="Times New Roman"/>
              <w:szCs w:val="24"/>
              <w:lang w:val="en-US" w:eastAsia="zh-CN"/>
            </w:rPr>
            <w:t>4.2</w:t>
          </w:r>
          <w:r>
            <w:rPr>
              <w:rFonts w:hint="eastAsia" w:ascii="黑体" w:hAnsi="黑体" w:eastAsia="黑体" w:cs="黑体"/>
              <w:szCs w:val="24"/>
            </w:rPr>
            <w:t>原材料采购及管控要求</w:t>
          </w:r>
          <w:r>
            <w:tab/>
          </w:r>
          <w:r>
            <w:fldChar w:fldCharType="begin"/>
          </w:r>
          <w:r>
            <w:instrText xml:space="preserve"> PAGEREF _Toc3296 \h </w:instrText>
          </w:r>
          <w:r>
            <w:fldChar w:fldCharType="separate"/>
          </w:r>
          <w:r>
            <w:t>6</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_Toc4813 </w:instrText>
          </w:r>
          <w:r>
            <w:fldChar w:fldCharType="separate"/>
          </w:r>
          <w:r>
            <w:rPr>
              <w:rFonts w:hint="eastAsia" w:ascii="Times New Roman" w:eastAsia="黑体" w:cs="Times New Roman"/>
              <w:szCs w:val="24"/>
              <w:lang w:val="en-US" w:eastAsia="zh-CN"/>
            </w:rPr>
            <w:t>4.3</w:t>
          </w:r>
          <w:r>
            <w:rPr>
              <w:rFonts w:hint="eastAsia" w:ascii="Times New Roman" w:hAnsi="Times New Roman" w:eastAsia="黑体" w:cs="Times New Roman"/>
              <w:szCs w:val="24"/>
              <w:lang w:val="en-US" w:eastAsia="zh-CN"/>
            </w:rPr>
            <w:t>生产工艺及加工要求</w:t>
          </w:r>
          <w:r>
            <w:tab/>
          </w:r>
          <w:r>
            <w:fldChar w:fldCharType="begin"/>
          </w:r>
          <w:r>
            <w:instrText xml:space="preserve"> PAGEREF _Toc4813 \h </w:instrText>
          </w:r>
          <w:r>
            <w:fldChar w:fldCharType="separate"/>
          </w:r>
          <w:r>
            <w:t>7</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_Toc28488 </w:instrText>
          </w:r>
          <w:r>
            <w:fldChar w:fldCharType="separate"/>
          </w:r>
          <w:r>
            <w:rPr>
              <w:rFonts w:hint="eastAsia" w:ascii="Times New Roman" w:eastAsia="黑体" w:cs="Times New Roman"/>
              <w:szCs w:val="24"/>
              <w:lang w:val="en-US" w:eastAsia="zh-CN"/>
            </w:rPr>
            <w:t>4.4 产品技术参数要求</w:t>
          </w:r>
          <w:r>
            <w:tab/>
          </w:r>
          <w:r>
            <w:fldChar w:fldCharType="begin"/>
          </w:r>
          <w:r>
            <w:instrText xml:space="preserve"> PAGEREF _Toc28488 \h </w:instrText>
          </w:r>
          <w:r>
            <w:fldChar w:fldCharType="separate"/>
          </w:r>
          <w:r>
            <w:t>7</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_Toc25985 </w:instrText>
          </w:r>
          <w:r>
            <w:fldChar w:fldCharType="separate"/>
          </w:r>
          <w:r>
            <w:rPr>
              <w:rFonts w:hint="eastAsia" w:ascii="Times New Roman" w:eastAsia="黑体" w:cs="Times New Roman"/>
              <w:szCs w:val="24"/>
              <w:lang w:val="en-US" w:eastAsia="zh-CN"/>
            </w:rPr>
            <w:t>4.5 图纸</w:t>
          </w:r>
          <w:r>
            <w:tab/>
          </w:r>
          <w:r>
            <w:fldChar w:fldCharType="begin"/>
          </w:r>
          <w:r>
            <w:instrText xml:space="preserve"> PAGEREF _Toc25985 \h </w:instrText>
          </w:r>
          <w:r>
            <w:fldChar w:fldCharType="separate"/>
          </w:r>
          <w:r>
            <w:t>8</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_Toc7311 </w:instrText>
          </w:r>
          <w:r>
            <w:fldChar w:fldCharType="separate"/>
          </w:r>
          <w:r>
            <w:rPr>
              <w:rFonts w:hint="eastAsia" w:ascii="Times New Roman" w:eastAsia="黑体" w:cs="Times New Roman"/>
              <w:szCs w:val="24"/>
              <w:lang w:val="en-US" w:eastAsia="zh-CN"/>
            </w:rPr>
            <w:t>4.6 质量管控及检验要求</w:t>
          </w:r>
          <w:r>
            <w:tab/>
          </w:r>
          <w:r>
            <w:fldChar w:fldCharType="begin"/>
          </w:r>
          <w:r>
            <w:instrText xml:space="preserve"> PAGEREF _Toc7311 \h </w:instrText>
          </w:r>
          <w:r>
            <w:fldChar w:fldCharType="separate"/>
          </w:r>
          <w:r>
            <w:t>9</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_Toc13352 </w:instrText>
          </w:r>
          <w:r>
            <w:fldChar w:fldCharType="separate"/>
          </w:r>
          <w:r>
            <w:rPr>
              <w:rFonts w:hint="eastAsia" w:ascii="Times New Roman" w:eastAsia="黑体" w:cs="Times New Roman"/>
              <w:szCs w:val="24"/>
              <w:lang w:val="en-US" w:eastAsia="zh-CN"/>
            </w:rPr>
            <w:t>4.7企业VI标识</w:t>
          </w:r>
          <w:r>
            <w:tab/>
          </w:r>
          <w:r>
            <w:fldChar w:fldCharType="begin"/>
          </w:r>
          <w:r>
            <w:instrText xml:space="preserve"> PAGEREF _Toc13352 \h </w:instrText>
          </w:r>
          <w:r>
            <w:fldChar w:fldCharType="separate"/>
          </w:r>
          <w:r>
            <w:t>9</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_Toc22852 </w:instrText>
          </w:r>
          <w:r>
            <w:fldChar w:fldCharType="separate"/>
          </w:r>
          <w:r>
            <w:rPr>
              <w:rFonts w:hint="eastAsia" w:ascii="Times New Roman" w:eastAsia="黑体" w:cs="Times New Roman"/>
              <w:szCs w:val="24"/>
              <w:lang w:val="en-US" w:eastAsia="zh-CN"/>
            </w:rPr>
            <w:t>4.8包装、标识及交付要求</w:t>
          </w:r>
          <w:r>
            <w:tab/>
          </w:r>
          <w:r>
            <w:fldChar w:fldCharType="begin"/>
          </w:r>
          <w:r>
            <w:instrText xml:space="preserve"> PAGEREF _Toc22852 \h </w:instrText>
          </w:r>
          <w:r>
            <w:fldChar w:fldCharType="separate"/>
          </w:r>
          <w:r>
            <w:t>9</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_Toc32681 </w:instrText>
          </w:r>
          <w:r>
            <w:fldChar w:fldCharType="separate"/>
          </w:r>
          <w:r>
            <w:rPr>
              <w:rFonts w:hint="default" w:ascii="Times New Roman" w:hAnsi="Times New Roman" w:cs="Times New Roman"/>
              <w:szCs w:val="24"/>
              <w:lang w:val="en-US" w:eastAsia="zh-CN"/>
            </w:rPr>
            <w:t>5</w:t>
          </w:r>
          <w:r>
            <w:rPr>
              <w:rFonts w:hint="eastAsia"/>
              <w:szCs w:val="24"/>
              <w:lang w:val="en-US" w:eastAsia="zh-CN"/>
            </w:rPr>
            <w:t>试验与检测要求</w:t>
          </w:r>
          <w:r>
            <w:tab/>
          </w:r>
          <w:r>
            <w:fldChar w:fldCharType="begin"/>
          </w:r>
          <w:r>
            <w:instrText xml:space="preserve"> PAGEREF _Toc32681 \h </w:instrText>
          </w:r>
          <w:r>
            <w:fldChar w:fldCharType="separate"/>
          </w:r>
          <w:r>
            <w:t>10</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_Toc32509 </w:instrText>
          </w:r>
          <w:r>
            <w:fldChar w:fldCharType="separate"/>
          </w:r>
          <w:r>
            <w:rPr>
              <w:rFonts w:hint="eastAsia" w:ascii="Times New Roman" w:eastAsia="黑体" w:cs="Times New Roman"/>
              <w:szCs w:val="24"/>
              <w:lang w:val="en-US" w:eastAsia="zh-CN"/>
            </w:rPr>
            <w:t>5.1 原材料检验</w:t>
          </w:r>
          <w:r>
            <w:tab/>
          </w:r>
          <w:r>
            <w:fldChar w:fldCharType="begin"/>
          </w:r>
          <w:r>
            <w:instrText xml:space="preserve"> PAGEREF _Toc32509 \h </w:instrText>
          </w:r>
          <w:r>
            <w:fldChar w:fldCharType="separate"/>
          </w:r>
          <w:r>
            <w:t>10</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_Toc20068 </w:instrText>
          </w:r>
          <w:r>
            <w:fldChar w:fldCharType="separate"/>
          </w:r>
          <w:r>
            <w:rPr>
              <w:rFonts w:hint="eastAsia" w:ascii="Times New Roman" w:eastAsia="黑体" w:cs="Times New Roman"/>
              <w:szCs w:val="24"/>
              <w:lang w:val="en-US" w:eastAsia="zh-CN"/>
            </w:rPr>
            <w:t>5.2 过程检验</w:t>
          </w:r>
          <w:r>
            <w:tab/>
          </w:r>
          <w:r>
            <w:fldChar w:fldCharType="begin"/>
          </w:r>
          <w:r>
            <w:instrText xml:space="preserve"> PAGEREF _Toc20068 \h </w:instrText>
          </w:r>
          <w:r>
            <w:fldChar w:fldCharType="separate"/>
          </w:r>
          <w:r>
            <w:t>10</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_Toc18745 </w:instrText>
          </w:r>
          <w:r>
            <w:fldChar w:fldCharType="separate"/>
          </w:r>
          <w:r>
            <w:rPr>
              <w:rFonts w:hint="eastAsia" w:ascii="Times New Roman" w:eastAsia="黑体" w:cs="Times New Roman"/>
              <w:szCs w:val="24"/>
              <w:lang w:val="en-US" w:eastAsia="zh-CN"/>
            </w:rPr>
            <w:t>5.3 出厂试验</w:t>
          </w:r>
          <w:r>
            <w:tab/>
          </w:r>
          <w:r>
            <w:fldChar w:fldCharType="begin"/>
          </w:r>
          <w:r>
            <w:instrText xml:space="preserve"> PAGEREF _Toc18745 \h </w:instrText>
          </w:r>
          <w:r>
            <w:fldChar w:fldCharType="separate"/>
          </w:r>
          <w:r>
            <w:t>11</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_Toc27153 </w:instrText>
          </w:r>
          <w:r>
            <w:fldChar w:fldCharType="separate"/>
          </w:r>
          <w:r>
            <w:rPr>
              <w:rFonts w:hint="eastAsia" w:ascii="Times New Roman" w:eastAsia="黑体" w:cs="Times New Roman"/>
              <w:szCs w:val="24"/>
              <w:lang w:val="en-US" w:eastAsia="zh-CN"/>
            </w:rPr>
            <w:t>5.4 第三方检测试验</w:t>
          </w:r>
          <w:r>
            <w:tab/>
          </w:r>
          <w:r>
            <w:fldChar w:fldCharType="begin"/>
          </w:r>
          <w:r>
            <w:instrText xml:space="preserve"> PAGEREF _Toc27153 \h </w:instrText>
          </w:r>
          <w:r>
            <w:fldChar w:fldCharType="separate"/>
          </w:r>
          <w:r>
            <w:t>11</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_Toc11826 </w:instrText>
          </w:r>
          <w:r>
            <w:fldChar w:fldCharType="separate"/>
          </w:r>
          <w:r>
            <w:rPr>
              <w:rFonts w:hint="eastAsia" w:ascii="Times New Roman" w:eastAsia="黑体" w:cs="Times New Roman"/>
              <w:szCs w:val="24"/>
              <w:lang w:val="en-US" w:eastAsia="zh-CN"/>
            </w:rPr>
            <w:t>5.5 到货验收试验</w:t>
          </w:r>
          <w:r>
            <w:tab/>
          </w:r>
          <w:r>
            <w:fldChar w:fldCharType="begin"/>
          </w:r>
          <w:r>
            <w:instrText xml:space="preserve"> PAGEREF _Toc11826 \h </w:instrText>
          </w:r>
          <w:r>
            <w:fldChar w:fldCharType="separate"/>
          </w:r>
          <w:r>
            <w:t>11</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_Toc7614 </w:instrText>
          </w:r>
          <w:r>
            <w:fldChar w:fldCharType="separate"/>
          </w:r>
          <w:r>
            <w:rPr>
              <w:rFonts w:hint="eastAsia" w:ascii="Times New Roman" w:eastAsia="黑体" w:cs="Times New Roman"/>
              <w:szCs w:val="24"/>
              <w:lang w:val="en-US" w:eastAsia="zh-CN"/>
            </w:rPr>
            <w:t>5.6 合格判定标准</w:t>
          </w:r>
          <w:r>
            <w:tab/>
          </w:r>
          <w:r>
            <w:fldChar w:fldCharType="begin"/>
          </w:r>
          <w:r>
            <w:instrText xml:space="preserve"> PAGEREF _Toc7614 \h </w:instrText>
          </w:r>
          <w:r>
            <w:fldChar w:fldCharType="separate"/>
          </w:r>
          <w:r>
            <w:t>12</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_Toc19327 </w:instrText>
          </w:r>
          <w:r>
            <w:fldChar w:fldCharType="separate"/>
          </w:r>
          <w:r>
            <w:rPr>
              <w:rFonts w:hint="default" w:ascii="Times New Roman" w:hAnsi="Times New Roman" w:cs="Times New Roman"/>
              <w:szCs w:val="24"/>
              <w:lang w:val="en-US" w:eastAsia="zh-CN"/>
            </w:rPr>
            <w:t xml:space="preserve">6 </w:t>
          </w:r>
          <w:r>
            <w:rPr>
              <w:rFonts w:hint="eastAsia"/>
              <w:szCs w:val="24"/>
              <w:lang w:val="en-US" w:eastAsia="zh-CN"/>
            </w:rPr>
            <w:t>质量保证要求</w:t>
          </w:r>
          <w:r>
            <w:tab/>
          </w:r>
          <w:r>
            <w:fldChar w:fldCharType="begin"/>
          </w:r>
          <w:r>
            <w:instrText xml:space="preserve"> PAGEREF _Toc19327 \h </w:instrText>
          </w:r>
          <w:r>
            <w:fldChar w:fldCharType="separate"/>
          </w:r>
          <w:r>
            <w:t>12</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_Toc31870 </w:instrText>
          </w:r>
          <w:r>
            <w:fldChar w:fldCharType="separate"/>
          </w:r>
          <w:r>
            <w:rPr>
              <w:rFonts w:hint="default" w:ascii="Times New Roman" w:hAnsi="Times New Roman" w:cs="Times New Roman"/>
              <w:szCs w:val="24"/>
              <w:lang w:val="en-US" w:eastAsia="zh-CN"/>
            </w:rPr>
            <w:t>7</w:t>
          </w:r>
          <w:r>
            <w:rPr>
              <w:rFonts w:hint="eastAsia"/>
              <w:szCs w:val="24"/>
              <w:lang w:val="en-US" w:eastAsia="zh-CN"/>
            </w:rPr>
            <w:t xml:space="preserve"> 包装、运输及储存要求</w:t>
          </w:r>
          <w:r>
            <w:tab/>
          </w:r>
          <w:r>
            <w:fldChar w:fldCharType="begin"/>
          </w:r>
          <w:r>
            <w:instrText xml:space="preserve"> PAGEREF _Toc31870 \h </w:instrText>
          </w:r>
          <w:r>
            <w:fldChar w:fldCharType="separate"/>
          </w:r>
          <w:r>
            <w:t>12</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_Toc27758 </w:instrText>
          </w:r>
          <w:r>
            <w:fldChar w:fldCharType="separate"/>
          </w:r>
          <w:r>
            <w:rPr>
              <w:rFonts w:hint="default" w:ascii="Times New Roman" w:hAnsi="Times New Roman" w:cs="Times New Roman"/>
              <w:szCs w:val="24"/>
              <w:lang w:val="en-US" w:eastAsia="zh-CN"/>
            </w:rPr>
            <w:t>8</w:t>
          </w:r>
          <w:r>
            <w:rPr>
              <w:rFonts w:hint="eastAsia"/>
              <w:szCs w:val="24"/>
              <w:lang w:val="en-US" w:eastAsia="zh-CN"/>
            </w:rPr>
            <w:t xml:space="preserve"> 安装、调试及技术支持要求</w:t>
          </w:r>
          <w:r>
            <w:tab/>
          </w:r>
          <w:r>
            <w:fldChar w:fldCharType="begin"/>
          </w:r>
          <w:r>
            <w:instrText xml:space="preserve"> PAGEREF _Toc27758 \h </w:instrText>
          </w:r>
          <w:r>
            <w:fldChar w:fldCharType="separate"/>
          </w:r>
          <w:r>
            <w:t>13</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_Toc16070 </w:instrText>
          </w:r>
          <w:r>
            <w:fldChar w:fldCharType="separate"/>
          </w:r>
          <w:r>
            <w:rPr>
              <w:rFonts w:hint="default" w:ascii="Times New Roman" w:hAnsi="Times New Roman" w:cs="Times New Roman"/>
              <w:szCs w:val="24"/>
              <w:lang w:val="en-US" w:eastAsia="zh-CN"/>
            </w:rPr>
            <w:t>9</w:t>
          </w:r>
          <w:r>
            <w:rPr>
              <w:rFonts w:hint="eastAsia"/>
              <w:szCs w:val="24"/>
              <w:lang w:val="en-US" w:eastAsia="zh-CN"/>
            </w:rPr>
            <w:t xml:space="preserve"> 交付技术资料要求</w:t>
          </w:r>
          <w:r>
            <w:tab/>
          </w:r>
          <w:r>
            <w:fldChar w:fldCharType="begin"/>
          </w:r>
          <w:r>
            <w:instrText xml:space="preserve"> PAGEREF _Toc16070 \h </w:instrText>
          </w:r>
          <w:r>
            <w:fldChar w:fldCharType="separate"/>
          </w:r>
          <w:r>
            <w:t>13</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_Toc8315 </w:instrText>
          </w:r>
          <w:r>
            <w:fldChar w:fldCharType="separate"/>
          </w:r>
          <w:r>
            <w:rPr>
              <w:rFonts w:hint="default" w:ascii="Times New Roman" w:hAnsi="Times New Roman" w:cs="Times New Roman"/>
              <w:szCs w:val="24"/>
              <w:lang w:val="en-US" w:eastAsia="zh-CN"/>
            </w:rPr>
            <w:t>10</w:t>
          </w:r>
          <w:r>
            <w:rPr>
              <w:rFonts w:hint="eastAsia"/>
              <w:szCs w:val="24"/>
              <w:lang w:val="en-US" w:eastAsia="zh-CN"/>
            </w:rPr>
            <w:t xml:space="preserve"> 验收标准及验收流程</w:t>
          </w:r>
          <w:r>
            <w:tab/>
          </w:r>
          <w:r>
            <w:fldChar w:fldCharType="begin"/>
          </w:r>
          <w:r>
            <w:instrText xml:space="preserve"> PAGEREF _Toc8315 \h </w:instrText>
          </w:r>
          <w:r>
            <w:fldChar w:fldCharType="separate"/>
          </w:r>
          <w:r>
            <w:t>13</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_Toc29584 </w:instrText>
          </w:r>
          <w:r>
            <w:fldChar w:fldCharType="separate"/>
          </w:r>
          <w:r>
            <w:rPr>
              <w:rFonts w:hint="eastAsia" w:ascii="Times New Roman" w:eastAsia="黑体" w:cs="Times New Roman"/>
              <w:szCs w:val="24"/>
              <w:lang w:val="en-US" w:eastAsia="zh-CN"/>
            </w:rPr>
            <w:t>10.1 验收依据</w:t>
          </w:r>
          <w:r>
            <w:tab/>
          </w:r>
          <w:r>
            <w:fldChar w:fldCharType="begin"/>
          </w:r>
          <w:r>
            <w:instrText xml:space="preserve"> PAGEREF _Toc29584 \h </w:instrText>
          </w:r>
          <w:r>
            <w:fldChar w:fldCharType="separate"/>
          </w:r>
          <w:r>
            <w:t>13</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_Toc19039 </w:instrText>
          </w:r>
          <w:r>
            <w:fldChar w:fldCharType="separate"/>
          </w:r>
          <w:r>
            <w:rPr>
              <w:rFonts w:hint="eastAsia" w:ascii="Times New Roman" w:eastAsia="黑体" w:cs="Times New Roman"/>
              <w:szCs w:val="24"/>
              <w:lang w:val="en-US" w:eastAsia="zh-CN"/>
            </w:rPr>
            <w:t>10.2 验收阶段</w:t>
          </w:r>
          <w:r>
            <w:tab/>
          </w:r>
          <w:r>
            <w:fldChar w:fldCharType="begin"/>
          </w:r>
          <w:r>
            <w:instrText xml:space="preserve"> PAGEREF _Toc19039 \h </w:instrText>
          </w:r>
          <w:r>
            <w:fldChar w:fldCharType="separate"/>
          </w:r>
          <w:r>
            <w:t>13</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_Toc27581 </w:instrText>
          </w:r>
          <w:r>
            <w:fldChar w:fldCharType="separate"/>
          </w:r>
          <w:r>
            <w:rPr>
              <w:rFonts w:hint="eastAsia" w:ascii="Times New Roman" w:eastAsia="黑体" w:cs="Times New Roman"/>
              <w:szCs w:val="24"/>
              <w:lang w:val="en-US" w:eastAsia="zh-CN"/>
            </w:rPr>
            <w:t>10.3 验收合格判定</w:t>
          </w:r>
          <w:r>
            <w:tab/>
          </w:r>
          <w:r>
            <w:fldChar w:fldCharType="begin"/>
          </w:r>
          <w:r>
            <w:instrText xml:space="preserve"> PAGEREF _Toc27581 \h </w:instrText>
          </w:r>
          <w:r>
            <w:fldChar w:fldCharType="separate"/>
          </w:r>
          <w:r>
            <w:t>14</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_Toc5236 </w:instrText>
          </w:r>
          <w:r>
            <w:fldChar w:fldCharType="separate"/>
          </w:r>
          <w:r>
            <w:rPr>
              <w:rFonts w:hint="eastAsia" w:ascii="Times New Roman" w:eastAsia="黑体" w:cs="Times New Roman"/>
              <w:szCs w:val="24"/>
              <w:lang w:val="en-US" w:eastAsia="zh-CN"/>
            </w:rPr>
            <w:t>10.4 不合格处理</w:t>
          </w:r>
          <w:r>
            <w:tab/>
          </w:r>
          <w:r>
            <w:fldChar w:fldCharType="begin"/>
          </w:r>
          <w:r>
            <w:instrText xml:space="preserve"> PAGEREF _Toc5236 \h </w:instrText>
          </w:r>
          <w:r>
            <w:fldChar w:fldCharType="separate"/>
          </w:r>
          <w:r>
            <w:t>14</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_Toc14663 </w:instrText>
          </w:r>
          <w:r>
            <w:fldChar w:fldCharType="separate"/>
          </w:r>
          <w:r>
            <w:rPr>
              <w:rFonts w:hint="eastAsia"/>
              <w:szCs w:val="24"/>
              <w:lang w:val="en-US" w:eastAsia="zh-CN"/>
            </w:rPr>
            <w:t>11 框架采购专项要求</w:t>
          </w:r>
          <w:r>
            <w:tab/>
          </w:r>
          <w:r>
            <w:fldChar w:fldCharType="begin"/>
          </w:r>
          <w:r>
            <w:instrText xml:space="preserve"> PAGEREF _Toc14663 \h </w:instrText>
          </w:r>
          <w:r>
            <w:fldChar w:fldCharType="separate"/>
          </w:r>
          <w:r>
            <w:t>14</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_Toc23958 </w:instrText>
          </w:r>
          <w:r>
            <w:fldChar w:fldCharType="separate"/>
          </w:r>
          <w:r>
            <w:rPr>
              <w:rFonts w:hint="eastAsia"/>
              <w:szCs w:val="24"/>
              <w:lang w:val="en-US" w:eastAsia="zh-CN"/>
            </w:rPr>
            <w:t>12 其他要求</w:t>
          </w:r>
          <w:r>
            <w:tab/>
          </w:r>
          <w:r>
            <w:fldChar w:fldCharType="begin"/>
          </w:r>
          <w:r>
            <w:instrText xml:space="preserve"> PAGEREF _Toc23958 \h </w:instrText>
          </w:r>
          <w:r>
            <w:fldChar w:fldCharType="separate"/>
          </w:r>
          <w:r>
            <w:t>15</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_Toc10562 </w:instrText>
          </w:r>
          <w:r>
            <w:fldChar w:fldCharType="separate"/>
          </w:r>
          <w:r>
            <w:rPr>
              <w:rFonts w:hint="eastAsia" w:ascii="Times New Roman" w:eastAsia="黑体" w:cs="Times New Roman"/>
              <w:szCs w:val="24"/>
              <w:lang w:val="en-US" w:eastAsia="zh-CN"/>
            </w:rPr>
            <w:t>12.1 知识产权</w:t>
          </w:r>
          <w:r>
            <w:tab/>
          </w:r>
          <w:r>
            <w:fldChar w:fldCharType="begin"/>
          </w:r>
          <w:r>
            <w:instrText xml:space="preserve"> PAGEREF _Toc10562 \h </w:instrText>
          </w:r>
          <w:r>
            <w:fldChar w:fldCharType="separate"/>
          </w:r>
          <w:r>
            <w:t>15</w:t>
          </w:r>
          <w:r>
            <w:fldChar w:fldCharType="end"/>
          </w:r>
          <w:r>
            <w:rPr>
              <w:color w:val="000000" w:themeColor="text1"/>
              <w14:textFill>
                <w14:solidFill>
                  <w14:schemeClr w14:val="tx1"/>
                </w14:solidFill>
              </w14:textFill>
            </w:rPr>
            <w:fldChar w:fldCharType="end"/>
          </w:r>
        </w:p>
        <w:p>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_Toc2467 </w:instrText>
          </w:r>
          <w:r>
            <w:fldChar w:fldCharType="separate"/>
          </w:r>
          <w:r>
            <w:rPr>
              <w:rFonts w:hint="eastAsia" w:ascii="Times New Roman" w:eastAsia="黑体" w:cs="Times New Roman"/>
              <w:szCs w:val="24"/>
              <w:lang w:val="en-US" w:eastAsia="zh-CN"/>
            </w:rPr>
            <w:t>12.2 保密要求</w:t>
          </w:r>
          <w:r>
            <w:tab/>
          </w:r>
          <w:r>
            <w:fldChar w:fldCharType="begin"/>
          </w:r>
          <w:r>
            <w:instrText xml:space="preserve"> PAGEREF _Toc2467 \h </w:instrText>
          </w:r>
          <w:r>
            <w:fldChar w:fldCharType="separate"/>
          </w:r>
          <w:r>
            <w:t>15</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_Toc5829 </w:instrText>
          </w:r>
          <w:r>
            <w:fldChar w:fldCharType="separate"/>
          </w:r>
          <w:r>
            <w:rPr>
              <w:rFonts w:hint="default" w:ascii="Times New Roman" w:hAnsi="Times New Roman" w:cs="Times New Roman"/>
              <w:szCs w:val="24"/>
              <w:lang w:val="en-US" w:eastAsia="zh-CN"/>
            </w:rPr>
            <w:t>1</w:t>
          </w:r>
          <w:r>
            <w:rPr>
              <w:rFonts w:hint="eastAsia" w:ascii="Times New Roman" w:cs="Times New Roman"/>
              <w:szCs w:val="24"/>
              <w:lang w:val="en-US" w:eastAsia="zh-CN"/>
            </w:rPr>
            <w:t>3</w:t>
          </w:r>
          <w:r>
            <w:rPr>
              <w:rFonts w:hint="eastAsia"/>
              <w:szCs w:val="24"/>
              <w:lang w:val="en-US" w:eastAsia="zh-CN"/>
            </w:rPr>
            <w:t>设备技术参数和性能要求响应表</w:t>
          </w:r>
          <w:r>
            <w:tab/>
          </w:r>
          <w:r>
            <w:fldChar w:fldCharType="begin"/>
          </w:r>
          <w:r>
            <w:instrText xml:space="preserve"> PAGEREF _Toc5829 \h </w:instrText>
          </w:r>
          <w:r>
            <w:fldChar w:fldCharType="separate"/>
          </w:r>
          <w:r>
            <w:t>15</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_Toc15164 </w:instrText>
          </w:r>
          <w:r>
            <w:fldChar w:fldCharType="separate"/>
          </w:r>
          <w:r>
            <w:rPr>
              <w:rFonts w:hint="default" w:ascii="Times New Roman" w:hAnsi="Times New Roman" w:eastAsia="宋体"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4</w:t>
          </w:r>
          <w:r>
            <w:rPr>
              <w:rFonts w:hint="eastAsia" w:ascii="Times New Roman" w:hAnsi="Times New Roman" w:eastAsia="宋体" w:cs="Times New Roman"/>
              <w:bCs/>
              <w:i w:val="0"/>
              <w:kern w:val="44"/>
              <w:szCs w:val="24"/>
              <w:lang w:val="en-US" w:eastAsia="zh-CN" w:bidi="ar-SA"/>
            </w:rPr>
            <w:t xml:space="preserve"> 技术差异表</w:t>
          </w:r>
          <w:r>
            <w:tab/>
          </w:r>
          <w:r>
            <w:fldChar w:fldCharType="begin"/>
          </w:r>
          <w:r>
            <w:instrText xml:space="preserve"> PAGEREF _Toc15164 \h </w:instrText>
          </w:r>
          <w:r>
            <w:fldChar w:fldCharType="separate"/>
          </w:r>
          <w:r>
            <w:t>16</w:t>
          </w:r>
          <w:r>
            <w:fldChar w:fldCharType="end"/>
          </w:r>
          <w:r>
            <w:rPr>
              <w:color w:val="000000" w:themeColor="text1"/>
              <w14:textFill>
                <w14:solidFill>
                  <w14:schemeClr w14:val="tx1"/>
                </w14:solidFill>
              </w14:textFill>
            </w:rPr>
            <w:fldChar w:fldCharType="end"/>
          </w:r>
        </w:p>
        <w:p>
          <w:pPr>
            <w:pStyle w:val="21"/>
            <w:tabs>
              <w:tab w:val="right" w:leader="dot" w:pos="8312"/>
            </w:tabs>
          </w:pPr>
          <w:r>
            <w:rPr>
              <w:color w:val="000000" w:themeColor="text1"/>
              <w14:textFill>
                <w14:solidFill>
                  <w14:schemeClr w14:val="tx1"/>
                </w14:solidFill>
              </w14:textFill>
            </w:rPr>
            <w:fldChar w:fldCharType="begin"/>
          </w:r>
          <w:r>
            <w:instrText xml:space="preserve"> HYPERLINK \l _Toc9774 </w:instrText>
          </w:r>
          <w:r>
            <w:fldChar w:fldCharType="separate"/>
          </w:r>
          <w:r>
            <w:rPr>
              <w:rFonts w:hint="eastAsia" w:ascii="Times New Roman" w:hAnsi="Times New Roman"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5</w:t>
          </w:r>
          <w:r>
            <w:rPr>
              <w:rFonts w:hint="default" w:ascii="Times New Roman" w:hAnsi="Times New Roman" w:eastAsia="宋体" w:cs="Times New Roman"/>
              <w:bCs w:val="0"/>
              <w:szCs w:val="24"/>
            </w:rPr>
            <w:t xml:space="preserve"> </w:t>
          </w:r>
          <w:r>
            <w:rPr>
              <w:rFonts w:hint="eastAsia" w:ascii="宋体" w:hAnsi="宋体" w:eastAsia="宋体" w:cs="宋体"/>
              <w:szCs w:val="24"/>
            </w:rPr>
            <w:t>投标方需说明的其他问题</w:t>
          </w:r>
          <w:r>
            <w:tab/>
          </w:r>
          <w:r>
            <w:fldChar w:fldCharType="begin"/>
          </w:r>
          <w:r>
            <w:instrText xml:space="preserve"> PAGEREF _Toc9774 \h </w:instrText>
          </w:r>
          <w:r>
            <w:fldChar w:fldCharType="separate"/>
          </w:r>
          <w:r>
            <w:t>16</w:t>
          </w:r>
          <w:r>
            <w:fldChar w:fldCharType="end"/>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sectPr>
              <w:headerReference r:id="rId6" w:type="default"/>
              <w:footerReference r:id="rId7"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color w:val="000000" w:themeColor="text1"/>
              <w14:textFill>
                <w14:solidFill>
                  <w14:schemeClr w14:val="tx1"/>
                </w14:solidFill>
              </w14:textFill>
            </w:rPr>
            <w:fldChar w:fldCharType="end"/>
          </w:r>
        </w:p>
      </w:sdtContent>
    </w:sdt>
    <w:p>
      <w:pPr>
        <w:rPr>
          <w:color w:val="000000" w:themeColor="text1"/>
          <w14:textFill>
            <w14:solidFill>
              <w14:schemeClr w14:val="tx1"/>
            </w14:solidFill>
          </w14:textFill>
        </w:rPr>
      </w:pPr>
    </w:p>
    <w:p>
      <w:pPr>
        <w:pStyle w:val="2"/>
        <w:numPr>
          <w:ilvl w:val="0"/>
          <w:numId w:val="0"/>
        </w:numPr>
        <w:bidi w:val="0"/>
        <w:ind w:leftChars="0"/>
        <w:rPr>
          <w:rFonts w:hint="eastAsia"/>
          <w:color w:val="000000" w:themeColor="text1"/>
          <w:sz w:val="24"/>
          <w:szCs w:val="24"/>
          <w14:textFill>
            <w14:solidFill>
              <w14:schemeClr w14:val="tx1"/>
            </w14:solidFill>
          </w14:textFill>
        </w:rPr>
      </w:pPr>
      <w:bookmarkStart w:id="6" w:name="_Toc12202"/>
      <w:bookmarkStart w:id="7" w:name="_Toc23849"/>
      <w:bookmarkStart w:id="8" w:name="_Toc29247"/>
      <w:bookmarkStart w:id="9" w:name="_Toc17287"/>
      <w:bookmarkStart w:id="10" w:name="_Toc28471"/>
      <w:bookmarkStart w:id="11" w:name="_Toc5737"/>
      <w:bookmarkStart w:id="12" w:name="_Toc32581"/>
      <w:r>
        <w:rPr>
          <w:rFonts w:hint="eastAsia"/>
          <w:color w:val="000000" w:themeColor="text1"/>
          <w:sz w:val="24"/>
          <w:szCs w:val="24"/>
          <w14:textFill>
            <w14:solidFill>
              <w14:schemeClr w14:val="tx1"/>
            </w14:solidFill>
          </w14:textFill>
        </w:rPr>
        <w:t>前 言</w:t>
      </w:r>
      <w:bookmarkEnd w:id="6"/>
      <w:bookmarkEnd w:id="7"/>
      <w:bookmarkEnd w:id="8"/>
      <w:bookmarkEnd w:id="9"/>
      <w:bookmarkEnd w:id="10"/>
      <w:bookmarkEnd w:id="11"/>
      <w:bookmarkEnd w:id="12"/>
    </w:p>
    <w:p>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本技术规范书针对</w:t>
      </w:r>
      <w:r>
        <w:rPr>
          <w:rFonts w:hint="eastAsia" w:ascii="宋体" w:hAnsi="宋体" w:cs="宋体"/>
          <w:color w:val="000000" w:themeColor="text1"/>
          <w:sz w:val="24"/>
          <w14:textFill>
            <w14:solidFill>
              <w14:schemeClr w14:val="tx1"/>
            </w14:solidFill>
          </w14:textFill>
        </w:rPr>
        <w:t>广东天广能源科技发展有限公司非接触行波采集的分布式高压直流线路故障测距装置2026—2028年生产代工框架采购项目</w:t>
      </w:r>
      <w:r>
        <w:rPr>
          <w:rFonts w:hint="eastAsia" w:ascii="宋体" w:hAnsi="宋体" w:eastAsia="宋体" w:cs="宋体"/>
          <w:color w:val="000000" w:themeColor="text1"/>
          <w:sz w:val="24"/>
          <w:szCs w:val="24"/>
          <w14:textFill>
            <w14:solidFill>
              <w14:schemeClr w14:val="tx1"/>
            </w14:solidFill>
          </w14:textFill>
        </w:rPr>
        <w:t>编制，为招标最低技术及代加工要求，投标人（</w:t>
      </w:r>
      <w:r>
        <w:rPr>
          <w:rFonts w:hint="eastAsia" w:ascii="宋体" w:hAnsi="宋体" w:cs="宋体"/>
          <w:color w:val="000000" w:themeColor="text1"/>
          <w:sz w:val="24"/>
          <w:szCs w:val="24"/>
          <w:lang w:eastAsia="zh-CN"/>
          <w14:textFill>
            <w14:solidFill>
              <w14:schemeClr w14:val="tx1"/>
            </w14:solidFill>
          </w14:textFill>
        </w:rPr>
        <w:t>投标方</w:t>
      </w:r>
      <w:r>
        <w:rPr>
          <w:rFonts w:hint="eastAsia" w:ascii="宋体" w:hAnsi="宋体" w:eastAsia="宋体" w:cs="宋体"/>
          <w:color w:val="000000" w:themeColor="text1"/>
          <w:sz w:val="24"/>
          <w:szCs w:val="24"/>
          <w14:textFill>
            <w14:solidFill>
              <w14:schemeClr w14:val="tx1"/>
            </w14:solidFill>
          </w14:textFill>
        </w:rPr>
        <w:t>）所提供的代加工服务、生产的产品，所有性能参数、加工质量、服务标准不得低于本规范要求，优于本规范要求可做正偏离响应。</w:t>
      </w:r>
    </w:p>
    <w:p>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.本技术规范书为本次框架采购合同不可分割的技术附件，与合同正文、框架合作协议具有同等法律效力，约束框架合作期间（自合同生效至期限届满）的全部代加工业务。</w:t>
      </w:r>
    </w:p>
    <w:p>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.本规范所有引用标准均执行现行最新有效版本，新旧标准冲突时以最新版本为准；代加工过程须严格遵循国家、电力行业相关标准及招标人技术要求。</w:t>
      </w:r>
    </w:p>
    <w:p>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r>
        <w:rPr>
          <w:rFonts w:hint="eastAsia" w:ascii="Times New Roman" w:hAnsi="Times New Roman" w:eastAsia="宋体" w:cs="Times New Roman"/>
          <w:color w:val="000000" w:themeColor="text1"/>
          <w:sz w:val="24"/>
          <w:szCs w:val="24"/>
          <w14:textFill>
            <w14:solidFill>
              <w14:schemeClr w14:val="tx1"/>
            </w14:solidFill>
          </w14:textFill>
        </w:rPr>
        <w:t>.本次采购为框架采购，招标人根据实际需求，在框架协议有效期内，向中标人下达分批代加工订单，中标人须按订单要求、本规范要求，完成原材料采购、生产加工、质量检验、包装交付、售后保障等全部工作。</w:t>
      </w:r>
    </w:p>
    <w:p>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.未尽事宜按照国家、电力行业现行相关标准、招标人相关管理规定及框架合作协议约定执行。</w:t>
      </w:r>
    </w:p>
    <w:p>
      <w:pPr>
        <w:pStyle w:val="2"/>
        <w:numPr>
          <w:ilvl w:val="0"/>
          <w:numId w:val="0"/>
        </w:numPr>
        <w:bidi w:val="0"/>
        <w:ind w:leftChars="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End w:id="0"/>
      <w:bookmarkEnd w:id="5"/>
      <w:bookmarkStart w:id="13" w:name="_Toc32472"/>
      <w:bookmarkStart w:id="14" w:name="_Toc20581"/>
      <w:bookmarkStart w:id="15" w:name="_Toc4976"/>
      <w:bookmarkStart w:id="16" w:name="_Toc21023"/>
      <w:bookmarkStart w:id="17" w:name="_Toc5920"/>
      <w:bookmarkStart w:id="18" w:name="_Toc18200"/>
      <w:bookmarkStart w:id="19" w:name="_Toc31964"/>
      <w:r>
        <w:rPr>
          <w:rFonts w:hint="default" w:ascii="Times New Roman" w:hAnsi="Times New Roman" w:cs="Times New Roman"/>
          <w:color w:val="000000" w:themeColor="text1"/>
          <w:lang w:val="en-US" w:eastAsia="zh-CN"/>
          <w14:textFill>
            <w14:solidFill>
              <w14:schemeClr w14:val="tx1"/>
            </w14:solidFill>
          </w14:textFill>
        </w:rPr>
        <w:t>1</w:t>
      </w:r>
      <w:r>
        <w:rPr>
          <w:color w:val="000000" w:themeColor="text1"/>
          <w:sz w:val="24"/>
          <w:szCs w:val="24"/>
          <w14:textFill>
            <w14:solidFill>
              <w14:schemeClr w14:val="tx1"/>
            </w14:solidFill>
          </w14:textFill>
        </w:rPr>
        <w:t>总则</w:t>
      </w:r>
      <w:bookmarkEnd w:id="13"/>
      <w:bookmarkEnd w:id="14"/>
      <w:bookmarkEnd w:id="15"/>
      <w:bookmarkEnd w:id="16"/>
      <w:bookmarkEnd w:id="17"/>
      <w:bookmarkEnd w:id="18"/>
      <w:bookmarkEnd w:id="19"/>
    </w:p>
    <w:p>
      <w:pPr>
        <w:numPr>
          <w:ilvl w:val="1"/>
          <w:numId w:val="6"/>
        </w:numPr>
        <w:spacing w:before="120" w:after="120" w:line="288" w:lineRule="auto"/>
        <w:ind w:left="567" w:leftChars="0" w:hanging="567" w:firstLineChars="0"/>
        <w:jc w:val="left"/>
        <w:rPr>
          <w:rStyle w:val="94"/>
          <w:rFonts w:hint="eastAsia"/>
          <w:b w:val="0"/>
          <w:bCs/>
          <w:color w:val="000000" w:themeColor="text1"/>
          <w14:textFill>
            <w14:solidFill>
              <w14:schemeClr w14:val="tx1"/>
            </w14:solidFill>
          </w14:textFill>
        </w:rPr>
      </w:pPr>
      <w:bookmarkStart w:id="20" w:name="_Toc25819"/>
      <w:bookmarkStart w:id="21" w:name="_Toc27014"/>
      <w:bookmarkStart w:id="22" w:name="_Toc6670"/>
      <w:bookmarkStart w:id="23" w:name="_Toc5882"/>
      <w:bookmarkStart w:id="24" w:name="_Toc6719"/>
      <w:bookmarkStart w:id="25" w:name="_Toc5668"/>
      <w:bookmarkStart w:id="26" w:name="_Toc19924"/>
      <w:r>
        <w:rPr>
          <w:rStyle w:val="94"/>
          <w:rFonts w:hint="eastAsia" w:ascii="黑体" w:hAnsi="黑体" w:eastAsia="黑体" w:cs="黑体"/>
          <w:b w:val="0"/>
          <w:bCs/>
          <w:color w:val="000000" w:themeColor="text1"/>
          <w:sz w:val="24"/>
          <w:szCs w:val="24"/>
          <w14:textFill>
            <w14:solidFill>
              <w14:schemeClr w14:val="tx1"/>
            </w14:solidFill>
          </w14:textFill>
        </w:rPr>
        <w:t>适用范围</w:t>
      </w:r>
    </w:p>
    <w:bookmarkEnd w:id="20"/>
    <w:bookmarkEnd w:id="21"/>
    <w:bookmarkEnd w:id="22"/>
    <w:bookmarkEnd w:id="23"/>
    <w:bookmarkEnd w:id="24"/>
    <w:bookmarkEnd w:id="25"/>
    <w:bookmarkEnd w:id="26"/>
    <w:p>
      <w:pPr>
        <w:pStyle w:val="42"/>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规范适用于广东天广能源科技发展有限公司非接触行波采集的分布式高压直流线路故障测距装置2026—2028年生产代工框架采购项目的全部工作，包括但不限于：原材料采购与管控、生产加工、质量检验、试验检测、包装、运输、交付、安装调试、技术服务、人员培训、售后保障，以及框架合作期间的订单响应、产能保障、质量追溯等全部代加工相关工作。</w:t>
      </w:r>
    </w:p>
    <w:p>
      <w:pPr>
        <w:pStyle w:val="42"/>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本规范同时适用于框架协议有效期内，招标人下达的所有分批代加工订单，</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须严格按本规范及订单要求执行。</w:t>
      </w:r>
    </w:p>
    <w:p>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000000" w:themeColor="text1"/>
          <w:sz w:val="24"/>
          <w:szCs w:val="24"/>
          <w14:textFill>
            <w14:solidFill>
              <w14:schemeClr w14:val="tx1"/>
            </w14:solidFill>
          </w14:textFill>
        </w:rPr>
      </w:pPr>
      <w:bookmarkStart w:id="27" w:name="_Toc32476"/>
      <w:bookmarkStart w:id="28" w:name="_Toc32248"/>
      <w:bookmarkStart w:id="29" w:name="_Toc31477"/>
      <w:bookmarkStart w:id="30" w:name="_Toc8051"/>
      <w:bookmarkStart w:id="31" w:name="_Toc31289"/>
      <w:bookmarkStart w:id="32" w:name="_Toc17215"/>
      <w:bookmarkStart w:id="33" w:name="_Toc5634"/>
      <w:r>
        <w:rPr>
          <w:rStyle w:val="94"/>
          <w:rFonts w:hint="eastAsia" w:ascii="黑体" w:hAnsi="黑体" w:eastAsia="黑体" w:cs="黑体"/>
          <w:b w:val="0"/>
          <w:bCs/>
          <w:color w:val="000000" w:themeColor="text1"/>
          <w:sz w:val="24"/>
          <w:szCs w:val="24"/>
          <w14:textFill>
            <w14:solidFill>
              <w14:schemeClr w14:val="tx1"/>
            </w14:solidFill>
          </w14:textFill>
        </w:rPr>
        <w:t>规范性引用文件</w:t>
      </w:r>
    </w:p>
    <w:bookmarkEnd w:id="27"/>
    <w:bookmarkEnd w:id="28"/>
    <w:bookmarkEnd w:id="29"/>
    <w:bookmarkEnd w:id="30"/>
    <w:bookmarkEnd w:id="31"/>
    <w:bookmarkEnd w:id="32"/>
    <w:bookmarkEnd w:id="33"/>
    <w:p>
      <w:pPr>
        <w:pStyle w:val="42"/>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除本技术规范书特殊规定外，投标方所提供的设备均按规定的标准和规程的最新版本进行原材料采购与管控、生产加工、质量检验、试验检测、包装、运输、交付、安装调试</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售后保障</w:t>
      </w:r>
      <w:r>
        <w:rPr>
          <w:rFonts w:hint="eastAsia" w:ascii="宋体" w:hAnsi="宋体" w:eastAsia="宋体" w:cs="宋体"/>
          <w:color w:val="000000" w:themeColor="text1"/>
          <w:sz w:val="21"/>
          <w:szCs w:val="21"/>
          <w:lang w:val="en-US" w:eastAsia="zh-CN"/>
          <w14:textFill>
            <w14:solidFill>
              <w14:schemeClr w14:val="tx1"/>
            </w14:solidFill>
          </w14:textFill>
        </w:rPr>
        <w:t>等工作</w:t>
      </w:r>
      <w:r>
        <w:rPr>
          <w:rFonts w:hint="eastAsia" w:ascii="宋体" w:hAnsi="宋体" w:eastAsia="宋体" w:cs="宋体"/>
          <w:color w:val="000000" w:themeColor="text1"/>
          <w:sz w:val="21"/>
          <w:szCs w:val="21"/>
          <w14:textFill>
            <w14:solidFill>
              <w14:schemeClr w14:val="tx1"/>
            </w14:solidFill>
          </w14:textFill>
        </w:rPr>
        <w:t>。如果这些标准内容有矛盾时，应按最高标准的条款执行或按双方商定的标准执行。如果投标方选用本标书规定以外的标准时，则需提交这种替换标准供审查和分析</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待</w:t>
      </w:r>
      <w:r>
        <w:rPr>
          <w:rFonts w:hint="eastAsia" w:ascii="宋体" w:hAnsi="宋体" w:eastAsia="宋体" w:cs="宋体"/>
          <w:color w:val="000000" w:themeColor="text1"/>
          <w:sz w:val="21"/>
          <w:szCs w:val="21"/>
          <w14:textFill>
            <w14:solidFill>
              <w14:schemeClr w14:val="tx1"/>
            </w14:solidFill>
          </w14:textFill>
        </w:rPr>
        <w:t>从招标方处获得书面的认可才能使用。提交供审查的标准应为中文版本。主要引用标准如下：</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GB/T 191-2008包装储运图示标志</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DL/T 553-2013 电力系统动态记录装置通用技术条件</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DL/T 357-2019 输电线路行波故障测距装置技术条件</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GB/T 4208-2017 外壳防护等级(IP代码)</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GB/T 35721-2017输电线路分布式故障诊断系统</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Q/GDW 10242-2024架空输电线路状态监测装置通用技术规范</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Q/GDW 11660-2022输电线路分布式故障监测装置技术规范</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GB 50233-2014  《110kV～750kV架空输电线路施工及验收规范》</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DL/T 5168-2023  《110kV及以上架空输电线路施工质量检验规程》</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GB 50545-2010   《110kV～750kV架空输电线路设计规范》</w:t>
      </w:r>
    </w:p>
    <w:p>
      <w:pPr>
        <w:keepNext w:val="0"/>
        <w:keepLines w:val="0"/>
        <w:widowControl w:val="0"/>
        <w:suppressLineNumbers w:val="0"/>
        <w:spacing w:before="0" w:beforeAutospacing="0" w:after="0" w:afterAutospacing="0" w:line="360" w:lineRule="auto"/>
        <w:ind w:left="6" w:leftChars="3" w:right="0" w:firstLine="420" w:firstLineChars="200"/>
        <w:jc w:val="both"/>
        <w:rPr>
          <w:rFonts w:hint="eastAsia" w:ascii="黑体" w:hAnsi="宋体" w:eastAsia="黑体" w:cs="黑体"/>
          <w:color w:val="000000" w:themeColor="text1"/>
          <w:kern w:val="2"/>
          <w:sz w:val="21"/>
          <w:szCs w:val="21"/>
          <w14:textFill>
            <w14:solidFill>
              <w14:schemeClr w14:val="tx1"/>
            </w14:solidFill>
          </w14:textFill>
        </w:rPr>
      </w:pPr>
      <w:r>
        <w:rPr>
          <w:rFonts w:hint="eastAsia" w:ascii="黑体" w:hAnsi="宋体" w:eastAsia="黑体" w:cs="黑体"/>
          <w:color w:val="000000" w:themeColor="text1"/>
          <w:kern w:val="2"/>
          <w:sz w:val="21"/>
          <w:szCs w:val="21"/>
          <w:lang w:val="en-US" w:eastAsia="zh-CN" w:bidi="ar"/>
          <w14:textFill>
            <w14:solidFill>
              <w14:schemeClr w14:val="tx1"/>
            </w14:solidFill>
          </w14:textFill>
        </w:rPr>
        <w:t>DL/T 409-2023  《电业安全工作规程》（电力线路部分）</w:t>
      </w:r>
    </w:p>
    <w:p>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宋体" w:eastAsia="黑体" w:cs="黑体"/>
          <w:color w:val="000000" w:themeColor="text1"/>
          <w:kern w:val="2"/>
          <w:sz w:val="21"/>
          <w:szCs w:val="21"/>
          <w14:textFill>
            <w14:solidFill>
              <w14:schemeClr w14:val="tx1"/>
            </w14:solidFill>
          </w14:textFill>
        </w:rPr>
        <w:t>DL/T 815-2012 《交流输电线路用复合外套金属氧化物避雷器》</w:t>
      </w:r>
    </w:p>
    <w:p>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p>
    <w:p>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000000" w:themeColor="text1"/>
          <w:sz w:val="24"/>
          <w:szCs w:val="24"/>
          <w14:textFill>
            <w14:solidFill>
              <w14:schemeClr w14:val="tx1"/>
            </w14:solidFill>
          </w14:textFill>
        </w:rPr>
      </w:pPr>
      <w:bookmarkStart w:id="34" w:name="_Toc8244"/>
      <w:bookmarkStart w:id="35" w:name="_Toc29251"/>
      <w:bookmarkStart w:id="36" w:name="_Toc10194"/>
      <w:bookmarkStart w:id="37" w:name="_Toc27311"/>
      <w:bookmarkStart w:id="38" w:name="_Toc18229"/>
      <w:bookmarkStart w:id="39" w:name="_Toc9508"/>
      <w:bookmarkStart w:id="40" w:name="_Toc3564"/>
      <w:r>
        <w:rPr>
          <w:rStyle w:val="94"/>
          <w:rFonts w:hint="eastAsia" w:ascii="黑体" w:hAnsi="黑体" w:eastAsia="黑体" w:cs="黑体"/>
          <w:b w:val="0"/>
          <w:bCs/>
          <w:color w:val="000000" w:themeColor="text1"/>
          <w:sz w:val="24"/>
          <w:szCs w:val="24"/>
          <w14:textFill>
            <w14:solidFill>
              <w14:schemeClr w14:val="tx1"/>
            </w14:solidFill>
          </w14:textFill>
        </w:rPr>
        <w:t>术语和定义</w:t>
      </w:r>
    </w:p>
    <w:bookmarkEnd w:id="34"/>
    <w:bookmarkEnd w:id="35"/>
    <w:bookmarkEnd w:id="36"/>
    <w:bookmarkEnd w:id="37"/>
    <w:bookmarkEnd w:id="38"/>
    <w:bookmarkEnd w:id="39"/>
    <w:bookmarkEnd w:id="40"/>
    <w:p>
      <w:pPr>
        <w:pStyle w:val="25"/>
        <w:widowControl/>
        <w:spacing w:before="120" w:after="120" w:line="240" w:lineRule="auto"/>
        <w:ind w:left="0" w:firstLine="0"/>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1.3.1 </w:t>
      </w:r>
      <w:r>
        <w:rPr>
          <w:rFonts w:hint="eastAsia" w:ascii="宋体" w:hAnsi="宋体" w:cs="宋体"/>
          <w:color w:val="000000" w:themeColor="text1"/>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分布安装在输电线路铁塔的横担上，与高压无接触,通过电磁场传感器感应电场和磁场信号，</w:t>
      </w:r>
      <w:r>
        <w:rPr>
          <w:rFonts w:hint="eastAsia" w:ascii="宋体" w:hAnsi="宋体" w:eastAsia="宋体" w:cs="宋体"/>
          <w:color w:val="000000" w:themeColor="text1"/>
          <w:sz w:val="21"/>
          <w:szCs w:val="21"/>
          <w14:textFill>
            <w14:solidFill>
              <w14:schemeClr w14:val="tx1"/>
            </w14:solidFill>
          </w14:textFill>
        </w:rPr>
        <w:t>集成4G无线通信、北斗高精度授时</w:t>
      </w:r>
      <w:r>
        <w:rPr>
          <w:rFonts w:hint="eastAsia" w:ascii="宋体" w:hAnsi="宋体" w:cs="宋体"/>
          <w:b w:val="0"/>
          <w:bCs w:val="0"/>
          <w:color w:val="000000" w:themeColor="text1"/>
          <w:sz w:val="21"/>
          <w:szCs w:val="21"/>
          <w:lang w:val="en-US" w:eastAsia="zh-CN"/>
          <w14:textFill>
            <w14:solidFill>
              <w14:schemeClr w14:val="tx1"/>
            </w14:solidFill>
          </w14:textFill>
        </w:rPr>
        <w:t>功能</w:t>
      </w:r>
      <w:r>
        <w:rPr>
          <w:rFonts w:hint="eastAsia" w:ascii="宋体" w:hAnsi="宋体" w:eastAsia="宋体" w:cs="宋体"/>
          <w:color w:val="000000" w:themeColor="text1"/>
          <w:sz w:val="21"/>
          <w:szCs w:val="21"/>
          <w14:textFill>
            <w14:solidFill>
              <w14:schemeClr w14:val="tx1"/>
            </w14:solidFill>
          </w14:textFill>
        </w:rPr>
        <w:t>；采用</w:t>
      </w:r>
      <w:r>
        <w:rPr>
          <w:rStyle w:val="30"/>
          <w:rFonts w:hint="eastAsia" w:ascii="宋体" w:hAnsi="宋体" w:eastAsia="宋体" w:cs="宋体"/>
          <w:b w:val="0"/>
          <w:bCs w:val="0"/>
          <w:color w:val="000000" w:themeColor="text1"/>
          <w:sz w:val="21"/>
          <w:szCs w:val="21"/>
          <w14:textFill>
            <w14:solidFill>
              <w14:schemeClr w14:val="tx1"/>
            </w14:solidFill>
          </w14:textFill>
        </w:rPr>
        <w:t>双光伏+双电池</w:t>
      </w:r>
      <w:r>
        <w:rPr>
          <w:rFonts w:hint="eastAsia" w:ascii="宋体" w:hAnsi="宋体" w:eastAsia="宋体" w:cs="宋体"/>
          <w:color w:val="000000" w:themeColor="text1"/>
          <w:sz w:val="21"/>
          <w:szCs w:val="21"/>
          <w14:textFill>
            <w14:solidFill>
              <w14:schemeClr w14:val="tx1"/>
            </w14:solidFill>
          </w14:textFill>
        </w:rPr>
        <w:t>双冗余供电架构，可长期稳定在线运行，实现输电线路故障精准定位</w:t>
      </w:r>
      <w:r>
        <w:rPr>
          <w:rFonts w:hint="eastAsia" w:ascii="宋体" w:hAnsi="宋体" w:cs="宋体"/>
          <w:color w:val="000000" w:themeColor="text1"/>
          <w:sz w:val="21"/>
          <w:szCs w:val="21"/>
          <w:lang w:eastAsia="zh-CN"/>
          <w14:textFill>
            <w14:solidFill>
              <w14:schemeClr w14:val="tx1"/>
            </w14:solidFill>
          </w14:textFill>
        </w:rPr>
        <w:t>。</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 代加工：中标人（</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）按照招标人提供的技术图纸、参数要求、质量标准，自行采购符合要求的原材料，完成</w:t>
      </w:r>
      <w:r>
        <w:rPr>
          <w:rFonts w:hint="eastAsia" w:ascii="宋体" w:hAnsi="宋体" w:cs="宋体"/>
          <w:color w:val="000000" w:themeColor="text1"/>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的生产、加工、组装、检验、包装</w:t>
      </w:r>
      <w:r>
        <w:rPr>
          <w:rFonts w:hint="eastAsia" w:ascii="宋体" w:hAnsi="宋体" w:eastAsia="宋体" w:cs="宋体"/>
          <w:color w:val="000000" w:themeColor="text1"/>
          <w:sz w:val="21"/>
          <w:szCs w:val="21"/>
          <w:lang w:val="en-US" w:eastAsia="zh-CN"/>
          <w14:textFill>
            <w14:solidFill>
              <w14:schemeClr w14:val="tx1"/>
            </w14:solidFill>
          </w14:textFill>
        </w:rPr>
        <w:t>等</w:t>
      </w:r>
      <w:r>
        <w:rPr>
          <w:rFonts w:hint="eastAsia" w:ascii="宋体" w:hAnsi="宋体" w:eastAsia="宋体" w:cs="宋体"/>
          <w:color w:val="000000" w:themeColor="text1"/>
          <w:sz w:val="21"/>
          <w:szCs w:val="21"/>
          <w14:textFill>
            <w14:solidFill>
              <w14:schemeClr w14:val="tx1"/>
            </w14:solidFill>
          </w14:textFill>
        </w:rPr>
        <w:t>，并按订单要求交付招标人的全部过程。</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 框架采购：招标人通过招标确定中标人，签订框架合作协议，约定合作期限、产品标准、价格原则、订单流程、质量要求等核心条款，在协议有效期内，招标人根据实际需求下达分批代加工订单，中标人按订单执行的采购模式。</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 质量追溯：</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建立完善的质量追溯体系，实现原材料采购、生产加工、检验检测、交付等全流程可追溯，确保出现质量问题时可快速定位、排查原因。</w:t>
      </w:r>
    </w:p>
    <w:p>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000000" w:themeColor="text1"/>
          <w:sz w:val="24"/>
          <w:szCs w:val="24"/>
          <w14:textFill>
            <w14:solidFill>
              <w14:schemeClr w14:val="tx1"/>
            </w14:solidFill>
          </w14:textFill>
        </w:rPr>
      </w:pPr>
      <w:bookmarkStart w:id="41" w:name="_Toc8448"/>
      <w:bookmarkStart w:id="42" w:name="_Toc19221"/>
      <w:bookmarkStart w:id="43" w:name="_Toc23493"/>
      <w:bookmarkStart w:id="44" w:name="_Toc29192"/>
      <w:bookmarkStart w:id="45" w:name="_Toc11213"/>
      <w:bookmarkStart w:id="46" w:name="_Toc11423"/>
      <w:bookmarkStart w:id="47" w:name="_Toc24479"/>
      <w:r>
        <w:rPr>
          <w:rStyle w:val="94"/>
          <w:rFonts w:hint="eastAsia" w:ascii="黑体" w:hAnsi="黑体" w:eastAsia="黑体" w:cs="黑体"/>
          <w:b w:val="0"/>
          <w:bCs/>
          <w:color w:val="000000" w:themeColor="text1"/>
          <w:sz w:val="24"/>
          <w:szCs w:val="24"/>
          <w14:textFill>
            <w14:solidFill>
              <w14:schemeClr w14:val="tx1"/>
            </w14:solidFill>
          </w14:textFill>
        </w:rPr>
        <w:t>总体技术原则</w:t>
      </w:r>
    </w:p>
    <w:bookmarkEnd w:id="41"/>
    <w:bookmarkEnd w:id="42"/>
    <w:bookmarkEnd w:id="43"/>
    <w:bookmarkEnd w:id="44"/>
    <w:bookmarkEnd w:id="45"/>
    <w:bookmarkEnd w:id="46"/>
    <w:bookmarkEnd w:id="47"/>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1.4.1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须具备完善的生产体系和质量管控体系，能够独立完成本规范约定的全部代加工工作，无违法违规经营记录。</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 代加工产品须为全新、合格产品，无翻新、无二手、无返修部件，所有原材料、零部件均符合国家相关标准及本规范要求，严禁使用不合格原材料、劣质零部件。</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1.4.3 代加工过程须严格遵循招标人提供的技术图纸、加工工艺要求，确保产品结构、尺寸、性能、外观等全部符合标准，机械强度裕度充足，安全可靠。</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1.4.4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须具备充足的生产产能，能够快速响应招标人的分批订单需求，确保订单交付及时，无逾期交付情况。</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1.4.5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须建立完善的质量追溯体系和售后服务体系，确保产品质量可追溯、售后响应及时，能够妥善处理产品质量问题。</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1.4.6 所有代加工工作须符合国家安全生产、环保要求，生产过程无安全隐患、无环境污染。</w:t>
      </w:r>
    </w:p>
    <w:p>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000000" w:themeColor="text1"/>
          <w:sz w:val="24"/>
          <w:szCs w:val="24"/>
          <w14:textFill>
            <w14:solidFill>
              <w14:schemeClr w14:val="tx1"/>
            </w14:solidFill>
          </w14:textFill>
        </w:rPr>
      </w:pPr>
      <w:bookmarkStart w:id="48" w:name="_Toc9043"/>
      <w:bookmarkStart w:id="49" w:name="_Toc2813"/>
      <w:bookmarkStart w:id="50" w:name="_Toc26684"/>
      <w:bookmarkStart w:id="51" w:name="_Toc30737"/>
      <w:bookmarkStart w:id="52" w:name="_Toc31343"/>
      <w:bookmarkStart w:id="53" w:name="_Toc380"/>
      <w:bookmarkStart w:id="54" w:name="_Toc13270"/>
      <w:r>
        <w:rPr>
          <w:rStyle w:val="94"/>
          <w:rFonts w:hint="eastAsia" w:ascii="黑体" w:hAnsi="黑体" w:eastAsia="黑体" w:cs="黑体"/>
          <w:b w:val="0"/>
          <w:bCs/>
          <w:color w:val="000000" w:themeColor="text1"/>
          <w:sz w:val="24"/>
          <w:szCs w:val="24"/>
          <w14:textFill>
            <w14:solidFill>
              <w14:schemeClr w14:val="tx1"/>
            </w14:solidFill>
          </w14:textFill>
        </w:rPr>
        <w:t>框架采购约定</w:t>
      </w:r>
    </w:p>
    <w:bookmarkEnd w:id="48"/>
    <w:bookmarkEnd w:id="49"/>
    <w:bookmarkEnd w:id="50"/>
    <w:bookmarkEnd w:id="51"/>
    <w:bookmarkEnd w:id="52"/>
    <w:bookmarkEnd w:id="53"/>
    <w:bookmarkEnd w:id="54"/>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1.5.1 框架合作期限：自框架协议签订生效之日起</w:t>
      </w:r>
      <w:r>
        <w:rPr>
          <w:rFonts w:hint="eastAsia" w:ascii="宋体" w:hAnsi="宋体" w:cs="宋体"/>
          <w:color w:val="000000" w:themeColor="text1"/>
          <w:sz w:val="21"/>
          <w:szCs w:val="21"/>
          <w:u w:val="single"/>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年，期满后可根据双方合作情况，</w:t>
      </w:r>
      <w:r>
        <w:rPr>
          <w:rFonts w:hint="eastAsia" w:ascii="宋体" w:hAnsi="宋体" w:cs="宋体"/>
          <w:color w:val="000000" w:themeColor="text1"/>
          <w:sz w:val="21"/>
          <w:szCs w:val="21"/>
          <w:lang w:val="en-US" w:eastAsia="zh-CN"/>
          <w14:textFill>
            <w14:solidFill>
              <w14:schemeClr w14:val="tx1"/>
            </w14:solidFill>
          </w14:textFill>
        </w:rPr>
        <w:t>由招标方决定续签合同或重新招标</w:t>
      </w:r>
      <w:r>
        <w:rPr>
          <w:rFonts w:hint="eastAsia" w:ascii="宋体" w:hAnsi="宋体" w:eastAsia="宋体" w:cs="宋体"/>
          <w:color w:val="000000" w:themeColor="text1"/>
          <w:sz w:val="21"/>
          <w:szCs w:val="21"/>
          <w14:textFill>
            <w14:solidFill>
              <w14:schemeClr w14:val="tx1"/>
            </w14:solidFill>
          </w14:textFill>
        </w:rPr>
        <w:t>。</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1.5.2 订单下达：招标人根据实际需求</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，明确产品数量、交付时间、交付地点、特殊要求等内容。</w:t>
      </w:r>
    </w:p>
    <w:p>
      <w:pPr>
        <w:spacing w:before="120" w:after="120" w:line="288" w:lineRule="auto"/>
        <w:ind w:left="0"/>
        <w:jc w:val="left"/>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1.5.3 订单响应：</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收到</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14:textFill>
            <w14:solidFill>
              <w14:schemeClr w14:val="tx1"/>
            </w14:solidFill>
          </w14:textFill>
        </w:rPr>
        <w:t>后，须在</w:t>
      </w:r>
      <w:r>
        <w:rPr>
          <w:rFonts w:hint="eastAsia" w:ascii="宋体" w:hAnsi="宋体" w:cs="宋体"/>
          <w:color w:val="000000" w:themeColor="text1"/>
          <w:sz w:val="21"/>
          <w:szCs w:val="21"/>
          <w:u w:val="single"/>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个</w:t>
      </w:r>
      <w:r>
        <w:rPr>
          <w:rFonts w:hint="eastAsia" w:ascii="宋体" w:hAnsi="宋体" w:cs="宋体"/>
          <w:color w:val="000000" w:themeColor="text1"/>
          <w:sz w:val="21"/>
          <w:szCs w:val="21"/>
          <w:lang w:val="en-US" w:eastAsia="zh-CN"/>
          <w14:textFill>
            <w14:solidFill>
              <w14:schemeClr w14:val="tx1"/>
            </w14:solidFill>
          </w14:textFill>
        </w:rPr>
        <w:t>自然</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cs="宋体"/>
          <w:color w:val="000000" w:themeColor="text1"/>
          <w:sz w:val="21"/>
          <w:szCs w:val="21"/>
          <w:lang w:val="en-US" w:eastAsia="zh-CN"/>
          <w14:textFill>
            <w14:solidFill>
              <w14:schemeClr w14:val="tx1"/>
            </w14:solidFill>
          </w14:textFill>
        </w:rPr>
        <w:t>完成生产并交付。</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 xml:space="preserve"> 产能保障：</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须保障框架合作期间，具备满足招标人订单需求的产能，若招标人有紧急订单，</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须优先安排生产，确保按时交付。</w:t>
      </w:r>
    </w:p>
    <w:p>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1.5.5 合同签订之后，中标方根据招标方提供的技术资料在20个自然日内试制一台样机，如样机不能满足技术规范书的要求，招标方有权终止合同，且制造样机的成本由中标方自行承担。</w:t>
      </w:r>
    </w:p>
    <w:p>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55" w:name="_Toc14357"/>
      <w:bookmarkStart w:id="56" w:name="_Toc12334"/>
      <w:bookmarkStart w:id="57" w:name="_Toc13140"/>
      <w:bookmarkStart w:id="58" w:name="_Toc5993"/>
      <w:bookmarkStart w:id="59" w:name="_Toc17585"/>
      <w:bookmarkStart w:id="60" w:name="_Toc24841"/>
      <w:bookmarkStart w:id="61" w:name="_Toc13023"/>
      <w:r>
        <w:rPr>
          <w:rFonts w:hint="default" w:ascii="Times New Roman" w:hAnsi="Times New Roman" w:cs="Times New Roman"/>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项目概况及代加工要求</w:t>
      </w:r>
      <w:bookmarkEnd w:id="55"/>
      <w:bookmarkEnd w:id="56"/>
      <w:bookmarkEnd w:id="57"/>
      <w:bookmarkEnd w:id="58"/>
      <w:bookmarkEnd w:id="59"/>
      <w:bookmarkEnd w:id="60"/>
      <w:bookmarkEnd w:id="61"/>
    </w:p>
    <w:p>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62" w:name="_Toc16277"/>
      <w:bookmarkStart w:id="63" w:name="_Toc26055"/>
      <w:bookmarkStart w:id="64" w:name="_Toc21511"/>
      <w:bookmarkStart w:id="65" w:name="_Toc19601"/>
      <w:bookmarkStart w:id="66" w:name="_Toc20430"/>
      <w:bookmarkStart w:id="67" w:name="_Toc7822"/>
      <w:bookmarkStart w:id="68" w:name="_Toc6076"/>
      <w:r>
        <w:rPr>
          <w:rFonts w:hint="eastAsia" w:ascii="黑体" w:hAnsi="黑体" w:eastAsia="黑体" w:cs="黑体"/>
          <w:color w:val="000000" w:themeColor="text1"/>
          <w:sz w:val="24"/>
          <w:szCs w:val="24"/>
          <w14:textFill>
            <w14:solidFill>
              <w14:schemeClr w14:val="tx1"/>
            </w14:solidFill>
          </w14:textFill>
        </w:rPr>
        <w:t>项目概况</w:t>
      </w:r>
      <w:bookmarkEnd w:id="62"/>
      <w:bookmarkEnd w:id="63"/>
      <w:bookmarkEnd w:id="64"/>
      <w:bookmarkEnd w:id="65"/>
      <w:bookmarkEnd w:id="66"/>
      <w:bookmarkEnd w:id="67"/>
      <w:bookmarkEnd w:id="68"/>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本项目为广东天广能源科技发展有限公司非接触行波采集的分布式高压直流线路故障测距装置2026—2028年生产代工框架采购，招标人通过招标确定合格代加工方，建立长期框架合作关系，用于满足招标人输电线路</w:t>
      </w:r>
      <w:r>
        <w:rPr>
          <w:rFonts w:hint="eastAsia" w:ascii="宋体" w:hAnsi="宋体" w:cs="宋体"/>
          <w:color w:val="000000" w:themeColor="text1"/>
          <w:sz w:val="21"/>
          <w:szCs w:val="21"/>
          <w:lang w:val="en-US" w:eastAsia="zh-CN"/>
          <w14:textFill>
            <w14:solidFill>
              <w14:schemeClr w14:val="tx1"/>
            </w14:solidFill>
          </w14:textFill>
        </w:rPr>
        <w:t>故障定位</w:t>
      </w:r>
      <w:r>
        <w:rPr>
          <w:rFonts w:hint="eastAsia" w:ascii="宋体" w:hAnsi="宋体" w:eastAsia="宋体" w:cs="宋体"/>
          <w:color w:val="000000" w:themeColor="text1"/>
          <w:sz w:val="21"/>
          <w:szCs w:val="21"/>
          <w14:textFill>
            <w14:solidFill>
              <w14:schemeClr w14:val="tx1"/>
            </w14:solidFill>
          </w14:textFill>
        </w:rPr>
        <w:t>所需</w:t>
      </w:r>
      <w:r>
        <w:rPr>
          <w:rFonts w:hint="eastAsia" w:ascii="宋体" w:hAnsi="宋体" w:cs="宋体"/>
          <w:color w:val="000000" w:themeColor="text1"/>
          <w:kern w:val="2"/>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的批量代加工需求。代加工产品主要用于</w:t>
      </w:r>
      <w:r>
        <w:rPr>
          <w:rFonts w:hint="eastAsia" w:ascii="宋体" w:hAnsi="宋体" w:cs="宋体"/>
          <w:color w:val="000000" w:themeColor="text1"/>
          <w:sz w:val="21"/>
          <w:szCs w:val="21"/>
          <w:lang w:val="en-US" w:eastAsia="zh-CN"/>
          <w14:textFill>
            <w14:solidFill>
              <w14:schemeClr w14:val="tx1"/>
            </w14:solidFill>
          </w14:textFill>
        </w:rPr>
        <w:t>35kV及以上交直流架空线路故障监测</w:t>
      </w:r>
      <w:r>
        <w:rPr>
          <w:rFonts w:hint="eastAsia" w:ascii="宋体" w:hAnsi="宋体" w:eastAsia="宋体" w:cs="宋体"/>
          <w:color w:val="000000" w:themeColor="text1"/>
          <w:sz w:val="21"/>
          <w:szCs w:val="21"/>
          <w14:textFill>
            <w14:solidFill>
              <w14:schemeClr w14:val="tx1"/>
            </w14:solidFill>
          </w14:textFill>
        </w:rPr>
        <w:t>，适配</w:t>
      </w:r>
      <w:r>
        <w:rPr>
          <w:rFonts w:hint="default" w:ascii="宋体" w:hAnsi="宋体" w:eastAsia="宋体" w:cs="宋体"/>
          <w:b w:val="0"/>
          <w:bCs w:val="0"/>
          <w:color w:val="000000" w:themeColor="text1"/>
          <w:sz w:val="21"/>
          <w:szCs w:val="21"/>
          <w14:textFill>
            <w14:solidFill>
              <w14:schemeClr w14:val="tx1"/>
            </w14:solidFill>
          </w14:textFill>
        </w:rPr>
        <w:t>单回或完全同塔双回</w:t>
      </w:r>
      <w:r>
        <w:rPr>
          <w:rFonts w:hint="default" w:ascii="宋体" w:hAnsi="宋体" w:cs="宋体"/>
          <w:color w:val="000000" w:themeColor="text1"/>
          <w:sz w:val="21"/>
          <w:szCs w:val="21"/>
          <w:lang w:eastAsia="zh-CN"/>
          <w14:textFill>
            <w14:solidFill>
              <w14:schemeClr w14:val="tx1"/>
            </w14:solidFill>
          </w14:textFill>
        </w:rPr>
        <w:t>、</w:t>
      </w:r>
      <w:r>
        <w:rPr>
          <w:rFonts w:hint="default" w:ascii="宋体" w:hAnsi="宋体" w:eastAsia="宋体" w:cs="宋体"/>
          <w:b w:val="0"/>
          <w:bCs w:val="0"/>
          <w:color w:val="000000" w:themeColor="text1"/>
          <w:sz w:val="21"/>
          <w:szCs w:val="21"/>
          <w14:textFill>
            <w14:solidFill>
              <w14:schemeClr w14:val="tx1"/>
            </w14:solidFill>
          </w14:textFill>
        </w:rPr>
        <w:t>部分同塔双回</w:t>
      </w:r>
      <w:r>
        <w:rPr>
          <w:rFonts w:hint="eastAsia" w:ascii="宋体" w:hAnsi="宋体" w:eastAsia="宋体" w:cs="宋体"/>
          <w:b w:val="0"/>
          <w:bCs w:val="0"/>
          <w:color w:val="000000" w:themeColor="text1"/>
          <w:sz w:val="21"/>
          <w:szCs w:val="21"/>
          <w:lang w:val="en-US" w:eastAsia="zh-CN"/>
          <w14:textFill>
            <w14:solidFill>
              <w14:schemeClr w14:val="tx1"/>
            </w14:solidFill>
          </w14:textFill>
        </w:rPr>
        <w:t>等线路</w:t>
      </w:r>
      <w:r>
        <w:rPr>
          <w:rFonts w:hint="default" w:ascii="宋体" w:hAnsi="宋体" w:eastAsia="宋体" w:cs="宋体"/>
          <w:color w:val="000000" w:themeColor="text1"/>
          <w:sz w:val="21"/>
          <w:szCs w:val="21"/>
          <w14:textFill>
            <w14:solidFill>
              <w14:schemeClr w14:val="tx1"/>
            </w14:solidFill>
          </w14:textFill>
        </w:rPr>
        <w:t>。</w:t>
      </w:r>
    </w:p>
    <w:p>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69" w:name="_Toc15966"/>
      <w:bookmarkStart w:id="70" w:name="_Toc4135"/>
      <w:bookmarkStart w:id="71" w:name="_Toc3560"/>
      <w:bookmarkStart w:id="72" w:name="_Toc18826"/>
      <w:bookmarkStart w:id="73" w:name="_Toc28890"/>
      <w:bookmarkStart w:id="74" w:name="_Toc11701"/>
      <w:bookmarkStart w:id="75" w:name="_Toc20037"/>
      <w:r>
        <w:rPr>
          <w:rFonts w:hint="eastAsia" w:ascii="黑体" w:hAnsi="黑体" w:eastAsia="黑体" w:cs="黑体"/>
          <w:color w:val="000000" w:themeColor="text1"/>
          <w:sz w:val="24"/>
          <w:szCs w:val="24"/>
          <w14:textFill>
            <w14:solidFill>
              <w14:schemeClr w14:val="tx1"/>
            </w14:solidFill>
          </w14:textFill>
        </w:rPr>
        <w:t>代加工核心要求</w:t>
      </w:r>
      <w:bookmarkEnd w:id="69"/>
      <w:bookmarkEnd w:id="70"/>
      <w:bookmarkEnd w:id="71"/>
      <w:bookmarkEnd w:id="72"/>
      <w:bookmarkEnd w:id="73"/>
      <w:bookmarkEnd w:id="74"/>
      <w:bookmarkEnd w:id="75"/>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2.2.1 代加工方须严格按照招标人提供的技术图纸、参数标准、加工工艺要求进行生产加工，不得擅自修改产品结构、尺寸、材质及加工工艺，若需调整，须提前书面报备招标人，经招标人书面同意后方可实施。</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 代加工方负责原材料的采购、检验、储存，所有原材料须符合国家相关标准及本规范要求，且须提供原材料合格证明、检验报告等相关资料，接受招标人的抽查。</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2.2.3 代加工方须建立完善的生产过程管控体系，对生产加工的每一道工序进行严格检验，确保产品质量符合标准，杜绝不合格产品出厂。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2.2.4 框架合作期间，代加工方须配合招标人完成产品质量抽查、工艺核查、产能验证等工作，提供必要的生产记录、检验报告等相关资料。</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2.2.5 代加工方须严格遵守框架合作协议约定，履行订单交付、售后保障等义务。</w:t>
      </w:r>
    </w:p>
    <w:p>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76" w:name="_Toc5644"/>
      <w:bookmarkStart w:id="77" w:name="_Toc5930"/>
      <w:bookmarkStart w:id="78" w:name="_Toc13"/>
      <w:bookmarkStart w:id="79" w:name="_Toc2250"/>
      <w:bookmarkStart w:id="80" w:name="_Toc18919"/>
      <w:bookmarkStart w:id="81" w:name="_Toc21418"/>
      <w:bookmarkStart w:id="82" w:name="_Toc4336"/>
      <w:r>
        <w:rPr>
          <w:rFonts w:hint="eastAsia" w:ascii="黑体" w:hAnsi="黑体" w:eastAsia="黑体" w:cs="黑体"/>
          <w:color w:val="000000" w:themeColor="text1"/>
          <w:sz w:val="24"/>
          <w:szCs w:val="24"/>
          <w14:textFill>
            <w14:solidFill>
              <w14:schemeClr w14:val="tx1"/>
            </w14:solidFill>
          </w14:textFill>
        </w:rPr>
        <w:t>现场及生产环境要求</w:t>
      </w:r>
      <w:bookmarkEnd w:id="76"/>
      <w:bookmarkEnd w:id="77"/>
      <w:bookmarkEnd w:id="78"/>
      <w:bookmarkEnd w:id="79"/>
      <w:bookmarkEnd w:id="80"/>
      <w:bookmarkEnd w:id="81"/>
      <w:bookmarkEnd w:id="82"/>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2.3.1 代加工方的生产车间须具备良好的生产环境，整洁、通风、干燥，无粉尘、油污污染，符合安全生产、环保要求。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 生产车间须配备必要的防尘、防潮、防腐蚀设施，确保原材料、零部件及成品不受损坏，保证产品质量。</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 生产设备须定期维护、校准，确保设备运行正常，加工精度满足要求，无设备故障导致的产品质量问题。</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2.3.4 产品储存环境须干燥、通风、防潮、防腐蚀、防重压，避免产品结构变形、零部件损坏、表面氧化。</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 生产现场须建立完善的安全生产管理制度，配备必要的安全防护设施，作业人员须持证上岗，杜绝安全生产事故。</w:t>
      </w:r>
    </w:p>
    <w:p>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83" w:name="_Toc30836"/>
      <w:bookmarkStart w:id="84" w:name="_Toc5329"/>
      <w:bookmarkStart w:id="85" w:name="_Toc29745"/>
      <w:bookmarkStart w:id="86" w:name="_Toc15800"/>
      <w:bookmarkStart w:id="87" w:name="_Toc19199"/>
      <w:r>
        <w:rPr>
          <w:rFonts w:hint="eastAsia" w:ascii="黑体" w:hAnsi="黑体" w:eastAsia="黑体" w:cs="黑体"/>
          <w:color w:val="000000" w:themeColor="text1"/>
          <w:sz w:val="24"/>
          <w:szCs w:val="24"/>
          <w:highlight w:val="none"/>
          <w:lang w:val="en-US" w:eastAsia="zh-CN"/>
          <w14:textFill>
            <w14:solidFill>
              <w14:schemeClr w14:val="tx1"/>
            </w14:solidFill>
          </w14:textFill>
        </w:rPr>
        <w:t>供货范围一览表</w:t>
      </w:r>
      <w:bookmarkEnd w:id="83"/>
      <w:bookmarkEnd w:id="84"/>
      <w:bookmarkEnd w:id="85"/>
      <w:bookmarkEnd w:id="86"/>
      <w:bookmarkEnd w:id="87"/>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投标方提供的</w:t>
      </w:r>
      <w:r>
        <w:rPr>
          <w:rFonts w:hint="eastAsia" w:ascii="宋体" w:hAnsi="宋体" w:cs="宋体"/>
          <w:color w:val="000000" w:themeColor="text1"/>
          <w:sz w:val="21"/>
          <w:szCs w:val="21"/>
          <w:highlight w:val="none"/>
          <w:lang w:val="en-US" w:eastAsia="zh-CN"/>
          <w14:textFill>
            <w14:solidFill>
              <w14:schemeClr w14:val="tx1"/>
            </w14:solidFill>
          </w14:textFill>
        </w:rPr>
        <w:t>货物为</w:t>
      </w:r>
      <w:r>
        <w:rPr>
          <w:rFonts w:hint="eastAsia" w:ascii="宋体" w:hAnsi="宋体" w:cs="宋体"/>
          <w:color w:val="000000" w:themeColor="text1"/>
          <w:kern w:val="2"/>
          <w:sz w:val="21"/>
          <w:szCs w:val="21"/>
          <w:lang w:eastAsia="zh-CN"/>
          <w14:textFill>
            <w14:solidFill>
              <w14:schemeClr w14:val="tx1"/>
            </w14:solidFill>
          </w14:textFill>
        </w:rPr>
        <w:t>非接触行波采集的分布式高压直流线路故障测距装置</w:t>
      </w:r>
      <w:r>
        <w:rPr>
          <w:rFonts w:hint="eastAsia" w:ascii="宋体" w:hAnsi="宋体" w:cs="宋体"/>
          <w:color w:val="000000" w:themeColor="text1"/>
          <w:sz w:val="21"/>
          <w:szCs w:val="21"/>
          <w:highlight w:val="none"/>
          <w:lang w:val="en-US" w:eastAsia="zh-CN"/>
          <w14:textFill>
            <w14:solidFill>
              <w14:schemeClr w14:val="tx1"/>
            </w14:solidFill>
          </w14:textFill>
        </w:rPr>
        <w:t>成品，主要原材料以及规格参数见表2.1：</w:t>
      </w:r>
    </w:p>
    <w:p>
      <w:pPr>
        <w:keepNext w:val="0"/>
        <w:keepLines w:val="0"/>
        <w:pageBreakBefore w:val="0"/>
        <w:widowControl w:val="0"/>
        <w:kinsoku/>
        <w:wordWrap/>
        <w:overflowPunct/>
        <w:topLinePunct w:val="0"/>
        <w:autoSpaceDE/>
        <w:autoSpaceDN/>
        <w:bidi w:val="0"/>
        <w:adjustRightInd/>
        <w:snapToGrid/>
        <w:spacing w:before="120" w:after="120" w:line="288" w:lineRule="auto"/>
        <w:ind w:firstLine="422" w:firstLineChars="200"/>
        <w:jc w:val="center"/>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表2.1非接触行波采集的分布式高压直流线路故障测距装置供货一览表</w:t>
      </w:r>
    </w:p>
    <w:tbl>
      <w:tblPr>
        <w:tblStyle w:val="28"/>
        <w:tblW w:w="0" w:type="auto"/>
        <w:jc w:val="center"/>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Layout w:type="autofit"/>
        <w:tblCellMar>
          <w:top w:w="0" w:type="dxa"/>
          <w:left w:w="108" w:type="dxa"/>
          <w:bottom w:w="0" w:type="dxa"/>
          <w:right w:w="108" w:type="dxa"/>
        </w:tblCellMar>
      </w:tblPr>
      <w:tblGrid>
        <w:gridCol w:w="396"/>
        <w:gridCol w:w="1531"/>
        <w:gridCol w:w="650"/>
        <w:gridCol w:w="2152"/>
        <w:gridCol w:w="706"/>
        <w:gridCol w:w="2025"/>
        <w:gridCol w:w="624"/>
      </w:tblGrid>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restart"/>
            <w:tcBorders>
              <w:top w:val="single" w:color="auto" w:sz="8" w:space="0"/>
              <w:left w:val="single" w:color="auto" w:sz="8"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序号</w:t>
            </w:r>
          </w:p>
        </w:tc>
        <w:tc>
          <w:tcPr>
            <w:tcW w:w="1531" w:type="dxa"/>
            <w:vMerge w:val="restart"/>
            <w:tcBorders>
              <w:top w:val="single" w:color="auto" w:sz="8"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名称</w:t>
            </w:r>
          </w:p>
        </w:tc>
        <w:tc>
          <w:tcPr>
            <w:tcW w:w="650" w:type="dxa"/>
            <w:vMerge w:val="restart"/>
            <w:tcBorders>
              <w:top w:val="single" w:color="auto" w:sz="8"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3"/>
                <w:sz w:val="18"/>
                <w:szCs w:val="18"/>
              </w:rPr>
            </w:pPr>
            <w:r>
              <w:rPr>
                <w:spacing w:val="-5"/>
                <w:sz w:val="18"/>
                <w:szCs w:val="18"/>
              </w:rPr>
              <w:t>单位</w:t>
            </w:r>
          </w:p>
        </w:tc>
        <w:tc>
          <w:tcPr>
            <w:tcW w:w="2858" w:type="dxa"/>
            <w:gridSpan w:val="2"/>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sz w:val="18"/>
                <w:szCs w:val="18"/>
                <w:highlight w:val="none"/>
                <w:vertAlign w:val="baseline"/>
                <w14:textFill>
                  <w14:solidFill>
                    <w14:schemeClr w14:val="tx1"/>
                  </w14:solidFill>
                </w14:textFill>
              </w:rPr>
            </w:pPr>
            <w:r>
              <w:rPr>
                <w:rFonts w:hint="eastAsia"/>
                <w:spacing w:val="-3"/>
                <w:sz w:val="18"/>
                <w:szCs w:val="18"/>
                <w:lang w:val="en-US" w:eastAsia="zh-CN"/>
              </w:rPr>
              <w:t>项目要求</w:t>
            </w:r>
          </w:p>
        </w:tc>
        <w:tc>
          <w:tcPr>
            <w:tcW w:w="2649" w:type="dxa"/>
            <w:gridSpan w:val="2"/>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rFonts w:hint="eastAsia" w:ascii="宋体" w:hAnsi="宋体"/>
                <w:sz w:val="18"/>
                <w:szCs w:val="18"/>
              </w:rPr>
              <w:t>投标方保证</w:t>
            </w: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continue"/>
            <w:tcBorders>
              <w:left w:val="single" w:color="auto" w:sz="8" w:space="0"/>
              <w:bottom w:val="single" w:color="auto" w:sz="4" w:space="0"/>
              <w:right w:val="single" w:color="auto" w:sz="4" w:space="0"/>
            </w:tcBorders>
            <w:vAlign w:val="center"/>
          </w:tcPr>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20" w:after="120" w:line="288" w:lineRule="auto"/>
              <w:ind w:leftChars="0"/>
              <w:jc w:val="both"/>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vMerge w:val="continue"/>
            <w:tcBorders>
              <w:left w:val="single" w:color="auto" w:sz="4" w:space="0"/>
              <w:bottom w:val="single" w:color="auto" w:sz="4" w:space="0"/>
              <w:right w:val="single" w:color="auto" w:sz="4" w:space="0"/>
            </w:tcBorders>
            <w:shd w:val="clear" w:color="auto" w:fill="auto"/>
            <w:vAlign w:val="center"/>
          </w:tcPr>
          <w:p>
            <w:pPr>
              <w:widowControl w:val="0"/>
              <w:spacing w:before="72" w:line="220" w:lineRule="auto"/>
              <w:ind w:left="0" w:leftChars="0"/>
              <w:jc w:val="both"/>
              <w:rPr>
                <w:rFonts w:hint="eastAsia" w:ascii="宋体" w:hAnsi="宋体" w:eastAsia="宋体" w:cs="宋体"/>
                <w:kern w:val="2"/>
                <w:sz w:val="18"/>
                <w:szCs w:val="18"/>
                <w:lang w:val="en-US" w:eastAsia="en-US" w:bidi="ar-SA"/>
              </w:rPr>
            </w:pPr>
          </w:p>
        </w:tc>
        <w:tc>
          <w:tcPr>
            <w:tcW w:w="650" w:type="dxa"/>
            <w:vMerge w:val="continue"/>
            <w:tcBorders>
              <w:left w:val="single" w:color="auto" w:sz="4" w:space="0"/>
              <w:bottom w:val="single" w:color="auto" w:sz="4" w:space="0"/>
              <w:right w:val="single" w:color="auto" w:sz="4" w:space="0"/>
            </w:tcBorders>
            <w:shd w:val="clear" w:color="auto" w:fill="auto"/>
            <w:vAlign w:val="center"/>
          </w:tcPr>
          <w:p>
            <w:pPr>
              <w:widowControl w:val="0"/>
              <w:spacing w:before="72" w:line="220" w:lineRule="auto"/>
              <w:ind w:left="0" w:leftChars="0"/>
              <w:jc w:val="center"/>
              <w:rPr>
                <w:rFonts w:hint="eastAsia" w:ascii="宋体" w:hAnsi="宋体" w:eastAsia="宋体" w:cs="宋体"/>
                <w:kern w:val="2"/>
                <w:sz w:val="18"/>
                <w:szCs w:val="18"/>
                <w:lang w:val="en-US" w:eastAsia="en-US" w:bidi="ar-SA"/>
              </w:rPr>
            </w:pP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spacing w:val="-3"/>
                <w:sz w:val="18"/>
                <w:szCs w:val="18"/>
              </w:rPr>
              <w:t>规格型号</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3"/>
                <w:sz w:val="18"/>
                <w:szCs w:val="18"/>
              </w:rPr>
              <w:t>规格型号</w:t>
            </w: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96"/>
              <w:spacing w:before="72" w:line="220" w:lineRule="auto"/>
              <w:ind w:left="0" w:leftChars="0"/>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输电线路故障监测装置主机</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after="120" w:line="288" w:lineRule="auto"/>
              <w:ind w:left="0" w:leftChars="0"/>
              <w:jc w:val="center"/>
              <w:rPr>
                <w:rFonts w:hint="eastAsia" w:ascii="宋体" w:hAnsi="宋体" w:eastAsia="宋体" w:cs="宋体"/>
                <w:kern w:val="2"/>
                <w:sz w:val="18"/>
                <w:szCs w:val="18"/>
                <w:lang w:val="en-US" w:eastAsia="en-US" w:bidi="ar-SA"/>
              </w:rPr>
            </w:pPr>
            <w:r>
              <w:rPr>
                <w:rFonts w:hint="eastAsia" w:ascii="宋体" w:hAnsi="宋体" w:cs="宋体"/>
                <w:sz w:val="18"/>
                <w:szCs w:val="18"/>
              </w:rPr>
              <w:t>台</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96"/>
              <w:spacing w:before="64" w:line="225" w:lineRule="auto"/>
              <w:ind w:left="122" w:leftChars="0"/>
              <w:jc w:val="left"/>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支持在-40~+85℃  温度、5~98%湿度环 境下正常运行，故  障诊断功能正常</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w:t>
            </w:r>
          </w:p>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监测装置电池</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12.8V、20AH</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 监测装置传感 器</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采样率：≥1M Hz;</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连续记录时长： ≥1000μ s</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 监测装置机箱</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cs="宋体"/>
                <w:sz w:val="18"/>
                <w:szCs w:val="18"/>
              </w:rPr>
              <w:t>面</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整体采用奥氏体不 锈钢，表面喷漆。 220*360*415</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 监测装置通讯 主板</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4G通信；同步方式：BDS</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 监测装置太阳 能电池板</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20W±5%;锂电池容 量：12.8/40AH</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输电线路故障 监测装置整套 附件</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kern w:val="2"/>
                <w:sz w:val="18"/>
                <w:szCs w:val="18"/>
                <w:lang w:val="en-US" w:eastAsia="en-US" w:bidi="ar-SA"/>
              </w:rPr>
            </w:pPr>
            <w:r>
              <w:rPr>
                <w:rFonts w:hint="eastAsia" w:ascii="宋体" w:hAnsi="宋体" w:eastAsia="宋体" w:cs="宋体"/>
                <w:color w:val="000000" w:themeColor="text1"/>
                <w:sz w:val="18"/>
                <w:szCs w:val="18"/>
                <w:highlight w:val="none"/>
                <w:vertAlign w:val="baseline"/>
                <w14:textFill>
                  <w14:solidFill>
                    <w14:schemeClr w14:val="tx1"/>
                  </w14:solidFill>
                </w14:textFill>
              </w:rPr>
              <w:t>抱箍、安装工具等</w:t>
            </w:r>
          </w:p>
        </w:tc>
        <w:tc>
          <w:tcPr>
            <w:tcW w:w="706"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p>
    <w:p>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88" w:name="_Toc23136"/>
      <w:bookmarkStart w:id="89" w:name="_Toc32585"/>
      <w:bookmarkStart w:id="90" w:name="_Toc5369"/>
      <w:bookmarkStart w:id="91" w:name="_Toc17813"/>
      <w:bookmarkStart w:id="92" w:name="_Toc19201"/>
      <w:bookmarkStart w:id="93" w:name="_Toc8608"/>
      <w:bookmarkStart w:id="94" w:name="_Toc15429"/>
      <w:r>
        <w:rPr>
          <w:rFonts w:hint="default" w:ascii="Times New Roman" w:hAnsi="Times New Roman" w:cs="Times New Roman"/>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代加工范围及内容</w:t>
      </w:r>
      <w:bookmarkEnd w:id="88"/>
      <w:bookmarkEnd w:id="89"/>
      <w:bookmarkEnd w:id="90"/>
      <w:bookmarkEnd w:id="91"/>
      <w:bookmarkEnd w:id="92"/>
      <w:bookmarkEnd w:id="93"/>
      <w:bookmarkEnd w:id="94"/>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本次框架采购代加工范围涵盖</w:t>
      </w:r>
      <w:r>
        <w:rPr>
          <w:rFonts w:hint="eastAsia" w:ascii="宋体" w:hAnsi="宋体" w:cs="宋体"/>
          <w:color w:val="000000" w:themeColor="text1"/>
          <w:kern w:val="2"/>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的全部生产加工及相关配套服务，具体内容如下：</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 原材料采购：代加工方负责采购</w:t>
      </w:r>
      <w:r>
        <w:rPr>
          <w:rFonts w:hint="eastAsia" w:ascii="宋体" w:hAnsi="宋体" w:cs="宋体"/>
          <w:color w:val="000000" w:themeColor="text1"/>
          <w:kern w:val="2"/>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生产所需的全部原材料、零部件，包括但不限于：</w:t>
      </w:r>
      <w:r>
        <w:rPr>
          <w:rFonts w:hint="eastAsia" w:ascii="宋体" w:hAnsi="宋体" w:cs="宋体"/>
          <w:color w:val="000000" w:themeColor="text1"/>
          <w:sz w:val="21"/>
          <w:szCs w:val="21"/>
          <w:lang w:val="en-US" w:eastAsia="zh-CN"/>
          <w14:textFill>
            <w14:solidFill>
              <w14:schemeClr w14:val="tx1"/>
            </w14:solidFill>
          </w14:textFill>
        </w:rPr>
        <w:t>机箱</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主机、通讯主板、传感器</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4G天线、BDS天线、电池组、太阳能电池板、防雷器、线束</w:t>
      </w:r>
      <w:r>
        <w:rPr>
          <w:rFonts w:hint="eastAsia" w:ascii="宋体" w:hAnsi="宋体" w:eastAsia="宋体" w:cs="宋体"/>
          <w:color w:val="000000" w:themeColor="text1"/>
          <w:sz w:val="21"/>
          <w:szCs w:val="21"/>
          <w14:textFill>
            <w14:solidFill>
              <w14:schemeClr w14:val="tx1"/>
            </w14:solidFill>
          </w14:textFill>
        </w:rPr>
        <w:t>等，所有原材料须符合本规范及招标人要求。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 生产加工：按照招标人提供的技术图纸、加工工艺要求，完成</w:t>
      </w:r>
      <w:r>
        <w:rPr>
          <w:rFonts w:hint="eastAsia" w:ascii="宋体" w:hAnsi="宋体" w:cs="宋体"/>
          <w:color w:val="000000" w:themeColor="text1"/>
          <w:kern w:val="2"/>
          <w:sz w:val="21"/>
          <w:szCs w:val="21"/>
          <w:lang w:eastAsia="zh-CN"/>
          <w14:textFill>
            <w14:solidFill>
              <w14:schemeClr w14:val="tx1"/>
            </w14:solidFill>
          </w14:textFill>
        </w:rPr>
        <w:t>非接触行波采集的分布式高压直流线路故障测距装置</w:t>
      </w:r>
      <w:r>
        <w:rPr>
          <w:rFonts w:hint="eastAsia" w:ascii="宋体" w:hAnsi="宋体" w:eastAsia="宋体" w:cs="宋体"/>
          <w:color w:val="000000" w:themeColor="text1"/>
          <w:sz w:val="21"/>
          <w:szCs w:val="21"/>
          <w14:textFill>
            <w14:solidFill>
              <w14:schemeClr w14:val="tx1"/>
            </w14:solidFill>
          </w14:textFill>
        </w:rPr>
        <w:t>的</w:t>
      </w:r>
      <w:r>
        <w:rPr>
          <w:rFonts w:hint="eastAsia" w:ascii="宋体" w:hAnsi="宋体" w:cs="宋体"/>
          <w:color w:val="000000" w:themeColor="text1"/>
          <w:sz w:val="21"/>
          <w:szCs w:val="21"/>
          <w:lang w:val="en-US" w:eastAsia="zh-CN"/>
          <w14:textFill>
            <w14:solidFill>
              <w14:schemeClr w14:val="tx1"/>
            </w14:solidFill>
          </w14:textFill>
        </w:rPr>
        <w:t>零部件加工、</w:t>
      </w:r>
      <w:r>
        <w:rPr>
          <w:rFonts w:hint="eastAsia" w:ascii="宋体" w:hAnsi="宋体" w:eastAsia="宋体" w:cs="宋体"/>
          <w:color w:val="000000" w:themeColor="text1"/>
          <w:sz w:val="21"/>
          <w:szCs w:val="21"/>
          <w14:textFill>
            <w14:solidFill>
              <w14:schemeClr w14:val="tx1"/>
            </w14:solidFill>
          </w14:textFill>
        </w:rPr>
        <w:t>组装、</w:t>
      </w:r>
      <w:r>
        <w:rPr>
          <w:rFonts w:hint="eastAsia" w:ascii="宋体" w:hAnsi="宋体" w:cs="宋体"/>
          <w:color w:val="000000" w:themeColor="text1"/>
          <w:sz w:val="21"/>
          <w:szCs w:val="21"/>
          <w:lang w:val="en-US" w:eastAsia="zh-CN"/>
          <w14:textFill>
            <w14:solidFill>
              <w14:schemeClr w14:val="tx1"/>
            </w14:solidFill>
          </w14:textFill>
        </w:rPr>
        <w:t>测试、打包</w:t>
      </w:r>
      <w:r>
        <w:rPr>
          <w:rFonts w:hint="eastAsia" w:ascii="宋体" w:hAnsi="宋体" w:eastAsia="宋体" w:cs="宋体"/>
          <w:color w:val="000000" w:themeColor="text1"/>
          <w:sz w:val="21"/>
          <w:szCs w:val="21"/>
          <w14:textFill>
            <w14:solidFill>
              <w14:schemeClr w14:val="tx1"/>
            </w14:solidFill>
          </w14:textFill>
        </w:rPr>
        <w:t>等全部生产加工工序。</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 质量检验：负责原材料检验、过程检验、出厂检验</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14:textFill>
            <w14:solidFill>
              <w14:schemeClr w14:val="tx1"/>
            </w14:solidFill>
          </w14:textFill>
        </w:rPr>
        <w:t>等全流程检验工作，出具检验报告，确保产品质量符合标准。</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 包装交付：按照本规范要求，完成产品的包装、标识，按订单要求将产品运输至招标人指定地点，承担全部运输、装卸费用及风险。</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 技术资料交付：随货交付产品出厂合格证、检验报告、使用说明书、零部件清单、质保卡等全套技术资料，满足招标人验收及使用需求。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3.6 技术服务及培训：提供现场安装调试指导、操作培训、售后技术支持、故障处理等服务，配合招标人完成产品验收工作。</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3.7 售后保障：按照本规范及框架协议约定，提供产品质保、维修、配件供应等售后保障服务。</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 框架合作配合：配合招标人完成订单下达、质量抽查、产能验证、工艺核查等工作，提供必要的生产记录、检验报告等资料。</w:t>
      </w:r>
    </w:p>
    <w:p>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95" w:name="_Toc6263"/>
      <w:bookmarkStart w:id="96" w:name="_Toc28358"/>
      <w:bookmarkStart w:id="97" w:name="_Toc937"/>
      <w:bookmarkStart w:id="98" w:name="_Toc7820"/>
      <w:bookmarkStart w:id="99" w:name="_Toc27861"/>
      <w:bookmarkStart w:id="100" w:name="_Toc29704"/>
      <w:bookmarkStart w:id="101" w:name="_Toc6499"/>
      <w:r>
        <w:rPr>
          <w:rFonts w:hint="default" w:ascii="Times New Roman" w:hAnsi="Times New Roman" w:cs="Times New Roman"/>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详细技术及代加工要求</w:t>
      </w:r>
      <w:bookmarkEnd w:id="95"/>
      <w:bookmarkEnd w:id="96"/>
      <w:bookmarkEnd w:id="97"/>
      <w:bookmarkEnd w:id="98"/>
      <w:bookmarkEnd w:id="99"/>
      <w:bookmarkEnd w:id="100"/>
      <w:bookmarkEnd w:id="101"/>
    </w:p>
    <w:p>
      <w:pPr>
        <w:pStyle w:val="3"/>
        <w:numPr>
          <w:ilvl w:val="1"/>
          <w:numId w:val="0"/>
        </w:numPr>
        <w:bidi w:val="0"/>
        <w:ind w:leftChars="0"/>
        <w:rPr>
          <w:rFonts w:hint="eastAsia" w:ascii="黑体" w:hAnsi="黑体" w:eastAsia="黑体" w:cs="黑体"/>
          <w:color w:val="000000" w:themeColor="text1"/>
          <w:sz w:val="24"/>
          <w:szCs w:val="24"/>
          <w14:textFill>
            <w14:solidFill>
              <w14:schemeClr w14:val="tx1"/>
            </w14:solidFill>
          </w14:textFill>
        </w:rPr>
      </w:pPr>
      <w:bookmarkStart w:id="102" w:name="_Toc19074"/>
      <w:bookmarkStart w:id="103" w:name="_Toc23125"/>
      <w:bookmarkStart w:id="104" w:name="_Toc25160"/>
      <w:bookmarkStart w:id="105" w:name="_Toc9578"/>
      <w:bookmarkStart w:id="106" w:name="_Toc14506"/>
      <w:bookmarkStart w:id="107" w:name="_Toc15769"/>
      <w:bookmarkStart w:id="108" w:name="_Toc10232"/>
      <w:r>
        <w:rPr>
          <w:rFonts w:hint="default" w:ascii="Times New Roman" w:hAnsi="Times New Roman" w:eastAsia="黑体" w:cs="Times New Roman"/>
          <w:color w:val="000000" w:themeColor="text1"/>
          <w:sz w:val="24"/>
          <w:szCs w:val="24"/>
          <w14:textFill>
            <w14:solidFill>
              <w14:schemeClr w14:val="tx1"/>
            </w14:solidFill>
          </w14:textFill>
        </w:rPr>
        <w:t xml:space="preserve">4.1 </w:t>
      </w:r>
      <w:r>
        <w:rPr>
          <w:rFonts w:hint="eastAsia" w:ascii="黑体" w:hAnsi="黑体" w:eastAsia="黑体" w:cs="黑体"/>
          <w:color w:val="000000" w:themeColor="text1"/>
          <w:sz w:val="24"/>
          <w:szCs w:val="24"/>
          <w14:textFill>
            <w14:solidFill>
              <w14:schemeClr w14:val="tx1"/>
            </w14:solidFill>
          </w14:textFill>
        </w:rPr>
        <w:t>代加工及生产能力要求</w:t>
      </w:r>
      <w:bookmarkEnd w:id="102"/>
      <w:bookmarkEnd w:id="103"/>
      <w:bookmarkEnd w:id="104"/>
      <w:bookmarkEnd w:id="105"/>
      <w:bookmarkEnd w:id="106"/>
      <w:bookmarkEnd w:id="107"/>
      <w:bookmarkEnd w:id="108"/>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4.1.1 代加工方须具备</w:t>
      </w:r>
      <w:r>
        <w:rPr>
          <w:rFonts w:hint="eastAsia" w:ascii="宋体" w:hAnsi="宋体" w:cs="宋体"/>
          <w:color w:val="000000" w:themeColor="text1"/>
          <w:sz w:val="21"/>
          <w:szCs w:val="21"/>
          <w:lang w:val="en-US" w:eastAsia="zh-CN"/>
          <w14:textFill>
            <w14:solidFill>
              <w14:schemeClr w14:val="tx1"/>
            </w14:solidFill>
          </w14:textFill>
        </w:rPr>
        <w:t>以下设备：</w:t>
      </w:r>
      <w:r>
        <w:rPr>
          <w:rFonts w:hint="eastAsia" w:ascii="宋体" w:hAnsi="宋体" w:eastAsia="宋体" w:cs="宋体"/>
          <w:color w:val="000000" w:themeColor="text1"/>
          <w:sz w:val="21"/>
          <w:szCs w:val="21"/>
          <w14:textFill>
            <w14:solidFill>
              <w14:schemeClr w14:val="tx1"/>
            </w14:solidFill>
          </w14:textFill>
        </w:rPr>
        <w:t>太阳能电池板测试仪≥1台、老化试验设备≥1台、信号发生器≥1台、可编程电源≥1台、模拟故障测试平台≥1套。</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代加工方须</w:t>
      </w:r>
      <w:r>
        <w:rPr>
          <w:rFonts w:hint="eastAsia" w:ascii="宋体" w:hAnsi="宋体" w:cs="宋体"/>
          <w:color w:val="000000" w:themeColor="text1"/>
          <w:sz w:val="21"/>
          <w:szCs w:val="21"/>
          <w:highlight w:val="none"/>
          <w:lang w:val="en-US" w:eastAsia="zh-CN"/>
          <w14:textFill>
            <w14:solidFill>
              <w14:schemeClr w14:val="tx1"/>
            </w14:solidFill>
          </w14:textFill>
        </w:rPr>
        <w:t>为本项目</w:t>
      </w:r>
      <w:r>
        <w:rPr>
          <w:rFonts w:hint="eastAsia" w:ascii="宋体" w:hAnsi="宋体" w:eastAsia="宋体" w:cs="宋体"/>
          <w:color w:val="000000" w:themeColor="text1"/>
          <w:sz w:val="21"/>
          <w:szCs w:val="21"/>
          <w:highlight w:val="none"/>
          <w14:textFill>
            <w14:solidFill>
              <w14:schemeClr w14:val="tx1"/>
            </w14:solidFill>
          </w14:textFill>
        </w:rPr>
        <w:t>配备</w:t>
      </w:r>
      <w:r>
        <w:rPr>
          <w:rFonts w:hint="eastAsia" w:ascii="宋体" w:hAnsi="宋体" w:cs="宋体"/>
          <w:color w:val="000000" w:themeColor="text1"/>
          <w:sz w:val="21"/>
          <w:szCs w:val="21"/>
          <w:highlight w:val="none"/>
          <w:lang w:val="en-US" w:eastAsia="zh-CN"/>
          <w14:textFill>
            <w14:solidFill>
              <w14:schemeClr w14:val="tx1"/>
            </w14:solidFill>
          </w14:textFill>
        </w:rPr>
        <w:t>不少于12人的生产</w:t>
      </w:r>
      <w:r>
        <w:rPr>
          <w:rFonts w:hint="eastAsia" w:ascii="宋体" w:hAnsi="宋体" w:eastAsia="宋体" w:cs="宋体"/>
          <w:color w:val="000000" w:themeColor="text1"/>
          <w:sz w:val="21"/>
          <w:szCs w:val="21"/>
          <w:highlight w:val="none"/>
          <w14:textFill>
            <w14:solidFill>
              <w14:schemeClr w14:val="tx1"/>
            </w14:solidFill>
          </w14:textFill>
        </w:rPr>
        <w:t>团队，</w:t>
      </w:r>
      <w:r>
        <w:rPr>
          <w:rFonts w:hint="eastAsia" w:ascii="宋体" w:hAnsi="宋体" w:cs="宋体"/>
          <w:color w:val="000000" w:themeColor="text1"/>
          <w:sz w:val="21"/>
          <w:szCs w:val="21"/>
          <w:highlight w:val="none"/>
          <w:lang w:val="en-US" w:eastAsia="zh-CN"/>
          <w14:textFill>
            <w14:solidFill>
              <w14:schemeClr w14:val="tx1"/>
            </w14:solidFill>
          </w14:textFill>
        </w:rPr>
        <w:t>并</w:t>
      </w:r>
      <w:r>
        <w:rPr>
          <w:rFonts w:hint="eastAsia" w:ascii="宋体" w:hAnsi="宋体" w:eastAsia="宋体" w:cs="宋体"/>
          <w:color w:val="000000" w:themeColor="text1"/>
          <w:sz w:val="21"/>
          <w:szCs w:val="21"/>
          <w:highlight w:val="none"/>
          <w14:textFill>
            <w14:solidFill>
              <w14:schemeClr w14:val="tx1"/>
            </w14:solidFill>
          </w14:textFill>
        </w:rPr>
        <w:t>熟练掌握生产加工工艺。</w:t>
      </w:r>
    </w:p>
    <w:p>
      <w:pPr>
        <w:pStyle w:val="3"/>
        <w:numPr>
          <w:ilvl w:val="1"/>
          <w:numId w:val="0"/>
        </w:numPr>
        <w:bidi w:val="0"/>
        <w:ind w:leftChars="0"/>
        <w:rPr>
          <w:rFonts w:hint="eastAsia" w:ascii="黑体" w:hAnsi="黑体" w:eastAsia="黑体" w:cs="黑体"/>
          <w:color w:val="000000" w:themeColor="text1"/>
          <w:sz w:val="24"/>
          <w:szCs w:val="24"/>
          <w14:textFill>
            <w14:solidFill>
              <w14:schemeClr w14:val="tx1"/>
            </w14:solidFill>
          </w14:textFill>
        </w:rPr>
      </w:pPr>
      <w:bookmarkStart w:id="109" w:name="_Toc3296"/>
      <w:bookmarkStart w:id="110" w:name="_Toc28869"/>
      <w:bookmarkStart w:id="111" w:name="_Toc17972"/>
      <w:bookmarkStart w:id="112" w:name="_Toc29354"/>
      <w:bookmarkStart w:id="113" w:name="_Toc1677"/>
      <w:bookmarkStart w:id="114" w:name="_Toc30104"/>
      <w:bookmarkStart w:id="115" w:name="_Toc25286"/>
      <w:r>
        <w:rPr>
          <w:rFonts w:hint="default" w:ascii="Times New Roman" w:hAnsi="Times New Roman" w:eastAsia="黑体" w:cs="Times New Roman"/>
          <w:color w:val="000000" w:themeColor="text1"/>
          <w:sz w:val="24"/>
          <w:szCs w:val="24"/>
          <w:lang w:val="en-US" w:eastAsia="zh-CN"/>
          <w14:textFill>
            <w14:solidFill>
              <w14:schemeClr w14:val="tx1"/>
            </w14:solidFill>
          </w14:textFill>
        </w:rPr>
        <w:t>4.2</w:t>
      </w:r>
      <w:r>
        <w:rPr>
          <w:rFonts w:hint="eastAsia" w:ascii="黑体" w:hAnsi="黑体" w:eastAsia="黑体" w:cs="黑体"/>
          <w:color w:val="000000" w:themeColor="text1"/>
          <w:sz w:val="24"/>
          <w:szCs w:val="24"/>
          <w14:textFill>
            <w14:solidFill>
              <w14:schemeClr w14:val="tx1"/>
            </w14:solidFill>
          </w14:textFill>
        </w:rPr>
        <w:t>原材料采购及管控要求</w:t>
      </w:r>
      <w:bookmarkEnd w:id="109"/>
      <w:bookmarkEnd w:id="110"/>
      <w:bookmarkEnd w:id="111"/>
      <w:bookmarkEnd w:id="112"/>
      <w:bookmarkEnd w:id="113"/>
      <w:bookmarkEnd w:id="114"/>
      <w:bookmarkEnd w:id="115"/>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4.2.1 代加工方采购的所有原材料须符合国家相关标准及本规范要求，优先选用行业知名品牌原材料，</w:t>
      </w:r>
      <w:r>
        <w:rPr>
          <w:rFonts w:hint="eastAsia" w:ascii="宋体" w:hAnsi="宋体" w:cs="宋体"/>
          <w:color w:val="000000" w:themeColor="text1"/>
          <w:sz w:val="21"/>
          <w:szCs w:val="21"/>
          <w:lang w:val="en-US" w:eastAsia="zh-CN"/>
          <w14:textFill>
            <w14:solidFill>
              <w14:schemeClr w14:val="tx1"/>
            </w14:solidFill>
          </w14:textFill>
        </w:rPr>
        <w:t>招标方不定期抽查原材料是否满足要求</w:t>
      </w:r>
      <w:r>
        <w:rPr>
          <w:rFonts w:hint="eastAsia" w:ascii="宋体" w:hAnsi="宋体" w:eastAsia="宋体" w:cs="宋体"/>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4.2.2 </w:t>
      </w:r>
      <w:r>
        <w:rPr>
          <w:rFonts w:hint="eastAsia" w:ascii="宋体" w:hAnsi="宋体" w:cs="宋体"/>
          <w:color w:val="000000" w:themeColor="text1"/>
          <w:sz w:val="21"/>
          <w:szCs w:val="21"/>
          <w:lang w:val="en-US" w:eastAsia="zh-CN"/>
          <w14:textFill>
            <w14:solidFill>
              <w14:schemeClr w14:val="tx1"/>
            </w14:solidFill>
          </w14:textFill>
        </w:rPr>
        <w:t>不锈钢外壳</w:t>
      </w:r>
      <w:r>
        <w:rPr>
          <w:rFonts w:hint="eastAsia" w:ascii="宋体" w:hAnsi="宋体" w:eastAsia="宋体" w:cs="宋体"/>
          <w:color w:val="000000" w:themeColor="text1"/>
          <w:sz w:val="21"/>
          <w:szCs w:val="21"/>
          <w:lang w:val="en-US" w:eastAsia="zh-CN"/>
          <w14:textFill>
            <w14:solidFill>
              <w14:schemeClr w14:val="tx1"/>
            </w14:solidFill>
          </w14:textFill>
        </w:rPr>
        <w:t>：检验材质、尺寸公差等，符合</w:t>
      </w:r>
      <w:r>
        <w:rPr>
          <w:rFonts w:hint="eastAsia" w:ascii="宋体" w:hAnsi="宋体" w:eastAsia="宋体" w:cs="宋体"/>
          <w:color w:val="000000" w:themeColor="text1"/>
          <w:sz w:val="21"/>
          <w:szCs w:val="21"/>
          <w14:textFill>
            <w14:solidFill>
              <w14:schemeClr w14:val="tx1"/>
            </w14:solidFill>
          </w14:textFill>
        </w:rPr>
        <w:t>GB/T 20878</w:t>
      </w:r>
      <w:r>
        <w:rPr>
          <w:rFonts w:hint="eastAsia" w:ascii="宋体" w:hAnsi="宋体" w:eastAsia="宋体" w:cs="宋体"/>
          <w:color w:val="000000" w:themeColor="text1"/>
          <w:sz w:val="21"/>
          <w:szCs w:val="21"/>
          <w:lang w:val="en-US" w:eastAsia="zh-CN"/>
          <w14:textFill>
            <w14:solidFill>
              <w14:schemeClr w14:val="tx1"/>
            </w14:solidFill>
          </w14:textFill>
        </w:rPr>
        <w:t>标准及本规范要求。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4.2.3 不锈钢紧固件：检验材质、尺寸、强度、防腐蚀性能等，符合GB/T 1231标准及本规范要求。</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4.2.4 </w:t>
      </w:r>
      <w:r>
        <w:rPr>
          <w:rFonts w:hint="eastAsia" w:ascii="宋体" w:hAnsi="宋体" w:cs="宋体"/>
          <w:color w:val="000000" w:themeColor="text1"/>
          <w:sz w:val="21"/>
          <w:szCs w:val="21"/>
          <w:lang w:val="en-US" w:eastAsia="zh-CN"/>
          <w14:textFill>
            <w14:solidFill>
              <w14:schemeClr w14:val="tx1"/>
            </w14:solidFill>
          </w14:textFill>
        </w:rPr>
        <w:t>主机：支持在-40~+85℃温度、5~98%湿度环境下正常运行，故障诊断功能正常。</w:t>
      </w:r>
    </w:p>
    <w:p>
      <w:pPr>
        <w:keepNext w:val="0"/>
        <w:keepLines w:val="0"/>
        <w:widowControl w:val="0"/>
        <w:suppressLineNumbers w:val="0"/>
        <w:spacing w:before="120" w:after="120" w:line="288" w:lineRule="auto"/>
        <w:ind w:left="0"/>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4.2.5 通讯主板：支持插卡上送主机数据正常，插拔接口正常平顺。</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4.2.6 传感器：满足行波电流、工频电流传感器技术参数要求，满足行波电压、工频电压传感器技术参数要求；</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4.2.7 4G通信天线：支持多频段信号，天线外皮无破损，接头完好。</w:t>
      </w:r>
    </w:p>
    <w:p>
      <w:pPr>
        <w:keepNext w:val="0"/>
        <w:keepLines w:val="0"/>
        <w:widowControl w:val="0"/>
        <w:suppressLineNumbers w:val="0"/>
        <w:spacing w:before="120" w:after="120" w:line="288" w:lineRule="auto"/>
        <w:ind w:left="0"/>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4.2.8 BDS天线：高增益BDS天线，卫星跟踪快，定位准确，时间误差小</w:t>
      </w:r>
      <w:r>
        <w:rPr>
          <w:rFonts w:hint="eastAsia" w:ascii="宋体" w:hAnsi="宋体" w:eastAsia="宋体" w:cs="宋体"/>
          <w:color w:val="000000" w:themeColor="text1"/>
          <w:kern w:val="2"/>
          <w:sz w:val="21"/>
          <w:szCs w:val="21"/>
          <w14:textFill>
            <w14:solidFill>
              <w14:schemeClr w14:val="tx1"/>
            </w14:solidFill>
          </w14:textFill>
        </w:rPr>
        <w:t>。</w:t>
      </w:r>
    </w:p>
    <w:p>
      <w:pPr>
        <w:keepNext w:val="0"/>
        <w:keepLines w:val="0"/>
        <w:widowControl w:val="0"/>
        <w:suppressLineNumbers w:val="0"/>
        <w:spacing w:before="120" w:after="120" w:line="288" w:lineRule="auto"/>
        <w:ind w:lef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4.2.9 电池组：采用26700电池组合12.8V、20Ah,支持在高低温环境下充放电，过冲、过放无异常</w:t>
      </w:r>
      <w:r>
        <w:rPr>
          <w:rFonts w:hint="eastAsia" w:ascii="宋体" w:hAnsi="宋体" w:eastAsia="宋体" w:cs="宋体"/>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4.2.10 太阳能电池板：多晶硅材质，弱光环境下性能更优，耐高温且寿命衰减慢，搭配阻燃-耐热型橡胶软电缆、铸铝IP68航空插头，可适应复杂的外部环境；</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4.2.11 防雷器：用于设备现场防雷，提高设备运行稳定性</w:t>
      </w:r>
      <w:r>
        <w:rPr>
          <w:rFonts w:hint="eastAsia" w:ascii="宋体" w:hAnsi="宋体" w:eastAsia="宋体" w:cs="宋体"/>
          <w:color w:val="000000" w:themeColor="text1"/>
          <w:kern w:val="2"/>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r>
        <w:rPr>
          <w:rFonts w:hint="eastAsia" w:ascii="宋体" w:hAnsi="宋体" w:cs="宋体"/>
          <w:color w:val="000000" w:themeColor="text1"/>
          <w:sz w:val="21"/>
          <w:szCs w:val="21"/>
          <w:lang w:val="en-US" w:eastAsia="zh-CN"/>
          <w14:textFill>
            <w14:solidFill>
              <w14:schemeClr w14:val="tx1"/>
            </w14:solidFill>
          </w14:textFill>
        </w:rPr>
        <w:t>12</w:t>
      </w:r>
      <w:r>
        <w:rPr>
          <w:rFonts w:hint="eastAsia" w:ascii="宋体" w:hAnsi="宋体" w:eastAsia="宋体" w:cs="宋体"/>
          <w:color w:val="000000" w:themeColor="text1"/>
          <w:sz w:val="21"/>
          <w:szCs w:val="21"/>
          <w14:textFill>
            <w14:solidFill>
              <w14:schemeClr w14:val="tx1"/>
            </w14:solidFill>
          </w14:textFill>
        </w:rPr>
        <w:t xml:space="preserve"> 代加工方须建立原材料采购台账和检验台账，对每一批次原材料进行检验，检验合格后方可投入生产，检验记录须完整、可追溯，接受招标人抽查。</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r>
        <w:rPr>
          <w:rFonts w:hint="eastAsia" w:ascii="宋体" w:hAnsi="宋体" w:cs="宋体"/>
          <w:color w:val="000000" w:themeColor="text1"/>
          <w:sz w:val="21"/>
          <w:szCs w:val="21"/>
          <w:lang w:val="en-US" w:eastAsia="zh-CN"/>
          <w14:textFill>
            <w14:solidFill>
              <w14:schemeClr w14:val="tx1"/>
            </w14:solidFill>
          </w14:textFill>
        </w:rPr>
        <w:t>13</w:t>
      </w:r>
      <w:r>
        <w:rPr>
          <w:rFonts w:hint="eastAsia" w:ascii="宋体" w:hAnsi="宋体" w:eastAsia="宋体" w:cs="宋体"/>
          <w:color w:val="000000" w:themeColor="text1"/>
          <w:sz w:val="21"/>
          <w:szCs w:val="21"/>
          <w14:textFill>
            <w14:solidFill>
              <w14:schemeClr w14:val="tx1"/>
            </w14:solidFill>
          </w14:textFill>
        </w:rPr>
        <w:t xml:space="preserve"> 原材料储存须分类存放，做好标识，采取防潮、防腐蚀、防损坏措施，确保原材料质量不受影响。</w:t>
      </w:r>
    </w:p>
    <w:p>
      <w:pPr>
        <w:pStyle w:val="3"/>
        <w:numPr>
          <w:ilvl w:val="1"/>
          <w:numId w:val="0"/>
        </w:numPr>
        <w:bidi w:val="0"/>
        <w:ind w:leftChars="0"/>
        <w:rPr>
          <w:rFonts w:hint="eastAsia" w:ascii="Times New Roman" w:hAnsi="Times New Roman" w:eastAsia="黑体" w:cs="Times New Roman"/>
          <w:color w:val="000000" w:themeColor="text1"/>
          <w:sz w:val="24"/>
          <w:szCs w:val="24"/>
          <w:lang w:val="en-US" w:eastAsia="zh-CN"/>
          <w14:textFill>
            <w14:solidFill>
              <w14:schemeClr w14:val="tx1"/>
            </w14:solidFill>
          </w14:textFill>
        </w:rPr>
      </w:pPr>
      <w:bookmarkStart w:id="116" w:name="_Toc22766"/>
      <w:bookmarkStart w:id="117" w:name="_Toc17511"/>
      <w:bookmarkStart w:id="118" w:name="_Toc1164"/>
      <w:bookmarkStart w:id="119" w:name="_Toc15123"/>
      <w:bookmarkStart w:id="120" w:name="_Toc27314"/>
      <w:bookmarkStart w:id="121" w:name="_Toc19048"/>
      <w:bookmarkStart w:id="122" w:name="_Toc4813"/>
      <w:r>
        <w:rPr>
          <w:rFonts w:hint="eastAsia" w:ascii="Times New Roman" w:eastAsia="黑体" w:cs="Times New Roman"/>
          <w:color w:val="000000" w:themeColor="text1"/>
          <w:sz w:val="24"/>
          <w:szCs w:val="24"/>
          <w:lang w:val="en-US" w:eastAsia="zh-CN"/>
          <w14:textFill>
            <w14:solidFill>
              <w14:schemeClr w14:val="tx1"/>
            </w14:solidFill>
          </w14:textFill>
        </w:rPr>
        <w:t>4.3</w:t>
      </w:r>
      <w:r>
        <w:rPr>
          <w:rFonts w:hint="eastAsia" w:ascii="Times New Roman" w:hAnsi="Times New Roman" w:eastAsia="黑体" w:cs="Times New Roman"/>
          <w:color w:val="000000" w:themeColor="text1"/>
          <w:sz w:val="24"/>
          <w:szCs w:val="24"/>
          <w:lang w:val="en-US" w:eastAsia="zh-CN"/>
          <w14:textFill>
            <w14:solidFill>
              <w14:schemeClr w14:val="tx1"/>
            </w14:solidFill>
          </w14:textFill>
        </w:rPr>
        <w:t>生产工艺及加工要求</w:t>
      </w:r>
      <w:bookmarkEnd w:id="116"/>
      <w:bookmarkEnd w:id="117"/>
      <w:bookmarkEnd w:id="118"/>
      <w:bookmarkEnd w:id="119"/>
      <w:bookmarkEnd w:id="120"/>
      <w:bookmarkEnd w:id="121"/>
      <w:bookmarkEnd w:id="122"/>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4.3.1 代加工方须严格按照招标人提供的技术图纸、加工工艺文件进行生产加工，加工精度须符合图纸要求，尺寸公差≤±0.5mm，不得擅自修改工艺参数。</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4.3.2 质检工艺：对采购的原材料根据质检标准文档进行检查，确认是否满足标准。</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 xml:space="preserve"> 组装工艺：组装过程规范，零部件安装牢固，无松动、无卡滞，</w:t>
      </w:r>
      <w:r>
        <w:rPr>
          <w:rFonts w:hint="eastAsia" w:ascii="宋体" w:hAnsi="宋体" w:cs="宋体"/>
          <w:color w:val="000000" w:themeColor="text1"/>
          <w:sz w:val="21"/>
          <w:szCs w:val="21"/>
          <w:lang w:val="en-US" w:eastAsia="zh-CN"/>
          <w14:textFill>
            <w14:solidFill>
              <w14:schemeClr w14:val="tx1"/>
            </w14:solidFill>
          </w14:textFill>
        </w:rPr>
        <w:t>线束无破皮且无明显拉力</w:t>
      </w:r>
      <w:r>
        <w:rPr>
          <w:rFonts w:hint="eastAsia" w:ascii="宋体" w:hAnsi="宋体" w:eastAsia="宋体" w:cs="宋体"/>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4.3.4 测试工艺：将完成组装的整机放置于故障模拟发生平台测试，并进行长期运行测试。</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 xml:space="preserve"> 代加工方须建立生产过程管控台账，对每一道工序进行记录，包括加工人员、加工时间、工艺参数、检验结果等，确保生产过程可追溯。</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 xml:space="preserve"> 生产过程中发现不合格品，须立即隔离、标识，严禁流入下一道工序，不合格品处理记录须完整，接受招标人核查。</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23" w:name="_Toc28488"/>
      <w:bookmarkStart w:id="124" w:name="_Toc28578"/>
      <w:bookmarkStart w:id="125" w:name="_Toc22681"/>
      <w:bookmarkStart w:id="126" w:name="_Toc14226"/>
      <w:bookmarkStart w:id="127" w:name="_Toc17286"/>
      <w:bookmarkStart w:id="128" w:name="_Toc8829"/>
      <w:bookmarkStart w:id="129" w:name="_Toc1537"/>
      <w:r>
        <w:rPr>
          <w:rFonts w:hint="eastAsia" w:ascii="Times New Roman" w:eastAsia="黑体" w:cs="Times New Roman"/>
          <w:color w:val="000000" w:themeColor="text1"/>
          <w:sz w:val="24"/>
          <w:szCs w:val="24"/>
          <w:lang w:val="en-US" w:eastAsia="zh-CN"/>
          <w14:textFill>
            <w14:solidFill>
              <w14:schemeClr w14:val="tx1"/>
            </w14:solidFill>
          </w14:textFill>
        </w:rPr>
        <w:t>4.4 产品技术参数要求</w:t>
      </w:r>
      <w:bookmarkEnd w:id="123"/>
      <w:bookmarkEnd w:id="124"/>
      <w:bookmarkEnd w:id="125"/>
      <w:bookmarkEnd w:id="126"/>
      <w:bookmarkEnd w:id="127"/>
      <w:bookmarkEnd w:id="128"/>
      <w:bookmarkEnd w:id="129"/>
    </w:p>
    <w:p>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 整体结构：</w:t>
      </w:r>
      <w:r>
        <w:rPr>
          <w:rFonts w:hint="eastAsia" w:ascii="宋体" w:hAnsi="宋体" w:cs="宋体"/>
          <w:color w:val="000000" w:themeColor="text1"/>
          <w:sz w:val="21"/>
          <w:szCs w:val="21"/>
          <w:lang w:val="en-US" w:eastAsia="zh-CN"/>
          <w14:textFill>
            <w14:solidFill>
              <w14:schemeClr w14:val="tx1"/>
            </w14:solidFill>
          </w14:textFill>
        </w:rPr>
        <w:t>整体采用奥氏体不锈钢，表面喷漆</w:t>
      </w:r>
      <w:r>
        <w:rPr>
          <w:rFonts w:hint="eastAsia" w:ascii="宋体" w:hAnsi="宋体" w:eastAsia="宋体" w:cs="宋体"/>
          <w:color w:val="000000" w:themeColor="text1"/>
          <w:sz w:val="21"/>
          <w:szCs w:val="21"/>
          <w:lang w:val="en-US" w:eastAsia="zh-CN"/>
          <w14:textFill>
            <w14:solidFill>
              <w14:schemeClr w14:val="tx1"/>
            </w14:solidFill>
          </w14:textFill>
        </w:rPr>
        <w:t>，包含</w:t>
      </w:r>
      <w:r>
        <w:rPr>
          <w:rFonts w:hint="eastAsia" w:ascii="宋体" w:hAnsi="宋体" w:cs="宋体"/>
          <w:color w:val="000000" w:themeColor="text1"/>
          <w:sz w:val="21"/>
          <w:szCs w:val="21"/>
          <w:lang w:val="en-US" w:eastAsia="zh-CN"/>
          <w14:textFill>
            <w14:solidFill>
              <w14:schemeClr w14:val="tx1"/>
            </w14:solidFill>
          </w14:textFill>
        </w:rPr>
        <w:t>主机、通信主板、传感器、天线、电池组、太阳能电池板、防雷器等</w:t>
      </w:r>
      <w:r>
        <w:rPr>
          <w:rFonts w:hint="eastAsia" w:ascii="宋体" w:hAnsi="宋体" w:eastAsia="宋体" w:cs="宋体"/>
          <w:color w:val="000000" w:themeColor="text1"/>
          <w:sz w:val="21"/>
          <w:szCs w:val="21"/>
          <w:lang w:val="en-US" w:eastAsia="zh-CN"/>
          <w14:textFill>
            <w14:solidFill>
              <w14:schemeClr w14:val="tx1"/>
            </w14:solidFill>
          </w14:textFill>
        </w:rPr>
        <w:t>，结构完整、无缺项。</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 xml:space="preserve">4.4.2 </w:t>
      </w:r>
      <w:r>
        <w:rPr>
          <w:rFonts w:hint="eastAsia"/>
          <w:color w:val="000000" w:themeColor="text1"/>
          <w14:textFill>
            <w14:solidFill>
              <w14:schemeClr w14:val="tx1"/>
            </w14:solidFill>
          </w14:textFill>
        </w:rPr>
        <w:t>环境</w:t>
      </w:r>
      <w:r>
        <w:rPr>
          <w:rFonts w:hint="eastAsia"/>
          <w:color w:val="000000" w:themeColor="text1"/>
          <w:lang w:val="en-US" w:eastAsia="zh-CN"/>
          <w14:textFill>
            <w14:solidFill>
              <w14:schemeClr w14:val="tx1"/>
            </w14:solidFill>
          </w14:textFill>
        </w:rPr>
        <w:t>适应性：工作温度：-40℃~70℃；</w:t>
      </w:r>
      <w:r>
        <w:rPr>
          <w:rFonts w:hint="eastAsia" w:ascii="Times New Roman" w:hAnsi="Times New Roman" w:eastAsia="宋体" w:cs="Times New Roman"/>
          <w:color w:val="000000" w:themeColor="text1"/>
          <w:lang w:val="en-US" w:eastAsia="zh-CN"/>
          <w14:textFill>
            <w14:solidFill>
              <w14:schemeClr w14:val="tx1"/>
            </w14:solidFill>
          </w14:textFill>
        </w:rPr>
        <w:t>储存温度：-</w:t>
      </w:r>
      <w:r>
        <w:rPr>
          <w:rFonts w:hint="eastAsia" w:cs="Times New Roman"/>
          <w:color w:val="000000" w:themeColor="text1"/>
          <w:lang w:val="en-US" w:eastAsia="zh-CN"/>
          <w14:textFill>
            <w14:solidFill>
              <w14:schemeClr w14:val="tx1"/>
            </w14:solidFill>
          </w14:textFill>
        </w:rPr>
        <w:t>4</w:t>
      </w:r>
      <w:r>
        <w:rPr>
          <w:rFonts w:hint="eastAsia" w:ascii="Times New Roman" w:hAnsi="Times New Roman" w:eastAsia="宋体" w:cs="Times New Roman"/>
          <w:color w:val="000000" w:themeColor="text1"/>
          <w:lang w:val="en-US" w:eastAsia="zh-CN"/>
          <w14:textFill>
            <w14:solidFill>
              <w14:schemeClr w14:val="tx1"/>
            </w14:solidFill>
          </w14:textFill>
        </w:rPr>
        <w:t>0℃~</w:t>
      </w:r>
      <w:r>
        <w:rPr>
          <w:rFonts w:hint="eastAsia" w:cs="Times New Roman"/>
          <w:color w:val="000000" w:themeColor="text1"/>
          <w:lang w:val="en-US" w:eastAsia="zh-CN"/>
          <w14:textFill>
            <w14:solidFill>
              <w14:schemeClr w14:val="tx1"/>
            </w14:solidFill>
          </w14:textFill>
        </w:rPr>
        <w:t>7</w:t>
      </w:r>
      <w:r>
        <w:rPr>
          <w:rFonts w:hint="eastAsia" w:ascii="Times New Roman" w:hAnsi="Times New Roman" w:eastAsia="宋体" w:cs="Times New Roman"/>
          <w:color w:val="000000" w:themeColor="text1"/>
          <w:lang w:val="en-US" w:eastAsia="zh-CN"/>
          <w14:textFill>
            <w14:solidFill>
              <w14:schemeClr w14:val="tx1"/>
            </w14:solidFill>
          </w14:textFill>
        </w:rPr>
        <w:t>0℃</w:t>
      </w:r>
      <w:r>
        <w:rPr>
          <w:rFonts w:hint="eastAsia" w:ascii="Times New Roman" w:hAnsi="Times New Roman" w:cs="Times New Roman"/>
          <w:color w:val="000000" w:themeColor="text1"/>
          <w:lang w:val="en-US"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防护等级：IP</w:t>
      </w:r>
      <w:r>
        <w:rPr>
          <w:rFonts w:hint="eastAsia" w:ascii="宋体" w:hAnsi="宋体" w:cs="宋体"/>
          <w:color w:val="000000" w:themeColor="text1"/>
          <w:sz w:val="21"/>
          <w:szCs w:val="21"/>
          <w:lang w:val="en-US" w:eastAsia="zh-CN"/>
          <w14:textFill>
            <w14:solidFill>
              <w14:schemeClr w14:val="tx1"/>
            </w14:solidFill>
          </w14:textFill>
        </w:rPr>
        <w:t>6</w:t>
      </w:r>
      <w:r>
        <w:rPr>
          <w:rFonts w:hint="eastAsia" w:hAnsi="宋体" w:cs="宋体"/>
          <w:color w:val="000000" w:themeColor="text1"/>
          <w:sz w:val="21"/>
          <w:szCs w:val="21"/>
          <w:lang w:val="en-US" w:eastAsia="zh-CN"/>
          <w14:textFill>
            <w14:solidFill>
              <w14:schemeClr w14:val="tx1"/>
            </w14:solidFill>
          </w14:textFill>
        </w:rPr>
        <w:t>6</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4.4.3 整机自重：≤</w:t>
      </w:r>
      <w:r>
        <w:rPr>
          <w:rFonts w:hint="eastAsia" w:hAnsi="宋体" w:cs="宋体"/>
          <w:color w:val="000000" w:themeColor="text1"/>
          <w:sz w:val="21"/>
          <w:szCs w:val="21"/>
          <w:lang w:val="en-US" w:eastAsia="zh-CN"/>
          <w14:textFill>
            <w14:solidFill>
              <w14:schemeClr w14:val="tx1"/>
            </w14:solidFill>
          </w14:textFill>
        </w:rPr>
        <w:t>25</w:t>
      </w:r>
      <w:r>
        <w:rPr>
          <w:rFonts w:hint="eastAsia" w:ascii="宋体" w:hAnsi="宋体" w:eastAsia="宋体" w:cs="宋体"/>
          <w:color w:val="000000" w:themeColor="text1"/>
          <w:sz w:val="21"/>
          <w:szCs w:val="21"/>
          <w:lang w:val="en-US" w:eastAsia="zh-CN"/>
          <w14:textFill>
            <w14:solidFill>
              <w14:schemeClr w14:val="tx1"/>
            </w14:solidFill>
          </w14:textFill>
        </w:rPr>
        <w:t>kg，</w:t>
      </w:r>
      <w:r>
        <w:rPr>
          <w:rFonts w:hint="eastAsia" w:hAnsi="宋体" w:cs="宋体"/>
          <w:color w:val="000000" w:themeColor="text1"/>
          <w:sz w:val="21"/>
          <w:szCs w:val="21"/>
          <w:lang w:val="en-US" w:eastAsia="zh-CN"/>
          <w14:textFill>
            <w14:solidFill>
              <w14:schemeClr w14:val="tx1"/>
            </w14:solidFill>
          </w14:textFill>
        </w:rPr>
        <w:t>使用金具安装在铁塔横担上</w:t>
      </w:r>
      <w:r>
        <w:rPr>
          <w:rFonts w:hint="eastAsia" w:ascii="宋体" w:hAnsi="宋体" w:eastAsia="宋体" w:cs="宋体"/>
          <w:color w:val="000000" w:themeColor="text1"/>
          <w:sz w:val="21"/>
          <w:szCs w:val="21"/>
          <w:lang w:val="en-US" w:eastAsia="zh-CN"/>
          <w14:textFill>
            <w14:solidFill>
              <w14:schemeClr w14:val="tx1"/>
            </w14:solidFill>
          </w14:textFill>
        </w:rPr>
        <w:t>。</w:t>
      </w:r>
    </w:p>
    <w:p>
      <w:pPr>
        <w:pStyle w:val="4"/>
        <w:keepNext w:val="0"/>
        <w:keepLines w:val="0"/>
        <w:pageBreakBefore w:val="0"/>
        <w:widowControl w:val="0"/>
        <w:numPr>
          <w:ilvl w:val="2"/>
          <w:numId w:val="0"/>
        </w:numPr>
        <w:kinsoku/>
        <w:wordWrap/>
        <w:overflowPunct/>
        <w:topLinePunct w:val="0"/>
        <w:autoSpaceDE/>
        <w:autoSpaceDN/>
        <w:bidi w:val="0"/>
        <w:adjustRightInd/>
        <w:snapToGrid/>
        <w:ind w:firstLine="210" w:firstLineChars="100"/>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4.4.4 </w:t>
      </w:r>
      <w:r>
        <w:rPr>
          <w:rFonts w:hint="eastAsia" w:cs="Times New Roman"/>
          <w:color w:val="000000" w:themeColor="text1"/>
          <w:sz w:val="21"/>
          <w:szCs w:val="21"/>
          <w:lang w:val="en-US" w:eastAsia="zh-CN"/>
          <w14:textFill>
            <w14:solidFill>
              <w14:schemeClr w14:val="tx1"/>
            </w14:solidFill>
          </w14:textFill>
        </w:rPr>
        <w:t>行波电流传感器技术参数：采样率：</w:t>
      </w:r>
      <w:r>
        <w:rPr>
          <w:rFonts w:hint="eastAsia" w:ascii="宋体" w:hAnsi="宋体" w:cs="宋体"/>
          <w:color w:val="000000" w:themeColor="text1"/>
          <w:sz w:val="21"/>
          <w:szCs w:val="21"/>
          <w:lang w:val="en-US" w:eastAsia="zh-CN"/>
          <w14:textFill>
            <w14:solidFill>
              <w14:schemeClr w14:val="tx1"/>
            </w14:solidFill>
          </w14:textFill>
        </w:rPr>
        <w:t>≥1M Hz；</w:t>
      </w:r>
      <w:r>
        <w:rPr>
          <w:rFonts w:hint="default" w:ascii="宋体" w:hAnsi="宋体" w:cs="宋体"/>
          <w:color w:val="000000" w:themeColor="text1"/>
          <w:sz w:val="21"/>
          <w:szCs w:val="21"/>
          <w:lang w:val="en-US" w:eastAsia="zh-CN"/>
          <w14:textFill>
            <w14:solidFill>
              <w14:schemeClr w14:val="tx1"/>
            </w14:solidFill>
          </w14:textFill>
        </w:rPr>
        <w:t>连续记录时长</w:t>
      </w:r>
      <w:r>
        <w:rPr>
          <w:rFonts w:hint="eastAsia" w:ascii="宋体" w:hAnsi="宋体" w:cs="宋体"/>
          <w:color w:val="000000" w:themeColor="text1"/>
          <w:sz w:val="21"/>
          <w:szCs w:val="21"/>
          <w:lang w:val="en-US" w:eastAsia="zh-CN"/>
          <w14:textFill>
            <w14:solidFill>
              <w14:schemeClr w14:val="tx1"/>
            </w14:solidFill>
          </w14:textFill>
        </w:rPr>
        <w:t>：≥1000μs。</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4.4.5 </w:t>
      </w:r>
      <w:r>
        <w:rPr>
          <w:rFonts w:hint="eastAsia" w:cs="Times New Roman"/>
          <w:color w:val="000000" w:themeColor="text1"/>
          <w:sz w:val="21"/>
          <w:szCs w:val="21"/>
          <w:lang w:val="en-US" w:eastAsia="zh-CN"/>
          <w14:textFill>
            <w14:solidFill>
              <w14:schemeClr w14:val="tx1"/>
            </w14:solidFill>
          </w14:textFill>
        </w:rPr>
        <w:t>工频电流传感器技术参数：采样率：</w:t>
      </w:r>
      <w:r>
        <w:rPr>
          <w:rFonts w:hint="eastAsia" w:ascii="宋体" w:hAnsi="宋体" w:cs="宋体"/>
          <w:color w:val="000000" w:themeColor="text1"/>
          <w:sz w:val="21"/>
          <w:szCs w:val="21"/>
          <w:lang w:val="en-US" w:eastAsia="zh-CN"/>
          <w14:textFill>
            <w14:solidFill>
              <w14:schemeClr w14:val="tx1"/>
            </w14:solidFill>
          </w14:textFill>
        </w:rPr>
        <w:t>≥2k Hz；</w:t>
      </w:r>
      <w:r>
        <w:rPr>
          <w:rFonts w:hint="default" w:ascii="宋体" w:hAnsi="宋体" w:cs="宋体"/>
          <w:color w:val="000000" w:themeColor="text1"/>
          <w:sz w:val="21"/>
          <w:szCs w:val="21"/>
          <w:lang w:val="en-US" w:eastAsia="zh-CN"/>
          <w14:textFill>
            <w14:solidFill>
              <w14:schemeClr w14:val="tx1"/>
            </w14:solidFill>
          </w14:textFill>
        </w:rPr>
        <w:t>连续记录时长</w:t>
      </w:r>
      <w:r>
        <w:rPr>
          <w:rFonts w:hint="eastAsia" w:ascii="宋体" w:hAnsi="宋体" w:cs="宋体"/>
          <w:color w:val="000000" w:themeColor="text1"/>
          <w:sz w:val="21"/>
          <w:szCs w:val="21"/>
          <w:lang w:val="en-US" w:eastAsia="zh-CN"/>
          <w14:textFill>
            <w14:solidFill>
              <w14:schemeClr w14:val="tx1"/>
            </w14:solidFill>
          </w14:textFill>
        </w:rPr>
        <w:t>：≥500ms.</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4.4.6 </w:t>
      </w:r>
      <w:r>
        <w:rPr>
          <w:rFonts w:hint="eastAsia" w:cs="Times New Roman"/>
          <w:color w:val="000000" w:themeColor="text1"/>
          <w:sz w:val="21"/>
          <w:szCs w:val="21"/>
          <w:lang w:val="en-US" w:eastAsia="zh-CN"/>
          <w14:textFill>
            <w14:solidFill>
              <w14:schemeClr w14:val="tx1"/>
            </w14:solidFill>
          </w14:textFill>
        </w:rPr>
        <w:t>故障诊断功能：</w:t>
      </w:r>
      <w:r>
        <w:rPr>
          <w:rFonts w:hint="default" w:ascii="宋体" w:hAnsi="宋体" w:cs="宋体"/>
          <w:color w:val="000000" w:themeColor="text1"/>
          <w:sz w:val="21"/>
          <w:szCs w:val="21"/>
          <w:lang w:val="en-US" w:eastAsia="zh-CN"/>
          <w14:textFill>
            <w14:solidFill>
              <w14:schemeClr w14:val="tx1"/>
            </w14:solidFill>
          </w14:textFill>
        </w:rPr>
        <w:t>故障定位精度</w:t>
      </w:r>
      <w:r>
        <w:rPr>
          <w:rFonts w:hint="eastAsia" w:ascii="宋体" w:hAnsi="宋体" w:cs="宋体"/>
          <w:color w:val="000000" w:themeColor="text1"/>
          <w:sz w:val="21"/>
          <w:szCs w:val="21"/>
          <w:lang w:val="en-US" w:eastAsia="zh-CN"/>
          <w14:textFill>
            <w14:solidFill>
              <w14:schemeClr w14:val="tx1"/>
            </w14:solidFill>
          </w14:textFill>
        </w:rPr>
        <w:t>：≤300m；</w:t>
      </w:r>
      <w:r>
        <w:rPr>
          <w:rFonts w:hint="default" w:ascii="宋体" w:hAnsi="宋体" w:cs="宋体"/>
          <w:color w:val="000000" w:themeColor="text1"/>
          <w:sz w:val="21"/>
          <w:szCs w:val="21"/>
          <w:lang w:val="en-US" w:eastAsia="zh-CN"/>
          <w14:textFill>
            <w14:solidFill>
              <w14:schemeClr w14:val="tx1"/>
            </w14:solidFill>
          </w14:textFill>
        </w:rPr>
        <w:t>雷击与非雷击故障辨识准确率</w:t>
      </w:r>
      <w:r>
        <w:rPr>
          <w:rFonts w:hint="eastAsia" w:ascii="宋体" w:hAnsi="宋体" w:cs="宋体"/>
          <w:color w:val="000000" w:themeColor="text1"/>
          <w:sz w:val="21"/>
          <w:szCs w:val="21"/>
          <w:lang w:val="en-US" w:eastAsia="zh-CN"/>
          <w14:textFill>
            <w14:solidFill>
              <w14:schemeClr w14:val="tx1"/>
            </w14:solidFill>
          </w14:textFill>
        </w:rPr>
        <w:t>：≥95%；</w:t>
      </w:r>
      <w:r>
        <w:rPr>
          <w:rFonts w:hint="default" w:ascii="宋体" w:hAnsi="宋体" w:cs="宋体"/>
          <w:color w:val="000000" w:themeColor="text1"/>
          <w:sz w:val="21"/>
          <w:szCs w:val="21"/>
          <w:lang w:val="en-US" w:eastAsia="zh-CN"/>
          <w14:textFill>
            <w14:solidFill>
              <w14:schemeClr w14:val="tx1"/>
            </w14:solidFill>
          </w14:textFill>
        </w:rPr>
        <w:t>故障跳闸告警时间</w:t>
      </w:r>
      <w:r>
        <w:rPr>
          <w:rFonts w:hint="eastAsia" w:ascii="宋体" w:hAnsi="宋体" w:cs="宋体"/>
          <w:color w:val="000000" w:themeColor="text1"/>
          <w:sz w:val="21"/>
          <w:szCs w:val="21"/>
          <w:lang w:val="en-US" w:eastAsia="zh-CN"/>
          <w14:textFill>
            <w14:solidFill>
              <w14:schemeClr w14:val="tx1"/>
            </w14:solidFill>
          </w14:textFill>
        </w:rPr>
        <w:t>：≤5min；</w:t>
      </w:r>
      <w:r>
        <w:rPr>
          <w:rFonts w:hint="default" w:ascii="宋体" w:hAnsi="宋体" w:cs="宋体"/>
          <w:color w:val="000000" w:themeColor="text1"/>
          <w:sz w:val="21"/>
          <w:szCs w:val="21"/>
          <w:lang w:val="en-US" w:eastAsia="zh-CN"/>
          <w14:textFill>
            <w14:solidFill>
              <w14:schemeClr w14:val="tx1"/>
            </w14:solidFill>
          </w14:textFill>
        </w:rPr>
        <w:t>故障诊断结果告警时长</w:t>
      </w:r>
      <w:r>
        <w:rPr>
          <w:rFonts w:hint="eastAsia" w:ascii="宋体" w:hAnsi="宋体" w:cs="宋体"/>
          <w:color w:val="000000" w:themeColor="text1"/>
          <w:sz w:val="21"/>
          <w:szCs w:val="21"/>
          <w:lang w:val="en-US" w:eastAsia="zh-CN"/>
          <w14:textFill>
            <w14:solidFill>
              <w14:schemeClr w14:val="tx1"/>
            </w14:solidFill>
          </w14:textFill>
        </w:rPr>
        <w:t>：≤30min。</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0" w:firstLineChars="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 xml:space="preserve">4.4.7 </w:t>
      </w:r>
      <w:r>
        <w:rPr>
          <w:rFonts w:hint="eastAsia" w:cs="Times New Roman"/>
          <w:color w:val="000000" w:themeColor="text1"/>
          <w:sz w:val="21"/>
          <w:szCs w:val="21"/>
          <w:lang w:val="en-US" w:eastAsia="zh-CN"/>
          <w14:textFill>
            <w14:solidFill>
              <w14:schemeClr w14:val="tx1"/>
            </w14:solidFill>
          </w14:textFill>
        </w:rPr>
        <w:t>供电方式：太阳能电池板功率：20W±5%；锂电池容量：12.8/40AH；待机时长：</w:t>
      </w:r>
      <w:r>
        <w:rPr>
          <w:rFonts w:hint="eastAsia" w:ascii="宋体" w:hAnsi="宋体" w:cs="宋体"/>
          <w:color w:val="000000" w:themeColor="text1"/>
          <w:sz w:val="21"/>
          <w:szCs w:val="21"/>
          <w:lang w:val="en-US"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20天。</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cs="宋体"/>
          <w:color w:val="000000" w:themeColor="text1"/>
          <w:sz w:val="21"/>
          <w:szCs w:val="21"/>
          <w:lang w:val="en-US" w:eastAsia="zh-CN"/>
          <w14:textFill>
            <w14:solidFill>
              <w14:schemeClr w14:val="tx1"/>
            </w14:solidFill>
          </w14:textFill>
        </w:rPr>
        <w:t>4.4.8</w:t>
      </w:r>
      <w:r>
        <w:rPr>
          <w:rFonts w:hint="eastAsia" w:cs="Times New Roman"/>
          <w:color w:val="000000" w:themeColor="text1"/>
          <w:sz w:val="21"/>
          <w:szCs w:val="21"/>
          <w:lang w:val="en-US" w:eastAsia="zh-CN"/>
          <w14:textFill>
            <w14:solidFill>
              <w14:schemeClr w14:val="tx1"/>
            </w14:solidFill>
          </w14:textFill>
        </w:rPr>
        <w:t xml:space="preserve"> 通信方式：4G通信；同步方式：BDS；</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 xml:space="preserve"> 整机设计使用寿命：≥</w:t>
      </w:r>
      <w:r>
        <w:rPr>
          <w:rFonts w:hint="eastAsia"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年，正常使用无结构疲劳变形。</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4.4.10采用电压行波和电流行波传感器，双传感器相互认证。</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4.4.11系统对档距信息具有自校正方案，系统采用经度、纬度及海拔等参数，对多山地区的档距信息进行修正，保证档距信息的准确性。</w:t>
      </w:r>
    </w:p>
    <w:p>
      <w:pPr>
        <w:pStyle w:val="4"/>
        <w:keepNext w:val="0"/>
        <w:keepLines w:val="0"/>
        <w:pageBreakBefore w:val="0"/>
        <w:widowControl w:val="0"/>
        <w:numPr>
          <w:ilvl w:val="2"/>
          <w:numId w:val="0"/>
        </w:numPr>
        <w:kinsoku/>
        <w:wordWrap/>
        <w:overflowPunct/>
        <w:topLinePunct w:val="0"/>
        <w:autoSpaceDE/>
        <w:autoSpaceDN/>
        <w:bidi w:val="0"/>
        <w:adjustRightInd/>
        <w:snapToGrid/>
        <w:spacing w:before="120" w:after="120"/>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4.4.12非接触行波采集距离大于50米。</w:t>
      </w:r>
    </w:p>
    <w:p>
      <w:pPr>
        <w:pStyle w:val="3"/>
        <w:numPr>
          <w:ilvl w:val="1"/>
          <w:numId w:val="0"/>
        </w:numPr>
        <w:bidi w:val="0"/>
        <w:ind w:leftChars="0"/>
        <w:rPr>
          <w:rFonts w:hint="eastAsia" w:eastAsia="宋体"/>
          <w:color w:val="000000" w:themeColor="text1"/>
          <w:lang w:eastAsia="zh-CN"/>
          <w14:textFill>
            <w14:solidFill>
              <w14:schemeClr w14:val="tx1"/>
            </w14:solidFill>
          </w14:textFill>
        </w:rPr>
      </w:pPr>
      <w:bookmarkStart w:id="130" w:name="_Toc17514"/>
      <w:bookmarkStart w:id="131" w:name="_Toc28641"/>
      <w:bookmarkStart w:id="132" w:name="_Toc25985"/>
      <w:bookmarkStart w:id="133" w:name="_Toc9027"/>
      <w:bookmarkStart w:id="134" w:name="_Toc10956"/>
      <w:bookmarkStart w:id="135" w:name="_Toc2520"/>
      <w:bookmarkStart w:id="136" w:name="_Toc16563"/>
      <w:r>
        <w:rPr>
          <w:rFonts w:hint="eastAsia" w:ascii="Times New Roman" w:eastAsia="黑体" w:cs="Times New Roman"/>
          <w:color w:val="000000" w:themeColor="text1"/>
          <w:sz w:val="24"/>
          <w:szCs w:val="24"/>
          <w:lang w:val="en-US" w:eastAsia="zh-CN"/>
          <w14:textFill>
            <w14:solidFill>
              <w14:schemeClr w14:val="tx1"/>
            </w14:solidFill>
          </w14:textFill>
        </w:rPr>
        <w:t>4.5 图纸</w:t>
      </w:r>
      <w:bookmarkEnd w:id="130"/>
      <w:bookmarkEnd w:id="131"/>
      <w:bookmarkEnd w:id="132"/>
      <w:bookmarkEnd w:id="133"/>
      <w:bookmarkEnd w:id="134"/>
      <w:bookmarkEnd w:id="135"/>
      <w:bookmarkEnd w:id="136"/>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以下图纸供参考，待中标单位确认并在双方签署保密协议后，招标方向中标单位提供详细图纸。</w:t>
      </w:r>
    </w:p>
    <w:p>
      <w:pPr>
        <w:keepNext w:val="0"/>
        <w:keepLines w:val="0"/>
        <w:pageBreakBefore w:val="0"/>
        <w:widowControl w:val="0"/>
        <w:kinsoku/>
        <w:wordWrap/>
        <w:overflowPunct/>
        <w:topLinePunct w:val="0"/>
        <w:autoSpaceDE/>
        <w:autoSpaceDN/>
        <w:bidi w:val="0"/>
        <w:adjustRightInd/>
        <w:snapToGrid/>
        <w:spacing w:before="0" w:after="0" w:line="288" w:lineRule="auto"/>
        <w:jc w:val="center"/>
        <w:textAlignment w:val="auto"/>
        <w:rPr>
          <w:rFonts w:hint="eastAsia" w:eastAsia="宋体"/>
          <w:color w:val="000000" w:themeColor="text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0" w:after="0" w:line="288" w:lineRule="auto"/>
        <w:jc w:val="center"/>
        <w:textAlignment w:val="auto"/>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drawing>
          <wp:inline distT="0" distB="0" distL="114300" distR="114300">
            <wp:extent cx="3505835" cy="2608580"/>
            <wp:effectExtent l="0" t="0" r="8890" b="1270"/>
            <wp:docPr id="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
                    <pic:cNvPicPr>
                      <a:picLocks noChangeAspect="1"/>
                    </pic:cNvPicPr>
                  </pic:nvPicPr>
                  <pic:blipFill>
                    <a:blip r:embed="rId10"/>
                    <a:stretch>
                      <a:fillRect/>
                    </a:stretch>
                  </pic:blipFill>
                  <pic:spPr>
                    <a:xfrm>
                      <a:off x="0" y="0"/>
                      <a:ext cx="3505835" cy="26085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0" w:after="0" w:line="288" w:lineRule="auto"/>
        <w:jc w:val="center"/>
        <w:textAlignment w:val="auto"/>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主机尺寸图</w:t>
      </w:r>
    </w:p>
    <w:p>
      <w:pPr>
        <w:keepNext w:val="0"/>
        <w:keepLines w:val="0"/>
        <w:pageBreakBefore w:val="0"/>
        <w:widowControl w:val="0"/>
        <w:kinsoku/>
        <w:wordWrap/>
        <w:overflowPunct/>
        <w:topLinePunct w:val="0"/>
        <w:autoSpaceDE/>
        <w:autoSpaceDN/>
        <w:bidi w:val="0"/>
        <w:adjustRightInd/>
        <w:snapToGrid/>
        <w:spacing w:before="0" w:after="0" w:line="288" w:lineRule="auto"/>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object>
          <v:shape id="_x0000_i1025" o:spt="75" type="#_x0000_t75" style="height:213.05pt;width:224.7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pPr>
        <w:keepNext w:val="0"/>
        <w:keepLines w:val="0"/>
        <w:pageBreakBefore w:val="0"/>
        <w:widowControl w:val="0"/>
        <w:kinsoku/>
        <w:wordWrap/>
        <w:overflowPunct/>
        <w:topLinePunct w:val="0"/>
        <w:autoSpaceDE/>
        <w:autoSpaceDN/>
        <w:bidi w:val="0"/>
        <w:adjustRightInd/>
        <w:snapToGrid/>
        <w:spacing w:before="0" w:after="120" w:line="288" w:lineRule="auto"/>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太阳能电池板尺寸图</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37" w:name="_Toc28809"/>
      <w:bookmarkStart w:id="138" w:name="_Toc15167"/>
      <w:bookmarkStart w:id="139" w:name="_Toc22020"/>
      <w:bookmarkStart w:id="140" w:name="_Toc7311"/>
      <w:bookmarkStart w:id="141" w:name="_Toc10286"/>
      <w:bookmarkStart w:id="142" w:name="_Toc24960"/>
      <w:bookmarkStart w:id="143" w:name="_Toc24512"/>
      <w:r>
        <w:rPr>
          <w:rFonts w:hint="eastAsia" w:ascii="Times New Roman" w:eastAsia="黑体" w:cs="Times New Roman"/>
          <w:color w:val="000000" w:themeColor="text1"/>
          <w:sz w:val="24"/>
          <w:szCs w:val="24"/>
          <w:lang w:val="en-US" w:eastAsia="zh-CN"/>
          <w14:textFill>
            <w14:solidFill>
              <w14:schemeClr w14:val="tx1"/>
            </w14:solidFill>
          </w14:textFill>
        </w:rPr>
        <w:t>4.6 质量管控及检验要求</w:t>
      </w:r>
      <w:bookmarkEnd w:id="137"/>
      <w:bookmarkEnd w:id="138"/>
      <w:bookmarkEnd w:id="139"/>
      <w:bookmarkEnd w:id="140"/>
      <w:bookmarkEnd w:id="141"/>
      <w:bookmarkEnd w:id="142"/>
      <w:bookmarkEnd w:id="143"/>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.1 代加工方须建立完善的质量管控体系，覆盖原材料采购、生产加工、检验检测、包装交付等全流程，制定详细的质量管控细则和检验标准，确保产品质量符合本规范要求。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.2 原材料检验：每一批次原材料进场后，须进行全项检验，检验项目包括材质、尺寸、性能等，检验合格后方可投入生产，检验记录须完整，留存检验报告及合格证明。</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.3 过程检验：对生产加工的每一道工序进行检验，包括</w:t>
      </w:r>
      <w:r>
        <w:rPr>
          <w:rFonts w:hint="eastAsia" w:ascii="宋体" w:hAnsi="宋体" w:cs="宋体"/>
          <w:color w:val="000000" w:themeColor="text1"/>
          <w:sz w:val="21"/>
          <w:szCs w:val="21"/>
          <w:lang w:val="en-US" w:eastAsia="zh-CN"/>
          <w14:textFill>
            <w14:solidFill>
              <w14:schemeClr w14:val="tx1"/>
            </w14:solidFill>
          </w14:textFill>
        </w:rPr>
        <w:t>组装、测试</w:t>
      </w:r>
      <w:r>
        <w:rPr>
          <w:rFonts w:hint="eastAsia" w:ascii="宋体" w:hAnsi="宋体" w:eastAsia="宋体" w:cs="宋体"/>
          <w:color w:val="000000" w:themeColor="text1"/>
          <w:sz w:val="21"/>
          <w:szCs w:val="21"/>
          <w:lang w:val="en-US" w:eastAsia="zh-CN"/>
          <w14:textFill>
            <w14:solidFill>
              <w14:schemeClr w14:val="tx1"/>
            </w14:solidFill>
          </w14:textFill>
        </w:rPr>
        <w:t>等，检验合格后方可进入下一道工序，过程检验记录须完整、可追溯。</w:t>
      </w:r>
    </w:p>
    <w:p>
      <w:pPr>
        <w:keepNext w:val="0"/>
        <w:keepLines w:val="0"/>
        <w:pageBreakBefore w:val="0"/>
        <w:widowControl/>
        <w:numPr>
          <w:ilvl w:val="0"/>
          <w:numId w:val="0"/>
        </w:numPr>
        <w:tabs>
          <w:tab w:val="left" w:pos="1440"/>
          <w:tab w:val="left" w:pos="3960"/>
        </w:tabs>
        <w:kinsoku/>
        <w:wordWrap/>
        <w:overflowPunct/>
        <w:topLinePunct w:val="0"/>
        <w:autoSpaceDE/>
        <w:autoSpaceDN/>
        <w:bidi w:val="0"/>
        <w:adjustRightInd/>
        <w:snapToGrid w:val="0"/>
        <w:spacing w:before="0"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.4 出厂检验：每台产品出厂前，须进行全项出厂检验，检验项目包括</w:t>
      </w:r>
      <w:r>
        <w:rPr>
          <w:rFonts w:hint="eastAsia" w:ascii="宋体" w:hAnsi="宋体" w:cs="宋体"/>
          <w:color w:val="000000" w:themeColor="text1"/>
          <w:sz w:val="21"/>
          <w:szCs w:val="21"/>
          <w:lang w:val="en-US" w:eastAsia="zh-CN"/>
          <w14:textFill>
            <w14:solidFill>
              <w14:schemeClr w14:val="tx1"/>
            </w14:solidFill>
          </w14:textFill>
        </w:rPr>
        <w:t>结</w:t>
      </w:r>
      <w:r>
        <w:rPr>
          <w:rFonts w:hAnsi="宋体"/>
          <w:color w:val="000000" w:themeColor="text1"/>
          <w:szCs w:val="21"/>
          <w14:textFill>
            <w14:solidFill>
              <w14:schemeClr w14:val="tx1"/>
            </w14:solidFill>
          </w14:textFill>
        </w:rPr>
        <w:t>构和外观检查</w:t>
      </w:r>
      <w:r>
        <w:rPr>
          <w:rFonts w:hint="eastAsia" w:hAnsi="宋体"/>
          <w:color w:val="000000" w:themeColor="text1"/>
          <w:szCs w:val="21"/>
          <w:lang w:eastAsia="zh-CN"/>
          <w14:textFill>
            <w14:solidFill>
              <w14:schemeClr w14:val="tx1"/>
            </w14:solidFill>
          </w14:textFill>
        </w:rPr>
        <w:t>、</w:t>
      </w:r>
      <w:r>
        <w:rPr>
          <w:rFonts w:hAnsi="宋体"/>
          <w:color w:val="000000" w:themeColor="text1"/>
          <w:szCs w:val="21"/>
          <w14:textFill>
            <w14:solidFill>
              <w14:schemeClr w14:val="tx1"/>
            </w14:solidFill>
          </w14:textFill>
        </w:rPr>
        <w:t>基本功能试验</w:t>
      </w:r>
      <w:r>
        <w:rPr>
          <w:rFonts w:hint="eastAsia"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电源模块试验、</w:t>
      </w:r>
      <w:r>
        <w:rPr>
          <w:rFonts w:hint="eastAsia" w:ascii="宋体" w:hAnsi="宋体" w:eastAsia="宋体" w:cs="Times New Roman"/>
          <w:color w:val="000000" w:themeColor="text1"/>
          <w:kern w:val="2"/>
          <w:sz w:val="21"/>
          <w:szCs w:val="21"/>
          <w:lang w:val="en-US" w:eastAsia="zh-CN" w:bidi="ar"/>
          <w14:textFill>
            <w14:solidFill>
              <w14:schemeClr w14:val="tx1"/>
            </w14:solidFill>
          </w14:textFill>
        </w:rPr>
        <w:t>通信模块试验</w:t>
      </w:r>
      <w:r>
        <w:rPr>
          <w:rFonts w:hint="eastAsia" w:ascii="宋体" w:hAnsi="宋体" w:cs="Times New Roman"/>
          <w:color w:val="000000" w:themeColor="text1"/>
          <w:kern w:val="2"/>
          <w:sz w:val="21"/>
          <w:szCs w:val="21"/>
          <w:lang w:val="en-US" w:eastAsia="zh-CN" w:bidi="ar"/>
          <w14:textFill>
            <w14:solidFill>
              <w14:schemeClr w14:val="tx1"/>
            </w14:solidFill>
          </w14:textFill>
        </w:rPr>
        <w:t>、</w:t>
      </w:r>
      <w:r>
        <w:rPr>
          <w:rFonts w:hint="eastAsia" w:ascii="宋体" w:hAnsi="宋体" w:eastAsia="宋体" w:cs="Times New Roman"/>
          <w:color w:val="000000" w:themeColor="text1"/>
          <w:kern w:val="2"/>
          <w:sz w:val="21"/>
          <w:szCs w:val="21"/>
          <w:lang w:val="en-US" w:eastAsia="zh-CN" w:bidi="ar"/>
          <w14:textFill>
            <w14:solidFill>
              <w14:schemeClr w14:val="tx1"/>
            </w14:solidFill>
          </w14:textFill>
        </w:rPr>
        <w:t>控制模块试验</w:t>
      </w:r>
      <w:r>
        <w:rPr>
          <w:rFonts w:hint="eastAsia" w:ascii="宋体" w:hAnsi="宋体" w:cs="Times New Roman"/>
          <w:color w:val="000000" w:themeColor="text1"/>
          <w:kern w:val="2"/>
          <w:sz w:val="21"/>
          <w:szCs w:val="21"/>
          <w:lang w:val="en-US" w:eastAsia="zh-CN" w:bidi="ar"/>
          <w14:textFill>
            <w14:solidFill>
              <w14:schemeClr w14:val="tx1"/>
            </w14:solidFill>
          </w14:textFill>
        </w:rPr>
        <w:t>、</w:t>
      </w:r>
      <w:r>
        <w:rPr>
          <w:rFonts w:hint="eastAsia" w:ascii="宋体" w:hAnsi="宋体" w:eastAsia="宋体" w:cs="Times New Roman"/>
          <w:color w:val="000000" w:themeColor="text1"/>
          <w:kern w:val="2"/>
          <w:sz w:val="21"/>
          <w:szCs w:val="21"/>
          <w:lang w:val="en-US" w:eastAsia="zh-CN" w:bidi="ar"/>
          <w14:textFill>
            <w14:solidFill>
              <w14:schemeClr w14:val="tx1"/>
            </w14:solidFill>
          </w14:textFill>
        </w:rPr>
        <w:t>故障模拟同步性试验</w:t>
      </w:r>
      <w:r>
        <w:rPr>
          <w:rFonts w:hint="eastAsia" w:ascii="宋体" w:hAnsi="宋体" w:cs="Times New Roman"/>
          <w:color w:val="000000" w:themeColor="text1"/>
          <w:kern w:val="2"/>
          <w:sz w:val="21"/>
          <w:szCs w:val="21"/>
          <w:lang w:val="en-US" w:eastAsia="zh-CN" w:bidi="ar"/>
          <w14:textFill>
            <w14:solidFill>
              <w14:schemeClr w14:val="tx1"/>
            </w14:solidFill>
          </w14:textFill>
        </w:rPr>
        <w:t>、</w:t>
      </w:r>
      <w:r>
        <w:rPr>
          <w:rFonts w:hint="eastAsia" w:ascii="宋体" w:hAnsi="宋体" w:eastAsia="宋体" w:cs="Times New Roman"/>
          <w:color w:val="000000" w:themeColor="text1"/>
          <w:kern w:val="2"/>
          <w:sz w:val="21"/>
          <w:szCs w:val="21"/>
          <w:lang w:val="en-US" w:eastAsia="zh-CN" w:bidi="ar"/>
          <w14:textFill>
            <w14:solidFill>
              <w14:schemeClr w14:val="tx1"/>
            </w14:solidFill>
          </w14:textFill>
        </w:rPr>
        <w:t>故障测距试验）、</w:t>
      </w:r>
      <w:r>
        <w:rPr>
          <w:rFonts w:hAnsi="宋体"/>
          <w:color w:val="000000" w:themeColor="text1"/>
          <w:szCs w:val="21"/>
          <w14:textFill>
            <w14:solidFill>
              <w14:schemeClr w14:val="tx1"/>
            </w14:solidFill>
          </w14:textFill>
        </w:rPr>
        <w:t>连续</w:t>
      </w:r>
      <w:r>
        <w:rPr>
          <w:rFonts w:hint="eastAsia" w:hAnsi="宋体"/>
          <w:color w:val="000000" w:themeColor="text1"/>
          <w:szCs w:val="21"/>
          <w:lang w:val="en-US" w:eastAsia="zh-CN"/>
          <w14:textFill>
            <w14:solidFill>
              <w14:schemeClr w14:val="tx1"/>
            </w14:solidFill>
          </w14:textFill>
        </w:rPr>
        <w:t>运行</w:t>
      </w:r>
      <w:r>
        <w:rPr>
          <w:rFonts w:hAnsi="宋体"/>
          <w:color w:val="000000" w:themeColor="text1"/>
          <w:szCs w:val="21"/>
          <w14:textFill>
            <w14:solidFill>
              <w14:schemeClr w14:val="tx1"/>
            </w14:solidFill>
          </w14:textFill>
        </w:rPr>
        <w:t>试验</w:t>
      </w:r>
      <w:r>
        <w:rPr>
          <w:rFonts w:hint="eastAsia" w:ascii="宋体" w:hAnsi="宋体" w:eastAsia="宋体" w:cs="宋体"/>
          <w:color w:val="000000" w:themeColor="text1"/>
          <w:sz w:val="21"/>
          <w:szCs w:val="21"/>
          <w:lang w:val="en-US" w:eastAsia="zh-CN"/>
          <w14:textFill>
            <w14:solidFill>
              <w14:schemeClr w14:val="tx1"/>
            </w14:solidFill>
          </w14:textFill>
        </w:rPr>
        <w:t>等，检验合格后出具出厂合格证及检验报告，不合格产品严禁出厂。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.5 检验设备：代加工方配备的检验设备须定期校准，校准周期不超过1年，确保检验精度达标，提供检验设备校准报告。</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.6 质量追溯：建立产品质量追溯体系，每台产品配备唯一追溯码，追溯码包含产品编号、生产批次、原材料信息、加工人员、检验结果等内容，确保产品质量可追溯。</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.7 框架合作期间，招标人有权对代加工方的生产过程、质量管控、检验检测等工作进行抽查，代加工方须积极配合，提供必要的生产记录、检验报告等资料。</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44" w:name="_Toc19292"/>
      <w:bookmarkStart w:id="145" w:name="_Toc4084"/>
      <w:bookmarkStart w:id="146" w:name="_Toc24889"/>
      <w:bookmarkStart w:id="147" w:name="_Toc13352"/>
      <w:bookmarkStart w:id="148" w:name="_Toc5777"/>
      <w:bookmarkStart w:id="149" w:name="_Toc13079"/>
      <w:bookmarkStart w:id="150" w:name="_Toc8058"/>
      <w:r>
        <w:rPr>
          <w:rFonts w:hint="eastAsia" w:ascii="Times New Roman" w:eastAsia="黑体" w:cs="Times New Roman"/>
          <w:color w:val="000000" w:themeColor="text1"/>
          <w:sz w:val="24"/>
          <w:szCs w:val="24"/>
          <w:lang w:val="en-US" w:eastAsia="zh-CN"/>
          <w14:textFill>
            <w14:solidFill>
              <w14:schemeClr w14:val="tx1"/>
            </w14:solidFill>
          </w14:textFill>
        </w:rPr>
        <w:t>4.</w:t>
      </w:r>
      <w:bookmarkStart w:id="151" w:name="_Toc25447"/>
      <w:bookmarkStart w:id="152" w:name="_Toc20004"/>
      <w:r>
        <w:rPr>
          <w:rFonts w:hint="eastAsia" w:ascii="Times New Roman" w:eastAsia="黑体" w:cs="Times New Roman"/>
          <w:color w:val="000000" w:themeColor="text1"/>
          <w:sz w:val="24"/>
          <w:szCs w:val="24"/>
          <w:lang w:val="en-US" w:eastAsia="zh-CN"/>
          <w14:textFill>
            <w14:solidFill>
              <w14:schemeClr w14:val="tx1"/>
            </w14:solidFill>
          </w14:textFill>
        </w:rPr>
        <w:t>7企业VI标识</w:t>
      </w:r>
      <w:bookmarkEnd w:id="144"/>
      <w:bookmarkEnd w:id="145"/>
      <w:bookmarkEnd w:id="146"/>
      <w:bookmarkEnd w:id="147"/>
      <w:bookmarkEnd w:id="148"/>
      <w:bookmarkEnd w:id="149"/>
      <w:bookmarkEnd w:id="150"/>
      <w:bookmarkEnd w:id="151"/>
      <w:bookmarkEnd w:id="152"/>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bookmarkStart w:id="153" w:name="_Toc277686859"/>
      <w:bookmarkStart w:id="154" w:name="_Toc277255901"/>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设备外立面上应有统一的中国南方电网有限责任公司企业VI标识，并符合《中国南方电网视觉识别系统管理手册》的要求。</w:t>
      </w:r>
      <w:bookmarkEnd w:id="153"/>
      <w:bookmarkEnd w:id="154"/>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55" w:name="_Toc22852"/>
      <w:bookmarkStart w:id="156" w:name="_Toc28449"/>
      <w:bookmarkStart w:id="157" w:name="_Toc2892"/>
      <w:bookmarkStart w:id="158" w:name="_Toc6686"/>
      <w:bookmarkStart w:id="159" w:name="_Toc3138"/>
      <w:bookmarkStart w:id="160" w:name="_Toc12026"/>
      <w:bookmarkStart w:id="161" w:name="_Toc22496"/>
      <w:r>
        <w:rPr>
          <w:rFonts w:hint="eastAsia" w:ascii="Times New Roman" w:eastAsia="黑体" w:cs="Times New Roman"/>
          <w:color w:val="000000" w:themeColor="text1"/>
          <w:sz w:val="24"/>
          <w:szCs w:val="24"/>
          <w:lang w:val="en-US" w:eastAsia="zh-CN"/>
          <w14:textFill>
            <w14:solidFill>
              <w14:schemeClr w14:val="tx1"/>
            </w14:solidFill>
          </w14:textFill>
        </w:rPr>
        <w:t>4.8包装、标识及交付要求</w:t>
      </w:r>
      <w:bookmarkEnd w:id="155"/>
      <w:bookmarkEnd w:id="156"/>
      <w:bookmarkEnd w:id="157"/>
      <w:bookmarkEnd w:id="158"/>
      <w:bookmarkEnd w:id="159"/>
      <w:bookmarkEnd w:id="160"/>
      <w:bookmarkEnd w:id="161"/>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.1 包装：采用专用防震防潮硬质包装箱独立包装，每台产品单独包装，内部采用柔性缓冲材料（泡沫、珍珠棉等）防护，防止运输过程中磕碰、变形、零部件损坏；包装箱材质坚固，能够承受运输过程中的挤压、震动。</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.2 标识：包装箱外须清晰标注产品名称、型号、数量、生产批次、生产日期、招标人名称、交付地点、“易碎”“向上”“防潮”“小心轻放”等储运图示标志，标识清晰、牢固，不易脱落。</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.3 交付：代加工方须按订单要求的时间、地点，将产品及配套技术资料、</w:t>
      </w:r>
      <w:r>
        <w:rPr>
          <w:rFonts w:hint="eastAsia" w:ascii="宋体" w:hAnsi="宋体" w:cs="宋体"/>
          <w:color w:val="000000" w:themeColor="text1"/>
          <w:sz w:val="21"/>
          <w:szCs w:val="21"/>
          <w:lang w:val="en-US" w:eastAsia="zh-CN"/>
          <w14:textFill>
            <w14:solidFill>
              <w14:schemeClr w14:val="tx1"/>
            </w14:solidFill>
          </w14:textFill>
        </w:rPr>
        <w:t>安装金具</w:t>
      </w:r>
      <w:r>
        <w:rPr>
          <w:rFonts w:hint="eastAsia" w:ascii="宋体" w:hAnsi="宋体" w:eastAsia="宋体" w:cs="宋体"/>
          <w:color w:val="000000" w:themeColor="text1"/>
          <w:sz w:val="21"/>
          <w:szCs w:val="21"/>
          <w:lang w:val="en-US" w:eastAsia="zh-CN"/>
          <w14:textFill>
            <w14:solidFill>
              <w14:schemeClr w14:val="tx1"/>
            </w14:solidFill>
          </w14:textFill>
        </w:rPr>
        <w:t>交付招标人，承担全部运输、装卸费用及风险；交付时须提供产品出厂合格证、检验报告、技术资料等相关文件，配合招标人完成验收。</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 xml:space="preserve">.4 </w:t>
      </w:r>
      <w:r>
        <w:rPr>
          <w:rFonts w:hint="eastAsia" w:ascii="宋体" w:hAnsi="宋体" w:cs="宋体"/>
          <w:color w:val="000000" w:themeColor="text1"/>
          <w:sz w:val="21"/>
          <w:szCs w:val="21"/>
          <w:lang w:val="en-US" w:eastAsia="zh-CN"/>
          <w14:textFill>
            <w14:solidFill>
              <w14:schemeClr w14:val="tx1"/>
            </w14:solidFill>
          </w14:textFill>
        </w:rPr>
        <w:t>安装金具</w:t>
      </w:r>
      <w:r>
        <w:rPr>
          <w:rFonts w:hint="eastAsia" w:ascii="宋体" w:hAnsi="宋体" w:eastAsia="宋体" w:cs="宋体"/>
          <w:color w:val="000000" w:themeColor="text1"/>
          <w:sz w:val="21"/>
          <w:szCs w:val="21"/>
          <w:lang w:val="en-US" w:eastAsia="zh-CN"/>
          <w14:textFill>
            <w14:solidFill>
              <w14:schemeClr w14:val="tx1"/>
            </w14:solidFill>
          </w14:textFill>
        </w:rPr>
        <w:t>：每批订单须随货提供</w:t>
      </w:r>
      <w:r>
        <w:rPr>
          <w:rFonts w:hint="eastAsia" w:ascii="宋体" w:hAnsi="宋体" w:cs="宋体"/>
          <w:color w:val="000000" w:themeColor="text1"/>
          <w:sz w:val="21"/>
          <w:szCs w:val="21"/>
          <w:lang w:val="en-US" w:eastAsia="zh-CN"/>
          <w14:textFill>
            <w14:solidFill>
              <w14:schemeClr w14:val="tx1"/>
            </w14:solidFill>
          </w14:textFill>
        </w:rPr>
        <w:t>安装金具</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设备及太阳能电池板固定支架、扳手、螺丝刀等</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每套包含一台主机和两个太阳能电池板，</w:t>
      </w:r>
      <w:r>
        <w:rPr>
          <w:rFonts w:hint="eastAsia" w:ascii="宋体" w:hAnsi="宋体" w:eastAsia="宋体" w:cs="宋体"/>
          <w:color w:val="000000" w:themeColor="text1"/>
          <w:sz w:val="21"/>
          <w:szCs w:val="21"/>
          <w:lang w:val="en-US" w:eastAsia="zh-CN"/>
          <w14:textFill>
            <w14:solidFill>
              <w14:schemeClr w14:val="tx1"/>
            </w14:solidFill>
          </w14:textFill>
        </w:rPr>
        <w:t>，且须单独包装、标识，附带合格证明。</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162" w:name="_Toc15952"/>
      <w:bookmarkStart w:id="163" w:name="_Toc920"/>
      <w:bookmarkStart w:id="164" w:name="_Toc30443"/>
      <w:bookmarkStart w:id="165" w:name="_Toc26183"/>
      <w:bookmarkStart w:id="166" w:name="_Toc32681"/>
      <w:bookmarkStart w:id="167" w:name="_Toc16088"/>
      <w:bookmarkStart w:id="168" w:name="_Toc23286"/>
      <w:r>
        <w:rPr>
          <w:rFonts w:hint="default" w:ascii="Times New Roman" w:hAnsi="Times New Roman" w:cs="Times New Roman"/>
          <w:color w:val="000000" w:themeColor="text1"/>
          <w:sz w:val="24"/>
          <w:szCs w:val="24"/>
          <w:lang w:val="en-US" w:eastAsia="zh-CN"/>
          <w14:textFill>
            <w14:solidFill>
              <w14:schemeClr w14:val="tx1"/>
            </w14:solidFill>
          </w14:textFill>
        </w:rPr>
        <w:t>5</w:t>
      </w:r>
      <w:r>
        <w:rPr>
          <w:rFonts w:hint="eastAsia"/>
          <w:color w:val="000000" w:themeColor="text1"/>
          <w:sz w:val="24"/>
          <w:szCs w:val="24"/>
          <w:lang w:val="en-US" w:eastAsia="zh-CN"/>
          <w14:textFill>
            <w14:solidFill>
              <w14:schemeClr w14:val="tx1"/>
            </w14:solidFill>
          </w14:textFill>
        </w:rPr>
        <w:t>试验与检测要求</w:t>
      </w:r>
      <w:bookmarkEnd w:id="162"/>
      <w:bookmarkEnd w:id="163"/>
      <w:bookmarkEnd w:id="164"/>
      <w:bookmarkEnd w:id="165"/>
      <w:bookmarkEnd w:id="166"/>
      <w:bookmarkEnd w:id="167"/>
      <w:bookmarkEnd w:id="168"/>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69" w:name="_Toc27697"/>
      <w:bookmarkStart w:id="170" w:name="_Toc15973"/>
      <w:bookmarkStart w:id="171" w:name="_Toc20251"/>
      <w:bookmarkStart w:id="172" w:name="_Toc32509"/>
      <w:bookmarkStart w:id="173" w:name="_Toc32314"/>
      <w:bookmarkStart w:id="174" w:name="_Toc2807"/>
      <w:bookmarkStart w:id="175" w:name="_Toc15183"/>
      <w:r>
        <w:rPr>
          <w:rFonts w:hint="eastAsia" w:ascii="Times New Roman" w:eastAsia="黑体" w:cs="Times New Roman"/>
          <w:color w:val="000000" w:themeColor="text1"/>
          <w:sz w:val="24"/>
          <w:szCs w:val="24"/>
          <w:lang w:val="en-US" w:eastAsia="zh-CN"/>
          <w14:textFill>
            <w14:solidFill>
              <w14:schemeClr w14:val="tx1"/>
            </w14:solidFill>
          </w14:textFill>
        </w:rPr>
        <w:t>5.1 原材料检验</w:t>
      </w:r>
      <w:bookmarkEnd w:id="169"/>
      <w:bookmarkEnd w:id="170"/>
      <w:bookmarkEnd w:id="171"/>
      <w:bookmarkEnd w:id="172"/>
      <w:bookmarkEnd w:id="173"/>
      <w:bookmarkEnd w:id="174"/>
      <w:bookmarkEnd w:id="175"/>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5.1.1 </w:t>
      </w:r>
      <w:r>
        <w:rPr>
          <w:rFonts w:hint="eastAsia" w:ascii="宋体" w:hAnsi="宋体" w:cs="宋体"/>
          <w:color w:val="000000" w:themeColor="text1"/>
          <w:sz w:val="21"/>
          <w:szCs w:val="21"/>
          <w:lang w:val="en-US" w:eastAsia="zh-CN"/>
          <w14:textFill>
            <w14:solidFill>
              <w14:schemeClr w14:val="tx1"/>
            </w14:solidFill>
          </w14:textFill>
        </w:rPr>
        <w:t>不锈钢外壳</w:t>
      </w:r>
      <w:r>
        <w:rPr>
          <w:rFonts w:hint="eastAsia" w:ascii="宋体" w:hAnsi="宋体" w:eastAsia="宋体" w:cs="宋体"/>
          <w:color w:val="000000" w:themeColor="text1"/>
          <w:sz w:val="21"/>
          <w:szCs w:val="21"/>
          <w:lang w:val="en-US" w:eastAsia="zh-CN"/>
          <w14:textFill>
            <w14:solidFill>
              <w14:schemeClr w14:val="tx1"/>
            </w14:solidFill>
          </w14:textFill>
        </w:rPr>
        <w:t>：检验材质、尺寸公差等，符合</w:t>
      </w:r>
      <w:r>
        <w:rPr>
          <w:rFonts w:hint="eastAsia" w:ascii="宋体" w:hAnsi="宋体" w:eastAsia="宋体" w:cs="宋体"/>
          <w:color w:val="000000" w:themeColor="text1"/>
          <w:sz w:val="21"/>
          <w:szCs w:val="21"/>
          <w14:textFill>
            <w14:solidFill>
              <w14:schemeClr w14:val="tx1"/>
            </w14:solidFill>
          </w14:textFill>
        </w:rPr>
        <w:t>GB/T 20878</w:t>
      </w:r>
      <w:r>
        <w:rPr>
          <w:rFonts w:hint="eastAsia" w:ascii="宋体" w:hAnsi="宋体" w:eastAsia="宋体" w:cs="宋体"/>
          <w:color w:val="000000" w:themeColor="text1"/>
          <w:sz w:val="21"/>
          <w:szCs w:val="21"/>
          <w:lang w:val="en-US" w:eastAsia="zh-CN"/>
          <w14:textFill>
            <w14:solidFill>
              <w14:schemeClr w14:val="tx1"/>
            </w14:solidFill>
          </w14:textFill>
        </w:rPr>
        <w:t>标准及本规范要求。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5.1.2 不锈钢紧固件：检验材质、尺寸、强度、防腐蚀性能等，符合GB/T 1231标准及本规范要求。</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5.1.3 </w:t>
      </w:r>
      <w:r>
        <w:rPr>
          <w:rFonts w:hint="eastAsia" w:ascii="宋体" w:hAnsi="宋体" w:cs="宋体"/>
          <w:color w:val="000000" w:themeColor="text1"/>
          <w:sz w:val="21"/>
          <w:szCs w:val="21"/>
          <w:lang w:val="en-US" w:eastAsia="zh-CN"/>
          <w14:textFill>
            <w14:solidFill>
              <w14:schemeClr w14:val="tx1"/>
            </w14:solidFill>
          </w14:textFill>
        </w:rPr>
        <w:t>主机：支持在-40~+85℃温度、5~98%湿度环境下正常运行，故障诊断功能正常。</w:t>
      </w:r>
    </w:p>
    <w:p>
      <w:pPr>
        <w:keepNext w:val="0"/>
        <w:keepLines w:val="0"/>
        <w:widowControl w:val="0"/>
        <w:suppressLineNumbers w:val="0"/>
        <w:spacing w:before="120" w:after="120" w:line="288" w:lineRule="auto"/>
        <w:ind w:left="0"/>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5.1.4 通讯主板：支持插卡上送主机数据正常，插拔接口正常平顺。</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5.1.5 传感器：满足行波电流、工频电流传感器技术参数要求，满足行波电压、工频电压传感器技术参数要求；</w:t>
      </w:r>
    </w:p>
    <w:p>
      <w:pPr>
        <w:keepNext w:val="0"/>
        <w:keepLines w:val="0"/>
        <w:widowControl w:val="0"/>
        <w:suppressLineNumbers w:val="0"/>
        <w:spacing w:before="120" w:after="120" w:line="288" w:lineRule="auto"/>
        <w:ind w:left="0"/>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5.1.6 4G通信天线：支持多频段信号，天线外皮无破损，接头完好。</w:t>
      </w:r>
    </w:p>
    <w:p>
      <w:pPr>
        <w:keepNext w:val="0"/>
        <w:keepLines w:val="0"/>
        <w:widowControl w:val="0"/>
        <w:suppressLineNumbers w:val="0"/>
        <w:spacing w:before="120" w:after="120" w:line="288" w:lineRule="auto"/>
        <w:ind w:left="0"/>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5.1.7 BDS天线：高增益BDS天线，卫星跟踪快，定位准确，时间误差小</w:t>
      </w:r>
      <w:r>
        <w:rPr>
          <w:rFonts w:hint="eastAsia" w:ascii="宋体" w:hAnsi="宋体" w:eastAsia="宋体" w:cs="宋体"/>
          <w:color w:val="000000" w:themeColor="text1"/>
          <w:kern w:val="2"/>
          <w:sz w:val="21"/>
          <w:szCs w:val="21"/>
          <w14:textFill>
            <w14:solidFill>
              <w14:schemeClr w14:val="tx1"/>
            </w14:solidFill>
          </w14:textFill>
        </w:rPr>
        <w:t>。</w:t>
      </w:r>
    </w:p>
    <w:p>
      <w:pPr>
        <w:keepNext w:val="0"/>
        <w:keepLines w:val="0"/>
        <w:widowControl w:val="0"/>
        <w:suppressLineNumbers w:val="0"/>
        <w:spacing w:before="120" w:after="120" w:line="288" w:lineRule="auto"/>
        <w:ind w:lef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5.1.8 电池组：采用26700电池组合12.8V、20Ah,支持在高低温环境下充放电，过冲、过放无异常</w:t>
      </w:r>
      <w:r>
        <w:rPr>
          <w:rFonts w:hint="eastAsia" w:ascii="宋体" w:hAnsi="宋体" w:eastAsia="宋体" w:cs="宋体"/>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5.1.9 太阳能电池板：多晶硅材质，弱光环境下性能更优，耐高温且寿命衰减慢，搭配阻燃-耐热型橡胶软电缆、铸铝IP68航空插头，可适应复杂的外部环境；</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5.1.10 防雷器：用于设备现场防雷，提高设备运行稳定性</w:t>
      </w:r>
      <w:r>
        <w:rPr>
          <w:rFonts w:hint="eastAsia" w:ascii="宋体" w:hAnsi="宋体" w:eastAsia="宋体" w:cs="宋体"/>
          <w:color w:val="000000" w:themeColor="text1"/>
          <w:kern w:val="2"/>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5.1.</w:t>
      </w:r>
      <w:r>
        <w:rPr>
          <w:rFonts w:hint="eastAsia" w:ascii="宋体" w:hAnsi="宋体" w:cs="宋体"/>
          <w:color w:val="000000" w:themeColor="text1"/>
          <w:sz w:val="21"/>
          <w:szCs w:val="21"/>
          <w:lang w:val="en-US" w:eastAsia="zh-CN"/>
          <w14:textFill>
            <w14:solidFill>
              <w14:schemeClr w14:val="tx1"/>
            </w14:solidFill>
          </w14:textFill>
        </w:rPr>
        <w:t>11</w:t>
      </w:r>
      <w:r>
        <w:rPr>
          <w:rFonts w:hint="eastAsia" w:ascii="宋体" w:hAnsi="宋体" w:eastAsia="宋体" w:cs="宋体"/>
          <w:color w:val="000000" w:themeColor="text1"/>
          <w:sz w:val="21"/>
          <w:szCs w:val="21"/>
          <w:lang w:val="en-US" w:eastAsia="zh-CN"/>
          <w14:textFill>
            <w14:solidFill>
              <w14:schemeClr w14:val="tx1"/>
            </w14:solidFill>
          </w14:textFill>
        </w:rPr>
        <w:t xml:space="preserve"> 其他原材料：按相关标准及本规范要求进行对应项目检验。</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76" w:name="_Toc20068"/>
      <w:bookmarkStart w:id="177" w:name="_Toc17745"/>
      <w:bookmarkStart w:id="178" w:name="_Toc24376"/>
      <w:bookmarkStart w:id="179" w:name="_Toc7944"/>
      <w:bookmarkStart w:id="180" w:name="_Toc15203"/>
      <w:bookmarkStart w:id="181" w:name="_Toc32535"/>
      <w:bookmarkStart w:id="182" w:name="_Toc2353"/>
      <w:r>
        <w:rPr>
          <w:rFonts w:hint="eastAsia" w:ascii="Times New Roman" w:eastAsia="黑体" w:cs="Times New Roman"/>
          <w:color w:val="000000" w:themeColor="text1"/>
          <w:sz w:val="24"/>
          <w:szCs w:val="24"/>
          <w:lang w:val="en-US" w:eastAsia="zh-CN"/>
          <w14:textFill>
            <w14:solidFill>
              <w14:schemeClr w14:val="tx1"/>
            </w14:solidFill>
          </w14:textFill>
        </w:rPr>
        <w:t>5.2 过程检验</w:t>
      </w:r>
      <w:bookmarkEnd w:id="176"/>
      <w:bookmarkEnd w:id="177"/>
      <w:bookmarkEnd w:id="178"/>
      <w:bookmarkEnd w:id="179"/>
      <w:bookmarkEnd w:id="180"/>
      <w:bookmarkEnd w:id="181"/>
      <w:bookmarkEnd w:id="182"/>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5.2.1 表面处理检验：检验氧化层、镀锌层、喷塑层厚度、均匀度、附着力等，符合本规范要求。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 xml:space="preserve"> 组装检验：</w:t>
      </w:r>
      <w:r>
        <w:rPr>
          <w:rFonts w:hint="eastAsia" w:ascii="宋体" w:hAnsi="宋体" w:cs="宋体"/>
          <w:color w:val="000000" w:themeColor="text1"/>
          <w:sz w:val="21"/>
          <w:szCs w:val="21"/>
          <w:lang w:val="en-US" w:eastAsia="zh-CN"/>
          <w14:textFill>
            <w14:solidFill>
              <w14:schemeClr w14:val="tx1"/>
            </w14:solidFill>
          </w14:textFill>
        </w:rPr>
        <w:t>检验各部分是否安装牢固，螺丝紧固，线束丝印与接口一一对应，线束无破损和应力</w:t>
      </w:r>
      <w:r>
        <w:rPr>
          <w:rFonts w:hint="eastAsia" w:ascii="宋体" w:hAnsi="宋体" w:eastAsia="宋体" w:cs="宋体"/>
          <w:color w:val="000000" w:themeColor="text1"/>
          <w:sz w:val="21"/>
          <w:szCs w:val="21"/>
          <w:lang w:val="en-US" w:eastAsia="zh-CN"/>
          <w14:textFill>
            <w14:solidFill>
              <w14:schemeClr w14:val="tx1"/>
            </w14:solidFill>
          </w14:textFill>
        </w:rPr>
        <w:t>，符合本规范要求。</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83" w:name="_Toc10938"/>
      <w:bookmarkStart w:id="184" w:name="_Toc25667"/>
      <w:bookmarkStart w:id="185" w:name="_Toc18745"/>
      <w:bookmarkStart w:id="186" w:name="_Toc25105"/>
      <w:bookmarkStart w:id="187" w:name="_Toc11695"/>
      <w:bookmarkStart w:id="188" w:name="_Toc12185"/>
      <w:bookmarkStart w:id="189" w:name="_Toc18094"/>
      <w:r>
        <w:rPr>
          <w:rFonts w:hint="eastAsia" w:ascii="Times New Roman" w:eastAsia="黑体" w:cs="Times New Roman"/>
          <w:color w:val="000000" w:themeColor="text1"/>
          <w:sz w:val="24"/>
          <w:szCs w:val="24"/>
          <w:lang w:val="en-US" w:eastAsia="zh-CN"/>
          <w14:textFill>
            <w14:solidFill>
              <w14:schemeClr w14:val="tx1"/>
            </w14:solidFill>
          </w14:textFill>
        </w:rPr>
        <w:t>5.3 出厂试验</w:t>
      </w:r>
      <w:bookmarkEnd w:id="183"/>
      <w:bookmarkEnd w:id="184"/>
      <w:bookmarkEnd w:id="185"/>
      <w:bookmarkEnd w:id="186"/>
      <w:bookmarkEnd w:id="187"/>
      <w:bookmarkEnd w:id="188"/>
      <w:bookmarkEnd w:id="189"/>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每台设备出厂前均完成全项出厂试验，试验项目及要求如下：</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5.3.1 </w:t>
      </w:r>
      <w:r>
        <w:rPr>
          <w:rFonts w:hint="eastAsia" w:ascii="宋体" w:hAnsi="宋体" w:cs="宋体"/>
          <w:color w:val="000000" w:themeColor="text1"/>
          <w:sz w:val="21"/>
          <w:szCs w:val="21"/>
          <w:lang w:val="en-US" w:eastAsia="zh-CN"/>
          <w14:textFill>
            <w14:solidFill>
              <w14:schemeClr w14:val="tx1"/>
            </w14:solidFill>
          </w14:textFill>
        </w:rPr>
        <w:t>结构和外观检查</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检查设备表面是否存在划痕、碰伤、掉漆；布线是否整洁有序；螺丝是否完全紧固，密封条完整无破损，内外标签是否一致</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5.3.2 </w:t>
      </w:r>
      <w:r>
        <w:rPr>
          <w:rFonts w:hint="eastAsia" w:ascii="宋体" w:hAnsi="宋体" w:cs="宋体"/>
          <w:color w:val="000000" w:themeColor="text1"/>
          <w:sz w:val="21"/>
          <w:szCs w:val="21"/>
          <w:lang w:val="en-US" w:eastAsia="zh-CN"/>
          <w14:textFill>
            <w14:solidFill>
              <w14:schemeClr w14:val="tx1"/>
            </w14:solidFill>
          </w14:textFill>
        </w:rPr>
        <w:t>电源模块</w:t>
      </w:r>
      <w:r>
        <w:rPr>
          <w:rFonts w:hint="eastAsia" w:ascii="宋体" w:hAnsi="宋体" w:eastAsia="宋体" w:cs="宋体"/>
          <w:color w:val="000000" w:themeColor="text1"/>
          <w:sz w:val="21"/>
          <w:szCs w:val="21"/>
          <w:lang w:val="en-US" w:eastAsia="zh-CN"/>
          <w14:textFill>
            <w14:solidFill>
              <w14:schemeClr w14:val="tx1"/>
            </w14:solidFill>
          </w14:textFill>
        </w:rPr>
        <w:t>试验：</w:t>
      </w:r>
      <w:r>
        <w:rPr>
          <w:rFonts w:hint="eastAsia" w:ascii="宋体" w:hAnsi="宋体" w:cs="宋体"/>
          <w:color w:val="000000" w:themeColor="text1"/>
          <w:sz w:val="21"/>
          <w:szCs w:val="21"/>
          <w:lang w:val="en-US" w:eastAsia="zh-CN"/>
          <w14:textFill>
            <w14:solidFill>
              <w14:schemeClr w14:val="tx1"/>
            </w14:solidFill>
          </w14:textFill>
        </w:rPr>
        <w:t>使用充电机模拟太阳能电池板供电，测试是否支持单路2A，双路4A供电；测试电池放电是否正常</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5.3.3 </w:t>
      </w:r>
      <w:r>
        <w:rPr>
          <w:rFonts w:hint="eastAsia" w:ascii="宋体" w:hAnsi="宋体" w:cs="宋体"/>
          <w:color w:val="000000" w:themeColor="text1"/>
          <w:sz w:val="21"/>
          <w:szCs w:val="21"/>
          <w:lang w:val="en-US" w:eastAsia="zh-CN"/>
          <w14:textFill>
            <w14:solidFill>
              <w14:schemeClr w14:val="tx1"/>
            </w14:solidFill>
          </w14:textFill>
        </w:rPr>
        <w:t>通讯模块</w:t>
      </w:r>
      <w:r>
        <w:rPr>
          <w:rFonts w:hint="eastAsia" w:ascii="宋体" w:hAnsi="宋体" w:eastAsia="宋体" w:cs="宋体"/>
          <w:color w:val="000000" w:themeColor="text1"/>
          <w:sz w:val="21"/>
          <w:szCs w:val="21"/>
          <w:lang w:val="en-US" w:eastAsia="zh-CN"/>
          <w14:textFill>
            <w14:solidFill>
              <w14:schemeClr w14:val="tx1"/>
            </w14:solidFill>
          </w14:textFill>
        </w:rPr>
        <w:t>试验：</w:t>
      </w:r>
      <w:r>
        <w:rPr>
          <w:rFonts w:hint="eastAsia" w:ascii="宋体" w:hAnsi="宋体" w:cs="宋体"/>
          <w:color w:val="000000" w:themeColor="text1"/>
          <w:sz w:val="21"/>
          <w:szCs w:val="21"/>
          <w:lang w:val="en-US" w:eastAsia="zh-CN"/>
          <w14:textFill>
            <w14:solidFill>
              <w14:schemeClr w14:val="tx1"/>
            </w14:solidFill>
          </w14:textFill>
        </w:rPr>
        <w:t>设备是否可以正常上送实时工况到测试主站，查看BDS搜星数、4G信号强度是否满足标准</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5.3.4 </w:t>
      </w:r>
      <w:r>
        <w:rPr>
          <w:rFonts w:hint="eastAsia" w:ascii="宋体" w:hAnsi="宋体" w:cs="宋体"/>
          <w:color w:val="000000" w:themeColor="text1"/>
          <w:sz w:val="21"/>
          <w:szCs w:val="21"/>
          <w:lang w:val="en-US" w:eastAsia="zh-CN"/>
          <w14:textFill>
            <w14:solidFill>
              <w14:schemeClr w14:val="tx1"/>
            </w14:solidFill>
          </w14:textFill>
        </w:rPr>
        <w:t>控制模块</w:t>
      </w:r>
      <w:r>
        <w:rPr>
          <w:rFonts w:hint="eastAsia" w:ascii="宋体" w:hAnsi="宋体" w:eastAsia="宋体" w:cs="宋体"/>
          <w:color w:val="000000" w:themeColor="text1"/>
          <w:sz w:val="21"/>
          <w:szCs w:val="21"/>
          <w:lang w:val="en-US" w:eastAsia="zh-CN"/>
          <w14:textFill>
            <w14:solidFill>
              <w14:schemeClr w14:val="tx1"/>
            </w14:solidFill>
          </w14:textFill>
        </w:rPr>
        <w:t>试验：</w:t>
      </w:r>
      <w:r>
        <w:rPr>
          <w:rFonts w:hint="eastAsia" w:ascii="宋体" w:hAnsi="宋体" w:cs="宋体"/>
          <w:color w:val="000000" w:themeColor="text1"/>
          <w:sz w:val="21"/>
          <w:szCs w:val="21"/>
          <w:lang w:val="en-US" w:eastAsia="zh-CN"/>
          <w14:textFill>
            <w14:solidFill>
              <w14:schemeClr w14:val="tx1"/>
            </w14:solidFill>
          </w14:textFill>
        </w:rPr>
        <w:t>测试主站上测试是否可以正常读取设备参数并修改</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5.3.5 </w:t>
      </w:r>
      <w:r>
        <w:rPr>
          <w:rFonts w:hint="eastAsia" w:ascii="宋体" w:hAnsi="宋体" w:cs="宋体"/>
          <w:color w:val="000000" w:themeColor="text1"/>
          <w:sz w:val="21"/>
          <w:szCs w:val="21"/>
          <w:lang w:val="en-US" w:eastAsia="zh-CN"/>
          <w14:textFill>
            <w14:solidFill>
              <w14:schemeClr w14:val="tx1"/>
            </w14:solidFill>
          </w14:textFill>
        </w:rPr>
        <w:t>故障模拟同步性</w:t>
      </w:r>
      <w:r>
        <w:rPr>
          <w:rFonts w:hint="eastAsia" w:ascii="宋体" w:hAnsi="宋体" w:eastAsia="宋体" w:cs="宋体"/>
          <w:color w:val="000000" w:themeColor="text1"/>
          <w:sz w:val="21"/>
          <w:szCs w:val="21"/>
          <w:lang w:val="en-US" w:eastAsia="zh-CN"/>
          <w14:textFill>
            <w14:solidFill>
              <w14:schemeClr w14:val="tx1"/>
            </w14:solidFill>
          </w14:textFill>
        </w:rPr>
        <w:t>试验：</w:t>
      </w:r>
      <w:r>
        <w:rPr>
          <w:rFonts w:hint="eastAsia" w:ascii="宋体" w:hAnsi="宋体" w:cs="宋体"/>
          <w:color w:val="000000" w:themeColor="text1"/>
          <w:sz w:val="21"/>
          <w:szCs w:val="21"/>
          <w:lang w:val="en-US" w:eastAsia="zh-CN"/>
          <w14:textFill>
            <w14:solidFill>
              <w14:schemeClr w14:val="tx1"/>
            </w14:solidFill>
          </w14:textFill>
        </w:rPr>
        <w:t>将10台设备放置在故障模拟测试平台上，完成台账部署，使用测试平台间隔触发故障，测试设备是否可以正常启动，上送故障，且最大时间偏差不超过100ns</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5.3.6 </w:t>
      </w:r>
      <w:r>
        <w:rPr>
          <w:rFonts w:hint="eastAsia" w:ascii="宋体" w:hAnsi="宋体" w:cs="宋体"/>
          <w:color w:val="000000" w:themeColor="text1"/>
          <w:sz w:val="21"/>
          <w:szCs w:val="21"/>
          <w:lang w:val="en-US" w:eastAsia="zh-CN"/>
          <w14:textFill>
            <w14:solidFill>
              <w14:schemeClr w14:val="tx1"/>
            </w14:solidFill>
          </w14:textFill>
        </w:rPr>
        <w:t>故障测距试验</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将10台设备放置在故障模拟测试平台上，完成台账部署，使用测试平台测试故障发生在线路的不同位置，测试设备是否可以正常启动并给出正确的测试结果。</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5.3.7 </w:t>
      </w:r>
      <w:r>
        <w:rPr>
          <w:rFonts w:hint="eastAsia" w:ascii="宋体" w:hAnsi="宋体" w:cs="宋体"/>
          <w:color w:val="000000" w:themeColor="text1"/>
          <w:sz w:val="21"/>
          <w:szCs w:val="21"/>
          <w:lang w:val="en-US" w:eastAsia="zh-CN"/>
          <w14:textFill>
            <w14:solidFill>
              <w14:schemeClr w14:val="tx1"/>
            </w14:solidFill>
          </w14:textFill>
        </w:rPr>
        <w:t>连续运行试验</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设备在测试平台上尺寸运行168小时，过程中保证设备工况上送正常，数据正常无遗漏。</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5.3.8 所有出厂试验项目全部合格后方可出厂，并附带出厂试验报告。</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90" w:name="_Toc21366"/>
      <w:bookmarkStart w:id="191" w:name="_Toc3922"/>
      <w:bookmarkStart w:id="192" w:name="_Toc18019"/>
      <w:bookmarkStart w:id="193" w:name="_Toc19123"/>
      <w:bookmarkStart w:id="194" w:name="_Toc27153"/>
      <w:bookmarkStart w:id="195" w:name="_Toc17103"/>
      <w:bookmarkStart w:id="196" w:name="_Toc8042"/>
      <w:r>
        <w:rPr>
          <w:rFonts w:hint="eastAsia" w:ascii="Times New Roman" w:eastAsia="黑体" w:cs="Times New Roman"/>
          <w:color w:val="000000" w:themeColor="text1"/>
          <w:sz w:val="24"/>
          <w:szCs w:val="24"/>
          <w:lang w:val="en-US" w:eastAsia="zh-CN"/>
          <w14:textFill>
            <w14:solidFill>
              <w14:schemeClr w14:val="tx1"/>
            </w14:solidFill>
          </w14:textFill>
        </w:rPr>
        <w:t xml:space="preserve">5.4 </w:t>
      </w:r>
      <w:bookmarkEnd w:id="190"/>
      <w:bookmarkEnd w:id="191"/>
      <w:bookmarkEnd w:id="192"/>
      <w:bookmarkEnd w:id="193"/>
      <w:r>
        <w:rPr>
          <w:rFonts w:hint="eastAsia" w:ascii="Times New Roman" w:eastAsia="黑体" w:cs="Times New Roman"/>
          <w:color w:val="000000" w:themeColor="text1"/>
          <w:sz w:val="24"/>
          <w:szCs w:val="24"/>
          <w:lang w:val="en-US" w:eastAsia="zh-CN"/>
          <w14:textFill>
            <w14:solidFill>
              <w14:schemeClr w14:val="tx1"/>
            </w14:solidFill>
          </w14:textFill>
        </w:rPr>
        <w:t>第三方检测试验</w:t>
      </w:r>
      <w:bookmarkEnd w:id="194"/>
      <w:bookmarkEnd w:id="195"/>
      <w:bookmarkEnd w:id="196"/>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5.4.1 代加工方须提供第三方权威检测机构依据</w:t>
      </w:r>
      <w:r>
        <w:rPr>
          <w:rFonts w:hint="eastAsia" w:ascii="宋体" w:hAnsi="宋体" w:cs="宋体"/>
          <w:color w:val="000000" w:themeColor="text1"/>
          <w:sz w:val="21"/>
          <w:szCs w:val="21"/>
          <w:lang w:val="en-US" w:eastAsia="zh-CN"/>
          <w14:textFill>
            <w14:solidFill>
              <w14:schemeClr w14:val="tx1"/>
            </w14:solidFill>
          </w14:textFill>
        </w:rPr>
        <w:t>Q/GDW 11660-2022</w:t>
      </w:r>
      <w:r>
        <w:rPr>
          <w:rFonts w:hint="eastAsia" w:ascii="宋体" w:hAnsi="宋体" w:eastAsia="宋体" w:cs="宋体"/>
          <w:color w:val="000000" w:themeColor="text1"/>
          <w:sz w:val="21"/>
          <w:szCs w:val="21"/>
          <w:lang w:val="en-US" w:eastAsia="zh-CN"/>
          <w14:textFill>
            <w14:solidFill>
              <w14:schemeClr w14:val="tx1"/>
            </w14:solidFill>
          </w14:textFill>
        </w:rPr>
        <w:t>及本规范要求完成的全项</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报告，报告真实有效、可核查，</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项目覆盖产品全部技术参数及安全性能指标。</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5.4.2 框架合作期间，若产品结构、材质、工艺等发生重大变更，代加工方须重新进行</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，提供新的</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报告，经招标人确认后方可继续生产。</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197" w:name="_Toc2356"/>
      <w:bookmarkStart w:id="198" w:name="_Toc11826"/>
      <w:bookmarkStart w:id="199" w:name="_Toc26405"/>
      <w:bookmarkStart w:id="200" w:name="_Toc14712"/>
      <w:bookmarkStart w:id="201" w:name="_Toc6127"/>
      <w:bookmarkStart w:id="202" w:name="_Toc8672"/>
      <w:bookmarkStart w:id="203" w:name="_Toc154"/>
      <w:r>
        <w:rPr>
          <w:rFonts w:hint="eastAsia" w:ascii="Times New Roman" w:eastAsia="黑体" w:cs="Times New Roman"/>
          <w:color w:val="000000" w:themeColor="text1"/>
          <w:sz w:val="24"/>
          <w:szCs w:val="24"/>
          <w:lang w:val="en-US" w:eastAsia="zh-CN"/>
          <w14:textFill>
            <w14:solidFill>
              <w14:schemeClr w14:val="tx1"/>
            </w14:solidFill>
          </w14:textFill>
        </w:rPr>
        <w:t>5.5 到货验收试验</w:t>
      </w:r>
      <w:bookmarkEnd w:id="197"/>
      <w:bookmarkEnd w:id="198"/>
      <w:bookmarkEnd w:id="199"/>
      <w:bookmarkEnd w:id="200"/>
      <w:bookmarkEnd w:id="201"/>
      <w:bookmarkEnd w:id="202"/>
      <w:bookmarkEnd w:id="203"/>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设备到货后，招标人现场开展验收试验，代加工方须配合，试验项目如下：</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5.5.1 外观、结构、配置完整性核查：检查产品外观、结构是否完整，零部件是否齐全，无缺项、无损坏。</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5.5.2 尺寸、重量参数核查：实测产品尺寸、整机自重，符合本规范要求。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5.5.3 功能测试：测试</w:t>
      </w:r>
      <w:r>
        <w:rPr>
          <w:rFonts w:hint="eastAsia" w:ascii="宋体" w:hAnsi="宋体"/>
          <w:color w:val="000000" w:themeColor="text1"/>
          <w:szCs w:val="21"/>
          <w:lang w:val="en-US" w:eastAsia="zh-CN"/>
          <w14:textFill>
            <w14:solidFill>
              <w14:schemeClr w14:val="tx1"/>
            </w14:solidFill>
          </w14:textFill>
        </w:rPr>
        <w:t>电源模块、</w:t>
      </w:r>
      <w:r>
        <w:rPr>
          <w:rFonts w:hint="eastAsia" w:ascii="宋体" w:hAnsi="宋体" w:eastAsia="宋体" w:cs="Times New Roman"/>
          <w:color w:val="000000" w:themeColor="text1"/>
          <w:kern w:val="2"/>
          <w:sz w:val="21"/>
          <w:szCs w:val="21"/>
          <w:lang w:val="en-US" w:eastAsia="zh-CN" w:bidi="ar"/>
          <w14:textFill>
            <w14:solidFill>
              <w14:schemeClr w14:val="tx1"/>
            </w14:solidFill>
          </w14:textFill>
        </w:rPr>
        <w:t>通信模块、控制模块、故障模拟同步性、故障测距</w:t>
      </w:r>
      <w:r>
        <w:rPr>
          <w:rFonts w:hint="eastAsia" w:ascii="宋体" w:hAnsi="宋体" w:eastAsia="宋体" w:cs="宋体"/>
          <w:color w:val="000000" w:themeColor="text1"/>
          <w:sz w:val="21"/>
          <w:szCs w:val="21"/>
          <w:lang w:val="en-US" w:eastAsia="zh-CN"/>
          <w14:textFill>
            <w14:solidFill>
              <w14:schemeClr w14:val="tx1"/>
            </w14:solidFill>
          </w14:textFill>
        </w:rPr>
        <w:t>等功能，符合本规范要求。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5.5.4 技术资料核查：检查出厂合格证、检验报告、使用说明书等技术资料是否完整、规范。</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04" w:name="_Toc4957"/>
      <w:bookmarkStart w:id="205" w:name="_Toc1208"/>
      <w:bookmarkStart w:id="206" w:name="_Toc8369"/>
      <w:bookmarkStart w:id="207" w:name="_Toc16009"/>
      <w:bookmarkStart w:id="208" w:name="_Toc7614"/>
      <w:bookmarkStart w:id="209" w:name="_Toc19339"/>
      <w:bookmarkStart w:id="210" w:name="_Toc20737"/>
      <w:r>
        <w:rPr>
          <w:rFonts w:hint="eastAsia" w:ascii="Times New Roman" w:eastAsia="黑体" w:cs="Times New Roman"/>
          <w:color w:val="000000" w:themeColor="text1"/>
          <w:sz w:val="24"/>
          <w:szCs w:val="24"/>
          <w:lang w:val="en-US" w:eastAsia="zh-CN"/>
          <w14:textFill>
            <w14:solidFill>
              <w14:schemeClr w14:val="tx1"/>
            </w14:solidFill>
          </w14:textFill>
        </w:rPr>
        <w:t>5.6 合格判定标准</w:t>
      </w:r>
      <w:bookmarkEnd w:id="204"/>
      <w:bookmarkEnd w:id="205"/>
      <w:bookmarkEnd w:id="206"/>
      <w:bookmarkEnd w:id="207"/>
      <w:bookmarkEnd w:id="208"/>
      <w:bookmarkEnd w:id="209"/>
      <w:bookmarkEnd w:id="210"/>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5.6.1 原材料检验、过程检验、出厂试验、</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、到货验收试验所有项目，全部满足本规范及行业标准要求，无不合格项，方可判定合格。</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5.6.2 若任意一项试验项目不合格，代加工方须在招标人规定的期限内整改，重新进行检验试验，直至合格；若整改后仍不合格，招标人有权拒收该批次产品，解除订单，并追究代加工方的违约责任。</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11" w:name="_Toc19327"/>
      <w:bookmarkStart w:id="212" w:name="_Toc19352"/>
      <w:bookmarkStart w:id="213" w:name="_Toc29638"/>
      <w:bookmarkStart w:id="214" w:name="_Toc17132"/>
      <w:bookmarkStart w:id="215" w:name="_Toc24042"/>
      <w:bookmarkStart w:id="216" w:name="_Toc20917"/>
      <w:bookmarkStart w:id="217" w:name="_Toc23190"/>
      <w:r>
        <w:rPr>
          <w:rFonts w:hint="default" w:ascii="Times New Roman" w:hAnsi="Times New Roman" w:cs="Times New Roman"/>
          <w:color w:val="000000" w:themeColor="text1"/>
          <w:sz w:val="24"/>
          <w:szCs w:val="24"/>
          <w:lang w:val="en-US" w:eastAsia="zh-CN"/>
          <w14:textFill>
            <w14:solidFill>
              <w14:schemeClr w14:val="tx1"/>
            </w14:solidFill>
          </w14:textFill>
        </w:rPr>
        <w:t xml:space="preserve">6 </w:t>
      </w:r>
      <w:r>
        <w:rPr>
          <w:rFonts w:hint="eastAsia"/>
          <w:color w:val="000000" w:themeColor="text1"/>
          <w:sz w:val="24"/>
          <w:szCs w:val="24"/>
          <w:lang w:val="en-US" w:eastAsia="zh-CN"/>
          <w14:textFill>
            <w14:solidFill>
              <w14:schemeClr w14:val="tx1"/>
            </w14:solidFill>
          </w14:textFill>
        </w:rPr>
        <w:t>质量保证要求</w:t>
      </w:r>
      <w:bookmarkEnd w:id="211"/>
      <w:bookmarkEnd w:id="212"/>
      <w:bookmarkEnd w:id="213"/>
      <w:bookmarkEnd w:id="214"/>
      <w:bookmarkEnd w:id="215"/>
      <w:bookmarkEnd w:id="216"/>
      <w:bookmarkEnd w:id="217"/>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6.1 代加工方须保证所生产的产品符合本规范、国家及行业相关标准，质量合格、性能可靠，无材料缺陷、焊接缺陷、结构疲劳隐患，满足</w:t>
      </w:r>
      <w:r>
        <w:rPr>
          <w:rFonts w:hint="eastAsia" w:ascii="宋体" w:hAnsi="宋体" w:cs="宋体"/>
          <w:color w:val="000000" w:themeColor="text1"/>
          <w:sz w:val="21"/>
          <w:szCs w:val="21"/>
          <w:lang w:val="en-US" w:eastAsia="zh-CN"/>
          <w14:textFill>
            <w14:solidFill>
              <w14:schemeClr w14:val="tx1"/>
            </w14:solidFill>
          </w14:textFill>
        </w:rPr>
        <w:t>长期驻塔故障监测</w:t>
      </w:r>
      <w:r>
        <w:rPr>
          <w:rFonts w:hint="eastAsia" w:ascii="宋体" w:hAnsi="宋体" w:eastAsia="宋体" w:cs="宋体"/>
          <w:color w:val="000000" w:themeColor="text1"/>
          <w:sz w:val="21"/>
          <w:szCs w:val="21"/>
          <w:lang w:val="en-US" w:eastAsia="zh-CN"/>
          <w14:textFill>
            <w14:solidFill>
              <w14:schemeClr w14:val="tx1"/>
            </w14:solidFill>
          </w14:textFill>
        </w:rPr>
        <w:t>使用。</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6.2 整机质保期：≥24个月，自设备到货验收合格之日起计算；质保期内，若产品出现非人为损坏的质量问题（包括原材料质量、加工质量、零部件质量等），代加工方须免费维修、免费更换整机及配件，无偿上门处理，承担全部维修、更换费用及运输费用。</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6.3 质保期内，产品出现质量缺陷，代加工方须在48小时内响应，72小时内完成现场处理；若无法现场处理，须提供临时替代产品，确保招标人正常使用，待故障产品修复后更换。</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6.4 若因代加工方原材料质量、加工工艺等问题，导致产品出现重大质量事故，代加工方须承担全部责任，赔偿招标人因此造成的全部损失，招标人有权终止框架合作协议。</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18" w:name="_Toc11251"/>
      <w:bookmarkStart w:id="219" w:name="_Toc13155"/>
      <w:bookmarkStart w:id="220" w:name="_Toc20779"/>
      <w:bookmarkStart w:id="221" w:name="_Toc9636"/>
      <w:bookmarkStart w:id="222" w:name="_Toc20749"/>
      <w:bookmarkStart w:id="223" w:name="_Toc9200"/>
      <w:bookmarkStart w:id="224" w:name="_Toc31870"/>
      <w:r>
        <w:rPr>
          <w:rFonts w:hint="default" w:ascii="Times New Roman" w:hAnsi="Times New Roman" w:cs="Times New Roman"/>
          <w:color w:val="000000" w:themeColor="text1"/>
          <w:sz w:val="24"/>
          <w:szCs w:val="24"/>
          <w:lang w:val="en-US" w:eastAsia="zh-CN"/>
          <w14:textFill>
            <w14:solidFill>
              <w14:schemeClr w14:val="tx1"/>
            </w14:solidFill>
          </w14:textFill>
        </w:rPr>
        <w:t>7</w:t>
      </w:r>
      <w:r>
        <w:rPr>
          <w:rFonts w:hint="eastAsia"/>
          <w:color w:val="000000" w:themeColor="text1"/>
          <w:sz w:val="24"/>
          <w:szCs w:val="24"/>
          <w:lang w:val="en-US" w:eastAsia="zh-CN"/>
          <w14:textFill>
            <w14:solidFill>
              <w14:schemeClr w14:val="tx1"/>
            </w14:solidFill>
          </w14:textFill>
        </w:rPr>
        <w:t xml:space="preserve"> 包装、运输及储存要求</w:t>
      </w:r>
      <w:bookmarkEnd w:id="218"/>
      <w:bookmarkEnd w:id="219"/>
      <w:bookmarkEnd w:id="220"/>
      <w:bookmarkEnd w:id="221"/>
      <w:bookmarkEnd w:id="222"/>
      <w:bookmarkEnd w:id="223"/>
      <w:bookmarkEnd w:id="224"/>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7.1 包装：严格按照本规范4.</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.1条要求执行，确保产品在运输过程中不受损坏；包装材料须符合环保要求，可回收利用。</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 运输：代加工方选择合适的运输方式（如物流、快递），确保产品按时、安全交付；运输过程中须采取防震、防潮、防挤压、防碰撞措施，避免产品结构变形、零部件损坏；运输费用、装卸费用、运输风险全部由代加工方承担。</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7.3 储存：代加工方的产品储存环境须干燥、通风、防潮、防腐蚀、防重压、防阳光直射，产品摆放整齐，做好标识；长期储存的产品，须定期检查、维护，确保产品质量不受影响。</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7.4 包装箱须具备重复收纳功能，便于招标人库房存放、重复使用。</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25" w:name="_Toc3109"/>
      <w:bookmarkStart w:id="226" w:name="_Toc31621"/>
      <w:bookmarkStart w:id="227" w:name="_Toc11387"/>
      <w:bookmarkStart w:id="228" w:name="_Toc27758"/>
      <w:bookmarkStart w:id="229" w:name="_Toc14981"/>
      <w:bookmarkStart w:id="230" w:name="_Toc8801"/>
      <w:bookmarkStart w:id="231" w:name="_Toc18205"/>
      <w:r>
        <w:rPr>
          <w:rFonts w:hint="default" w:ascii="Times New Roman" w:hAnsi="Times New Roman" w:cs="Times New Roman"/>
          <w:color w:val="000000" w:themeColor="text1"/>
          <w:sz w:val="24"/>
          <w:szCs w:val="24"/>
          <w:lang w:val="en-US" w:eastAsia="zh-CN"/>
          <w14:textFill>
            <w14:solidFill>
              <w14:schemeClr w14:val="tx1"/>
            </w14:solidFill>
          </w14:textFill>
        </w:rPr>
        <w:t>8</w:t>
      </w:r>
      <w:r>
        <w:rPr>
          <w:rFonts w:hint="eastAsia"/>
          <w:color w:val="000000" w:themeColor="text1"/>
          <w:sz w:val="24"/>
          <w:szCs w:val="24"/>
          <w:lang w:val="en-US" w:eastAsia="zh-CN"/>
          <w14:textFill>
            <w14:solidFill>
              <w14:schemeClr w14:val="tx1"/>
            </w14:solidFill>
          </w14:textFill>
        </w:rPr>
        <w:t xml:space="preserve"> 安装、调试及技术支持要求</w:t>
      </w:r>
      <w:bookmarkEnd w:id="225"/>
      <w:bookmarkEnd w:id="226"/>
      <w:bookmarkEnd w:id="227"/>
      <w:bookmarkEnd w:id="228"/>
      <w:bookmarkEnd w:id="229"/>
      <w:bookmarkEnd w:id="230"/>
      <w:bookmarkEnd w:id="231"/>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8.1 代加工方</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提供产品安装、调试指导服务，</w:t>
      </w:r>
      <w:r>
        <w:rPr>
          <w:rFonts w:hint="eastAsia" w:ascii="宋体" w:hAnsi="宋体" w:cs="宋体"/>
          <w:color w:val="000000" w:themeColor="text1"/>
          <w:sz w:val="21"/>
          <w:szCs w:val="21"/>
          <w:lang w:val="en-US" w:eastAsia="zh-CN"/>
          <w14:textFill>
            <w14:solidFill>
              <w14:schemeClr w14:val="tx1"/>
            </w14:solidFill>
          </w14:textFill>
        </w:rPr>
        <w:t>如有必要需</w:t>
      </w:r>
      <w:r>
        <w:rPr>
          <w:rFonts w:hint="eastAsia" w:ascii="宋体" w:hAnsi="宋体" w:eastAsia="宋体" w:cs="宋体"/>
          <w:color w:val="000000" w:themeColor="text1"/>
          <w:sz w:val="21"/>
          <w:szCs w:val="21"/>
          <w:lang w:val="en-US" w:eastAsia="zh-CN"/>
          <w14:textFill>
            <w14:solidFill>
              <w14:schemeClr w14:val="tx1"/>
            </w14:solidFill>
          </w14:textFill>
        </w:rPr>
        <w:t>派遣专业技术人员现场指导招标人进行产品悬挂安装、展开调试，确保产品安装规范、调试合格，能够正常使用。</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8.2 安装、调试过程中，代加工方技术人员</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向招标人操作、运维人员讲解产品结构、安装要点、操作方法、注意事项等，确保相关人员掌握基本操作技能。</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8.3 框架合作期间，代加工方须提供24小时远程技术支持服务，及时解答招标人产品使用、维护、故障处理等方面的疑问；若出现无法远程解决的故障，</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派遣技术人员现场处理。</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8.4 代加工方</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提供产品维护保养指导，指导招标人做好产品日常维护保养工作，延长产品使用寿命。</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32" w:name="_Toc16070"/>
      <w:bookmarkStart w:id="233" w:name="_Toc23761"/>
      <w:bookmarkStart w:id="234" w:name="_Toc30034"/>
      <w:bookmarkStart w:id="235" w:name="_Toc20852"/>
      <w:bookmarkStart w:id="236" w:name="_Toc14021"/>
      <w:bookmarkStart w:id="237" w:name="_Toc7875"/>
      <w:bookmarkStart w:id="238" w:name="_Toc5448"/>
      <w:r>
        <w:rPr>
          <w:rFonts w:hint="default" w:ascii="Times New Roman" w:hAnsi="Times New Roman" w:cs="Times New Roman"/>
          <w:color w:val="000000" w:themeColor="text1"/>
          <w:sz w:val="24"/>
          <w:szCs w:val="24"/>
          <w:lang w:val="en-US" w:eastAsia="zh-CN"/>
          <w14:textFill>
            <w14:solidFill>
              <w14:schemeClr w14:val="tx1"/>
            </w14:solidFill>
          </w14:textFill>
        </w:rPr>
        <w:t>9</w:t>
      </w:r>
      <w:r>
        <w:rPr>
          <w:rFonts w:hint="eastAsia"/>
          <w:color w:val="000000" w:themeColor="text1"/>
          <w:sz w:val="24"/>
          <w:szCs w:val="24"/>
          <w:lang w:val="en-US" w:eastAsia="zh-CN"/>
          <w14:textFill>
            <w14:solidFill>
              <w14:schemeClr w14:val="tx1"/>
            </w14:solidFill>
          </w14:textFill>
        </w:rPr>
        <w:t xml:space="preserve"> 交付技术资料要求</w:t>
      </w:r>
      <w:bookmarkEnd w:id="232"/>
      <w:bookmarkEnd w:id="233"/>
      <w:bookmarkEnd w:id="234"/>
      <w:bookmarkEnd w:id="235"/>
      <w:bookmarkEnd w:id="236"/>
      <w:bookmarkEnd w:id="237"/>
      <w:bookmarkEnd w:id="238"/>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代加工方须随每批订单产品，交付完整的技术资料，资料须完整、规范、清晰，具体如下：</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9.1 产品出厂合格证（每台产品1份，加盖代加工方公章）；</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9.2 全项出厂试验检测报告（每批订单1份，加盖代加工方公章）；</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9.3 第三方</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报告复印件（加盖代加工方公章，每批订单1份）；</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9.4 详细产品使用维护说明书（含结构图纸、操作步骤、保养规范、故障排查方法）；</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9.5 产品质保卡、零部件清单；</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9.6 设备安装示意图</w:t>
      </w:r>
      <w:r>
        <w:rPr>
          <w:rFonts w:hint="eastAsia" w:ascii="宋体" w:hAnsi="宋体" w:cs="宋体"/>
          <w:color w:val="000000" w:themeColor="text1"/>
          <w:sz w:val="21"/>
          <w:szCs w:val="21"/>
          <w:lang w:val="en-US" w:eastAsia="zh-CN"/>
          <w14:textFill>
            <w14:solidFill>
              <w14:schemeClr w14:val="tx1"/>
            </w14:solidFill>
          </w14:textFill>
        </w:rPr>
        <w:t>。</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39" w:name="_Toc9443"/>
      <w:bookmarkStart w:id="240" w:name="_Toc8315"/>
      <w:bookmarkStart w:id="241" w:name="_Toc9196"/>
      <w:bookmarkStart w:id="242" w:name="_Toc25886"/>
      <w:bookmarkStart w:id="243" w:name="_Toc4334"/>
      <w:bookmarkStart w:id="244" w:name="_Toc29944"/>
      <w:bookmarkStart w:id="245" w:name="_Toc30594"/>
      <w:r>
        <w:rPr>
          <w:rFonts w:hint="default" w:ascii="Times New Roman" w:hAnsi="Times New Roman" w:cs="Times New Roman"/>
          <w:color w:val="000000" w:themeColor="text1"/>
          <w:sz w:val="24"/>
          <w:szCs w:val="24"/>
          <w:lang w:val="en-US" w:eastAsia="zh-CN"/>
          <w14:textFill>
            <w14:solidFill>
              <w14:schemeClr w14:val="tx1"/>
            </w14:solidFill>
          </w14:textFill>
        </w:rPr>
        <w:t>10</w:t>
      </w:r>
      <w:r>
        <w:rPr>
          <w:rFonts w:hint="eastAsia"/>
          <w:color w:val="000000" w:themeColor="text1"/>
          <w:sz w:val="24"/>
          <w:szCs w:val="24"/>
          <w:lang w:val="en-US" w:eastAsia="zh-CN"/>
          <w14:textFill>
            <w14:solidFill>
              <w14:schemeClr w14:val="tx1"/>
            </w14:solidFill>
          </w14:textFill>
        </w:rPr>
        <w:t xml:space="preserve"> 验收标准及验收流程</w:t>
      </w:r>
      <w:bookmarkEnd w:id="239"/>
      <w:bookmarkEnd w:id="240"/>
      <w:bookmarkEnd w:id="241"/>
      <w:bookmarkEnd w:id="242"/>
      <w:bookmarkEnd w:id="243"/>
      <w:bookmarkEnd w:id="244"/>
      <w:bookmarkEnd w:id="245"/>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46" w:name="_Toc22291"/>
      <w:bookmarkStart w:id="247" w:name="_Toc18839"/>
      <w:bookmarkStart w:id="248" w:name="_Toc8915"/>
      <w:bookmarkStart w:id="249" w:name="_Toc7765"/>
      <w:bookmarkStart w:id="250" w:name="_Toc26805"/>
      <w:bookmarkStart w:id="251" w:name="_Toc29584"/>
      <w:bookmarkStart w:id="252" w:name="_Toc17440"/>
      <w:r>
        <w:rPr>
          <w:rFonts w:hint="eastAsia" w:ascii="Times New Roman" w:eastAsia="黑体" w:cs="Times New Roman"/>
          <w:color w:val="000000" w:themeColor="text1"/>
          <w:sz w:val="24"/>
          <w:szCs w:val="24"/>
          <w:lang w:val="en-US" w:eastAsia="zh-CN"/>
          <w14:textFill>
            <w14:solidFill>
              <w14:schemeClr w14:val="tx1"/>
            </w14:solidFill>
          </w14:textFill>
        </w:rPr>
        <w:t>10.1 验收依据</w:t>
      </w:r>
      <w:bookmarkEnd w:id="246"/>
      <w:bookmarkEnd w:id="247"/>
      <w:bookmarkEnd w:id="248"/>
      <w:bookmarkEnd w:id="249"/>
      <w:bookmarkEnd w:id="250"/>
      <w:bookmarkEnd w:id="251"/>
      <w:bookmarkEnd w:id="252"/>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本技术规范书、国家及电力行业现行标准、</w:t>
      </w:r>
      <w:r>
        <w:rPr>
          <w:rFonts w:hint="eastAsia" w:ascii="宋体" w:hAnsi="宋体" w:cs="宋体"/>
          <w:color w:val="000000" w:themeColor="text1"/>
          <w:sz w:val="21"/>
          <w:szCs w:val="21"/>
          <w:lang w:val="en-US" w:eastAsia="zh-CN"/>
          <w14:textFill>
            <w14:solidFill>
              <w14:schemeClr w14:val="tx1"/>
            </w14:solidFill>
          </w14:textFill>
        </w:rPr>
        <w:t>Q/GDW 11660-2022</w:t>
      </w:r>
      <w:r>
        <w:rPr>
          <w:rFonts w:hint="eastAsia" w:ascii="宋体" w:hAnsi="宋体" w:eastAsia="宋体" w:cs="宋体"/>
          <w:color w:val="000000" w:themeColor="text1"/>
          <w:sz w:val="21"/>
          <w:szCs w:val="21"/>
          <w:lang w:val="en-US" w:eastAsia="zh-CN"/>
          <w14:textFill>
            <w14:solidFill>
              <w14:schemeClr w14:val="tx1"/>
            </w14:solidFill>
          </w14:textFill>
        </w:rPr>
        <w:t>、招标人提供的技术图纸、加工工艺文件、投标承诺参数、框架合作协议、代加工订单约定条款。</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53" w:name="_Toc19868"/>
      <w:bookmarkStart w:id="254" w:name="_Toc30479"/>
      <w:bookmarkStart w:id="255" w:name="_Toc7948"/>
      <w:bookmarkStart w:id="256" w:name="_Toc14486"/>
      <w:bookmarkStart w:id="257" w:name="_Toc4919"/>
      <w:bookmarkStart w:id="258" w:name="_Toc7033"/>
      <w:bookmarkStart w:id="259" w:name="_Toc19039"/>
      <w:r>
        <w:rPr>
          <w:rFonts w:hint="eastAsia" w:ascii="Times New Roman" w:eastAsia="黑体" w:cs="Times New Roman"/>
          <w:color w:val="000000" w:themeColor="text1"/>
          <w:sz w:val="24"/>
          <w:szCs w:val="24"/>
          <w:lang w:val="en-US" w:eastAsia="zh-CN"/>
          <w14:textFill>
            <w14:solidFill>
              <w14:schemeClr w14:val="tx1"/>
            </w14:solidFill>
          </w14:textFill>
        </w:rPr>
        <w:t>10.2 验收阶段</w:t>
      </w:r>
      <w:bookmarkEnd w:id="253"/>
      <w:bookmarkEnd w:id="254"/>
      <w:bookmarkEnd w:id="255"/>
      <w:bookmarkEnd w:id="256"/>
      <w:bookmarkEnd w:id="257"/>
      <w:bookmarkEnd w:id="258"/>
      <w:bookmarkEnd w:id="259"/>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.2.1 到货验收：产品到货后，招标人组织相关人员，对产品外观、结构、配置完整性、技术资料完整性进行核查，代加工方须配合。</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260" w:name="_Toc23568"/>
      <w:bookmarkStart w:id="261" w:name="_Toc5014"/>
      <w:bookmarkStart w:id="262" w:name="_Toc29794"/>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.2.2 现场性能验收：到货验收合格后，开展现场性能验收，对产品技术参数</w:t>
      </w:r>
      <w:r>
        <w:rPr>
          <w:rFonts w:hint="eastAsia" w:ascii="宋体" w:hAnsi="宋体" w:cs="宋体"/>
          <w:color w:val="000000" w:themeColor="text1"/>
          <w:sz w:val="21"/>
          <w:szCs w:val="21"/>
          <w:highlight w:val="none"/>
          <w:lang w:val="en-US" w:eastAsia="zh-CN"/>
          <w14:textFill>
            <w14:solidFill>
              <w14:schemeClr w14:val="tx1"/>
            </w14:solidFill>
          </w14:textFill>
        </w:rPr>
        <w:t>、功能</w:t>
      </w:r>
      <w:r>
        <w:rPr>
          <w:rFonts w:hint="eastAsia" w:ascii="宋体" w:hAnsi="宋体" w:eastAsia="宋体" w:cs="宋体"/>
          <w:color w:val="000000" w:themeColor="text1"/>
          <w:sz w:val="21"/>
          <w:szCs w:val="21"/>
          <w:highlight w:val="none"/>
          <w:lang w:val="en-US" w:eastAsia="zh-CN"/>
          <w14:textFill>
            <w14:solidFill>
              <w14:schemeClr w14:val="tx1"/>
            </w14:solidFill>
          </w14:textFill>
        </w:rPr>
        <w:t>进行实测，代加工方须提供必要的测试条件和技术支持。</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.2.3 综合验收：到货验收、现场性能验收全部合格后，招标人组织综合验收，签署验收合格文件；若验收过程中发现不合格项，代加工方须按要求整改，重新验收，直至合格。</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63" w:name="_Toc28614"/>
      <w:bookmarkStart w:id="264" w:name="_Toc25025"/>
      <w:bookmarkStart w:id="265" w:name="_Toc28594"/>
      <w:bookmarkStart w:id="266" w:name="_Toc27581"/>
      <w:r>
        <w:rPr>
          <w:rFonts w:hint="eastAsia" w:ascii="Times New Roman" w:eastAsia="黑体" w:cs="Times New Roman"/>
          <w:color w:val="000000" w:themeColor="text1"/>
          <w:sz w:val="24"/>
          <w:szCs w:val="24"/>
          <w:lang w:val="en-US" w:eastAsia="zh-CN"/>
          <w14:textFill>
            <w14:solidFill>
              <w14:schemeClr w14:val="tx1"/>
            </w14:solidFill>
          </w14:textFill>
        </w:rPr>
        <w:t>10.3 验收合格判定</w:t>
      </w:r>
      <w:bookmarkEnd w:id="260"/>
      <w:bookmarkEnd w:id="261"/>
      <w:bookmarkEnd w:id="262"/>
      <w:bookmarkEnd w:id="263"/>
      <w:bookmarkEnd w:id="264"/>
      <w:bookmarkEnd w:id="265"/>
      <w:bookmarkEnd w:id="266"/>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.3.1 产品为全新原厂合格产品，无翻新、无二手、无返修部件，配置齐全无缺项。</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.3.2 所有技术参数、结构、功能、安全指标全部满足本规范全部条款要求。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.3.3 原材料检验、过程检验、出厂试验、</w:t>
      </w:r>
      <w:r>
        <w:rPr>
          <w:rFonts w:hint="eastAsia" w:ascii="宋体" w:hAnsi="宋体" w:cs="宋体"/>
          <w:color w:val="000000" w:themeColor="text1"/>
          <w:sz w:val="21"/>
          <w:szCs w:val="21"/>
          <w:lang w:val="en-US" w:eastAsia="zh-CN"/>
          <w14:textFill>
            <w14:solidFill>
              <w14:schemeClr w14:val="tx1"/>
            </w14:solidFill>
          </w14:textFill>
        </w:rPr>
        <w:t>第三方检测试验</w:t>
      </w:r>
      <w:r>
        <w:rPr>
          <w:rFonts w:hint="eastAsia" w:ascii="宋体" w:hAnsi="宋体" w:eastAsia="宋体" w:cs="宋体"/>
          <w:color w:val="000000" w:themeColor="text1"/>
          <w:sz w:val="21"/>
          <w:szCs w:val="21"/>
          <w:lang w:val="en-US" w:eastAsia="zh-CN"/>
          <w14:textFill>
            <w14:solidFill>
              <w14:schemeClr w14:val="tx1"/>
            </w14:solidFill>
          </w14:textFill>
        </w:rPr>
        <w:t>、到货验收试验全部合格，检验报告完整、规范。</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.3.4 技术资料完整、齐全，符合本规范要求。</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.3.5 代加工过程符合本规范要求，生产记录、质量追溯台账完整可追溯。</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67" w:name="_Toc4569"/>
      <w:bookmarkStart w:id="268" w:name="_Toc21732"/>
      <w:bookmarkStart w:id="269" w:name="_Toc5128"/>
      <w:bookmarkStart w:id="270" w:name="_Toc5236"/>
      <w:bookmarkStart w:id="271" w:name="_Toc11609"/>
      <w:bookmarkStart w:id="272" w:name="_Toc5626"/>
      <w:bookmarkStart w:id="273" w:name="_Toc25656"/>
      <w:r>
        <w:rPr>
          <w:rFonts w:hint="eastAsia" w:ascii="Times New Roman" w:eastAsia="黑体" w:cs="Times New Roman"/>
          <w:color w:val="000000" w:themeColor="text1"/>
          <w:sz w:val="24"/>
          <w:szCs w:val="24"/>
          <w:lang w:val="en-US" w:eastAsia="zh-CN"/>
          <w14:textFill>
            <w14:solidFill>
              <w14:schemeClr w14:val="tx1"/>
            </w14:solidFill>
          </w14:textFill>
        </w:rPr>
        <w:t>10.4 不合格处理</w:t>
      </w:r>
      <w:bookmarkEnd w:id="267"/>
      <w:bookmarkEnd w:id="268"/>
      <w:bookmarkEnd w:id="269"/>
      <w:bookmarkEnd w:id="270"/>
      <w:bookmarkEnd w:id="271"/>
      <w:bookmarkEnd w:id="272"/>
      <w:bookmarkEnd w:id="273"/>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.4.1 验收过程中，若发现任意一项指标不满足要求，招标人有权暂停验收，要求代加工方在</w:t>
      </w:r>
      <w:r>
        <w:rPr>
          <w:rFonts w:hint="eastAsia" w:ascii="宋体" w:hAnsi="宋体" w:cs="宋体"/>
          <w:color w:val="000000" w:themeColor="text1"/>
          <w:sz w:val="21"/>
          <w:szCs w:val="21"/>
          <w:u w:val="single"/>
          <w:lang w:val="en-US" w:eastAsia="zh-CN"/>
          <w14:textFill>
            <w14:solidFill>
              <w14:schemeClr w14:val="tx1"/>
            </w14:solidFill>
          </w14:textFill>
        </w:rPr>
        <w:t>7</w:t>
      </w:r>
      <w:r>
        <w:rPr>
          <w:rFonts w:hint="eastAsia" w:ascii="宋体" w:hAnsi="宋体" w:eastAsia="宋体" w:cs="宋体"/>
          <w:color w:val="000000" w:themeColor="text1"/>
          <w:sz w:val="21"/>
          <w:szCs w:val="21"/>
          <w:lang w:val="en-US" w:eastAsia="zh-CN"/>
          <w14:textFill>
            <w14:solidFill>
              <w14:schemeClr w14:val="tx1"/>
            </w14:solidFill>
          </w14:textFill>
        </w:rPr>
        <w:t>个工作日内整改，代加工方须承担全部整改费用；整改后重新验收，直至合格。</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.4.2 若代加工方整改后仍无法满足验收要求，招标人有权拒收该批次产品，解除订单，要求代加工方退还全部货款，并承担相应的违约责任；若情节严重，招标人有权终止框架合作协议。</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74" w:name="_Toc1571"/>
      <w:bookmarkStart w:id="275" w:name="_Toc26423"/>
      <w:bookmarkStart w:id="276" w:name="_Toc20177"/>
      <w:bookmarkStart w:id="277" w:name="_Toc14488"/>
      <w:bookmarkStart w:id="278" w:name="_Toc7465"/>
      <w:bookmarkStart w:id="279" w:name="_Toc14663"/>
      <w:bookmarkStart w:id="280" w:name="_Toc18629"/>
      <w:r>
        <w:rPr>
          <w:rFonts w:hint="eastAsia"/>
          <w:color w:val="000000" w:themeColor="text1"/>
          <w:sz w:val="24"/>
          <w:szCs w:val="24"/>
          <w:lang w:val="en-US" w:eastAsia="zh-CN"/>
          <w14:textFill>
            <w14:solidFill>
              <w14:schemeClr w14:val="tx1"/>
            </w14:solidFill>
          </w14:textFill>
        </w:rPr>
        <w:t>11 框架采购专项要求</w:t>
      </w:r>
      <w:bookmarkEnd w:id="274"/>
      <w:bookmarkEnd w:id="275"/>
      <w:bookmarkEnd w:id="276"/>
      <w:bookmarkEnd w:id="277"/>
      <w:bookmarkEnd w:id="278"/>
      <w:bookmarkEnd w:id="279"/>
      <w:bookmarkEnd w:id="280"/>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.1 订单响应：招标人</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lang w:val="en-US" w:eastAsia="zh-CN"/>
          <w14:textFill>
            <w14:solidFill>
              <w14:schemeClr w14:val="tx1"/>
            </w14:solidFill>
          </w14:textFill>
        </w:rPr>
        <w:t>代加工方交付时间、交付数量、交付地点等关键信息</w:t>
      </w:r>
      <w:r>
        <w:rPr>
          <w:rFonts w:hint="eastAsia" w:ascii="宋体" w:hAnsi="宋体" w:cs="宋体"/>
          <w:color w:val="000000" w:themeColor="text1"/>
          <w:sz w:val="21"/>
          <w:szCs w:val="21"/>
          <w:lang w:val="en-US" w:eastAsia="zh-CN"/>
          <w14:textFill>
            <w14:solidFill>
              <w14:schemeClr w14:val="tx1"/>
            </w14:solidFill>
          </w14:textFill>
        </w:rPr>
        <w:t>，代加工方应在收到通知后20个自然日内完成生产并交付。</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.2 产能保障：代加工方须保障框架合作期间，具备满足招标人订单需求的产能，若招标人有紧急订单（如应急检修所需），代加工方须优先安排生产，确保在招标人要求的时间内交付，不得逾期。</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.3订单变更：招标人可根据实际需求，对已下达的订单进行变更（如数量、交付时间等），</w:t>
      </w:r>
      <w:r>
        <w:rPr>
          <w:rFonts w:hint="eastAsia" w:ascii="宋体" w:hAnsi="宋体" w:cs="宋体"/>
          <w:color w:val="000000" w:themeColor="text1"/>
          <w:sz w:val="21"/>
          <w:szCs w:val="21"/>
          <w:lang w:val="en-US" w:eastAsia="zh-CN"/>
          <w14:textFill>
            <w14:solidFill>
              <w14:schemeClr w14:val="tx1"/>
            </w14:solidFill>
          </w14:textFill>
        </w:rPr>
        <w:t>变更应提前</w:t>
      </w:r>
      <w:r>
        <w:rPr>
          <w:rFonts w:hint="eastAsia" w:ascii="宋体" w:hAnsi="宋体" w:eastAsia="宋体" w:cs="宋体"/>
          <w:color w:val="000000" w:themeColor="text1"/>
          <w:sz w:val="21"/>
          <w:szCs w:val="21"/>
          <w:lang w:val="en-US" w:eastAsia="zh-CN"/>
          <w14:textFill>
            <w14:solidFill>
              <w14:schemeClr w14:val="tx1"/>
            </w14:solidFill>
          </w14:textFill>
        </w:rPr>
        <w:t>告知代加工方，代加工方须积极配合，调整生产计划，确保变更后订单顺利交付；若因订单变更产生额外费用，双方协商承担。</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val="en-US" w:eastAsia="zh-CN"/>
          <w14:textFill>
            <w14:solidFill>
              <w14:schemeClr w14:val="tx1"/>
            </w14:solidFill>
          </w14:textFill>
        </w:rPr>
        <w:t xml:space="preserve"> 履约考核：框架合作期间，招标人将对代加工方的履约情况进行考核，考核指标包括订单响应速度、交付及时性、产品质量、售后服务等；考核不合格的，招标人有权暂停下达订单，要求代加工方整改；整改后仍不合格的，招标人有权终止框架合作协议。</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val="en-US" w:eastAsia="zh-CN"/>
          <w14:textFill>
            <w14:solidFill>
              <w14:schemeClr w14:val="tx1"/>
            </w14:solidFill>
          </w14:textFill>
        </w:rPr>
        <w:t xml:space="preserve"> 转包分包：代加工方不得将本次代加工业务转包、分包给第三方，不得擅自委托第三方生产加工，若违反，招标人有权终止框架合作协议，追究代加工方的违约责任。</w:t>
      </w: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val="en-US" w:eastAsia="zh-CN"/>
          <w14:textFill>
            <w14:solidFill>
              <w14:schemeClr w14:val="tx1"/>
            </w14:solidFill>
          </w14:textFill>
        </w:rPr>
        <w:t xml:space="preserve"> 合作终止：框架合作协议期满，双方未续签的，协议自动终止；若代加工方违反本规范及框架协议约定，招标人有权提前终止协议，代加工方须承担相应的违约责任。</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281" w:name="_Toc17781"/>
      <w:bookmarkStart w:id="282" w:name="_Toc14141"/>
      <w:bookmarkStart w:id="283" w:name="_Toc10785"/>
      <w:bookmarkStart w:id="284" w:name="_Toc29877"/>
      <w:bookmarkStart w:id="285" w:name="_Toc31932"/>
      <w:bookmarkStart w:id="286" w:name="_Toc23958"/>
      <w:bookmarkStart w:id="287" w:name="_Toc4407"/>
      <w:r>
        <w:rPr>
          <w:rFonts w:hint="eastAsia"/>
          <w:color w:val="000000" w:themeColor="text1"/>
          <w:sz w:val="24"/>
          <w:szCs w:val="24"/>
          <w:lang w:val="en-US" w:eastAsia="zh-CN"/>
          <w14:textFill>
            <w14:solidFill>
              <w14:schemeClr w14:val="tx1"/>
            </w14:solidFill>
          </w14:textFill>
        </w:rPr>
        <w:t>12 其他要求</w:t>
      </w:r>
      <w:bookmarkEnd w:id="281"/>
      <w:bookmarkEnd w:id="282"/>
      <w:bookmarkEnd w:id="283"/>
      <w:bookmarkEnd w:id="284"/>
      <w:bookmarkEnd w:id="285"/>
      <w:bookmarkEnd w:id="286"/>
      <w:bookmarkEnd w:id="287"/>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88" w:name="_Toc30452"/>
      <w:bookmarkStart w:id="289" w:name="_Toc28065"/>
      <w:bookmarkStart w:id="290" w:name="_Toc5006"/>
      <w:bookmarkStart w:id="291" w:name="_Toc2803"/>
      <w:bookmarkStart w:id="292" w:name="_Toc10562"/>
      <w:bookmarkStart w:id="293" w:name="_Toc12564"/>
      <w:bookmarkStart w:id="294" w:name="_Toc3404"/>
      <w:r>
        <w:rPr>
          <w:rFonts w:hint="eastAsia" w:ascii="Times New Roman" w:eastAsia="黑体" w:cs="Times New Roman"/>
          <w:color w:val="000000" w:themeColor="text1"/>
          <w:sz w:val="24"/>
          <w:szCs w:val="24"/>
          <w:lang w:val="en-US" w:eastAsia="zh-CN"/>
          <w14:textFill>
            <w14:solidFill>
              <w14:schemeClr w14:val="tx1"/>
            </w14:solidFill>
          </w14:textFill>
        </w:rPr>
        <w:t>12.1 知识产权</w:t>
      </w:r>
      <w:bookmarkEnd w:id="288"/>
      <w:bookmarkEnd w:id="289"/>
      <w:bookmarkEnd w:id="290"/>
      <w:bookmarkEnd w:id="291"/>
      <w:bookmarkEnd w:id="292"/>
      <w:bookmarkEnd w:id="293"/>
      <w:bookmarkEnd w:id="294"/>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代加工方须保证所投代加工服务、使用的原材料、生产的产品无任何知识产权纠纷、专利侵权问题，若产生相关争议，全部责任由代加工方承担，且须赔偿招标人因此造成的全部损失（包括但不限于律师费、诉讼费、赔偿金等）。</w:t>
      </w:r>
    </w:p>
    <w:p>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95" w:name="_Toc21155"/>
      <w:bookmarkStart w:id="296" w:name="_Toc18732"/>
      <w:bookmarkStart w:id="297" w:name="_Toc31461"/>
      <w:bookmarkStart w:id="298" w:name="_Toc25463"/>
      <w:bookmarkStart w:id="299" w:name="_Toc12996"/>
      <w:bookmarkStart w:id="300" w:name="_Toc31526"/>
      <w:bookmarkStart w:id="301" w:name="_Toc2467"/>
      <w:r>
        <w:rPr>
          <w:rFonts w:hint="eastAsia" w:ascii="Times New Roman" w:eastAsia="黑体" w:cs="Times New Roman"/>
          <w:color w:val="000000" w:themeColor="text1"/>
          <w:sz w:val="24"/>
          <w:szCs w:val="24"/>
          <w:lang w:val="en-US" w:eastAsia="zh-CN"/>
          <w14:textFill>
            <w14:solidFill>
              <w14:schemeClr w14:val="tx1"/>
            </w14:solidFill>
          </w14:textFill>
        </w:rPr>
        <w:t>12.2 保密要求</w:t>
      </w:r>
      <w:bookmarkEnd w:id="295"/>
      <w:bookmarkEnd w:id="296"/>
      <w:bookmarkEnd w:id="297"/>
      <w:bookmarkEnd w:id="298"/>
      <w:bookmarkEnd w:id="299"/>
      <w:bookmarkEnd w:id="300"/>
      <w:bookmarkEnd w:id="301"/>
    </w:p>
    <w:p>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双方对本次框架采购所有</w:t>
      </w:r>
      <w:r>
        <w:rPr>
          <w:rFonts w:hint="eastAsia" w:ascii="宋体" w:hAnsi="宋体" w:cs="宋体"/>
          <w:color w:val="000000" w:themeColor="text1"/>
          <w:sz w:val="21"/>
          <w:szCs w:val="21"/>
          <w:lang w:val="en-US" w:eastAsia="zh-CN"/>
          <w14:textFill>
            <w14:solidFill>
              <w14:schemeClr w14:val="tx1"/>
            </w14:solidFill>
          </w14:textFill>
        </w:rPr>
        <w:t>资料及信息保密。</w:t>
      </w:r>
    </w:p>
    <w:p>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302" w:name="_Toc21305"/>
      <w:bookmarkStart w:id="303" w:name="_Toc26453"/>
      <w:bookmarkStart w:id="304" w:name="_Toc5829"/>
      <w:bookmarkStart w:id="305" w:name="_Toc6692"/>
      <w:bookmarkStart w:id="306" w:name="_Toc6971"/>
      <w:bookmarkStart w:id="307" w:name="_Toc10729"/>
      <w:bookmarkStart w:id="308" w:name="_Toc7122"/>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eastAsia" w:ascii="Times New Roman" w:cs="Times New Roman"/>
          <w:color w:val="000000" w:themeColor="text1"/>
          <w:sz w:val="24"/>
          <w:szCs w:val="24"/>
          <w:lang w:val="en-US" w:eastAsia="zh-CN"/>
          <w14:textFill>
            <w14:solidFill>
              <w14:schemeClr w14:val="tx1"/>
            </w14:solidFill>
          </w14:textFill>
        </w:rPr>
        <w:t>3</w:t>
      </w:r>
      <w:r>
        <w:rPr>
          <w:rFonts w:hint="eastAsia"/>
          <w:color w:val="000000" w:themeColor="text1"/>
          <w:sz w:val="24"/>
          <w:szCs w:val="24"/>
          <w:lang w:val="en-US" w:eastAsia="zh-CN"/>
          <w14:textFill>
            <w14:solidFill>
              <w14:schemeClr w14:val="tx1"/>
            </w14:solidFill>
          </w14:textFill>
        </w:rPr>
        <w:t>设备技术参数和性能要求响应表</w:t>
      </w:r>
      <w:bookmarkEnd w:id="302"/>
      <w:bookmarkEnd w:id="303"/>
      <w:bookmarkEnd w:id="304"/>
      <w:bookmarkEnd w:id="305"/>
      <w:bookmarkEnd w:id="306"/>
      <w:bookmarkEnd w:id="307"/>
      <w:bookmarkEnd w:id="308"/>
    </w:p>
    <w:p>
      <w:pPr>
        <w:adjustRightInd w:val="0"/>
        <w:snapToGrid w:val="0"/>
        <w:spacing w:line="360" w:lineRule="auto"/>
        <w:ind w:firstLine="412" w:firstLineChars="200"/>
        <w:rPr>
          <w:rFonts w:hint="eastAsia"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14:textFill>
            <w14:solidFill>
              <w14:schemeClr w14:val="tx1"/>
            </w14:solidFill>
          </w14:textFill>
        </w:rPr>
        <w:t>投标方应认真逐项填写所供设备技术参数和性能要求响应表（见表1）中“投标方保证值”栏，不能空格，也不能以“响应”两字代替，不允许改动本表内 “投标方保证值”栏之外的数值。如有差异，请填写表</w:t>
      </w:r>
      <w:r>
        <w:rPr>
          <w:rFonts w:hint="eastAsia" w:ascii="宋体" w:hAnsi="宋体" w:cs="宋体"/>
          <w:color w:val="000000" w:themeColor="text1"/>
          <w:spacing w:val="-2"/>
          <w:sz w:val="21"/>
          <w:szCs w:val="21"/>
          <w:lang w:val="en-US" w:eastAsia="zh-CN"/>
          <w14:textFill>
            <w14:solidFill>
              <w14:schemeClr w14:val="tx1"/>
            </w14:solidFill>
          </w14:textFill>
        </w:rPr>
        <w:t>3</w:t>
      </w:r>
      <w:r>
        <w:rPr>
          <w:rFonts w:hint="eastAsia" w:ascii="宋体" w:hAnsi="宋体" w:eastAsia="宋体" w:cs="宋体"/>
          <w:color w:val="000000" w:themeColor="text1"/>
          <w:spacing w:val="-2"/>
          <w:sz w:val="21"/>
          <w:szCs w:val="21"/>
          <w14:textFill>
            <w14:solidFill>
              <w14:schemeClr w14:val="tx1"/>
            </w14:solidFill>
          </w14:textFill>
        </w:rPr>
        <w:t>：技术差异表。</w:t>
      </w:r>
    </w:p>
    <w:p>
      <w:pPr>
        <w:adjustRightInd w:val="0"/>
        <w:snapToGrid w:val="0"/>
        <w:spacing w:line="360" w:lineRule="auto"/>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表1</w:t>
      </w:r>
      <w:r>
        <w:rPr>
          <w:rFonts w:hint="eastAsia" w:ascii="宋体" w:hAnsi="宋体" w:eastAsia="宋体" w:cs="宋体"/>
          <w:color w:val="000000" w:themeColor="text1"/>
          <w:szCs w:val="21"/>
          <w:highlight w:val="none"/>
          <w14:textFill>
            <w14:solidFill>
              <w14:schemeClr w14:val="tx1"/>
            </w14:solidFill>
          </w14:textFill>
        </w:rPr>
        <w:t>技术参数和性能要求响应表</w:t>
      </w:r>
    </w:p>
    <w:tbl>
      <w:tblPr>
        <w:tblStyle w:val="28"/>
        <w:tblW w:w="493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516"/>
        <w:gridCol w:w="3272"/>
        <w:gridCol w:w="313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21" w:hRule="atLeast"/>
          <w:tblHeader/>
        </w:trPr>
        <w:tc>
          <w:tcPr>
            <w:tcW w:w="484" w:type="dxa"/>
            <w:vAlign w:val="center"/>
          </w:tcPr>
          <w:p>
            <w:pPr>
              <w:pStyle w:val="16"/>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序号</w:t>
            </w:r>
          </w:p>
        </w:tc>
        <w:tc>
          <w:tcPr>
            <w:tcW w:w="1516" w:type="dxa"/>
            <w:vAlign w:val="center"/>
          </w:tcPr>
          <w:p>
            <w:pPr>
              <w:pStyle w:val="16"/>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名    称</w:t>
            </w:r>
          </w:p>
        </w:tc>
        <w:tc>
          <w:tcPr>
            <w:tcW w:w="3272" w:type="dxa"/>
            <w:vAlign w:val="center"/>
          </w:tcPr>
          <w:p>
            <w:pPr>
              <w:pStyle w:val="16"/>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项目要求值</w:t>
            </w:r>
          </w:p>
        </w:tc>
        <w:tc>
          <w:tcPr>
            <w:tcW w:w="3138" w:type="dxa"/>
            <w:vAlign w:val="center"/>
          </w:tcPr>
          <w:p>
            <w:pPr>
              <w:pStyle w:val="16"/>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投标方保证值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516" w:type="dxa"/>
            <w:vAlign w:val="center"/>
          </w:tcPr>
          <w:p>
            <w:pPr>
              <w:keepNext w:val="0"/>
              <w:keepLines w:val="0"/>
              <w:widowControl/>
              <w:suppressLineNumbers w:val="0"/>
              <w:jc w:val="center"/>
              <w:textAlignment w:val="center"/>
              <w:rPr>
                <w:rFonts w:hint="default" w:ascii="宋体" w:hAnsi="宋体" w:eastAsia="宋体" w:cs="宋体"/>
                <w:color w:val="000000" w:themeColor="text1"/>
                <w:sz w:val="18"/>
                <w:szCs w:val="18"/>
                <w:lang w:val="en-US"/>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行波电流传感器采样率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≥1M Hz</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行波电流连续记录时长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≥1000 μs</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工频电流传感器采样率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≥2k Hz</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工频电流连续记录时长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≥500 ms</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5</w:t>
            </w:r>
          </w:p>
        </w:tc>
        <w:tc>
          <w:tcPr>
            <w:tcW w:w="1516" w:type="dxa"/>
            <w:vAlign w:val="center"/>
          </w:tcPr>
          <w:p>
            <w:pPr>
              <w:keepNext w:val="0"/>
              <w:keepLines w:val="0"/>
              <w:widowControl/>
              <w:suppressLineNumbers w:val="0"/>
              <w:jc w:val="center"/>
              <w:textAlignment w:val="center"/>
              <w:rPr>
                <w:rFonts w:hint="default"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行波电压传感器采样率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≥1M Hz</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6</w:t>
            </w:r>
          </w:p>
        </w:tc>
        <w:tc>
          <w:tcPr>
            <w:tcW w:w="1516" w:type="dxa"/>
            <w:vAlign w:val="center"/>
          </w:tcPr>
          <w:p>
            <w:pPr>
              <w:keepNext w:val="0"/>
              <w:keepLines w:val="0"/>
              <w:widowControl/>
              <w:suppressLineNumbers w:val="0"/>
              <w:jc w:val="center"/>
              <w:textAlignment w:val="center"/>
              <w:rPr>
                <w:rFonts w:hint="default"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行波电压连续记录时长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≥1000 μs</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7</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工频电压传感器采样率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≥2k Hz</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8</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工频电压连续记录时长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≥500 ms</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9</w:t>
            </w:r>
          </w:p>
        </w:tc>
        <w:tc>
          <w:tcPr>
            <w:tcW w:w="1516" w:type="dxa"/>
            <w:vAlign w:val="center"/>
          </w:tcPr>
          <w:p>
            <w:pPr>
              <w:keepNext w:val="0"/>
              <w:keepLines w:val="0"/>
              <w:widowControl/>
              <w:suppressLineNumbers w:val="0"/>
              <w:jc w:val="center"/>
              <w:textAlignment w:val="center"/>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cs="宋体"/>
                <w:color w:val="000000" w:themeColor="text1"/>
                <w:sz w:val="18"/>
                <w:szCs w:val="18"/>
                <w:lang w:val="en-US" w:eastAsia="zh-CN"/>
                <w14:textFill>
                  <w14:solidFill>
                    <w14:schemeClr w14:val="tx1"/>
                  </w14:solidFill>
                </w14:textFill>
              </w:rPr>
              <w:t>太阳能板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w:t>
            </w:r>
            <w:r>
              <w:rPr>
                <w:rFonts w:hint="eastAsia" w:ascii="宋体" w:hAnsi="宋体" w:cs="宋体"/>
                <w:color w:val="000000" w:themeColor="text1"/>
                <w:kern w:val="2"/>
                <w:sz w:val="18"/>
                <w:szCs w:val="18"/>
                <w:lang w:val="en-US" w:eastAsia="zh-CN" w:bidi="ar-SA"/>
                <w14:textFill>
                  <w14:solidFill>
                    <w14:schemeClr w14:val="tx1"/>
                  </w14:solidFill>
                </w14:textFill>
              </w:rPr>
              <w:t>20W±5%</w:t>
            </w:r>
            <w:r>
              <w:rPr>
                <w:rFonts w:hint="eastAsia" w:ascii="宋体" w:hAnsi="宋体" w:cs="宋体"/>
                <w:color w:val="000000" w:themeColor="text1"/>
                <w:sz w:val="18"/>
                <w:szCs w:val="18"/>
                <w:lang w:val="en-US" w:eastAsia="zh-CN"/>
                <w14:textFill>
                  <w14:solidFill>
                    <w14:schemeClr w14:val="tx1"/>
                  </w14:solidFill>
                </w14:textFill>
              </w:rPr>
              <w:t>*2</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shd w:val="clear" w:color="auto" w:fill="auto"/>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10</w:t>
            </w:r>
          </w:p>
        </w:tc>
        <w:tc>
          <w:tcPr>
            <w:tcW w:w="1516" w:type="dxa"/>
            <w:shd w:val="clear" w:color="auto" w:fill="auto"/>
            <w:vAlign w:val="center"/>
          </w:tcPr>
          <w:p>
            <w:pPr>
              <w:jc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ascii="宋体" w:hAnsi="宋体" w:eastAsia="宋体" w:cs="宋体"/>
                <w:sz w:val="24"/>
                <w:szCs w:val="24"/>
              </w:rPr>
              <w:t>★</w:t>
            </w:r>
            <w:r>
              <w:rPr>
                <w:rFonts w:hint="eastAsia" w:ascii="宋体" w:hAnsi="宋体" w:cs="Times New Roman"/>
                <w:color w:val="000000" w:themeColor="text1"/>
                <w:kern w:val="2"/>
                <w:sz w:val="18"/>
                <w:szCs w:val="18"/>
                <w:lang w:val="en-US" w:eastAsia="zh-CN" w:bidi="ar-SA"/>
                <w14:textFill>
                  <w14:solidFill>
                    <w14:schemeClr w14:val="tx1"/>
                  </w14:solidFill>
                </w14:textFill>
              </w:rPr>
              <w:t>电池容量</w:t>
            </w:r>
          </w:p>
        </w:tc>
        <w:tc>
          <w:tcPr>
            <w:tcW w:w="3272" w:type="dxa"/>
            <w:shd w:val="clear" w:color="auto" w:fill="auto"/>
            <w:vAlign w:val="center"/>
          </w:tcPr>
          <w:p>
            <w:pPr>
              <w:widowControl/>
              <w:jc w:val="center"/>
              <w:textAlignment w:val="center"/>
              <w:rPr>
                <w:rFonts w:hint="default"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w:t>
            </w:r>
            <w:r>
              <w:rPr>
                <w:rFonts w:hint="eastAsia" w:ascii="宋体" w:hAnsi="宋体" w:cs="宋体"/>
                <w:color w:val="000000" w:themeColor="text1"/>
                <w:kern w:val="2"/>
                <w:sz w:val="18"/>
                <w:szCs w:val="18"/>
                <w:lang w:val="en-US" w:eastAsia="zh-CN" w:bidi="ar-SA"/>
                <w14:textFill>
                  <w14:solidFill>
                    <w14:schemeClr w14:val="tx1"/>
                  </w14:solidFill>
                </w14:textFill>
              </w:rPr>
              <w:t>12.8V/20AH*2</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11</w:t>
            </w:r>
          </w:p>
        </w:tc>
        <w:tc>
          <w:tcPr>
            <w:tcW w:w="1516" w:type="dxa"/>
            <w:vAlign w:val="center"/>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待机时长</w:t>
            </w:r>
          </w:p>
        </w:tc>
        <w:tc>
          <w:tcPr>
            <w:tcW w:w="3272" w:type="dxa"/>
            <w:shd w:val="clear" w:color="auto" w:fill="auto"/>
            <w:vAlign w:val="center"/>
          </w:tcPr>
          <w:p>
            <w:pPr>
              <w:jc w:val="center"/>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≥20 天</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12</w:t>
            </w:r>
          </w:p>
        </w:tc>
        <w:tc>
          <w:tcPr>
            <w:tcW w:w="1516" w:type="dxa"/>
            <w:vAlign w:val="center"/>
          </w:tcPr>
          <w:p>
            <w:pPr>
              <w:jc w:val="center"/>
              <w:rPr>
                <w:rFonts w:hint="eastAsia" w:ascii="宋体" w:hAnsi="宋体" w:cs="宋体"/>
                <w:color w:val="000000" w:themeColor="text1"/>
                <w:lang w:val="en-US" w:eastAsia="zh-CN"/>
                <w14:textFill>
                  <w14:solidFill>
                    <w14:schemeClr w14:val="tx1"/>
                  </w14:solidFill>
                </w14:textFill>
              </w:rPr>
            </w:pPr>
            <w:r>
              <w:rPr>
                <w:rFonts w:ascii="宋体" w:hAnsi="宋体" w:eastAsia="宋体" w:cs="宋体"/>
                <w:sz w:val="24"/>
                <w:szCs w:val="24"/>
              </w:rPr>
              <w:t>★</w:t>
            </w:r>
            <w:r>
              <w:rPr>
                <w:rFonts w:hint="eastAsia" w:ascii="宋体" w:hAnsi="宋体" w:cs="Times New Roman"/>
                <w:color w:val="000000" w:themeColor="text1"/>
                <w:kern w:val="2"/>
                <w:sz w:val="18"/>
                <w:szCs w:val="18"/>
                <w:lang w:val="en-US" w:eastAsia="zh-CN" w:bidi="ar-SA"/>
                <w14:textFill>
                  <w14:solidFill>
                    <w14:schemeClr w14:val="tx1"/>
                  </w14:solidFill>
                </w14:textFill>
              </w:rPr>
              <w:t>防护等级</w:t>
            </w:r>
          </w:p>
        </w:tc>
        <w:tc>
          <w:tcPr>
            <w:tcW w:w="3272" w:type="dxa"/>
            <w:shd w:val="clear" w:color="auto" w:fill="auto"/>
            <w:vAlign w:val="center"/>
          </w:tcPr>
          <w:p>
            <w:pPr>
              <w:jc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IP65</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13</w:t>
            </w:r>
          </w:p>
        </w:tc>
        <w:tc>
          <w:tcPr>
            <w:tcW w:w="1516" w:type="dxa"/>
            <w:vAlign w:val="center"/>
          </w:tcPr>
          <w:p>
            <w:pPr>
              <w:jc w:val="center"/>
              <w:rPr>
                <w:rFonts w:hint="eastAsia" w:ascii="宋体" w:hAnsi="宋体" w:cs="宋体"/>
                <w:color w:val="000000" w:themeColor="text1"/>
                <w:lang w:val="en-US" w:eastAsia="zh-CN"/>
                <w14:textFill>
                  <w14:solidFill>
                    <w14:schemeClr w14:val="tx1"/>
                  </w14:solidFill>
                </w14:textFill>
              </w:rPr>
            </w:pPr>
            <w:r>
              <w:rPr>
                <w:rFonts w:ascii="宋体" w:hAnsi="宋体" w:eastAsia="宋体" w:cs="宋体"/>
                <w:sz w:val="24"/>
                <w:szCs w:val="24"/>
              </w:rPr>
              <w:t>★</w:t>
            </w:r>
            <w:r>
              <w:rPr>
                <w:rFonts w:hint="eastAsia" w:ascii="宋体" w:hAnsi="宋体" w:cs="Times New Roman"/>
                <w:color w:val="000000" w:themeColor="text1"/>
                <w:kern w:val="2"/>
                <w:sz w:val="18"/>
                <w:szCs w:val="18"/>
                <w:lang w:val="en-US" w:eastAsia="zh-CN" w:bidi="ar-SA"/>
                <w14:textFill>
                  <w14:solidFill>
                    <w14:schemeClr w14:val="tx1"/>
                  </w14:solidFill>
                </w14:textFill>
              </w:rPr>
              <w:t>通信方式</w:t>
            </w:r>
          </w:p>
        </w:tc>
        <w:tc>
          <w:tcPr>
            <w:tcW w:w="3272" w:type="dxa"/>
            <w:shd w:val="clear" w:color="auto" w:fill="auto"/>
            <w:vAlign w:val="center"/>
          </w:tcPr>
          <w:p>
            <w:pPr>
              <w:jc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4G通信</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14</w:t>
            </w:r>
          </w:p>
        </w:tc>
        <w:tc>
          <w:tcPr>
            <w:tcW w:w="1516" w:type="dxa"/>
            <w:vAlign w:val="center"/>
          </w:tcPr>
          <w:p>
            <w:pPr>
              <w:jc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同步方式</w:t>
            </w:r>
          </w:p>
        </w:tc>
        <w:tc>
          <w:tcPr>
            <w:tcW w:w="3272" w:type="dxa"/>
            <w:shd w:val="clear" w:color="auto" w:fill="auto"/>
            <w:vAlign w:val="center"/>
          </w:tcPr>
          <w:p>
            <w:pPr>
              <w:jc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i w:val="0"/>
                <w:iCs w:val="0"/>
                <w:color w:val="000000" w:themeColor="text1"/>
                <w:kern w:val="0"/>
                <w:sz w:val="18"/>
                <w:szCs w:val="18"/>
                <w:u w:val="none"/>
                <w:lang w:val="en-US" w:eastAsia="zh-CN" w:bidi="ar"/>
                <w14:textFill>
                  <w14:solidFill>
                    <w14:schemeClr w14:val="tx1"/>
                  </w14:solidFill>
                </w14:textFill>
              </w:rPr>
              <w:t>单北斗</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15</w:t>
            </w:r>
          </w:p>
        </w:tc>
        <w:tc>
          <w:tcPr>
            <w:tcW w:w="1516" w:type="dxa"/>
            <w:vAlign w:val="center"/>
          </w:tcPr>
          <w:p>
            <w:pPr>
              <w:jc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外壳材质</w:t>
            </w:r>
          </w:p>
        </w:tc>
        <w:tc>
          <w:tcPr>
            <w:tcW w:w="3272" w:type="dxa"/>
            <w:shd w:val="clear" w:color="auto" w:fill="auto"/>
            <w:vAlign w:val="center"/>
          </w:tcPr>
          <w:p>
            <w:pPr>
              <w:jc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Times New Roman"/>
                <w:color w:val="000000" w:themeColor="text1"/>
                <w:kern w:val="2"/>
                <w:sz w:val="18"/>
                <w:szCs w:val="18"/>
                <w:lang w:val="en-US" w:eastAsia="zh-CN" w:bidi="ar-SA"/>
                <w14:textFill>
                  <w14:solidFill>
                    <w14:schemeClr w14:val="tx1"/>
                  </w14:solidFill>
                </w14:textFill>
              </w:rPr>
              <w:t>不锈钢</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16</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故障定位精度</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≤300 m</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17</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雷击与非雷击故障辨识准确率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≥95 %</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18</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绕击和反击识别准确率</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≥90 %</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19</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故障跳闸告警时间</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≤5 min</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20</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故障诊断结果告警时长</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≤30 min</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21</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行波传感器</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采用电压行波和电流行波传感器，双传感器相互认证。</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22</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系统</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系统对档距信息具有自校正方案，系统采用经度、纬度及海拔等参数，对多山地区的档距信息进行修正，保证档距信息的准确性。</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84" w:type="dxa"/>
            <w:vAlign w:val="center"/>
          </w:tcPr>
          <w:p>
            <w:pPr>
              <w:pStyle w:val="95"/>
              <w:bidi w:val="0"/>
              <w:spacing w:before="90" w:after="210"/>
              <w:ind w:left="0" w:leftChars="0" w:right="0" w:rightChars="0" w:firstLine="0" w:firstLineChars="0"/>
              <w:jc w:val="center"/>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23</w:t>
            </w:r>
          </w:p>
        </w:tc>
        <w:tc>
          <w:tcPr>
            <w:tcW w:w="1516" w:type="dxa"/>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行波采集距离</w:t>
            </w:r>
          </w:p>
        </w:tc>
        <w:tc>
          <w:tcPr>
            <w:tcW w:w="3272" w:type="dxa"/>
            <w:shd w:val="clear" w:color="auto" w:fill="auto"/>
            <w:vAlign w:val="center"/>
          </w:tcPr>
          <w:p>
            <w:pPr>
              <w:keepNext w:val="0"/>
              <w:keepLines w:val="0"/>
              <w:widowControl/>
              <w:suppressLineNumbers w:val="0"/>
              <w:jc w:val="center"/>
              <w:textAlignment w:val="center"/>
              <w:rPr>
                <w:rFonts w:hint="eastAsia"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大于50米。</w:t>
            </w:r>
          </w:p>
        </w:tc>
        <w:tc>
          <w:tcPr>
            <w:tcW w:w="3138" w:type="dxa"/>
          </w:tcPr>
          <w:p>
            <w:pPr>
              <w:pStyle w:val="16"/>
              <w:jc w:val="center"/>
              <w:rPr>
                <w:rFonts w:hint="eastAsia" w:ascii="宋体" w:hAnsi="宋体" w:eastAsia="宋体" w:cs="宋体"/>
                <w:color w:val="000000" w:themeColor="text1"/>
                <w:sz w:val="18"/>
                <w:szCs w:val="18"/>
                <w14:textFill>
                  <w14:solidFill>
                    <w14:schemeClr w14:val="tx1"/>
                  </w14:solidFill>
                </w14:textFill>
              </w:rPr>
            </w:pPr>
          </w:p>
        </w:tc>
      </w:tr>
    </w:tbl>
    <w:p>
      <w:pPr>
        <w:rPr>
          <w:rFonts w:hint="default"/>
          <w:color w:val="000000" w:themeColor="text1"/>
          <w:lang w:val="en-US" w:eastAsia="zh-CN"/>
          <w14:textFill>
            <w14:solidFill>
              <w14:schemeClr w14:val="tx1"/>
            </w14:solidFill>
          </w14:textFill>
        </w:rPr>
      </w:pPr>
    </w:p>
    <w:p>
      <w:pPr>
        <w:pStyle w:val="2"/>
        <w:numPr>
          <w:ilvl w:val="0"/>
          <w:numId w:val="0"/>
        </w:numPr>
        <w:adjustRightInd w:val="0"/>
        <w:spacing w:beforeLines="0"/>
        <w:ind w:left="0" w:leftChars="0" w:firstLine="0" w:firstLineChars="0"/>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pPr>
      <w:bookmarkStart w:id="309" w:name="_Toc16787"/>
      <w:bookmarkStart w:id="310" w:name="_Toc3631"/>
      <w:bookmarkStart w:id="311" w:name="_Toc28384"/>
      <w:bookmarkStart w:id="312" w:name="_Toc2366"/>
      <w:bookmarkStart w:id="313" w:name="_Toc287602849"/>
      <w:bookmarkStart w:id="314" w:name="_Toc5504"/>
      <w:bookmarkStart w:id="315" w:name="_Toc19925"/>
      <w:bookmarkStart w:id="316" w:name="_Toc15045"/>
      <w:bookmarkStart w:id="317" w:name="_Toc15164"/>
      <w:r>
        <w:rPr>
          <w:rFonts w:hint="default" w:ascii="Times New Roman" w:hAnsi="Times New Roman" w:eastAsia="宋体" w:cs="Times New Roman"/>
          <w:b w:val="0"/>
          <w:bCs w:val="0"/>
          <w:i w:val="0"/>
          <w:color w:val="000000" w:themeColor="text1"/>
          <w:kern w:val="44"/>
          <w:sz w:val="24"/>
          <w:szCs w:val="24"/>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lang w:val="en-US" w:eastAsia="zh-CN" w:bidi="ar-SA"/>
          <w14:textFill>
            <w14:solidFill>
              <w14:schemeClr w14:val="tx1"/>
            </w14:solidFill>
          </w14:textFill>
        </w:rPr>
        <w:t>4</w:t>
      </w:r>
      <w:r>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t xml:space="preserve"> </w:t>
      </w:r>
      <w:bookmarkStart w:id="318" w:name="_Toc29728"/>
      <w:bookmarkStart w:id="319" w:name="_Toc23591"/>
      <w:r>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t>技术差异表</w:t>
      </w:r>
      <w:bookmarkEnd w:id="309"/>
      <w:bookmarkEnd w:id="310"/>
      <w:bookmarkEnd w:id="311"/>
      <w:bookmarkEnd w:id="312"/>
      <w:bookmarkEnd w:id="313"/>
      <w:bookmarkEnd w:id="314"/>
      <w:bookmarkEnd w:id="315"/>
      <w:bookmarkEnd w:id="316"/>
      <w:bookmarkEnd w:id="317"/>
      <w:bookmarkEnd w:id="318"/>
      <w:bookmarkEnd w:id="319"/>
    </w:p>
    <w:p>
      <w:pPr>
        <w:ind w:firstLine="420" w:firstLineChars="200"/>
        <w:rPr>
          <w:rFonts w:hint="eastAsia"/>
          <w:color w:val="000000" w:themeColor="text1"/>
          <w14:textFill>
            <w14:solidFill>
              <w14:schemeClr w14:val="tx1"/>
            </w14:solidFill>
          </w14:textFill>
        </w:rPr>
      </w:pPr>
      <w:bookmarkStart w:id="320" w:name="_Toc226362579"/>
      <w:r>
        <w:rPr>
          <w:rFonts w:hint="eastAsia"/>
          <w:color w:val="000000" w:themeColor="text1"/>
          <w14:textFill>
            <w14:solidFill>
              <w14:schemeClr w14:val="tx1"/>
            </w14:solidFill>
          </w14:textFill>
        </w:rPr>
        <w:t>投标方应将所供设备与本</w:t>
      </w:r>
      <w:r>
        <w:rPr>
          <w:rFonts w:hint="eastAsia"/>
          <w:color w:val="000000" w:themeColor="text1"/>
          <w:lang w:eastAsia="zh-CN"/>
          <w14:textFill>
            <w14:solidFill>
              <w14:schemeClr w14:val="tx1"/>
            </w14:solidFill>
          </w14:textFill>
        </w:rPr>
        <w:t>技术规范书</w:t>
      </w:r>
      <w:r>
        <w:rPr>
          <w:rFonts w:hint="eastAsia"/>
          <w:color w:val="000000" w:themeColor="text1"/>
          <w14:textFill>
            <w14:solidFill>
              <w14:schemeClr w14:val="tx1"/>
            </w14:solidFill>
          </w14:textFill>
        </w:rPr>
        <w:t>有差异之处，无论优于或劣于本</w:t>
      </w:r>
      <w:r>
        <w:rPr>
          <w:rFonts w:hint="eastAsia"/>
          <w:color w:val="000000" w:themeColor="text1"/>
          <w:lang w:eastAsia="zh-CN"/>
          <w14:textFill>
            <w14:solidFill>
              <w14:schemeClr w14:val="tx1"/>
            </w14:solidFill>
          </w14:textFill>
        </w:rPr>
        <w:t>技术规范书</w:t>
      </w:r>
      <w:r>
        <w:rPr>
          <w:rFonts w:hint="eastAsia"/>
          <w:color w:val="000000" w:themeColor="text1"/>
          <w14:textFill>
            <w14:solidFill>
              <w14:schemeClr w14:val="tx1"/>
            </w14:solidFill>
          </w14:textFill>
        </w:rPr>
        <w:t>要求，均汇集成此表。</w:t>
      </w:r>
    </w:p>
    <w:p>
      <w:pPr>
        <w:pStyle w:val="42"/>
        <w:adjustRightInd w:val="0"/>
        <w:snapToGrid w:val="0"/>
        <w:spacing w:line="360" w:lineRule="auto"/>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表</w:t>
      </w:r>
      <w:r>
        <w:rPr>
          <w:rFonts w:hint="eastAsia" w:ascii="宋体" w:hAnsi="宋体" w:eastAsia="宋体"/>
          <w:color w:val="000000" w:themeColor="text1"/>
          <w:szCs w:val="21"/>
          <w:lang w:val="en-US" w:eastAsia="zh-CN"/>
          <w14:textFill>
            <w14:solidFill>
              <w14:schemeClr w14:val="tx1"/>
            </w14:solidFill>
          </w14:textFill>
        </w:rPr>
        <w:t>3</w:t>
      </w:r>
      <w:r>
        <w:rPr>
          <w:rFonts w:hint="eastAsia" w:ascii="宋体" w:hAnsi="宋体" w:eastAsia="宋体"/>
          <w:color w:val="000000" w:themeColor="text1"/>
          <w:szCs w:val="21"/>
          <w14:textFill>
            <w14:solidFill>
              <w14:schemeClr w14:val="tx1"/>
            </w14:solidFill>
          </w14:textFill>
        </w:rPr>
        <w:t xml:space="preserve"> 技术差异表</w:t>
      </w:r>
      <w:bookmarkEnd w:id="320"/>
      <w:r>
        <w:rPr>
          <w:rFonts w:hint="eastAsia" w:ascii="宋体" w:hAnsi="宋体" w:eastAsia="宋体"/>
          <w:color w:val="000000" w:themeColor="text1"/>
          <w:szCs w:val="21"/>
          <w14:textFill>
            <w14:solidFill>
              <w14:schemeClr w14:val="tx1"/>
            </w14:solidFill>
          </w14:textFill>
        </w:rPr>
        <w:t xml:space="preserve">  （投标方填写）</w:t>
      </w:r>
    </w:p>
    <w:tbl>
      <w:tblPr>
        <w:tblStyle w:val="28"/>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序</w:t>
            </w:r>
          </w:p>
          <w:p>
            <w:pPr>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号</w:t>
            </w:r>
          </w:p>
        </w:tc>
        <w:tc>
          <w:tcPr>
            <w:tcW w:w="3876" w:type="dxa"/>
            <w:gridSpan w:val="2"/>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招 标 文 件</w:t>
            </w:r>
          </w:p>
        </w:tc>
        <w:tc>
          <w:tcPr>
            <w:tcW w:w="3833" w:type="dxa"/>
            <w:gridSpan w:val="2"/>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163" w:type="dxa"/>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条  目</w:t>
            </w:r>
          </w:p>
        </w:tc>
        <w:tc>
          <w:tcPr>
            <w:tcW w:w="2713" w:type="dxa"/>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简  要  内  容</w:t>
            </w:r>
          </w:p>
        </w:tc>
        <w:tc>
          <w:tcPr>
            <w:tcW w:w="1258" w:type="dxa"/>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条  目</w:t>
            </w:r>
          </w:p>
        </w:tc>
        <w:tc>
          <w:tcPr>
            <w:tcW w:w="2575" w:type="dxa"/>
            <w:vAlign w:val="center"/>
          </w:tcPr>
          <w:p>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1</w:t>
            </w:r>
          </w:p>
        </w:tc>
        <w:tc>
          <w:tcPr>
            <w:tcW w:w="116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2</w:t>
            </w:r>
          </w:p>
        </w:tc>
        <w:tc>
          <w:tcPr>
            <w:tcW w:w="116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3</w:t>
            </w:r>
          </w:p>
        </w:tc>
        <w:tc>
          <w:tcPr>
            <w:tcW w:w="116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4</w:t>
            </w:r>
          </w:p>
        </w:tc>
        <w:tc>
          <w:tcPr>
            <w:tcW w:w="116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bl>
    <w:p>
      <w:pPr>
        <w:pStyle w:val="16"/>
        <w:adjustRightInd w:val="0"/>
        <w:snapToGrid w:val="0"/>
        <w:spacing w:before="156" w:beforeLines="50" w:line="360" w:lineRule="auto"/>
        <w:rPr>
          <w:rFonts w:hint="eastAsia" w:ascii="宋体" w:hAnsi="宋体" w:eastAsia="宋体" w:cs="宋体"/>
          <w:color w:val="000000" w:themeColor="text1"/>
          <w:szCs w:val="21"/>
          <w14:textFill>
            <w14:solidFill>
              <w14:schemeClr w14:val="tx1"/>
            </w14:solidFill>
          </w14:textFill>
        </w:rPr>
      </w:pPr>
    </w:p>
    <w:p>
      <w:pPr>
        <w:pStyle w:val="16"/>
        <w:adjustRightInd w:val="0"/>
        <w:snapToGrid w:val="0"/>
        <w:spacing w:before="156" w:beforeLines="50" w:line="360" w:lineRule="auto"/>
        <w:rPr>
          <w:rFonts w:hint="eastAsia" w:ascii="宋体" w:hAnsi="宋体" w:eastAsia="宋体" w:cs="宋体"/>
          <w:color w:val="000000" w:themeColor="text1"/>
          <w:szCs w:val="21"/>
          <w14:textFill>
            <w14:solidFill>
              <w14:schemeClr w14:val="tx1"/>
            </w14:solidFill>
          </w14:textFill>
        </w:rPr>
      </w:pPr>
    </w:p>
    <w:p>
      <w:pPr>
        <w:pStyle w:val="16"/>
        <w:bidi w:val="0"/>
        <w:adjustRightInd w:val="0"/>
        <w:spacing w:before="156" w:beforeLines="50"/>
        <w:ind w:leftChars="0"/>
        <w:rPr>
          <w:rFonts w:hint="eastAsia"/>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投标方：</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盖章：</w:t>
      </w:r>
    </w:p>
    <w:p>
      <w:pPr>
        <w:pStyle w:val="2"/>
        <w:numPr>
          <w:ilvl w:val="0"/>
          <w:numId w:val="0"/>
        </w:numPr>
        <w:adjustRightInd w:val="0"/>
        <w:spacing w:beforeLines="0"/>
        <w:ind w:left="0" w:leftChars="0" w:firstLine="0" w:firstLineChars="0"/>
        <w:rPr>
          <w:rFonts w:hint="eastAsia" w:ascii="宋体" w:hAnsi="宋体" w:eastAsia="宋体" w:cs="宋体"/>
          <w:color w:val="000000" w:themeColor="text1"/>
          <w:sz w:val="24"/>
          <w:szCs w:val="24"/>
          <w14:textFill>
            <w14:solidFill>
              <w14:schemeClr w14:val="tx1"/>
            </w14:solidFill>
          </w14:textFill>
        </w:rPr>
      </w:pPr>
      <w:bookmarkStart w:id="321" w:name="_Toc3602"/>
      <w:bookmarkStart w:id="322" w:name="_Toc31823"/>
      <w:bookmarkStart w:id="323" w:name="_Toc25234"/>
      <w:bookmarkStart w:id="324" w:name="_Toc9774"/>
      <w:bookmarkStart w:id="325" w:name="_Toc3824"/>
      <w:bookmarkStart w:id="326" w:name="_Toc282420857"/>
      <w:bookmarkStart w:id="327" w:name="_Toc13999"/>
      <w:bookmarkStart w:id="328" w:name="_Toc282421446"/>
      <w:bookmarkStart w:id="329" w:name="_Toc287602850"/>
      <w:bookmarkStart w:id="330" w:name="_Toc340"/>
      <w:bookmarkStart w:id="331" w:name="_Toc22112"/>
      <w:r>
        <w:rPr>
          <w:rFonts w:hint="eastAsia" w:ascii="Times New Roman" w:hAnsi="Times New Roman" w:cs="Times New Roman"/>
          <w:b w:val="0"/>
          <w:bCs w:val="0"/>
          <w:i w:val="0"/>
          <w:color w:val="000000" w:themeColor="text1"/>
          <w:kern w:val="44"/>
          <w:sz w:val="24"/>
          <w:szCs w:val="24"/>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lang w:val="en-US" w:eastAsia="zh-CN" w:bidi="ar-SA"/>
          <w14:textFill>
            <w14:solidFill>
              <w14:schemeClr w14:val="tx1"/>
            </w14:solidFill>
          </w14:textFill>
        </w:rPr>
        <w:t>5</w:t>
      </w:r>
      <w:r>
        <w:rPr>
          <w:rFonts w:hint="default" w:ascii="Times New Roman" w:hAnsi="Times New Roman" w:eastAsia="宋体" w:cs="Times New Roman"/>
          <w:b w:val="0"/>
          <w:bCs w:val="0"/>
          <w:color w:val="000000" w:themeColor="text1"/>
          <w:sz w:val="24"/>
          <w:szCs w:val="24"/>
          <w14:textFill>
            <w14:solidFill>
              <w14:schemeClr w14:val="tx1"/>
            </w14:solidFill>
          </w14:textFill>
        </w:rPr>
        <w:t xml:space="preserve"> </w:t>
      </w:r>
      <w:bookmarkStart w:id="332" w:name="_Toc32105"/>
      <w:bookmarkStart w:id="333" w:name="_Toc28885"/>
      <w:r>
        <w:rPr>
          <w:rFonts w:hint="eastAsia" w:ascii="宋体" w:hAnsi="宋体" w:eastAsia="宋体" w:cs="宋体"/>
          <w:color w:val="000000" w:themeColor="text1"/>
          <w:sz w:val="24"/>
          <w:szCs w:val="24"/>
          <w14:textFill>
            <w14:solidFill>
              <w14:schemeClr w14:val="tx1"/>
            </w14:solidFill>
          </w14:textFill>
        </w:rPr>
        <w:t>投标方需说明的其他问题</w:t>
      </w:r>
      <w:bookmarkEnd w:id="321"/>
      <w:bookmarkEnd w:id="322"/>
      <w:bookmarkEnd w:id="323"/>
      <w:bookmarkEnd w:id="324"/>
      <w:bookmarkEnd w:id="325"/>
      <w:bookmarkEnd w:id="326"/>
      <w:bookmarkEnd w:id="327"/>
      <w:bookmarkEnd w:id="328"/>
      <w:bookmarkEnd w:id="329"/>
      <w:bookmarkEnd w:id="330"/>
      <w:bookmarkEnd w:id="331"/>
      <w:bookmarkEnd w:id="332"/>
      <w:bookmarkEnd w:id="333"/>
    </w:p>
    <w:p>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如有需说明的其他问题，投标方应通过书面形式提交，并加盖公章。</w:t>
      </w:r>
    </w:p>
    <w:p>
      <w:pPr>
        <w:rPr>
          <w:rFonts w:hint="eastAsia"/>
          <w:color w:val="000000" w:themeColor="text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color w:val="000000" w:themeColor="text1"/>
          <w:lang w:val="en-US" w:eastAsia="zh-CN"/>
          <w14:textFill>
            <w14:solidFill>
              <w14:schemeClr w14:val="tx1"/>
            </w14:solidFill>
          </w14:textFill>
        </w:rPr>
      </w:pPr>
    </w:p>
    <w:p>
      <w:pPr>
        <w:rPr>
          <w:rFonts w:hint="eastAsia"/>
          <w:color w:val="000000" w:themeColor="text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p>
    <w:p>
      <w:pPr>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sectPr>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ˎ̥">
    <w:altName w:val="Segoe Print"/>
    <w:panose1 w:val="00000000000000000000"/>
    <w:charset w:val="00"/>
    <w:family w:val="roman"/>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8"/>
      <w:ind w:right="360" w:firstLine="360"/>
      <w:rPr>
        <w:rStyle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ind w:right="360" w:firstLine="360"/>
      <w:jc w:val="center"/>
      <w:rPr>
        <w:rStyle w:val="32"/>
      </w:rPr>
    </w:pPr>
    <w:r>
      <w:rPr>
        <w:rStyle w:val="32"/>
        <w:kern w:val="2"/>
        <w:szCs w:val="18"/>
      </w:rPr>
      <w:fldChar w:fldCharType="begin"/>
    </w:r>
    <w:r>
      <w:rPr>
        <w:rStyle w:val="32"/>
        <w:kern w:val="2"/>
        <w:szCs w:val="18"/>
      </w:rPr>
      <w:instrText xml:space="preserve"> PAGE </w:instrText>
    </w:r>
    <w:r>
      <w:rPr>
        <w:rStyle w:val="32"/>
        <w:kern w:val="2"/>
        <w:szCs w:val="18"/>
      </w:rPr>
      <w:fldChar w:fldCharType="separate"/>
    </w:r>
    <w:r>
      <w:rPr>
        <w:rStyle w:val="32"/>
        <w:kern w:val="2"/>
        <w:szCs w:val="18"/>
      </w:rPr>
      <w:t>4</w:t>
    </w:r>
    <w:r>
      <w:rPr>
        <w:rStyle w:val="32"/>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bidi w:val="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pPr>
    <w:r>
      <w:rPr>
        <w:rFonts w:hint="eastAsia"/>
      </w:rPr>
      <w:t>楚穗直流穗东侧高压</w:t>
    </w:r>
    <w:r>
      <w:rPr>
        <w:rFonts w:hint="eastAsia"/>
        <w:lang w:eastAsia="zh-CN"/>
      </w:rPr>
      <w:t>微型轻量化超灵敏日盲紫外探测巡检装置</w:t>
    </w:r>
    <w:r>
      <w:rPr>
        <w:rFonts w:hint="eastAsia"/>
      </w:rPr>
      <w:t>应用及推广（成果推广项目）：楚穗直流穗东侧高压</w:t>
    </w:r>
    <w:r>
      <w:rPr>
        <w:rFonts w:hint="eastAsia"/>
        <w:lang w:eastAsia="zh-CN"/>
      </w:rPr>
      <w:t>微型轻量化超灵敏日盲紫外探测巡检装置</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广东天广能源科技发展有限公司非接触行波采集的分布式高压直流线路故障测距装置2026—2028年生产代工框架采购项目技术规范书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7EBAA"/>
    <w:multiLevelType w:val="singleLevel"/>
    <w:tmpl w:val="CD07EBAA"/>
    <w:lvl w:ilvl="0" w:tentative="0">
      <w:start w:val="1"/>
      <w:numFmt w:val="decimalFullWidth"/>
      <w:suff w:val="nothing"/>
      <w:lvlText w:val="%1"/>
      <w:lvlJc w:val="left"/>
      <w:pPr>
        <w:tabs>
          <w:tab w:val="left" w:pos="0"/>
        </w:tabs>
        <w:ind w:left="0" w:leftChars="0" w:firstLine="0" w:firstLineChars="0"/>
      </w:pPr>
      <w:rPr>
        <w:rFonts w:hint="eastAsia"/>
      </w:rPr>
    </w:lvl>
  </w:abstractNum>
  <w:abstractNum w:abstractNumId="1">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3" w:tentative="0">
      <w:start w:val="1"/>
      <w:numFmt w:val="decimal"/>
      <w:pStyle w:val="56"/>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A6B1602"/>
    <w:multiLevelType w:val="multilevel"/>
    <w:tmpl w:val="0A6B16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b/>
        <w:bCs/>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2C1C585D"/>
    <w:multiLevelType w:val="singleLevel"/>
    <w:tmpl w:val="2C1C585D"/>
    <w:lvl w:ilvl="0" w:tentative="0">
      <w:start w:val="1"/>
      <w:numFmt w:val="decimal"/>
      <w:pStyle w:val="64"/>
      <w:lvlText w:val="(%1)"/>
      <w:lvlJc w:val="left"/>
      <w:pPr>
        <w:tabs>
          <w:tab w:val="left" w:pos="678"/>
        </w:tabs>
        <w:ind w:left="678" w:hanging="468"/>
      </w:pPr>
      <w:rPr>
        <w:rFonts w:hint="eastAsia"/>
      </w:rPr>
    </w:lvl>
  </w:abstractNum>
  <w:abstractNum w:abstractNumId="4">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67"/>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6">
    <w:nsid w:val="4A5AC650"/>
    <w:multiLevelType w:val="multilevel"/>
    <w:tmpl w:val="4A5AC650"/>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5BA62895"/>
    <w:multiLevelType w:val="multilevel"/>
    <w:tmpl w:val="5BA62895"/>
    <w:lvl w:ilvl="0" w:tentative="0">
      <w:start w:val="1"/>
      <w:numFmt w:val="decimal"/>
      <w:pStyle w:val="78"/>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5"/>
  </w:num>
  <w:num w:numId="5">
    <w:abstractNumId w:val="7"/>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AD"/>
    <w:rsid w:val="00005843"/>
    <w:rsid w:val="00007604"/>
    <w:rsid w:val="000100E6"/>
    <w:rsid w:val="00011333"/>
    <w:rsid w:val="00011D62"/>
    <w:rsid w:val="00015ED2"/>
    <w:rsid w:val="00025143"/>
    <w:rsid w:val="00030000"/>
    <w:rsid w:val="000306DA"/>
    <w:rsid w:val="00031B9E"/>
    <w:rsid w:val="000324BA"/>
    <w:rsid w:val="000331F3"/>
    <w:rsid w:val="000365DB"/>
    <w:rsid w:val="0003769F"/>
    <w:rsid w:val="0004219E"/>
    <w:rsid w:val="0004627E"/>
    <w:rsid w:val="0004651A"/>
    <w:rsid w:val="00046B9D"/>
    <w:rsid w:val="00053C2A"/>
    <w:rsid w:val="0005593E"/>
    <w:rsid w:val="000604F3"/>
    <w:rsid w:val="0006103B"/>
    <w:rsid w:val="0006156C"/>
    <w:rsid w:val="0006325A"/>
    <w:rsid w:val="00066CB2"/>
    <w:rsid w:val="000710D5"/>
    <w:rsid w:val="000712AF"/>
    <w:rsid w:val="00071D92"/>
    <w:rsid w:val="00071E61"/>
    <w:rsid w:val="000744AF"/>
    <w:rsid w:val="000749E5"/>
    <w:rsid w:val="000767AA"/>
    <w:rsid w:val="00080CB0"/>
    <w:rsid w:val="00080FFE"/>
    <w:rsid w:val="000819CE"/>
    <w:rsid w:val="0009024C"/>
    <w:rsid w:val="00090F66"/>
    <w:rsid w:val="00095CDE"/>
    <w:rsid w:val="000968A1"/>
    <w:rsid w:val="00097C70"/>
    <w:rsid w:val="00097E93"/>
    <w:rsid w:val="000A1260"/>
    <w:rsid w:val="000A1CFA"/>
    <w:rsid w:val="000A25AA"/>
    <w:rsid w:val="000B10A1"/>
    <w:rsid w:val="000B1B28"/>
    <w:rsid w:val="000B64C1"/>
    <w:rsid w:val="000B7327"/>
    <w:rsid w:val="000C4F02"/>
    <w:rsid w:val="000C6F8F"/>
    <w:rsid w:val="000C7FB7"/>
    <w:rsid w:val="000D10BF"/>
    <w:rsid w:val="000D1438"/>
    <w:rsid w:val="000D2ABC"/>
    <w:rsid w:val="000D3213"/>
    <w:rsid w:val="000D34A5"/>
    <w:rsid w:val="000D3A59"/>
    <w:rsid w:val="000E0C9A"/>
    <w:rsid w:val="000E0F79"/>
    <w:rsid w:val="000E49AB"/>
    <w:rsid w:val="000E57A5"/>
    <w:rsid w:val="000E5A91"/>
    <w:rsid w:val="000F0741"/>
    <w:rsid w:val="000F1CF6"/>
    <w:rsid w:val="000F43B1"/>
    <w:rsid w:val="000F4F64"/>
    <w:rsid w:val="000F65BE"/>
    <w:rsid w:val="000F6DB7"/>
    <w:rsid w:val="000F6E67"/>
    <w:rsid w:val="00104527"/>
    <w:rsid w:val="001050BC"/>
    <w:rsid w:val="00107979"/>
    <w:rsid w:val="0010799B"/>
    <w:rsid w:val="00115BAC"/>
    <w:rsid w:val="00117678"/>
    <w:rsid w:val="001254CB"/>
    <w:rsid w:val="00125B7E"/>
    <w:rsid w:val="0013047C"/>
    <w:rsid w:val="00131D68"/>
    <w:rsid w:val="001427E7"/>
    <w:rsid w:val="0014365C"/>
    <w:rsid w:val="00144091"/>
    <w:rsid w:val="00145502"/>
    <w:rsid w:val="001477C4"/>
    <w:rsid w:val="00155D5E"/>
    <w:rsid w:val="001570F8"/>
    <w:rsid w:val="001626A9"/>
    <w:rsid w:val="00167D63"/>
    <w:rsid w:val="00172393"/>
    <w:rsid w:val="00174E2F"/>
    <w:rsid w:val="001751E1"/>
    <w:rsid w:val="00176E9B"/>
    <w:rsid w:val="00180BFD"/>
    <w:rsid w:val="00183DF5"/>
    <w:rsid w:val="00185EF7"/>
    <w:rsid w:val="00192CFE"/>
    <w:rsid w:val="00194B8C"/>
    <w:rsid w:val="001977D4"/>
    <w:rsid w:val="001A0287"/>
    <w:rsid w:val="001A148D"/>
    <w:rsid w:val="001A416D"/>
    <w:rsid w:val="001A486A"/>
    <w:rsid w:val="001A5F8B"/>
    <w:rsid w:val="001B32F7"/>
    <w:rsid w:val="001B4544"/>
    <w:rsid w:val="001B77DB"/>
    <w:rsid w:val="001C4357"/>
    <w:rsid w:val="001C485B"/>
    <w:rsid w:val="001D30AE"/>
    <w:rsid w:val="001D40A1"/>
    <w:rsid w:val="001D4D25"/>
    <w:rsid w:val="001D4F58"/>
    <w:rsid w:val="001E0848"/>
    <w:rsid w:val="001E1058"/>
    <w:rsid w:val="001E187C"/>
    <w:rsid w:val="001E4826"/>
    <w:rsid w:val="001E78A4"/>
    <w:rsid w:val="001E7E08"/>
    <w:rsid w:val="001F189D"/>
    <w:rsid w:val="001F5FCA"/>
    <w:rsid w:val="00203747"/>
    <w:rsid w:val="00204A7B"/>
    <w:rsid w:val="00204D36"/>
    <w:rsid w:val="00205089"/>
    <w:rsid w:val="00205AA3"/>
    <w:rsid w:val="00211597"/>
    <w:rsid w:val="00212587"/>
    <w:rsid w:val="00213E95"/>
    <w:rsid w:val="00216110"/>
    <w:rsid w:val="00216882"/>
    <w:rsid w:val="00216FBB"/>
    <w:rsid w:val="00225CDF"/>
    <w:rsid w:val="002322CE"/>
    <w:rsid w:val="002338B8"/>
    <w:rsid w:val="002353CA"/>
    <w:rsid w:val="00235A6E"/>
    <w:rsid w:val="00236B0D"/>
    <w:rsid w:val="00237C55"/>
    <w:rsid w:val="00237E9B"/>
    <w:rsid w:val="00241231"/>
    <w:rsid w:val="0024256B"/>
    <w:rsid w:val="00242E00"/>
    <w:rsid w:val="00245B83"/>
    <w:rsid w:val="00256AE0"/>
    <w:rsid w:val="00260EA3"/>
    <w:rsid w:val="00264629"/>
    <w:rsid w:val="002650DE"/>
    <w:rsid w:val="00273E33"/>
    <w:rsid w:val="00276F96"/>
    <w:rsid w:val="00285C36"/>
    <w:rsid w:val="0028649B"/>
    <w:rsid w:val="002864E4"/>
    <w:rsid w:val="00286BBF"/>
    <w:rsid w:val="00287076"/>
    <w:rsid w:val="002A10BA"/>
    <w:rsid w:val="002A6688"/>
    <w:rsid w:val="002A6FA9"/>
    <w:rsid w:val="002B1825"/>
    <w:rsid w:val="002B1FAD"/>
    <w:rsid w:val="002B5AF2"/>
    <w:rsid w:val="002C0643"/>
    <w:rsid w:val="002D13DF"/>
    <w:rsid w:val="002D4818"/>
    <w:rsid w:val="002D496E"/>
    <w:rsid w:val="002D688A"/>
    <w:rsid w:val="002D6D8B"/>
    <w:rsid w:val="002E0A6A"/>
    <w:rsid w:val="002E44F0"/>
    <w:rsid w:val="002F3155"/>
    <w:rsid w:val="002F5681"/>
    <w:rsid w:val="002F66F2"/>
    <w:rsid w:val="002F6D4A"/>
    <w:rsid w:val="0030555F"/>
    <w:rsid w:val="0030596B"/>
    <w:rsid w:val="00305B51"/>
    <w:rsid w:val="00306436"/>
    <w:rsid w:val="00307590"/>
    <w:rsid w:val="0031002C"/>
    <w:rsid w:val="00310423"/>
    <w:rsid w:val="00313377"/>
    <w:rsid w:val="00315063"/>
    <w:rsid w:val="003150BD"/>
    <w:rsid w:val="00317BCA"/>
    <w:rsid w:val="0032019F"/>
    <w:rsid w:val="00320E84"/>
    <w:rsid w:val="00322EA4"/>
    <w:rsid w:val="00323B69"/>
    <w:rsid w:val="003241A0"/>
    <w:rsid w:val="00325571"/>
    <w:rsid w:val="00326F87"/>
    <w:rsid w:val="003300D4"/>
    <w:rsid w:val="00336D96"/>
    <w:rsid w:val="00337902"/>
    <w:rsid w:val="00340103"/>
    <w:rsid w:val="00340ADD"/>
    <w:rsid w:val="00342653"/>
    <w:rsid w:val="003466AF"/>
    <w:rsid w:val="00347F1A"/>
    <w:rsid w:val="00350872"/>
    <w:rsid w:val="00350996"/>
    <w:rsid w:val="003524B0"/>
    <w:rsid w:val="00356CAB"/>
    <w:rsid w:val="00356D38"/>
    <w:rsid w:val="00357D4F"/>
    <w:rsid w:val="00363EC2"/>
    <w:rsid w:val="00374A90"/>
    <w:rsid w:val="0037669C"/>
    <w:rsid w:val="00377122"/>
    <w:rsid w:val="00381023"/>
    <w:rsid w:val="003826BC"/>
    <w:rsid w:val="00386F0E"/>
    <w:rsid w:val="00386FDC"/>
    <w:rsid w:val="00387780"/>
    <w:rsid w:val="003878E0"/>
    <w:rsid w:val="00391E1D"/>
    <w:rsid w:val="0039300E"/>
    <w:rsid w:val="003936C4"/>
    <w:rsid w:val="003949AA"/>
    <w:rsid w:val="003A09F8"/>
    <w:rsid w:val="003A1B9D"/>
    <w:rsid w:val="003A1EC1"/>
    <w:rsid w:val="003A1F75"/>
    <w:rsid w:val="003A27B1"/>
    <w:rsid w:val="003A3619"/>
    <w:rsid w:val="003A6E2F"/>
    <w:rsid w:val="003A73DB"/>
    <w:rsid w:val="003B35F2"/>
    <w:rsid w:val="003B6118"/>
    <w:rsid w:val="003B6376"/>
    <w:rsid w:val="003B6F8D"/>
    <w:rsid w:val="003C60B4"/>
    <w:rsid w:val="003D087D"/>
    <w:rsid w:val="003D0CAE"/>
    <w:rsid w:val="003D44AD"/>
    <w:rsid w:val="003D6C8C"/>
    <w:rsid w:val="003E1D24"/>
    <w:rsid w:val="003E4D64"/>
    <w:rsid w:val="003E7E0E"/>
    <w:rsid w:val="003F0C37"/>
    <w:rsid w:val="003F1314"/>
    <w:rsid w:val="003F2B01"/>
    <w:rsid w:val="003F3808"/>
    <w:rsid w:val="003F7799"/>
    <w:rsid w:val="00401E11"/>
    <w:rsid w:val="00401F0A"/>
    <w:rsid w:val="00402D6B"/>
    <w:rsid w:val="00404647"/>
    <w:rsid w:val="00404D62"/>
    <w:rsid w:val="00405EEF"/>
    <w:rsid w:val="00406366"/>
    <w:rsid w:val="004076D7"/>
    <w:rsid w:val="00407F27"/>
    <w:rsid w:val="00413FCF"/>
    <w:rsid w:val="00417DF9"/>
    <w:rsid w:val="004206D0"/>
    <w:rsid w:val="004220F3"/>
    <w:rsid w:val="004248AC"/>
    <w:rsid w:val="00427000"/>
    <w:rsid w:val="00432C4E"/>
    <w:rsid w:val="00434438"/>
    <w:rsid w:val="00435126"/>
    <w:rsid w:val="0043556A"/>
    <w:rsid w:val="00441297"/>
    <w:rsid w:val="00443C39"/>
    <w:rsid w:val="004472BA"/>
    <w:rsid w:val="00447F80"/>
    <w:rsid w:val="004521EE"/>
    <w:rsid w:val="00460F53"/>
    <w:rsid w:val="004617FD"/>
    <w:rsid w:val="004620C2"/>
    <w:rsid w:val="00463105"/>
    <w:rsid w:val="00463450"/>
    <w:rsid w:val="0046609E"/>
    <w:rsid w:val="00467437"/>
    <w:rsid w:val="00472E46"/>
    <w:rsid w:val="004861BF"/>
    <w:rsid w:val="00487F75"/>
    <w:rsid w:val="004901BD"/>
    <w:rsid w:val="00492559"/>
    <w:rsid w:val="0049348D"/>
    <w:rsid w:val="004963D4"/>
    <w:rsid w:val="00496856"/>
    <w:rsid w:val="004A0F53"/>
    <w:rsid w:val="004A1130"/>
    <w:rsid w:val="004A3062"/>
    <w:rsid w:val="004B1A16"/>
    <w:rsid w:val="004B3D44"/>
    <w:rsid w:val="004B589A"/>
    <w:rsid w:val="004B5AA8"/>
    <w:rsid w:val="004B7AD2"/>
    <w:rsid w:val="004C1D99"/>
    <w:rsid w:val="004C23E3"/>
    <w:rsid w:val="004C46CF"/>
    <w:rsid w:val="004C4C16"/>
    <w:rsid w:val="004C70FF"/>
    <w:rsid w:val="004C735F"/>
    <w:rsid w:val="004D25C0"/>
    <w:rsid w:val="004D51BC"/>
    <w:rsid w:val="004D7F0B"/>
    <w:rsid w:val="004E1A1C"/>
    <w:rsid w:val="004E2DCA"/>
    <w:rsid w:val="004E3C5C"/>
    <w:rsid w:val="004E596D"/>
    <w:rsid w:val="004F0659"/>
    <w:rsid w:val="0050079B"/>
    <w:rsid w:val="00502F47"/>
    <w:rsid w:val="00506BC1"/>
    <w:rsid w:val="00522286"/>
    <w:rsid w:val="00523A45"/>
    <w:rsid w:val="00525A7B"/>
    <w:rsid w:val="005302D4"/>
    <w:rsid w:val="00536901"/>
    <w:rsid w:val="00537B6B"/>
    <w:rsid w:val="00540C98"/>
    <w:rsid w:val="0054233A"/>
    <w:rsid w:val="005423B2"/>
    <w:rsid w:val="00547580"/>
    <w:rsid w:val="00555205"/>
    <w:rsid w:val="00556121"/>
    <w:rsid w:val="00556E28"/>
    <w:rsid w:val="00557B71"/>
    <w:rsid w:val="005631B8"/>
    <w:rsid w:val="005633B4"/>
    <w:rsid w:val="00563500"/>
    <w:rsid w:val="0056787C"/>
    <w:rsid w:val="00574D51"/>
    <w:rsid w:val="00575084"/>
    <w:rsid w:val="005802E2"/>
    <w:rsid w:val="0058193D"/>
    <w:rsid w:val="00582696"/>
    <w:rsid w:val="00590F22"/>
    <w:rsid w:val="00594AEF"/>
    <w:rsid w:val="00595BDE"/>
    <w:rsid w:val="005A0BA5"/>
    <w:rsid w:val="005A7208"/>
    <w:rsid w:val="005C0D72"/>
    <w:rsid w:val="005C124A"/>
    <w:rsid w:val="005C2F32"/>
    <w:rsid w:val="005C32AB"/>
    <w:rsid w:val="005C68D6"/>
    <w:rsid w:val="005D087C"/>
    <w:rsid w:val="005D0A01"/>
    <w:rsid w:val="005D2149"/>
    <w:rsid w:val="005D7F69"/>
    <w:rsid w:val="005E0209"/>
    <w:rsid w:val="005E07C0"/>
    <w:rsid w:val="005E12D8"/>
    <w:rsid w:val="005E142C"/>
    <w:rsid w:val="005E1BFD"/>
    <w:rsid w:val="005E32FE"/>
    <w:rsid w:val="005E3F3B"/>
    <w:rsid w:val="005E6D25"/>
    <w:rsid w:val="005E7F4D"/>
    <w:rsid w:val="005F240F"/>
    <w:rsid w:val="005F4E55"/>
    <w:rsid w:val="005F5599"/>
    <w:rsid w:val="00602144"/>
    <w:rsid w:val="00605D48"/>
    <w:rsid w:val="00605DA9"/>
    <w:rsid w:val="00607EF3"/>
    <w:rsid w:val="00612F4A"/>
    <w:rsid w:val="00614034"/>
    <w:rsid w:val="006178FD"/>
    <w:rsid w:val="00617B6C"/>
    <w:rsid w:val="00623DEE"/>
    <w:rsid w:val="006244B5"/>
    <w:rsid w:val="00633016"/>
    <w:rsid w:val="006339E8"/>
    <w:rsid w:val="00633DB9"/>
    <w:rsid w:val="00642A77"/>
    <w:rsid w:val="00642AFF"/>
    <w:rsid w:val="0064321F"/>
    <w:rsid w:val="006438F3"/>
    <w:rsid w:val="00644706"/>
    <w:rsid w:val="00653F8B"/>
    <w:rsid w:val="00655907"/>
    <w:rsid w:val="00660410"/>
    <w:rsid w:val="00662108"/>
    <w:rsid w:val="00667D50"/>
    <w:rsid w:val="006724E1"/>
    <w:rsid w:val="00674401"/>
    <w:rsid w:val="00674774"/>
    <w:rsid w:val="00675A04"/>
    <w:rsid w:val="0067713B"/>
    <w:rsid w:val="00681A01"/>
    <w:rsid w:val="00684E4C"/>
    <w:rsid w:val="00685BA5"/>
    <w:rsid w:val="00694D4C"/>
    <w:rsid w:val="006974CC"/>
    <w:rsid w:val="006A3013"/>
    <w:rsid w:val="006A60F3"/>
    <w:rsid w:val="006A6266"/>
    <w:rsid w:val="006B1A78"/>
    <w:rsid w:val="006B2322"/>
    <w:rsid w:val="006B2554"/>
    <w:rsid w:val="006B547A"/>
    <w:rsid w:val="006B797B"/>
    <w:rsid w:val="006C10FD"/>
    <w:rsid w:val="006C2E4B"/>
    <w:rsid w:val="006C4622"/>
    <w:rsid w:val="006C5807"/>
    <w:rsid w:val="006D0440"/>
    <w:rsid w:val="006D0983"/>
    <w:rsid w:val="006D1818"/>
    <w:rsid w:val="006D236B"/>
    <w:rsid w:val="006D3D96"/>
    <w:rsid w:val="006D46FE"/>
    <w:rsid w:val="006E4BD1"/>
    <w:rsid w:val="006E4C40"/>
    <w:rsid w:val="006E5FD9"/>
    <w:rsid w:val="006E621F"/>
    <w:rsid w:val="006E643F"/>
    <w:rsid w:val="006E6F77"/>
    <w:rsid w:val="006F002F"/>
    <w:rsid w:val="006F02FE"/>
    <w:rsid w:val="00710273"/>
    <w:rsid w:val="007109DC"/>
    <w:rsid w:val="007126B4"/>
    <w:rsid w:val="007136CD"/>
    <w:rsid w:val="00713FAC"/>
    <w:rsid w:val="00724579"/>
    <w:rsid w:val="00724CD0"/>
    <w:rsid w:val="007251AD"/>
    <w:rsid w:val="00725E08"/>
    <w:rsid w:val="00727E22"/>
    <w:rsid w:val="00730A27"/>
    <w:rsid w:val="007316F3"/>
    <w:rsid w:val="00737C74"/>
    <w:rsid w:val="007414C3"/>
    <w:rsid w:val="00743973"/>
    <w:rsid w:val="0074630A"/>
    <w:rsid w:val="00752105"/>
    <w:rsid w:val="00753A59"/>
    <w:rsid w:val="0075560B"/>
    <w:rsid w:val="00756435"/>
    <w:rsid w:val="00756C33"/>
    <w:rsid w:val="00760411"/>
    <w:rsid w:val="00762D29"/>
    <w:rsid w:val="00767702"/>
    <w:rsid w:val="00770A7C"/>
    <w:rsid w:val="0077154B"/>
    <w:rsid w:val="00771AFF"/>
    <w:rsid w:val="00772F02"/>
    <w:rsid w:val="00773594"/>
    <w:rsid w:val="007743B2"/>
    <w:rsid w:val="00775D91"/>
    <w:rsid w:val="007774EA"/>
    <w:rsid w:val="0078105D"/>
    <w:rsid w:val="0078419F"/>
    <w:rsid w:val="00786E47"/>
    <w:rsid w:val="00787E4A"/>
    <w:rsid w:val="00794F31"/>
    <w:rsid w:val="00796C5F"/>
    <w:rsid w:val="007A4131"/>
    <w:rsid w:val="007A481B"/>
    <w:rsid w:val="007A4A47"/>
    <w:rsid w:val="007A4E63"/>
    <w:rsid w:val="007A5CDF"/>
    <w:rsid w:val="007B3DA9"/>
    <w:rsid w:val="007B42FD"/>
    <w:rsid w:val="007B6FA1"/>
    <w:rsid w:val="007B78F8"/>
    <w:rsid w:val="007C0393"/>
    <w:rsid w:val="007C054A"/>
    <w:rsid w:val="007C12C9"/>
    <w:rsid w:val="007C5A54"/>
    <w:rsid w:val="007D13DA"/>
    <w:rsid w:val="007D3905"/>
    <w:rsid w:val="007D63FF"/>
    <w:rsid w:val="007D7E8F"/>
    <w:rsid w:val="007E09CC"/>
    <w:rsid w:val="007E29F1"/>
    <w:rsid w:val="007E50D0"/>
    <w:rsid w:val="007E526A"/>
    <w:rsid w:val="007F5731"/>
    <w:rsid w:val="007F6812"/>
    <w:rsid w:val="0080037B"/>
    <w:rsid w:val="00802390"/>
    <w:rsid w:val="008057CF"/>
    <w:rsid w:val="008060F8"/>
    <w:rsid w:val="00806FDF"/>
    <w:rsid w:val="008073EA"/>
    <w:rsid w:val="00807BD3"/>
    <w:rsid w:val="00810B4D"/>
    <w:rsid w:val="00810CBD"/>
    <w:rsid w:val="008114E2"/>
    <w:rsid w:val="00812036"/>
    <w:rsid w:val="00813036"/>
    <w:rsid w:val="00813F9A"/>
    <w:rsid w:val="00817430"/>
    <w:rsid w:val="0082098E"/>
    <w:rsid w:val="00821B0D"/>
    <w:rsid w:val="00825CCD"/>
    <w:rsid w:val="008307DF"/>
    <w:rsid w:val="00832F9F"/>
    <w:rsid w:val="008331F7"/>
    <w:rsid w:val="00842C09"/>
    <w:rsid w:val="00844B3D"/>
    <w:rsid w:val="00847F6E"/>
    <w:rsid w:val="008514BD"/>
    <w:rsid w:val="00857A57"/>
    <w:rsid w:val="008603B3"/>
    <w:rsid w:val="008625C6"/>
    <w:rsid w:val="008636B0"/>
    <w:rsid w:val="008647EE"/>
    <w:rsid w:val="00867169"/>
    <w:rsid w:val="00871C32"/>
    <w:rsid w:val="00873F8C"/>
    <w:rsid w:val="008817FB"/>
    <w:rsid w:val="00881C91"/>
    <w:rsid w:val="00893AE0"/>
    <w:rsid w:val="0089529C"/>
    <w:rsid w:val="00897495"/>
    <w:rsid w:val="008A2B27"/>
    <w:rsid w:val="008A2BB7"/>
    <w:rsid w:val="008A54CB"/>
    <w:rsid w:val="008A5DC5"/>
    <w:rsid w:val="008B06AD"/>
    <w:rsid w:val="008B2BE1"/>
    <w:rsid w:val="008B3C42"/>
    <w:rsid w:val="008B7B75"/>
    <w:rsid w:val="008B7B90"/>
    <w:rsid w:val="008C1C84"/>
    <w:rsid w:val="008C23F2"/>
    <w:rsid w:val="008C7A51"/>
    <w:rsid w:val="008D163C"/>
    <w:rsid w:val="008D22B6"/>
    <w:rsid w:val="008D349C"/>
    <w:rsid w:val="008D6013"/>
    <w:rsid w:val="008D648E"/>
    <w:rsid w:val="008D66A8"/>
    <w:rsid w:val="008E23E0"/>
    <w:rsid w:val="008E3CAE"/>
    <w:rsid w:val="008E7BD1"/>
    <w:rsid w:val="008F0E5D"/>
    <w:rsid w:val="008F1B37"/>
    <w:rsid w:val="008F3EAB"/>
    <w:rsid w:val="009010F7"/>
    <w:rsid w:val="00903CAD"/>
    <w:rsid w:val="009057A7"/>
    <w:rsid w:val="009106F8"/>
    <w:rsid w:val="00914105"/>
    <w:rsid w:val="00914415"/>
    <w:rsid w:val="009166E7"/>
    <w:rsid w:val="009174AB"/>
    <w:rsid w:val="00920305"/>
    <w:rsid w:val="0092069C"/>
    <w:rsid w:val="00920FBF"/>
    <w:rsid w:val="0092243C"/>
    <w:rsid w:val="00923EC8"/>
    <w:rsid w:val="00924018"/>
    <w:rsid w:val="00924A44"/>
    <w:rsid w:val="00925C82"/>
    <w:rsid w:val="009302C2"/>
    <w:rsid w:val="00934980"/>
    <w:rsid w:val="00936D97"/>
    <w:rsid w:val="00941D55"/>
    <w:rsid w:val="00944951"/>
    <w:rsid w:val="009475E2"/>
    <w:rsid w:val="00950F7E"/>
    <w:rsid w:val="00952FA3"/>
    <w:rsid w:val="009611B4"/>
    <w:rsid w:val="0096223C"/>
    <w:rsid w:val="00967C20"/>
    <w:rsid w:val="009702F0"/>
    <w:rsid w:val="009745B3"/>
    <w:rsid w:val="00976274"/>
    <w:rsid w:val="00976A29"/>
    <w:rsid w:val="009823E5"/>
    <w:rsid w:val="0098287B"/>
    <w:rsid w:val="009901E7"/>
    <w:rsid w:val="0099565A"/>
    <w:rsid w:val="00996198"/>
    <w:rsid w:val="00996DDC"/>
    <w:rsid w:val="009B7F11"/>
    <w:rsid w:val="009C17CD"/>
    <w:rsid w:val="009C2DDA"/>
    <w:rsid w:val="009C49A3"/>
    <w:rsid w:val="009C5784"/>
    <w:rsid w:val="009C62DB"/>
    <w:rsid w:val="009D3AEE"/>
    <w:rsid w:val="009D63AD"/>
    <w:rsid w:val="009D66D1"/>
    <w:rsid w:val="009D77A3"/>
    <w:rsid w:val="009E0723"/>
    <w:rsid w:val="009E22DC"/>
    <w:rsid w:val="009E37CD"/>
    <w:rsid w:val="009E37D8"/>
    <w:rsid w:val="009E451C"/>
    <w:rsid w:val="009E66E2"/>
    <w:rsid w:val="009F1F49"/>
    <w:rsid w:val="009F3030"/>
    <w:rsid w:val="009F403E"/>
    <w:rsid w:val="00A0343E"/>
    <w:rsid w:val="00A03D9E"/>
    <w:rsid w:val="00A072B1"/>
    <w:rsid w:val="00A113B3"/>
    <w:rsid w:val="00A15355"/>
    <w:rsid w:val="00A1537B"/>
    <w:rsid w:val="00A1774B"/>
    <w:rsid w:val="00A17CC8"/>
    <w:rsid w:val="00A207A5"/>
    <w:rsid w:val="00A21805"/>
    <w:rsid w:val="00A237E8"/>
    <w:rsid w:val="00A23EE6"/>
    <w:rsid w:val="00A2576C"/>
    <w:rsid w:val="00A3295D"/>
    <w:rsid w:val="00A35441"/>
    <w:rsid w:val="00A36644"/>
    <w:rsid w:val="00A42CE0"/>
    <w:rsid w:val="00A44587"/>
    <w:rsid w:val="00A44871"/>
    <w:rsid w:val="00A51466"/>
    <w:rsid w:val="00A56118"/>
    <w:rsid w:val="00A5623E"/>
    <w:rsid w:val="00A56B3C"/>
    <w:rsid w:val="00A6204C"/>
    <w:rsid w:val="00A63BCF"/>
    <w:rsid w:val="00A64D5F"/>
    <w:rsid w:val="00A7088E"/>
    <w:rsid w:val="00A73B77"/>
    <w:rsid w:val="00A821D2"/>
    <w:rsid w:val="00A91D2B"/>
    <w:rsid w:val="00A92387"/>
    <w:rsid w:val="00A943E8"/>
    <w:rsid w:val="00A94D40"/>
    <w:rsid w:val="00A94DD0"/>
    <w:rsid w:val="00A963D2"/>
    <w:rsid w:val="00AA0A4D"/>
    <w:rsid w:val="00AA779C"/>
    <w:rsid w:val="00AA7CAD"/>
    <w:rsid w:val="00AB5C45"/>
    <w:rsid w:val="00AB7969"/>
    <w:rsid w:val="00AC090A"/>
    <w:rsid w:val="00AC1083"/>
    <w:rsid w:val="00AC4CF9"/>
    <w:rsid w:val="00AD4DD9"/>
    <w:rsid w:val="00AD4DF8"/>
    <w:rsid w:val="00AD65B3"/>
    <w:rsid w:val="00AD7060"/>
    <w:rsid w:val="00AE0431"/>
    <w:rsid w:val="00AE623A"/>
    <w:rsid w:val="00AF3D58"/>
    <w:rsid w:val="00AF4729"/>
    <w:rsid w:val="00AF5E17"/>
    <w:rsid w:val="00AF63AC"/>
    <w:rsid w:val="00B0544D"/>
    <w:rsid w:val="00B06F44"/>
    <w:rsid w:val="00B12177"/>
    <w:rsid w:val="00B2139E"/>
    <w:rsid w:val="00B252E4"/>
    <w:rsid w:val="00B35A65"/>
    <w:rsid w:val="00B419B4"/>
    <w:rsid w:val="00B43F5F"/>
    <w:rsid w:val="00B44A72"/>
    <w:rsid w:val="00B44D55"/>
    <w:rsid w:val="00B4569B"/>
    <w:rsid w:val="00B4614D"/>
    <w:rsid w:val="00B466C8"/>
    <w:rsid w:val="00B473AB"/>
    <w:rsid w:val="00B474D7"/>
    <w:rsid w:val="00B47808"/>
    <w:rsid w:val="00B504C4"/>
    <w:rsid w:val="00B50EAF"/>
    <w:rsid w:val="00B559BA"/>
    <w:rsid w:val="00B56E04"/>
    <w:rsid w:val="00B575E1"/>
    <w:rsid w:val="00B61B50"/>
    <w:rsid w:val="00B62A0F"/>
    <w:rsid w:val="00B66702"/>
    <w:rsid w:val="00B67E58"/>
    <w:rsid w:val="00B73737"/>
    <w:rsid w:val="00B73802"/>
    <w:rsid w:val="00B740E1"/>
    <w:rsid w:val="00B83670"/>
    <w:rsid w:val="00B83A2F"/>
    <w:rsid w:val="00B8743F"/>
    <w:rsid w:val="00B87894"/>
    <w:rsid w:val="00B969F3"/>
    <w:rsid w:val="00BA3C9C"/>
    <w:rsid w:val="00BA4996"/>
    <w:rsid w:val="00BA5E13"/>
    <w:rsid w:val="00BB70C9"/>
    <w:rsid w:val="00BC4BDC"/>
    <w:rsid w:val="00BD5846"/>
    <w:rsid w:val="00BD5CE2"/>
    <w:rsid w:val="00BD5FE2"/>
    <w:rsid w:val="00BE1807"/>
    <w:rsid w:val="00BE19DC"/>
    <w:rsid w:val="00BE74FA"/>
    <w:rsid w:val="00BF0128"/>
    <w:rsid w:val="00BF3639"/>
    <w:rsid w:val="00BF3973"/>
    <w:rsid w:val="00C00FA3"/>
    <w:rsid w:val="00C032BC"/>
    <w:rsid w:val="00C03993"/>
    <w:rsid w:val="00C101F3"/>
    <w:rsid w:val="00C10A11"/>
    <w:rsid w:val="00C10FCD"/>
    <w:rsid w:val="00C15937"/>
    <w:rsid w:val="00C15FED"/>
    <w:rsid w:val="00C17CEE"/>
    <w:rsid w:val="00C2561E"/>
    <w:rsid w:val="00C3112D"/>
    <w:rsid w:val="00C32783"/>
    <w:rsid w:val="00C35198"/>
    <w:rsid w:val="00C361B6"/>
    <w:rsid w:val="00C37C2A"/>
    <w:rsid w:val="00C407D9"/>
    <w:rsid w:val="00C40FE1"/>
    <w:rsid w:val="00C41B50"/>
    <w:rsid w:val="00C45258"/>
    <w:rsid w:val="00C45FCE"/>
    <w:rsid w:val="00C4669A"/>
    <w:rsid w:val="00C46CC2"/>
    <w:rsid w:val="00C56F64"/>
    <w:rsid w:val="00C62A35"/>
    <w:rsid w:val="00C62BA0"/>
    <w:rsid w:val="00C64656"/>
    <w:rsid w:val="00C6593E"/>
    <w:rsid w:val="00C65FFC"/>
    <w:rsid w:val="00C724BA"/>
    <w:rsid w:val="00C72BFF"/>
    <w:rsid w:val="00C746B3"/>
    <w:rsid w:val="00C7530F"/>
    <w:rsid w:val="00C754B4"/>
    <w:rsid w:val="00C7639A"/>
    <w:rsid w:val="00C763BA"/>
    <w:rsid w:val="00C8165D"/>
    <w:rsid w:val="00C84596"/>
    <w:rsid w:val="00C91C8C"/>
    <w:rsid w:val="00C91EA5"/>
    <w:rsid w:val="00CA21D0"/>
    <w:rsid w:val="00CA2B57"/>
    <w:rsid w:val="00CA7C1D"/>
    <w:rsid w:val="00CB23B5"/>
    <w:rsid w:val="00CB4280"/>
    <w:rsid w:val="00CB56E4"/>
    <w:rsid w:val="00CB6C19"/>
    <w:rsid w:val="00CC482C"/>
    <w:rsid w:val="00CD28DD"/>
    <w:rsid w:val="00CD3156"/>
    <w:rsid w:val="00CD4A98"/>
    <w:rsid w:val="00CD61F3"/>
    <w:rsid w:val="00CE0BBA"/>
    <w:rsid w:val="00CE0BEA"/>
    <w:rsid w:val="00CE1A25"/>
    <w:rsid w:val="00CE2CD6"/>
    <w:rsid w:val="00CE57D4"/>
    <w:rsid w:val="00CE597E"/>
    <w:rsid w:val="00CE5E56"/>
    <w:rsid w:val="00CE664B"/>
    <w:rsid w:val="00CF4625"/>
    <w:rsid w:val="00D00DB1"/>
    <w:rsid w:val="00D0195B"/>
    <w:rsid w:val="00D0263A"/>
    <w:rsid w:val="00D074C6"/>
    <w:rsid w:val="00D2154C"/>
    <w:rsid w:val="00D21CD1"/>
    <w:rsid w:val="00D2214E"/>
    <w:rsid w:val="00D25060"/>
    <w:rsid w:val="00D27203"/>
    <w:rsid w:val="00D27501"/>
    <w:rsid w:val="00D40BC7"/>
    <w:rsid w:val="00D40FFF"/>
    <w:rsid w:val="00D41BAF"/>
    <w:rsid w:val="00D422F2"/>
    <w:rsid w:val="00D43D1A"/>
    <w:rsid w:val="00D44D31"/>
    <w:rsid w:val="00D45640"/>
    <w:rsid w:val="00D475F8"/>
    <w:rsid w:val="00D50A87"/>
    <w:rsid w:val="00D6353E"/>
    <w:rsid w:val="00D642B8"/>
    <w:rsid w:val="00D65182"/>
    <w:rsid w:val="00D65609"/>
    <w:rsid w:val="00D66373"/>
    <w:rsid w:val="00D73B5A"/>
    <w:rsid w:val="00D75733"/>
    <w:rsid w:val="00D75FD4"/>
    <w:rsid w:val="00D87487"/>
    <w:rsid w:val="00D91B69"/>
    <w:rsid w:val="00D91D37"/>
    <w:rsid w:val="00DA05CD"/>
    <w:rsid w:val="00DA0C88"/>
    <w:rsid w:val="00DA267B"/>
    <w:rsid w:val="00DA37DC"/>
    <w:rsid w:val="00DA561E"/>
    <w:rsid w:val="00DB27EE"/>
    <w:rsid w:val="00DB4E78"/>
    <w:rsid w:val="00DC43D9"/>
    <w:rsid w:val="00DC471B"/>
    <w:rsid w:val="00DC5128"/>
    <w:rsid w:val="00DC5A94"/>
    <w:rsid w:val="00DD0AEA"/>
    <w:rsid w:val="00DD56AD"/>
    <w:rsid w:val="00DD6443"/>
    <w:rsid w:val="00DD7174"/>
    <w:rsid w:val="00DE1403"/>
    <w:rsid w:val="00DE22A2"/>
    <w:rsid w:val="00DE32C3"/>
    <w:rsid w:val="00DE564E"/>
    <w:rsid w:val="00DE7B12"/>
    <w:rsid w:val="00DF3625"/>
    <w:rsid w:val="00DF5AC7"/>
    <w:rsid w:val="00DF6139"/>
    <w:rsid w:val="00DF7E58"/>
    <w:rsid w:val="00E03B47"/>
    <w:rsid w:val="00E0403B"/>
    <w:rsid w:val="00E0430B"/>
    <w:rsid w:val="00E105BB"/>
    <w:rsid w:val="00E11433"/>
    <w:rsid w:val="00E14E07"/>
    <w:rsid w:val="00E2031A"/>
    <w:rsid w:val="00E217DD"/>
    <w:rsid w:val="00E2320B"/>
    <w:rsid w:val="00E24A1D"/>
    <w:rsid w:val="00E2791A"/>
    <w:rsid w:val="00E3013B"/>
    <w:rsid w:val="00E3338B"/>
    <w:rsid w:val="00E40747"/>
    <w:rsid w:val="00E41694"/>
    <w:rsid w:val="00E4659B"/>
    <w:rsid w:val="00E47506"/>
    <w:rsid w:val="00E50DE1"/>
    <w:rsid w:val="00E5254D"/>
    <w:rsid w:val="00E53C94"/>
    <w:rsid w:val="00E56EAD"/>
    <w:rsid w:val="00E63319"/>
    <w:rsid w:val="00E649E5"/>
    <w:rsid w:val="00E739CE"/>
    <w:rsid w:val="00E751E1"/>
    <w:rsid w:val="00E7528C"/>
    <w:rsid w:val="00E80439"/>
    <w:rsid w:val="00E81C75"/>
    <w:rsid w:val="00E82A92"/>
    <w:rsid w:val="00E82FF7"/>
    <w:rsid w:val="00E84EC5"/>
    <w:rsid w:val="00E879D8"/>
    <w:rsid w:val="00E906B9"/>
    <w:rsid w:val="00E93F3D"/>
    <w:rsid w:val="00E93F58"/>
    <w:rsid w:val="00EA0ACD"/>
    <w:rsid w:val="00EB0DD7"/>
    <w:rsid w:val="00EB33F2"/>
    <w:rsid w:val="00EB57C5"/>
    <w:rsid w:val="00EC0170"/>
    <w:rsid w:val="00EC4597"/>
    <w:rsid w:val="00EC476C"/>
    <w:rsid w:val="00EC64BA"/>
    <w:rsid w:val="00ED3647"/>
    <w:rsid w:val="00ED6314"/>
    <w:rsid w:val="00ED6C02"/>
    <w:rsid w:val="00EE13AF"/>
    <w:rsid w:val="00EE2B33"/>
    <w:rsid w:val="00EF258C"/>
    <w:rsid w:val="00EF26F9"/>
    <w:rsid w:val="00EF3DE4"/>
    <w:rsid w:val="00EF4BCC"/>
    <w:rsid w:val="00EF684A"/>
    <w:rsid w:val="00EF68CE"/>
    <w:rsid w:val="00F0032D"/>
    <w:rsid w:val="00F06682"/>
    <w:rsid w:val="00F06DAA"/>
    <w:rsid w:val="00F07023"/>
    <w:rsid w:val="00F1088C"/>
    <w:rsid w:val="00F13921"/>
    <w:rsid w:val="00F148BE"/>
    <w:rsid w:val="00F14AFC"/>
    <w:rsid w:val="00F1578C"/>
    <w:rsid w:val="00F15F44"/>
    <w:rsid w:val="00F16D8E"/>
    <w:rsid w:val="00F20DDC"/>
    <w:rsid w:val="00F211A8"/>
    <w:rsid w:val="00F26199"/>
    <w:rsid w:val="00F272F3"/>
    <w:rsid w:val="00F31183"/>
    <w:rsid w:val="00F319AF"/>
    <w:rsid w:val="00F35A8B"/>
    <w:rsid w:val="00F36898"/>
    <w:rsid w:val="00F449D3"/>
    <w:rsid w:val="00F460A3"/>
    <w:rsid w:val="00F510BB"/>
    <w:rsid w:val="00F51AF9"/>
    <w:rsid w:val="00F522ED"/>
    <w:rsid w:val="00F569BA"/>
    <w:rsid w:val="00F57E70"/>
    <w:rsid w:val="00F60AD1"/>
    <w:rsid w:val="00F60C5B"/>
    <w:rsid w:val="00F664B7"/>
    <w:rsid w:val="00F679A2"/>
    <w:rsid w:val="00F70149"/>
    <w:rsid w:val="00F76139"/>
    <w:rsid w:val="00F77923"/>
    <w:rsid w:val="00F77F9D"/>
    <w:rsid w:val="00F8162D"/>
    <w:rsid w:val="00F81E31"/>
    <w:rsid w:val="00F8307C"/>
    <w:rsid w:val="00F8502D"/>
    <w:rsid w:val="00F85E96"/>
    <w:rsid w:val="00F90662"/>
    <w:rsid w:val="00F94171"/>
    <w:rsid w:val="00F947B4"/>
    <w:rsid w:val="00F95FF9"/>
    <w:rsid w:val="00F96681"/>
    <w:rsid w:val="00FA0713"/>
    <w:rsid w:val="00FA0914"/>
    <w:rsid w:val="00FA657F"/>
    <w:rsid w:val="00FA6B74"/>
    <w:rsid w:val="00FA7900"/>
    <w:rsid w:val="00FB1E13"/>
    <w:rsid w:val="00FB30AF"/>
    <w:rsid w:val="00FB38D4"/>
    <w:rsid w:val="00FB495E"/>
    <w:rsid w:val="00FB5627"/>
    <w:rsid w:val="00FC2BD1"/>
    <w:rsid w:val="00FC77EC"/>
    <w:rsid w:val="00FD67B7"/>
    <w:rsid w:val="00FD71D5"/>
    <w:rsid w:val="00FE1092"/>
    <w:rsid w:val="00FE1F77"/>
    <w:rsid w:val="00FE3394"/>
    <w:rsid w:val="00FE724D"/>
    <w:rsid w:val="00FF27F1"/>
    <w:rsid w:val="00FF53BC"/>
    <w:rsid w:val="01005F5C"/>
    <w:rsid w:val="015507BB"/>
    <w:rsid w:val="019C23B2"/>
    <w:rsid w:val="02CC4CA2"/>
    <w:rsid w:val="02F43BF8"/>
    <w:rsid w:val="034877EC"/>
    <w:rsid w:val="03875A93"/>
    <w:rsid w:val="0430275A"/>
    <w:rsid w:val="0449381C"/>
    <w:rsid w:val="04E5793B"/>
    <w:rsid w:val="04EE4C10"/>
    <w:rsid w:val="055F3AEE"/>
    <w:rsid w:val="05A02329"/>
    <w:rsid w:val="05C40203"/>
    <w:rsid w:val="066D5959"/>
    <w:rsid w:val="06B663BD"/>
    <w:rsid w:val="06C70D2A"/>
    <w:rsid w:val="07037865"/>
    <w:rsid w:val="08035B0B"/>
    <w:rsid w:val="083B347B"/>
    <w:rsid w:val="0848106A"/>
    <w:rsid w:val="085E7CDF"/>
    <w:rsid w:val="08672D24"/>
    <w:rsid w:val="087526D9"/>
    <w:rsid w:val="08A75951"/>
    <w:rsid w:val="09300B06"/>
    <w:rsid w:val="09C3197A"/>
    <w:rsid w:val="09DB0338"/>
    <w:rsid w:val="0AB063A2"/>
    <w:rsid w:val="0AC81475"/>
    <w:rsid w:val="0B102933"/>
    <w:rsid w:val="0B21104E"/>
    <w:rsid w:val="0BB124BD"/>
    <w:rsid w:val="0BBC2E0F"/>
    <w:rsid w:val="0C233289"/>
    <w:rsid w:val="0C4E7DBD"/>
    <w:rsid w:val="0CD733D2"/>
    <w:rsid w:val="0CF74077"/>
    <w:rsid w:val="0D082F5C"/>
    <w:rsid w:val="0D2F3D97"/>
    <w:rsid w:val="0D42138B"/>
    <w:rsid w:val="0D4E1EA3"/>
    <w:rsid w:val="0D6D702E"/>
    <w:rsid w:val="0D7569B6"/>
    <w:rsid w:val="0D873F00"/>
    <w:rsid w:val="0E6D7959"/>
    <w:rsid w:val="0E9022EA"/>
    <w:rsid w:val="0EB43F87"/>
    <w:rsid w:val="0EDB32C2"/>
    <w:rsid w:val="0EF82781"/>
    <w:rsid w:val="0F900551"/>
    <w:rsid w:val="0FA754FC"/>
    <w:rsid w:val="0FF32896"/>
    <w:rsid w:val="10401F77"/>
    <w:rsid w:val="10EF17B4"/>
    <w:rsid w:val="11036AF6"/>
    <w:rsid w:val="11910454"/>
    <w:rsid w:val="11FA4700"/>
    <w:rsid w:val="11FE5DEB"/>
    <w:rsid w:val="122B0854"/>
    <w:rsid w:val="126D6273"/>
    <w:rsid w:val="12C46AD7"/>
    <w:rsid w:val="136775E5"/>
    <w:rsid w:val="13723D9D"/>
    <w:rsid w:val="13B363E0"/>
    <w:rsid w:val="14492156"/>
    <w:rsid w:val="151A7A7B"/>
    <w:rsid w:val="156D1521"/>
    <w:rsid w:val="15C96B44"/>
    <w:rsid w:val="16134C45"/>
    <w:rsid w:val="164107F7"/>
    <w:rsid w:val="166C0348"/>
    <w:rsid w:val="16AF05F0"/>
    <w:rsid w:val="16E85458"/>
    <w:rsid w:val="16FD3B68"/>
    <w:rsid w:val="174F484D"/>
    <w:rsid w:val="17FD699F"/>
    <w:rsid w:val="18141FD9"/>
    <w:rsid w:val="18232427"/>
    <w:rsid w:val="182B350C"/>
    <w:rsid w:val="18340143"/>
    <w:rsid w:val="188E61A5"/>
    <w:rsid w:val="1940347A"/>
    <w:rsid w:val="19800165"/>
    <w:rsid w:val="19D70E67"/>
    <w:rsid w:val="19E83C88"/>
    <w:rsid w:val="1A5F2FF9"/>
    <w:rsid w:val="1B5C39DD"/>
    <w:rsid w:val="1B754F67"/>
    <w:rsid w:val="1B9C57BC"/>
    <w:rsid w:val="1BE348D3"/>
    <w:rsid w:val="1BE76D7D"/>
    <w:rsid w:val="1BEA06C2"/>
    <w:rsid w:val="1BF70E5F"/>
    <w:rsid w:val="1C195C3F"/>
    <w:rsid w:val="1C71170A"/>
    <w:rsid w:val="1D4034D1"/>
    <w:rsid w:val="1D772D50"/>
    <w:rsid w:val="1D7F2BF3"/>
    <w:rsid w:val="1D8B67FB"/>
    <w:rsid w:val="1D8D4321"/>
    <w:rsid w:val="1D9B41AC"/>
    <w:rsid w:val="1E326A89"/>
    <w:rsid w:val="1E6E5F01"/>
    <w:rsid w:val="1E761E86"/>
    <w:rsid w:val="1E9623BB"/>
    <w:rsid w:val="1EE24A39"/>
    <w:rsid w:val="1F3F164B"/>
    <w:rsid w:val="1FEC2EBC"/>
    <w:rsid w:val="20146634"/>
    <w:rsid w:val="2020147D"/>
    <w:rsid w:val="20526477"/>
    <w:rsid w:val="20AD0744"/>
    <w:rsid w:val="20EC311B"/>
    <w:rsid w:val="219F18CF"/>
    <w:rsid w:val="21DC7625"/>
    <w:rsid w:val="21FC4D19"/>
    <w:rsid w:val="2219593A"/>
    <w:rsid w:val="22310768"/>
    <w:rsid w:val="22393EA1"/>
    <w:rsid w:val="224F7DF7"/>
    <w:rsid w:val="22D46273"/>
    <w:rsid w:val="22ED32DA"/>
    <w:rsid w:val="2309444A"/>
    <w:rsid w:val="235B4D93"/>
    <w:rsid w:val="23DE3EE7"/>
    <w:rsid w:val="2417382E"/>
    <w:rsid w:val="24262DDA"/>
    <w:rsid w:val="24305BD0"/>
    <w:rsid w:val="24D024BD"/>
    <w:rsid w:val="268564DD"/>
    <w:rsid w:val="26890FC2"/>
    <w:rsid w:val="269C5813"/>
    <w:rsid w:val="26C451F2"/>
    <w:rsid w:val="27D97FAC"/>
    <w:rsid w:val="28081174"/>
    <w:rsid w:val="28101D1E"/>
    <w:rsid w:val="28244B6B"/>
    <w:rsid w:val="282A31F1"/>
    <w:rsid w:val="288051AE"/>
    <w:rsid w:val="28EA3076"/>
    <w:rsid w:val="290F78EF"/>
    <w:rsid w:val="2976210D"/>
    <w:rsid w:val="299A214E"/>
    <w:rsid w:val="29A60AC1"/>
    <w:rsid w:val="29D14827"/>
    <w:rsid w:val="2A043D7C"/>
    <w:rsid w:val="2A8030E9"/>
    <w:rsid w:val="2A850E52"/>
    <w:rsid w:val="2AA809EC"/>
    <w:rsid w:val="2AE82B97"/>
    <w:rsid w:val="2B4F09D4"/>
    <w:rsid w:val="2BF51A0F"/>
    <w:rsid w:val="2C1A12E1"/>
    <w:rsid w:val="2C212804"/>
    <w:rsid w:val="2C5310A4"/>
    <w:rsid w:val="2CDC0FA6"/>
    <w:rsid w:val="2CF41CC7"/>
    <w:rsid w:val="2D593DF3"/>
    <w:rsid w:val="2E4436EE"/>
    <w:rsid w:val="2E880E77"/>
    <w:rsid w:val="2EBD2EC5"/>
    <w:rsid w:val="2F2F01C1"/>
    <w:rsid w:val="2FBA203F"/>
    <w:rsid w:val="2FBD5011"/>
    <w:rsid w:val="2FD9510C"/>
    <w:rsid w:val="30CB4729"/>
    <w:rsid w:val="30EB2B10"/>
    <w:rsid w:val="31FB190E"/>
    <w:rsid w:val="32886F74"/>
    <w:rsid w:val="3326373F"/>
    <w:rsid w:val="33391BEB"/>
    <w:rsid w:val="334B6695"/>
    <w:rsid w:val="336D4581"/>
    <w:rsid w:val="33A33545"/>
    <w:rsid w:val="33A8545F"/>
    <w:rsid w:val="34480B4A"/>
    <w:rsid w:val="34762022"/>
    <w:rsid w:val="347E0244"/>
    <w:rsid w:val="34AF2298"/>
    <w:rsid w:val="355E1C54"/>
    <w:rsid w:val="35DB62A8"/>
    <w:rsid w:val="35DD7E61"/>
    <w:rsid w:val="36206F5A"/>
    <w:rsid w:val="368F28AB"/>
    <w:rsid w:val="37525B52"/>
    <w:rsid w:val="3757101B"/>
    <w:rsid w:val="37AD65A0"/>
    <w:rsid w:val="37D56B99"/>
    <w:rsid w:val="37FB7C68"/>
    <w:rsid w:val="38184717"/>
    <w:rsid w:val="38674496"/>
    <w:rsid w:val="388353C4"/>
    <w:rsid w:val="389C6EEF"/>
    <w:rsid w:val="39162FC5"/>
    <w:rsid w:val="394D348F"/>
    <w:rsid w:val="39656A29"/>
    <w:rsid w:val="39935037"/>
    <w:rsid w:val="39A551A2"/>
    <w:rsid w:val="39AE777D"/>
    <w:rsid w:val="3A013124"/>
    <w:rsid w:val="3A210D6A"/>
    <w:rsid w:val="3A5307BE"/>
    <w:rsid w:val="3A7A5374"/>
    <w:rsid w:val="3B7544B7"/>
    <w:rsid w:val="3C0E0A94"/>
    <w:rsid w:val="3C0F6516"/>
    <w:rsid w:val="3C2A613B"/>
    <w:rsid w:val="3C477FA0"/>
    <w:rsid w:val="3C917532"/>
    <w:rsid w:val="3CA803D8"/>
    <w:rsid w:val="3CFD6EE4"/>
    <w:rsid w:val="3D343956"/>
    <w:rsid w:val="3D697A4C"/>
    <w:rsid w:val="3DA82DB4"/>
    <w:rsid w:val="3DAA1B3A"/>
    <w:rsid w:val="3DE033C1"/>
    <w:rsid w:val="3E327CD2"/>
    <w:rsid w:val="3E4203B8"/>
    <w:rsid w:val="3E444CAE"/>
    <w:rsid w:val="3E886713"/>
    <w:rsid w:val="3EF10E76"/>
    <w:rsid w:val="3F5900EE"/>
    <w:rsid w:val="3FD11023"/>
    <w:rsid w:val="3FF539E8"/>
    <w:rsid w:val="3FF81676"/>
    <w:rsid w:val="403F4FF6"/>
    <w:rsid w:val="404F6147"/>
    <w:rsid w:val="40632F94"/>
    <w:rsid w:val="407D705A"/>
    <w:rsid w:val="40CE4185"/>
    <w:rsid w:val="41083B3B"/>
    <w:rsid w:val="41265D6F"/>
    <w:rsid w:val="41382CD2"/>
    <w:rsid w:val="417D452D"/>
    <w:rsid w:val="42983232"/>
    <w:rsid w:val="42C83C33"/>
    <w:rsid w:val="4300292E"/>
    <w:rsid w:val="4312295A"/>
    <w:rsid w:val="43384C18"/>
    <w:rsid w:val="439D1C37"/>
    <w:rsid w:val="43C5363E"/>
    <w:rsid w:val="43F6411F"/>
    <w:rsid w:val="44411D91"/>
    <w:rsid w:val="44BA6EB9"/>
    <w:rsid w:val="451C67E4"/>
    <w:rsid w:val="45225AF9"/>
    <w:rsid w:val="453E57AF"/>
    <w:rsid w:val="45441531"/>
    <w:rsid w:val="45F61354"/>
    <w:rsid w:val="46D467C4"/>
    <w:rsid w:val="476F277A"/>
    <w:rsid w:val="47827E53"/>
    <w:rsid w:val="482360E6"/>
    <w:rsid w:val="48335942"/>
    <w:rsid w:val="48A159BF"/>
    <w:rsid w:val="48F25A48"/>
    <w:rsid w:val="492210AD"/>
    <w:rsid w:val="493634A4"/>
    <w:rsid w:val="496322F6"/>
    <w:rsid w:val="49935F6C"/>
    <w:rsid w:val="49BE123B"/>
    <w:rsid w:val="49D7054F"/>
    <w:rsid w:val="4AB30C91"/>
    <w:rsid w:val="4B267AD8"/>
    <w:rsid w:val="4B2C6678"/>
    <w:rsid w:val="4B5560B5"/>
    <w:rsid w:val="4B573A2A"/>
    <w:rsid w:val="4B5771CC"/>
    <w:rsid w:val="4B6068B8"/>
    <w:rsid w:val="4B7B02AF"/>
    <w:rsid w:val="4BAF6546"/>
    <w:rsid w:val="4BE757AC"/>
    <w:rsid w:val="4C503C62"/>
    <w:rsid w:val="4C5C4830"/>
    <w:rsid w:val="4D137AF0"/>
    <w:rsid w:val="4EAD157E"/>
    <w:rsid w:val="4ED23851"/>
    <w:rsid w:val="4EEA5B05"/>
    <w:rsid w:val="4F8529FD"/>
    <w:rsid w:val="50055A74"/>
    <w:rsid w:val="50094C92"/>
    <w:rsid w:val="50CB6E8F"/>
    <w:rsid w:val="518012CE"/>
    <w:rsid w:val="51B82A14"/>
    <w:rsid w:val="51C55131"/>
    <w:rsid w:val="51CC1440"/>
    <w:rsid w:val="521F5647"/>
    <w:rsid w:val="522C275E"/>
    <w:rsid w:val="524A4696"/>
    <w:rsid w:val="5253261E"/>
    <w:rsid w:val="529F1A05"/>
    <w:rsid w:val="534E1882"/>
    <w:rsid w:val="539815F9"/>
    <w:rsid w:val="53A616BE"/>
    <w:rsid w:val="53D64F3E"/>
    <w:rsid w:val="53FB3074"/>
    <w:rsid w:val="547E562E"/>
    <w:rsid w:val="54964F68"/>
    <w:rsid w:val="554716F7"/>
    <w:rsid w:val="55505607"/>
    <w:rsid w:val="5563538C"/>
    <w:rsid w:val="56A30136"/>
    <w:rsid w:val="56AF6ADB"/>
    <w:rsid w:val="56B45E9F"/>
    <w:rsid w:val="56B85264"/>
    <w:rsid w:val="56D51C18"/>
    <w:rsid w:val="572000DB"/>
    <w:rsid w:val="572D061A"/>
    <w:rsid w:val="576C7E13"/>
    <w:rsid w:val="57A16D1D"/>
    <w:rsid w:val="57A255B7"/>
    <w:rsid w:val="57E47A9A"/>
    <w:rsid w:val="57FF87EE"/>
    <w:rsid w:val="58506BB6"/>
    <w:rsid w:val="58A573A6"/>
    <w:rsid w:val="58A62893"/>
    <w:rsid w:val="58D20C25"/>
    <w:rsid w:val="58DD40A9"/>
    <w:rsid w:val="58EB7C76"/>
    <w:rsid w:val="59926803"/>
    <w:rsid w:val="59C265B8"/>
    <w:rsid w:val="59CB3F35"/>
    <w:rsid w:val="5A802C08"/>
    <w:rsid w:val="5A8F2964"/>
    <w:rsid w:val="5AA55DD2"/>
    <w:rsid w:val="5B417F1E"/>
    <w:rsid w:val="5BBF2BB4"/>
    <w:rsid w:val="5C0E1115"/>
    <w:rsid w:val="5C734107"/>
    <w:rsid w:val="5D0354EB"/>
    <w:rsid w:val="5D041203"/>
    <w:rsid w:val="5D0E70DE"/>
    <w:rsid w:val="5D2E6FEF"/>
    <w:rsid w:val="5D6D694B"/>
    <w:rsid w:val="5DE74DAC"/>
    <w:rsid w:val="5E311DF6"/>
    <w:rsid w:val="5ED13367"/>
    <w:rsid w:val="5EF03290"/>
    <w:rsid w:val="5EFF6126"/>
    <w:rsid w:val="5F1119B5"/>
    <w:rsid w:val="5F48707B"/>
    <w:rsid w:val="5F616DDA"/>
    <w:rsid w:val="5F72704C"/>
    <w:rsid w:val="5FB011CE"/>
    <w:rsid w:val="605129B1"/>
    <w:rsid w:val="606049A2"/>
    <w:rsid w:val="60652484"/>
    <w:rsid w:val="606E3563"/>
    <w:rsid w:val="60E24E81"/>
    <w:rsid w:val="611A3963"/>
    <w:rsid w:val="61241E74"/>
    <w:rsid w:val="61490551"/>
    <w:rsid w:val="62091C34"/>
    <w:rsid w:val="622838DF"/>
    <w:rsid w:val="62432C56"/>
    <w:rsid w:val="62C236F2"/>
    <w:rsid w:val="630E06E5"/>
    <w:rsid w:val="633B5F5A"/>
    <w:rsid w:val="637649BB"/>
    <w:rsid w:val="638379D3"/>
    <w:rsid w:val="63B119F7"/>
    <w:rsid w:val="643A3D64"/>
    <w:rsid w:val="644C3BBB"/>
    <w:rsid w:val="64B82FFF"/>
    <w:rsid w:val="653A4DD6"/>
    <w:rsid w:val="65923BDF"/>
    <w:rsid w:val="65C545E4"/>
    <w:rsid w:val="665E2C03"/>
    <w:rsid w:val="66BB1946"/>
    <w:rsid w:val="66BE3096"/>
    <w:rsid w:val="6737580D"/>
    <w:rsid w:val="67BA52E0"/>
    <w:rsid w:val="68DE7374"/>
    <w:rsid w:val="6942558D"/>
    <w:rsid w:val="69E421A0"/>
    <w:rsid w:val="6A702CCD"/>
    <w:rsid w:val="6A81053F"/>
    <w:rsid w:val="6A961198"/>
    <w:rsid w:val="6AD349C3"/>
    <w:rsid w:val="6B6D0AD4"/>
    <w:rsid w:val="6C2E35A5"/>
    <w:rsid w:val="6C332DE8"/>
    <w:rsid w:val="6C4310D6"/>
    <w:rsid w:val="6C4559DE"/>
    <w:rsid w:val="6C72227A"/>
    <w:rsid w:val="6CAC5D33"/>
    <w:rsid w:val="6D441332"/>
    <w:rsid w:val="6DDA57A8"/>
    <w:rsid w:val="6E972360"/>
    <w:rsid w:val="6F21584E"/>
    <w:rsid w:val="6F5E0C47"/>
    <w:rsid w:val="6FB73958"/>
    <w:rsid w:val="700C3CDF"/>
    <w:rsid w:val="701557A9"/>
    <w:rsid w:val="704B4AC8"/>
    <w:rsid w:val="71270F24"/>
    <w:rsid w:val="715B3540"/>
    <w:rsid w:val="71810C1C"/>
    <w:rsid w:val="718F3339"/>
    <w:rsid w:val="71F73492"/>
    <w:rsid w:val="721538B8"/>
    <w:rsid w:val="72254CAF"/>
    <w:rsid w:val="72817F64"/>
    <w:rsid w:val="72972F57"/>
    <w:rsid w:val="729F171C"/>
    <w:rsid w:val="72BB0F00"/>
    <w:rsid w:val="72CA55A7"/>
    <w:rsid w:val="72FA159E"/>
    <w:rsid w:val="72FA2A34"/>
    <w:rsid w:val="730447D1"/>
    <w:rsid w:val="743074D6"/>
    <w:rsid w:val="74CF795A"/>
    <w:rsid w:val="756E2AF9"/>
    <w:rsid w:val="76680623"/>
    <w:rsid w:val="76937190"/>
    <w:rsid w:val="769C5AF2"/>
    <w:rsid w:val="76EF02B4"/>
    <w:rsid w:val="773363F4"/>
    <w:rsid w:val="775E7EDD"/>
    <w:rsid w:val="778922AD"/>
    <w:rsid w:val="77AF0861"/>
    <w:rsid w:val="77B75398"/>
    <w:rsid w:val="78782D79"/>
    <w:rsid w:val="788F4CD8"/>
    <w:rsid w:val="78B418D7"/>
    <w:rsid w:val="78C209AA"/>
    <w:rsid w:val="790F0AA9"/>
    <w:rsid w:val="792132A4"/>
    <w:rsid w:val="7951412E"/>
    <w:rsid w:val="796565C2"/>
    <w:rsid w:val="797A20BA"/>
    <w:rsid w:val="797C0A1E"/>
    <w:rsid w:val="79875270"/>
    <w:rsid w:val="79921399"/>
    <w:rsid w:val="79A32037"/>
    <w:rsid w:val="7A550667"/>
    <w:rsid w:val="7A9760A5"/>
    <w:rsid w:val="7A980FCD"/>
    <w:rsid w:val="7A9E2E9A"/>
    <w:rsid w:val="7AAB212D"/>
    <w:rsid w:val="7AE510A1"/>
    <w:rsid w:val="7B1D7C08"/>
    <w:rsid w:val="7B2F5245"/>
    <w:rsid w:val="7B327844"/>
    <w:rsid w:val="7B57DCDA"/>
    <w:rsid w:val="7BFA3AA5"/>
    <w:rsid w:val="7C793DA2"/>
    <w:rsid w:val="7C8B0CDA"/>
    <w:rsid w:val="7CE7255D"/>
    <w:rsid w:val="7CF47890"/>
    <w:rsid w:val="7DB73FDB"/>
    <w:rsid w:val="7DF439AA"/>
    <w:rsid w:val="7E991353"/>
    <w:rsid w:val="7EC95773"/>
    <w:rsid w:val="7F0B1E94"/>
    <w:rsid w:val="7F64148E"/>
    <w:rsid w:val="B2FB53F5"/>
    <w:rsid w:val="DBFB79B4"/>
    <w:rsid w:val="F9DFDA19"/>
    <w:rsid w:val="FFE2D655"/>
    <w:rsid w:val="FFFFE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8"/>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94"/>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9"/>
    <w:qFormat/>
    <w:uiPriority w:val="0"/>
    <w:pPr>
      <w:spacing w:line="360" w:lineRule="auto"/>
      <w:outlineLvl w:val="3"/>
    </w:pPr>
    <w:rPr>
      <w:rFonts w:ascii="宋体"/>
      <w:bCs/>
      <w:szCs w:val="21"/>
    </w:rPr>
  </w:style>
  <w:style w:type="paragraph" w:styleId="6">
    <w:name w:val="heading 5"/>
    <w:basedOn w:val="1"/>
    <w:next w:val="1"/>
    <w:link w:val="40"/>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link w:val="47"/>
    <w:qFormat/>
    <w:uiPriority w:val="0"/>
    <w:pPr>
      <w:spacing w:line="360" w:lineRule="auto"/>
      <w:ind w:firstLine="420" w:firstLineChars="200"/>
    </w:pPr>
  </w:style>
  <w:style w:type="paragraph" w:styleId="12">
    <w:name w:val="Body Text"/>
    <w:basedOn w:val="1"/>
    <w:qFormat/>
    <w:uiPriority w:val="0"/>
    <w:pPr>
      <w:spacing w:after="120"/>
    </w:p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toc 3"/>
    <w:basedOn w:val="1"/>
    <w:next w:val="1"/>
    <w:semiHidden/>
    <w:qFormat/>
    <w:uiPriority w:val="0"/>
    <w:pPr>
      <w:tabs>
        <w:tab w:val="left" w:pos="1620"/>
        <w:tab w:val="right" w:leader="dot" w:pos="8296"/>
      </w:tabs>
    </w:pPr>
  </w:style>
  <w:style w:type="paragraph" w:styleId="16">
    <w:name w:val="Plain Text"/>
    <w:basedOn w:val="1"/>
    <w:link w:val="80"/>
    <w:qFormat/>
    <w:uiPriority w:val="0"/>
    <w:rPr>
      <w:rFonts w:ascii="宋体" w:hAnsi="Courier New"/>
    </w:r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52"/>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Body Text 2"/>
    <w:basedOn w:val="1"/>
    <w:qFormat/>
    <w:uiPriority w:val="0"/>
    <w:pPr>
      <w:spacing w:after="120" w:afterLines="0" w:afterAutospacing="0" w:line="480" w:lineRule="auto"/>
    </w:pPr>
    <w:rPr>
      <w:kern w:val="0"/>
      <w:sz w:val="20"/>
    </w:rPr>
  </w:style>
  <w:style w:type="paragraph" w:styleId="2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6">
    <w:name w:val="Title"/>
    <w:basedOn w:val="1"/>
    <w:next w:val="1"/>
    <w:qFormat/>
    <w:uiPriority w:val="0"/>
    <w:pPr>
      <w:spacing w:before="240" w:after="60"/>
      <w:jc w:val="center"/>
      <w:outlineLvl w:val="0"/>
    </w:pPr>
    <w:rPr>
      <w:rFonts w:ascii="Arial" w:hAnsi="Arial" w:cs="Arial"/>
      <w:b/>
      <w:bCs/>
      <w:sz w:val="32"/>
      <w:szCs w:val="32"/>
    </w:rPr>
  </w:style>
  <w:style w:type="paragraph" w:styleId="27">
    <w:name w:val="annotation subject"/>
    <w:basedOn w:val="14"/>
    <w:next w:val="14"/>
    <w:semiHidden/>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qFormat/>
    <w:uiPriority w:val="0"/>
  </w:style>
  <w:style w:type="character" w:styleId="33">
    <w:name w:val="FollowedHyperlink"/>
    <w:qFormat/>
    <w:uiPriority w:val="0"/>
    <w:rPr>
      <w:color w:val="800080"/>
      <w:u w:val="single"/>
    </w:rPr>
  </w:style>
  <w:style w:type="character" w:styleId="34">
    <w:name w:val="Emphasis"/>
    <w:qFormat/>
    <w:uiPriority w:val="0"/>
    <w:rPr>
      <w:color w:val="CC0000"/>
    </w:rPr>
  </w:style>
  <w:style w:type="character" w:styleId="35">
    <w:name w:val="HTML Definition"/>
    <w:semiHidden/>
    <w:qFormat/>
    <w:uiPriority w:val="0"/>
    <w:rPr>
      <w:i/>
      <w:iCs/>
    </w:rPr>
  </w:style>
  <w:style w:type="character" w:styleId="36">
    <w:name w:val="Hyperlink"/>
    <w:qFormat/>
    <w:uiPriority w:val="99"/>
    <w:rPr>
      <w:color w:val="0000FF"/>
      <w:u w:val="single"/>
    </w:rPr>
  </w:style>
  <w:style w:type="character" w:styleId="37">
    <w:name w:val="annotation reference"/>
    <w:semiHidden/>
    <w:qFormat/>
    <w:uiPriority w:val="0"/>
    <w:rPr>
      <w:sz w:val="21"/>
      <w:szCs w:val="21"/>
    </w:rPr>
  </w:style>
  <w:style w:type="character" w:customStyle="1" w:styleId="38">
    <w:name w:val="标题 1 Char"/>
    <w:link w:val="2"/>
    <w:qFormat/>
    <w:uiPriority w:val="0"/>
    <w:rPr>
      <w:rFonts w:ascii="宋体"/>
      <w:b/>
      <w:bCs/>
      <w:kern w:val="44"/>
      <w:sz w:val="21"/>
      <w:szCs w:val="21"/>
    </w:rPr>
  </w:style>
  <w:style w:type="character" w:customStyle="1" w:styleId="39">
    <w:name w:val="标题 4 Char"/>
    <w:link w:val="5"/>
    <w:qFormat/>
    <w:uiPriority w:val="0"/>
    <w:rPr>
      <w:rFonts w:ascii="宋体" w:eastAsia="宋体"/>
      <w:bCs/>
      <w:kern w:val="2"/>
      <w:sz w:val="21"/>
      <w:szCs w:val="21"/>
      <w:lang w:val="en-US" w:eastAsia="zh-CN" w:bidi="ar-SA"/>
    </w:rPr>
  </w:style>
  <w:style w:type="character" w:customStyle="1" w:styleId="40">
    <w:name w:val="标题 5 Char"/>
    <w:link w:val="6"/>
    <w:qFormat/>
    <w:uiPriority w:val="0"/>
    <w:rPr>
      <w:rFonts w:cs="宋体"/>
      <w:bCs/>
      <w:sz w:val="21"/>
      <w:szCs w:val="21"/>
    </w:rPr>
  </w:style>
  <w:style w:type="character" w:customStyle="1" w:styleId="41">
    <w:name w:val="首行缩进 Char"/>
    <w:link w:val="42"/>
    <w:qFormat/>
    <w:uiPriority w:val="0"/>
    <w:rPr>
      <w:rFonts w:eastAsia="方正书宋简体" w:cs="宋体"/>
      <w:kern w:val="2"/>
      <w:sz w:val="21"/>
      <w:lang w:val="en-US" w:eastAsia="zh-CN" w:bidi="ar-SA"/>
    </w:rPr>
  </w:style>
  <w:style w:type="paragraph" w:customStyle="1" w:styleId="42">
    <w:name w:val="首行缩进"/>
    <w:basedOn w:val="1"/>
    <w:link w:val="41"/>
    <w:qFormat/>
    <w:uiPriority w:val="0"/>
    <w:pPr>
      <w:spacing w:line="300" w:lineRule="auto"/>
      <w:ind w:firstLine="420" w:firstLineChars="200"/>
    </w:pPr>
    <w:rPr>
      <w:rFonts w:eastAsia="方正书宋简体" w:cs="宋体"/>
      <w:szCs w:val="20"/>
    </w:rPr>
  </w:style>
  <w:style w:type="character" w:customStyle="1" w:styleId="43">
    <w:name w:val="表内居中小五 Char"/>
    <w:link w:val="44"/>
    <w:qFormat/>
    <w:uiPriority w:val="0"/>
    <w:rPr>
      <w:rFonts w:eastAsia="宋体" w:cs="宋体"/>
      <w:kern w:val="2"/>
      <w:sz w:val="18"/>
      <w:szCs w:val="18"/>
      <w:lang w:val="en-US" w:eastAsia="zh-CN" w:bidi="ar-SA"/>
    </w:rPr>
  </w:style>
  <w:style w:type="paragraph" w:customStyle="1" w:styleId="44">
    <w:name w:val="表内居中小五"/>
    <w:basedOn w:val="1"/>
    <w:link w:val="43"/>
    <w:qFormat/>
    <w:uiPriority w:val="0"/>
    <w:pPr>
      <w:jc w:val="center"/>
    </w:pPr>
    <w:rPr>
      <w:rFonts w:cs="宋体"/>
      <w:sz w:val="18"/>
      <w:szCs w:val="18"/>
    </w:rPr>
  </w:style>
  <w:style w:type="character" w:customStyle="1" w:styleId="45">
    <w:name w:val="表内居两端对齐 Char"/>
    <w:basedOn w:val="43"/>
    <w:link w:val="46"/>
    <w:qFormat/>
    <w:uiPriority w:val="0"/>
    <w:rPr>
      <w:rFonts w:eastAsia="宋体" w:cs="宋体"/>
      <w:kern w:val="2"/>
      <w:sz w:val="18"/>
      <w:szCs w:val="18"/>
      <w:lang w:val="en-US" w:eastAsia="zh-CN" w:bidi="ar-SA"/>
    </w:rPr>
  </w:style>
  <w:style w:type="paragraph" w:customStyle="1" w:styleId="46">
    <w:name w:val="表内居两端对齐"/>
    <w:basedOn w:val="44"/>
    <w:link w:val="45"/>
    <w:qFormat/>
    <w:uiPriority w:val="0"/>
    <w:pPr>
      <w:jc w:val="both"/>
    </w:pPr>
  </w:style>
  <w:style w:type="character" w:customStyle="1" w:styleId="47">
    <w:name w:val="正文缩进 Char"/>
    <w:link w:val="11"/>
    <w:qFormat/>
    <w:uiPriority w:val="0"/>
    <w:rPr>
      <w:rFonts w:eastAsia="宋体"/>
      <w:kern w:val="2"/>
      <w:sz w:val="21"/>
      <w:szCs w:val="24"/>
      <w:lang w:val="en-US" w:eastAsia="zh-CN" w:bidi="ar-SA"/>
    </w:rPr>
  </w:style>
  <w:style w:type="paragraph" w:customStyle="1" w:styleId="48">
    <w:name w:val="样式 标题 3 + 宋体"/>
    <w:basedOn w:val="4"/>
    <w:link w:val="49"/>
    <w:qFormat/>
    <w:uiPriority w:val="0"/>
    <w:rPr>
      <w:rFonts w:hAnsi="宋体"/>
      <w:bCs w:val="0"/>
    </w:rPr>
  </w:style>
  <w:style w:type="character" w:customStyle="1" w:styleId="49">
    <w:name w:val="样式 标题 3 + 宋体 Char"/>
    <w:link w:val="48"/>
    <w:qFormat/>
    <w:uiPriority w:val="0"/>
    <w:rPr>
      <w:rFonts w:ascii="宋体" w:hAnsi="宋体"/>
      <w:kern w:val="2"/>
      <w:sz w:val="21"/>
      <w:szCs w:val="21"/>
    </w:rPr>
  </w:style>
  <w:style w:type="paragraph" w:customStyle="1" w:styleId="50">
    <w:name w:val="样式 标题 4 + (符号) 宋体"/>
    <w:basedOn w:val="5"/>
    <w:link w:val="51"/>
    <w:qFormat/>
    <w:uiPriority w:val="0"/>
    <w:pPr>
      <w:adjustRightInd w:val="0"/>
      <w:snapToGrid w:val="0"/>
    </w:pPr>
    <w:rPr>
      <w:bCs w:val="0"/>
    </w:rPr>
  </w:style>
  <w:style w:type="character" w:customStyle="1" w:styleId="51">
    <w:name w:val="样式 标题 4 + (符号) 宋体 Char"/>
    <w:basedOn w:val="39"/>
    <w:link w:val="50"/>
    <w:qFormat/>
    <w:uiPriority w:val="0"/>
    <w:rPr>
      <w:rFonts w:ascii="宋体" w:eastAsia="宋体"/>
      <w:kern w:val="2"/>
      <w:sz w:val="21"/>
      <w:szCs w:val="21"/>
      <w:lang w:val="en-US" w:eastAsia="zh-CN" w:bidi="ar-SA"/>
    </w:rPr>
  </w:style>
  <w:style w:type="character" w:customStyle="1" w:styleId="52">
    <w:name w:val="页脚 Char"/>
    <w:link w:val="19"/>
    <w:qFormat/>
    <w:uiPriority w:val="0"/>
    <w:rPr>
      <w:rFonts w:eastAsia="宋体"/>
      <w:kern w:val="2"/>
      <w:sz w:val="18"/>
      <w:szCs w:val="18"/>
      <w:lang w:val="en-US" w:eastAsia="zh-CN" w:bidi="ar-SA"/>
    </w:rPr>
  </w:style>
  <w:style w:type="paragraph" w:customStyle="1" w:styleId="53">
    <w:name w:val="前言首行"/>
    <w:basedOn w:val="1"/>
    <w:qFormat/>
    <w:uiPriority w:val="0"/>
    <w:pPr>
      <w:spacing w:after="120"/>
      <w:jc w:val="center"/>
    </w:pPr>
    <w:rPr>
      <w:rFonts w:eastAsia="黑体" w:cs="宋体"/>
      <w:b/>
      <w:bCs/>
      <w:sz w:val="32"/>
      <w:szCs w:val="20"/>
    </w:rPr>
  </w:style>
  <w:style w:type="paragraph" w:customStyle="1" w:styleId="54">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6">
    <w:name w:val="样式1"/>
    <w:basedOn w:val="5"/>
    <w:qFormat/>
    <w:uiPriority w:val="0"/>
    <w:pPr>
      <w:numPr>
        <w:ilvl w:val="3"/>
        <w:numId w:val="1"/>
      </w:numPr>
      <w:tabs>
        <w:tab w:val="left" w:pos="360"/>
      </w:tabs>
    </w:pPr>
    <w:rPr>
      <w:rFonts w:hAnsi="宋体"/>
      <w:bCs w:val="0"/>
    </w:rPr>
  </w:style>
  <w:style w:type="paragraph" w:customStyle="1" w:styleId="57">
    <w:name w:val="样式 标题 5 + 右侧:  1 字符"/>
    <w:basedOn w:val="6"/>
    <w:qFormat/>
    <w:uiPriority w:val="0"/>
    <w:pPr>
      <w:ind w:right="210"/>
    </w:pPr>
    <w:rPr>
      <w:bCs w:val="0"/>
      <w:szCs w:val="20"/>
    </w:rPr>
  </w:style>
  <w:style w:type="paragraph" w:customStyle="1" w:styleId="58">
    <w:name w:val="Char"/>
    <w:basedOn w:val="1"/>
    <w:qFormat/>
    <w:uiPriority w:val="0"/>
    <w:pPr>
      <w:spacing w:line="360" w:lineRule="auto"/>
    </w:pPr>
    <w:rPr>
      <w:rFonts w:ascii="Tahoma" w:hAnsi="Tahoma"/>
      <w:sz w:val="24"/>
      <w:szCs w:val="20"/>
    </w:rPr>
  </w:style>
  <w:style w:type="paragraph" w:customStyle="1" w:styleId="59">
    <w:name w:val="Char Char Char Char Char Char Char Char Char Char Char Char"/>
    <w:basedOn w:val="1"/>
    <w:qFormat/>
    <w:uiPriority w:val="0"/>
    <w:pPr>
      <w:spacing w:line="360" w:lineRule="auto"/>
    </w:pPr>
    <w:rPr>
      <w:rFonts w:ascii="Tahoma" w:hAnsi="Tahoma"/>
      <w:sz w:val="24"/>
      <w:szCs w:val="20"/>
    </w:rPr>
  </w:style>
  <w:style w:type="paragraph" w:customStyle="1" w:styleId="60">
    <w:name w:val="章标题"/>
    <w:next w:val="54"/>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6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2">
    <w:name w:val="二级条标题"/>
    <w:basedOn w:val="1"/>
    <w:next w:val="54"/>
    <w:link w:val="63"/>
    <w:qFormat/>
    <w:uiPriority w:val="0"/>
    <w:pPr>
      <w:widowControl/>
      <w:outlineLvl w:val="3"/>
    </w:pPr>
    <w:rPr>
      <w:rFonts w:ascii="黑体" w:eastAsia="黑体"/>
      <w:kern w:val="0"/>
      <w:szCs w:val="20"/>
    </w:rPr>
  </w:style>
  <w:style w:type="character" w:customStyle="1" w:styleId="63">
    <w:name w:val="二级条标题 Char"/>
    <w:link w:val="62"/>
    <w:qFormat/>
    <w:uiPriority w:val="0"/>
    <w:rPr>
      <w:rFonts w:ascii="黑体" w:eastAsia="黑体"/>
      <w:sz w:val="21"/>
      <w:lang w:val="en-US" w:eastAsia="zh-CN" w:bidi="ar-SA"/>
    </w:rPr>
  </w:style>
  <w:style w:type="paragraph" w:customStyle="1" w:styleId="64">
    <w:name w:val="正文表标题"/>
    <w:next w:val="54"/>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65">
    <w:name w:val="一级条标题"/>
    <w:basedOn w:val="60"/>
    <w:next w:val="54"/>
    <w:link w:val="66"/>
    <w:qFormat/>
    <w:uiPriority w:val="0"/>
    <w:pPr>
      <w:spacing w:before="0" w:beforeLines="0" w:after="0" w:afterLines="0"/>
      <w:outlineLvl w:val="2"/>
    </w:pPr>
  </w:style>
  <w:style w:type="character" w:customStyle="1" w:styleId="66">
    <w:name w:val="一级条标题 Char"/>
    <w:link w:val="65"/>
    <w:qFormat/>
    <w:uiPriority w:val="0"/>
    <w:rPr>
      <w:rFonts w:ascii="黑体" w:eastAsia="黑体"/>
      <w:sz w:val="21"/>
      <w:lang w:val="en-US" w:eastAsia="zh-CN" w:bidi="ar-SA"/>
    </w:rPr>
  </w:style>
  <w:style w:type="paragraph" w:customStyle="1" w:styleId="67">
    <w:name w:val="三级条标题"/>
    <w:basedOn w:val="62"/>
    <w:next w:val="54"/>
    <w:qFormat/>
    <w:uiPriority w:val="0"/>
    <w:pPr>
      <w:numPr>
        <w:ilvl w:val="4"/>
        <w:numId w:val="4"/>
      </w:numPr>
      <w:tabs>
        <w:tab w:val="left" w:pos="360"/>
      </w:tabs>
      <w:outlineLvl w:val="4"/>
    </w:pPr>
  </w:style>
  <w:style w:type="paragraph" w:customStyle="1" w:styleId="68">
    <w:name w:val="五级条标题"/>
    <w:basedOn w:val="1"/>
    <w:next w:val="54"/>
    <w:qFormat/>
    <w:uiPriority w:val="0"/>
    <w:pPr>
      <w:widowControl/>
      <w:outlineLvl w:val="6"/>
    </w:pPr>
    <w:rPr>
      <w:rFonts w:ascii="黑体" w:eastAsia="黑体"/>
      <w:kern w:val="0"/>
      <w:szCs w:val="20"/>
    </w:rPr>
  </w:style>
  <w:style w:type="paragraph" w:customStyle="1" w:styleId="69">
    <w:name w:val="CM5"/>
    <w:basedOn w:val="55"/>
    <w:next w:val="55"/>
    <w:qFormat/>
    <w:uiPriority w:val="0"/>
    <w:pPr>
      <w:spacing w:line="471" w:lineRule="atLeast"/>
    </w:pPr>
    <w:rPr>
      <w:rFonts w:ascii="黑体" w:eastAsia="黑体" w:cs="Times New Roman"/>
      <w:color w:val="auto"/>
    </w:rPr>
  </w:style>
  <w:style w:type="paragraph" w:customStyle="1" w:styleId="70">
    <w:name w:val="CM3"/>
    <w:basedOn w:val="55"/>
    <w:next w:val="55"/>
    <w:qFormat/>
    <w:uiPriority w:val="0"/>
    <w:pPr>
      <w:spacing w:line="468" w:lineRule="atLeast"/>
    </w:pPr>
    <w:rPr>
      <w:rFonts w:ascii="黑体" w:eastAsia="黑体" w:cs="Times New Roman"/>
      <w:color w:val="auto"/>
    </w:rPr>
  </w:style>
  <w:style w:type="paragraph" w:customStyle="1" w:styleId="71">
    <w:name w:val="CM33"/>
    <w:basedOn w:val="55"/>
    <w:next w:val="55"/>
    <w:qFormat/>
    <w:uiPriority w:val="0"/>
    <w:pPr>
      <w:spacing w:after="205"/>
    </w:pPr>
    <w:rPr>
      <w:rFonts w:ascii="黑体" w:eastAsia="黑体" w:cs="Times New Roman"/>
      <w:color w:val="auto"/>
    </w:rPr>
  </w:style>
  <w:style w:type="paragraph" w:customStyle="1" w:styleId="72">
    <w:name w:val="CM9"/>
    <w:basedOn w:val="55"/>
    <w:next w:val="55"/>
    <w:qFormat/>
    <w:uiPriority w:val="0"/>
    <w:pPr>
      <w:spacing w:line="468" w:lineRule="atLeast"/>
    </w:pPr>
    <w:rPr>
      <w:rFonts w:ascii="黑体" w:eastAsia="黑体" w:cs="Times New Roman"/>
      <w:color w:val="auto"/>
    </w:rPr>
  </w:style>
  <w:style w:type="paragraph" w:customStyle="1" w:styleId="73">
    <w:name w:val="CM10"/>
    <w:basedOn w:val="55"/>
    <w:next w:val="55"/>
    <w:qFormat/>
    <w:uiPriority w:val="0"/>
    <w:pPr>
      <w:spacing w:line="468" w:lineRule="atLeast"/>
    </w:pPr>
    <w:rPr>
      <w:rFonts w:ascii="黑体" w:eastAsia="黑体" w:cs="Times New Roman"/>
      <w:color w:val="auto"/>
    </w:rPr>
  </w:style>
  <w:style w:type="paragraph" w:customStyle="1" w:styleId="74">
    <w:name w:val="CM22"/>
    <w:basedOn w:val="55"/>
    <w:next w:val="55"/>
    <w:qFormat/>
    <w:uiPriority w:val="0"/>
    <w:pPr>
      <w:spacing w:line="468" w:lineRule="atLeast"/>
    </w:pPr>
    <w:rPr>
      <w:rFonts w:ascii="黑体" w:eastAsia="黑体" w:cs="Times New Roman"/>
      <w:color w:val="auto"/>
    </w:rPr>
  </w:style>
  <w:style w:type="paragraph" w:customStyle="1" w:styleId="75">
    <w:name w:val="CM23"/>
    <w:basedOn w:val="55"/>
    <w:next w:val="55"/>
    <w:qFormat/>
    <w:uiPriority w:val="0"/>
    <w:pPr>
      <w:spacing w:line="468" w:lineRule="atLeast"/>
    </w:pPr>
    <w:rPr>
      <w:rFonts w:ascii="黑体" w:eastAsia="黑体" w:cs="Times New Roman"/>
      <w:color w:val="auto"/>
    </w:rPr>
  </w:style>
  <w:style w:type="paragraph" w:customStyle="1" w:styleId="76">
    <w:name w:val="CM17"/>
    <w:basedOn w:val="55"/>
    <w:next w:val="55"/>
    <w:qFormat/>
    <w:uiPriority w:val="0"/>
    <w:pPr>
      <w:spacing w:line="468" w:lineRule="atLeast"/>
    </w:pPr>
    <w:rPr>
      <w:rFonts w:ascii="黑体" w:eastAsia="黑体" w:cs="Times New Roman"/>
      <w:color w:val="auto"/>
    </w:rPr>
  </w:style>
  <w:style w:type="paragraph" w:customStyle="1" w:styleId="77">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78">
    <w:name w:val="前言、引言标题"/>
    <w:next w:val="1"/>
    <w:qFormat/>
    <w:uiPriority w:val="0"/>
    <w:pPr>
      <w:numPr>
        <w:ilvl w:val="0"/>
        <w:numId w:val="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四级条标题"/>
    <w:basedOn w:val="67"/>
    <w:next w:val="54"/>
    <w:qFormat/>
    <w:uiPriority w:val="0"/>
    <w:pPr>
      <w:numPr>
        <w:ilvl w:val="0"/>
        <w:numId w:val="0"/>
      </w:numPr>
      <w:outlineLvl w:val="5"/>
    </w:pPr>
  </w:style>
  <w:style w:type="character" w:customStyle="1" w:styleId="80">
    <w:name w:val="纯文本 Char"/>
    <w:link w:val="16"/>
    <w:qFormat/>
    <w:uiPriority w:val="0"/>
    <w:rPr>
      <w:rFonts w:ascii="宋体" w:hAnsi="Courier New" w:eastAsia="宋体"/>
      <w:kern w:val="2"/>
      <w:sz w:val="21"/>
      <w:szCs w:val="24"/>
      <w:lang w:val="en-US" w:eastAsia="zh-CN" w:bidi="ar-SA"/>
    </w:rPr>
  </w:style>
  <w:style w:type="paragraph" w:customStyle="1" w:styleId="81">
    <w:name w:val="标准书眉一"/>
    <w:qFormat/>
    <w:uiPriority w:val="0"/>
    <w:pPr>
      <w:jc w:val="both"/>
    </w:pPr>
    <w:rPr>
      <w:rFonts w:ascii="Times New Roman" w:hAnsi="Times New Roman" w:eastAsia="宋体" w:cs="Times New Roman"/>
      <w:lang w:val="en-US" w:eastAsia="zh-CN" w:bidi="ar-SA"/>
    </w:rPr>
  </w:style>
  <w:style w:type="paragraph" w:customStyle="1" w:styleId="82">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83">
    <w:name w:val="数字编号列项（二级）"/>
    <w:qFormat/>
    <w:uiPriority w:val="0"/>
    <w:pPr>
      <w:jc w:val="both"/>
    </w:pPr>
    <w:rPr>
      <w:rFonts w:ascii="宋体" w:hAnsi="Times New Roman" w:eastAsia="宋体" w:cs="Times New Roman"/>
      <w:sz w:val="21"/>
      <w:lang w:val="en-US" w:eastAsia="zh-CN" w:bidi="ar-SA"/>
    </w:rPr>
  </w:style>
  <w:style w:type="paragraph" w:customStyle="1" w:styleId="84">
    <w:name w:val="无标题条"/>
    <w:next w:val="54"/>
    <w:qFormat/>
    <w:uiPriority w:val="0"/>
    <w:pPr>
      <w:jc w:val="both"/>
    </w:pPr>
    <w:rPr>
      <w:rFonts w:ascii="Times New Roman" w:hAnsi="Times New Roman" w:eastAsia="宋体" w:cs="Times New Roman"/>
      <w:sz w:val="21"/>
      <w:lang w:val="en-US" w:eastAsia="zh-CN" w:bidi="ar-SA"/>
    </w:rPr>
  </w:style>
  <w:style w:type="paragraph" w:customStyle="1" w:styleId="8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6">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9">
    <w:name w:val="目次、标准名称标题"/>
    <w:basedOn w:val="78"/>
    <w:next w:val="54"/>
    <w:qFormat/>
    <w:uiPriority w:val="0"/>
    <w:pPr>
      <w:numPr>
        <w:numId w:val="0"/>
      </w:numPr>
      <w:tabs>
        <w:tab w:val="left" w:pos="1140"/>
      </w:tabs>
      <w:spacing w:line="460" w:lineRule="exact"/>
    </w:pPr>
  </w:style>
  <w:style w:type="paragraph" w:customStyle="1" w:styleId="90">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1">
    <w:name w:val="List Paragraph"/>
    <w:basedOn w:val="1"/>
    <w:qFormat/>
    <w:uiPriority w:val="34"/>
    <w:pPr>
      <w:ind w:firstLine="420" w:firstLineChars="200"/>
    </w:pPr>
  </w:style>
  <w:style w:type="paragraph" w:customStyle="1" w:styleId="92">
    <w:name w:val="标准1级标题"/>
    <w:basedOn w:val="1"/>
    <w:qFormat/>
    <w:uiPriority w:val="0"/>
    <w:pPr>
      <w:keepNext/>
      <w:keepLines/>
      <w:widowControl/>
      <w:spacing w:before="100" w:beforeLines="100" w:after="100" w:afterLines="100" w:line="416" w:lineRule="atLeast"/>
      <w:ind w:firstLine="0" w:firstLineChars="0"/>
      <w:jc w:val="left"/>
      <w:outlineLvl w:val="0"/>
    </w:pPr>
    <w:rPr>
      <w:rFonts w:ascii="Times New Roman" w:hAnsi="Times New Roman" w:eastAsia="黑体"/>
      <w:kern w:val="0"/>
      <w:szCs w:val="20"/>
    </w:rPr>
  </w:style>
  <w:style w:type="paragraph" w:customStyle="1" w:styleId="93">
    <w:name w:val="3z"/>
    <w:basedOn w:val="1"/>
    <w:qFormat/>
    <w:uiPriority w:val="0"/>
    <w:pPr>
      <w:topLinePunct/>
      <w:spacing w:line="312" w:lineRule="exact"/>
    </w:pPr>
    <w:rPr>
      <w:rFonts w:ascii="EU-F1" w:eastAsia="黑体"/>
      <w:kern w:val="0"/>
      <w:sz w:val="20"/>
    </w:rPr>
  </w:style>
  <w:style w:type="character" w:customStyle="1" w:styleId="94">
    <w:name w:val="标题 2 Char"/>
    <w:link w:val="3"/>
    <w:qFormat/>
    <w:uiPriority w:val="0"/>
    <w:rPr>
      <w:rFonts w:ascii="宋体"/>
      <w:bCs/>
      <w:szCs w:val="21"/>
    </w:rPr>
  </w:style>
  <w:style w:type="paragraph" w:customStyle="1" w:styleId="95">
    <w:name w:val="Table Contents"/>
    <w:basedOn w:val="12"/>
    <w:qFormat/>
    <w:uiPriority w:val="0"/>
  </w:style>
  <w:style w:type="paragraph" w:customStyle="1" w:styleId="96">
    <w:name w:val="Table Text"/>
    <w:basedOn w:val="1"/>
    <w:semiHidden/>
    <w:qFormat/>
    <w:uiPriority w:val="0"/>
    <w:rPr>
      <w:rFonts w:ascii="宋体" w:hAnsi="宋体" w:eastAsia="宋体" w:cs="宋体"/>
      <w:sz w:val="20"/>
      <w:szCs w:val="20"/>
      <w:lang w:val="en-US" w:eastAsia="en-US" w:bidi="ar-SA"/>
    </w:rPr>
  </w:style>
  <w:style w:type="table" w:customStyle="1" w:styleId="9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emf"/><Relationship Id="rId11" Type="http://schemas.openxmlformats.org/officeDocument/2006/relationships/oleObject" Target="embeddings/oleObject1.bin"/><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F76D7C-662A-45E7-94F6-1BEDFD6ED7ED}">
  <ds:schemaRefs/>
</ds:datastoreItem>
</file>

<file path=docProps/app.xml><?xml version="1.0" encoding="utf-8"?>
<Properties xmlns="http://schemas.openxmlformats.org/officeDocument/2006/extended-properties" xmlns:vt="http://schemas.openxmlformats.org/officeDocument/2006/docPropsVTypes">
  <Template>Normal.dotm</Template>
  <Company>dky</Company>
  <Pages>21</Pages>
  <Words>11524</Words>
  <Characters>12775</Characters>
  <Lines>1</Lines>
  <Paragraphs>1</Paragraphs>
  <TotalTime>0</TotalTime>
  <ScaleCrop>false</ScaleCrop>
  <LinksUpToDate>false</LinksUpToDate>
  <CharactersWithSpaces>13250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2017-06-27T02:01:00Z</dcterms:created>
  <dc:creator>李富龙</dc:creator>
  <cp:lastModifiedBy>练美希</cp:lastModifiedBy>
  <cp:lastPrinted>2026-08-04T01:21:00Z</cp:lastPrinted>
  <dcterms:modified xsi:type="dcterms:W3CDTF">2026-09-22T02:24:10Z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26240B9B57564C3AB7A871E6B5FDD932_13</vt:lpwstr>
  </property>
  <property fmtid="{D5CDD505-2E9C-101B-9397-08002B2CF9AE}" pid="3" name="KSOProductBuildVer">
    <vt:lpwstr>2052-11.8.2.12309</vt:lpwstr>
  </property>
  <property fmtid="{D5CDD505-2E9C-101B-9397-08002B2CF9AE}" pid="4" name="状态">
    <vt:lpwstr>xxx</vt:lpwstr>
  </property>
  <property fmtid="{D5CDD505-2E9C-101B-9397-08002B2CF9AE}" pid="5" name="KSOTemplateDocerSaveRecord">
    <vt:lpwstr>eyJoZGlkIjoiMzc3ZjkxY2Q5ODVjMmQ3N2IzZmFlMDcxY2E4ZjVmZTAiLCJ1c2VySWQiOiIxMjExMDcxNTMwIn0=</vt:lpwstr>
  </property>
</Properties>
</file>