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011FE">
      <w:pPr>
        <w:rPr>
          <w:rFonts w:hint="eastAsia" w:ascii="黑体" w:hAnsi="黑体" w:eastAsia="黑体" w:cs="黑体"/>
          <w:color w:val="auto"/>
          <w:sz w:val="32"/>
          <w:szCs w:val="32"/>
        </w:rPr>
      </w:pPr>
      <w:bookmarkStart w:id="0" w:name="_Toc246216323"/>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-1205230</wp:posOffset>
            </wp:positionH>
            <wp:positionV relativeFrom="paragraph">
              <wp:posOffset>-896620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6FC8EF0A">
      <w:pPr>
        <w:rPr>
          <w:color w:val="auto"/>
        </w:rPr>
      </w:pPr>
    </w:p>
    <w:p w14:paraId="5210947D">
      <w:pPr>
        <w:jc w:val="center"/>
        <w:rPr>
          <w:rFonts w:hint="eastAsia" w:eastAsia="黑体"/>
          <w:b/>
          <w:color w:val="auto"/>
          <w:sz w:val="52"/>
          <w:lang w:val="en-US" w:eastAsia="zh-CN"/>
        </w:rPr>
      </w:pPr>
    </w:p>
    <w:p w14:paraId="06F5BE03">
      <w:pPr>
        <w:jc w:val="center"/>
        <w:rPr>
          <w:rFonts w:hint="eastAsia" w:eastAsia="黑体"/>
          <w:b/>
          <w:color w:val="auto"/>
          <w:sz w:val="52"/>
          <w:lang w:val="en-US" w:eastAsia="zh-CN"/>
        </w:rPr>
      </w:pPr>
    </w:p>
    <w:p w14:paraId="0DD66E99">
      <w:pPr>
        <w:jc w:val="center"/>
        <w:rPr>
          <w:rFonts w:hint="eastAsia" w:eastAsia="黑体"/>
          <w:b/>
          <w:color w:val="auto"/>
          <w:sz w:val="52"/>
          <w:lang w:val="en-US" w:eastAsia="zh-CN"/>
        </w:rPr>
      </w:pPr>
    </w:p>
    <w:p w14:paraId="54C16E7B">
      <w:pPr>
        <w:jc w:val="both"/>
        <w:rPr>
          <w:rFonts w:hint="eastAsia" w:eastAsia="黑体"/>
          <w:b/>
          <w:color w:val="auto"/>
          <w:sz w:val="52"/>
          <w:lang w:val="en-US" w:eastAsia="zh-CN"/>
        </w:rPr>
      </w:pPr>
    </w:p>
    <w:p w14:paraId="4EB2C99D">
      <w:pPr>
        <w:jc w:val="center"/>
        <w:rPr>
          <w:rFonts w:eastAsia="黑体"/>
          <w:b/>
          <w:color w:val="auto"/>
          <w:sz w:val="36"/>
        </w:rPr>
      </w:pPr>
      <w:r>
        <w:rPr>
          <w:rFonts w:hint="eastAsia" w:eastAsia="黑体"/>
          <w:b/>
          <w:color w:val="auto"/>
          <w:sz w:val="52"/>
          <w:lang w:val="en-US" w:eastAsia="zh-CN"/>
        </w:rPr>
        <w:t>广东天广能源科技发展有限公司微型轻量化超灵敏日盲紫外探测巡检装置2026—2028年生产代工框架采购项目</w:t>
      </w:r>
      <w:r>
        <w:rPr>
          <w:rFonts w:eastAsia="黑体"/>
          <w:b/>
          <w:color w:val="auto"/>
          <w:sz w:val="52"/>
        </w:rPr>
        <w:t>技术</w:t>
      </w:r>
      <w:r>
        <w:rPr>
          <w:rFonts w:hint="eastAsia" w:eastAsia="黑体"/>
          <w:b/>
          <w:color w:val="auto"/>
          <w:sz w:val="52"/>
        </w:rPr>
        <w:t>规范书</w:t>
      </w:r>
    </w:p>
    <w:p w14:paraId="53EA3466">
      <w:pPr>
        <w:adjustRightInd w:val="0"/>
        <w:snapToGrid w:val="0"/>
        <w:spacing w:before="480" w:beforeLines="200"/>
        <w:ind w:firstLine="2873" w:firstLineChars="795"/>
        <w:rPr>
          <w:rFonts w:hint="eastAsia" w:eastAsia="黑体"/>
          <w:b/>
          <w:color w:val="auto"/>
          <w:sz w:val="36"/>
        </w:rPr>
      </w:pPr>
    </w:p>
    <w:p w14:paraId="1042B327">
      <w:pPr>
        <w:adjustRightInd w:val="0"/>
        <w:snapToGrid w:val="0"/>
        <w:spacing w:before="480" w:beforeLines="200"/>
        <w:ind w:firstLine="2873" w:firstLineChars="795"/>
        <w:rPr>
          <w:rFonts w:hint="eastAsia" w:eastAsia="黑体"/>
          <w:b/>
          <w:color w:val="auto"/>
          <w:sz w:val="36"/>
        </w:rPr>
      </w:pPr>
      <w:r>
        <w:rPr>
          <w:rFonts w:hint="eastAsia" w:eastAsia="黑体"/>
          <w:b/>
          <w:color w:val="auto"/>
          <w:sz w:val="36"/>
        </w:rPr>
        <w:t>批准：</w:t>
      </w:r>
    </w:p>
    <w:p w14:paraId="0B6FFC05">
      <w:pPr>
        <w:adjustRightInd w:val="0"/>
        <w:snapToGrid w:val="0"/>
        <w:spacing w:before="480" w:beforeLines="200"/>
        <w:ind w:firstLine="2873" w:firstLineChars="795"/>
        <w:rPr>
          <w:rFonts w:hint="eastAsia" w:eastAsia="黑体"/>
          <w:b/>
          <w:color w:val="auto"/>
          <w:sz w:val="36"/>
        </w:rPr>
      </w:pPr>
      <w:r>
        <w:rPr>
          <w:rFonts w:hint="eastAsia" w:eastAsia="黑体"/>
          <w:b/>
          <w:color w:val="auto"/>
          <w:sz w:val="36"/>
        </w:rPr>
        <w:t>审定：</w:t>
      </w:r>
    </w:p>
    <w:p w14:paraId="0283BA29">
      <w:pPr>
        <w:adjustRightInd w:val="0"/>
        <w:snapToGrid w:val="0"/>
        <w:spacing w:before="480" w:beforeLines="200"/>
        <w:ind w:firstLine="2873" w:firstLineChars="795"/>
        <w:rPr>
          <w:rFonts w:hint="eastAsia" w:eastAsia="黑体"/>
          <w:b/>
          <w:color w:val="auto"/>
          <w:sz w:val="36"/>
        </w:rPr>
      </w:pPr>
      <w:r>
        <w:rPr>
          <w:rFonts w:hint="eastAsia" w:eastAsia="黑体"/>
          <w:b/>
          <w:color w:val="auto"/>
          <w:sz w:val="36"/>
        </w:rPr>
        <w:t>审核：</w:t>
      </w:r>
    </w:p>
    <w:p w14:paraId="08ECB73C">
      <w:pPr>
        <w:adjustRightInd w:val="0"/>
        <w:snapToGrid w:val="0"/>
        <w:spacing w:before="480" w:beforeLines="200"/>
        <w:ind w:firstLine="2873" w:firstLineChars="795"/>
        <w:rPr>
          <w:rFonts w:eastAsia="黑体"/>
          <w:b/>
          <w:color w:val="auto"/>
          <w:spacing w:val="20"/>
          <w:w w:val="135"/>
          <w:sz w:val="30"/>
        </w:rPr>
      </w:pPr>
      <w:r>
        <w:rPr>
          <w:rFonts w:hint="eastAsia" w:eastAsia="黑体"/>
          <w:b/>
          <w:color w:val="auto"/>
          <w:sz w:val="36"/>
        </w:rPr>
        <w:t>编写：</w:t>
      </w:r>
    </w:p>
    <w:p w14:paraId="68E592A5">
      <w:pPr>
        <w:spacing w:before="480" w:beforeLines="200"/>
        <w:jc w:val="center"/>
        <w:rPr>
          <w:rFonts w:hint="eastAsia" w:eastAsia="黑体"/>
          <w:b/>
          <w:color w:val="000000" w:themeColor="text1"/>
          <w:spacing w:val="20"/>
          <w:w w:val="135"/>
          <w:sz w:val="30"/>
          <w:highlight w:val="none"/>
          <w:lang w:eastAsia="zh-CN"/>
          <w14:textFill>
            <w14:solidFill>
              <w14:schemeClr w14:val="tx1"/>
            </w14:solidFill>
          </w14:textFill>
        </w:rPr>
      </w:pPr>
    </w:p>
    <w:p w14:paraId="23D2185B">
      <w:pPr>
        <w:spacing w:before="480" w:beforeLines="200"/>
        <w:jc w:val="center"/>
        <w:rPr>
          <w:rFonts w:hint="eastAsia" w:eastAsia="黑体"/>
          <w:b/>
          <w:color w:val="000000" w:themeColor="text1"/>
          <w:spacing w:val="20"/>
          <w:w w:val="135"/>
          <w:sz w:val="30"/>
          <w:highlight w:val="none"/>
          <w:lang w:eastAsia="zh-CN"/>
          <w14:textFill>
            <w14:solidFill>
              <w14:schemeClr w14:val="tx1"/>
            </w14:solidFill>
          </w14:textFill>
        </w:rPr>
      </w:pPr>
      <w:r>
        <w:rPr>
          <w:rFonts w:hint="eastAsia" w:eastAsia="黑体"/>
          <w:b/>
          <w:color w:val="000000" w:themeColor="text1"/>
          <w:spacing w:val="20"/>
          <w:w w:val="135"/>
          <w:sz w:val="30"/>
          <w:highlight w:val="none"/>
          <w:lang w:eastAsia="zh-CN"/>
          <w14:textFill>
            <w14:solidFill>
              <w14:schemeClr w14:val="tx1"/>
            </w14:solidFill>
          </w14:textFill>
        </w:rPr>
        <w:t>广东天广能源科技发展有限公司</w:t>
      </w:r>
    </w:p>
    <w:p w14:paraId="5E11D307">
      <w:pPr>
        <w:spacing w:before="480" w:beforeLines="200"/>
        <w:jc w:val="center"/>
        <w:rPr>
          <w:rFonts w:hint="eastAsia" w:eastAsia="黑体"/>
          <w:b/>
          <w:color w:val="000000" w:themeColor="text1"/>
          <w:spacing w:val="20"/>
          <w:w w:val="135"/>
          <w:sz w:val="30"/>
          <w:highlight w:val="none"/>
          <w:lang w:val="en-US" w:eastAsia="zh-CN"/>
          <w14:textFill>
            <w14:solidFill>
              <w14:schemeClr w14:val="tx1"/>
            </w14:solidFill>
          </w14:textFill>
        </w:rPr>
        <w:sectPr>
          <w:headerReference r:id="rId3" w:type="default"/>
          <w:footerReference r:id="rId4" w:type="default"/>
          <w:footerReference r:id="rId5" w:type="even"/>
          <w:pgSz w:w="11907" w:h="16839"/>
          <w:pgMar w:top="1440" w:right="1701" w:bottom="1440" w:left="1701" w:header="964" w:footer="737" w:gutter="0"/>
          <w:pgNumType w:start="1"/>
          <w:cols w:space="425" w:num="1"/>
          <w:titlePg/>
          <w:docGrid w:linePitch="312" w:charSpace="0"/>
        </w:sectPr>
      </w:pPr>
      <w:r>
        <w:rPr>
          <w:rFonts w:eastAsia="黑体"/>
          <w:b/>
          <w:color w:val="000000" w:themeColor="text1"/>
          <w:spacing w:val="20"/>
          <w:w w:val="135"/>
          <w:sz w:val="30"/>
          <w:highlight w:val="none"/>
          <w14:textFill>
            <w14:solidFill>
              <w14:schemeClr w14:val="tx1"/>
            </w14:solidFill>
          </w14:textFill>
        </w:rPr>
        <w:t>20</w:t>
      </w:r>
      <w:r>
        <w:rPr>
          <w:rFonts w:hint="eastAsia" w:eastAsia="黑体"/>
          <w:b/>
          <w:color w:val="000000" w:themeColor="text1"/>
          <w:spacing w:val="20"/>
          <w:w w:val="135"/>
          <w:sz w:val="30"/>
          <w:highlight w:val="none"/>
          <w:lang w:val="en-US" w:eastAsia="zh-CN"/>
          <w14:textFill>
            <w14:solidFill>
              <w14:schemeClr w14:val="tx1"/>
            </w14:solidFill>
          </w14:textFill>
        </w:rPr>
        <w:t>26</w:t>
      </w:r>
      <w:r>
        <w:rPr>
          <w:rFonts w:eastAsia="黑体"/>
          <w:b/>
          <w:color w:val="000000" w:themeColor="text1"/>
          <w:spacing w:val="20"/>
          <w:w w:val="135"/>
          <w:sz w:val="30"/>
          <w:highlight w:val="none"/>
          <w14:textFill>
            <w14:solidFill>
              <w14:schemeClr w14:val="tx1"/>
            </w14:solidFill>
          </w14:textFill>
        </w:rPr>
        <w:t>年</w:t>
      </w:r>
      <w:r>
        <w:rPr>
          <w:rFonts w:hint="eastAsia" w:eastAsia="黑体"/>
          <w:b/>
          <w:color w:val="000000" w:themeColor="text1"/>
          <w:spacing w:val="20"/>
          <w:w w:val="135"/>
          <w:sz w:val="30"/>
          <w:highlight w:val="none"/>
          <w:lang w:val="en-US" w:eastAsia="zh-CN"/>
          <w14:textFill>
            <w14:solidFill>
              <w14:schemeClr w14:val="tx1"/>
            </w14:solidFill>
          </w14:textFill>
        </w:rPr>
        <w:t>0</w:t>
      </w:r>
      <w:r>
        <w:rPr>
          <w:rFonts w:hint="default" w:eastAsia="黑体"/>
          <w:b/>
          <w:color w:val="000000" w:themeColor="text1"/>
          <w:spacing w:val="20"/>
          <w:w w:val="135"/>
          <w:sz w:val="30"/>
          <w:highlight w:val="none"/>
          <w:lang w:val="en-US" w:eastAsia="zh-CN"/>
          <w14:textFill>
            <w14:solidFill>
              <w14:schemeClr w14:val="tx1"/>
            </w14:solidFill>
          </w14:textFill>
        </w:rPr>
        <w:t>9</w:t>
      </w:r>
      <w:r>
        <w:rPr>
          <w:rFonts w:hint="eastAsia" w:eastAsia="黑体"/>
          <w:b/>
          <w:color w:val="000000" w:themeColor="text1"/>
          <w:spacing w:val="20"/>
          <w:w w:val="135"/>
          <w:sz w:val="30"/>
          <w:highlight w:val="none"/>
          <w:lang w:val="en-US" w:eastAsia="zh-CN"/>
          <w14:textFill>
            <w14:solidFill>
              <w14:schemeClr w14:val="tx1"/>
            </w14:solidFill>
          </w14:textFill>
        </w:rPr>
        <w:t>月</w:t>
      </w:r>
    </w:p>
    <w:p w14:paraId="4C99EE88">
      <w:pPr>
        <w:spacing w:before="480" w:beforeLines="200"/>
        <w:jc w:val="center"/>
        <w:rPr>
          <w:rFonts w:hint="default" w:eastAsia="黑体"/>
          <w:b/>
          <w:color w:val="000000" w:themeColor="text1"/>
          <w:spacing w:val="20"/>
          <w:w w:val="135"/>
          <w:sz w:val="30"/>
          <w:highlight w:val="none"/>
          <w:lang w:val="en-US" w:eastAsia="zh-CN"/>
          <w14:textFill>
            <w14:solidFill>
              <w14:schemeClr w14:val="tx1"/>
            </w14:solidFill>
          </w14:textFill>
        </w:rPr>
        <w:sectPr>
          <w:pgSz w:w="11907" w:h="16839"/>
          <w:pgMar w:top="1440" w:right="1701" w:bottom="1440" w:left="1701" w:header="964" w:footer="737" w:gutter="0"/>
          <w:pgNumType w:start="1"/>
          <w:cols w:space="425" w:num="1"/>
          <w:titlePg/>
          <w:docGrid w:linePitch="312" w:charSpace="0"/>
        </w:sectPr>
      </w:pPr>
      <w:bookmarkStart w:id="68" w:name="_GoBack"/>
      <w:bookmarkEnd w:id="68"/>
    </w:p>
    <w:sdt>
      <w:sdtPr>
        <w:rPr>
          <w:rFonts w:ascii="宋体" w:hAnsi="宋体" w:eastAsia="宋体" w:cs="Times New Roman"/>
          <w:color w:val="auto"/>
          <w:kern w:val="2"/>
          <w:sz w:val="21"/>
          <w:szCs w:val="24"/>
          <w:lang w:val="en-US" w:eastAsia="zh-CN" w:bidi="ar-SA"/>
        </w:rPr>
        <w:id w:val="147458825"/>
        <w15:color w:val="DBDBDB"/>
        <w:docPartObj>
          <w:docPartGallery w:val="Table of Contents"/>
          <w:docPartUnique/>
        </w:docPartObj>
      </w:sdtPr>
      <w:sdtEndPr>
        <w:rPr>
          <w:rFonts w:ascii="宋体" w:hAnsi="宋体" w:eastAsia="宋体" w:cs="Times New Roman"/>
          <w:color w:val="auto"/>
          <w:kern w:val="2"/>
          <w:sz w:val="21"/>
          <w:szCs w:val="24"/>
          <w:lang w:val="en-US" w:eastAsia="zh-CN" w:bidi="ar-SA"/>
        </w:rPr>
      </w:sdtEndPr>
      <w:sdtContent>
        <w:p w14:paraId="680D6F4C">
          <w:pPr>
            <w:spacing w:before="0" w:beforeLines="0" w:after="0" w:afterLines="0" w:line="240" w:lineRule="auto"/>
            <w:ind w:left="0" w:leftChars="0" w:right="0" w:rightChars="0" w:firstLine="0" w:firstLineChars="0"/>
            <w:jc w:val="center"/>
            <w:rPr>
              <w:color w:val="auto"/>
            </w:rPr>
          </w:pPr>
          <w:bookmarkStart w:id="1" w:name="_Toc229476507"/>
          <w:bookmarkEnd w:id="1"/>
          <w:bookmarkStart w:id="2" w:name="_Toc229476378"/>
          <w:bookmarkEnd w:id="2"/>
          <w:bookmarkStart w:id="3" w:name="_Toc229476473"/>
          <w:bookmarkEnd w:id="3"/>
          <w:bookmarkStart w:id="4" w:name="_Toc229476588"/>
          <w:bookmarkEnd w:id="4"/>
          <w:bookmarkStart w:id="5" w:name="_Toc112756677"/>
          <w:r>
            <w:rPr>
              <w:rFonts w:ascii="宋体" w:hAnsi="宋体" w:eastAsia="宋体"/>
              <w:color w:val="auto"/>
              <w:sz w:val="21"/>
            </w:rPr>
            <w:t>目录</w:t>
          </w:r>
        </w:p>
        <w:p w14:paraId="507B98FE">
          <w:pPr>
            <w:pStyle w:val="21"/>
            <w:tabs>
              <w:tab w:val="right" w:leader="dot" w:pos="8312"/>
            </w:tabs>
          </w:pPr>
          <w:r>
            <w:rPr>
              <w:color w:val="auto"/>
            </w:rPr>
            <w:fldChar w:fldCharType="begin"/>
          </w:r>
          <w:r>
            <w:rPr>
              <w:color w:val="auto"/>
            </w:rPr>
            <w:instrText xml:space="preserve">TOC \o "1-2" \h \u </w:instrText>
          </w:r>
          <w:r>
            <w:rPr>
              <w:color w:val="auto"/>
            </w:rPr>
            <w:fldChar w:fldCharType="separate"/>
          </w:r>
          <w:r>
            <w:rPr>
              <w:color w:val="auto"/>
            </w:rPr>
            <w:fldChar w:fldCharType="begin"/>
          </w:r>
          <w:r>
            <w:instrText xml:space="preserve"> HYPERLINK \l _Toc18428 </w:instrText>
          </w:r>
          <w:r>
            <w:fldChar w:fldCharType="separate"/>
          </w:r>
          <w:r>
            <w:rPr>
              <w:rFonts w:hint="eastAsia"/>
              <w:szCs w:val="24"/>
            </w:rPr>
            <w:t>前 言</w:t>
          </w:r>
          <w:r>
            <w:tab/>
          </w:r>
          <w:r>
            <w:fldChar w:fldCharType="begin"/>
          </w:r>
          <w:r>
            <w:instrText xml:space="preserve"> PAGEREF _Toc18428 \h </w:instrText>
          </w:r>
          <w:r>
            <w:fldChar w:fldCharType="separate"/>
          </w:r>
          <w:r>
            <w:t>1</w:t>
          </w:r>
          <w:r>
            <w:fldChar w:fldCharType="end"/>
          </w:r>
          <w:r>
            <w:rPr>
              <w:color w:val="auto"/>
            </w:rPr>
            <w:fldChar w:fldCharType="end"/>
          </w:r>
        </w:p>
        <w:p w14:paraId="0013FE2F">
          <w:pPr>
            <w:pStyle w:val="21"/>
            <w:tabs>
              <w:tab w:val="right" w:leader="dot" w:pos="8312"/>
            </w:tabs>
          </w:pPr>
          <w:r>
            <w:rPr>
              <w:color w:val="auto"/>
            </w:rPr>
            <w:fldChar w:fldCharType="begin"/>
          </w:r>
          <w:r>
            <w:instrText xml:space="preserve"> HYPERLINK \l _Toc11592 </w:instrText>
          </w:r>
          <w:r>
            <w:fldChar w:fldCharType="separate"/>
          </w:r>
          <w:r>
            <w:rPr>
              <w:rFonts w:hint="default" w:ascii="Times New Roman" w:hAnsi="Times New Roman" w:cs="Times New Roman"/>
              <w:lang w:val="en-US" w:eastAsia="zh-CN"/>
            </w:rPr>
            <w:t>1</w:t>
          </w:r>
          <w:r>
            <w:rPr>
              <w:szCs w:val="24"/>
            </w:rPr>
            <w:t>总则</w:t>
          </w:r>
          <w:r>
            <w:tab/>
          </w:r>
          <w:r>
            <w:fldChar w:fldCharType="begin"/>
          </w:r>
          <w:r>
            <w:instrText xml:space="preserve"> PAGEREF _Toc11592 \h </w:instrText>
          </w:r>
          <w:r>
            <w:fldChar w:fldCharType="separate"/>
          </w:r>
          <w:r>
            <w:t>2</w:t>
          </w:r>
          <w:r>
            <w:fldChar w:fldCharType="end"/>
          </w:r>
          <w:r>
            <w:rPr>
              <w:color w:val="auto"/>
            </w:rPr>
            <w:fldChar w:fldCharType="end"/>
          </w:r>
        </w:p>
        <w:p w14:paraId="1121CF62">
          <w:pPr>
            <w:pStyle w:val="23"/>
            <w:tabs>
              <w:tab w:val="right" w:leader="dot" w:pos="8312"/>
              <w:tab w:val="clear" w:pos="900"/>
              <w:tab w:val="clear" w:pos="8296"/>
            </w:tabs>
          </w:pPr>
          <w:r>
            <w:rPr>
              <w:color w:val="auto"/>
            </w:rPr>
            <w:fldChar w:fldCharType="begin"/>
          </w:r>
          <w:r>
            <w:instrText xml:space="preserve"> HYPERLINK \l _Toc24490 </w:instrText>
          </w:r>
          <w:r>
            <w:fldChar w:fldCharType="separate"/>
          </w:r>
          <w:r>
            <w:rPr>
              <w:rFonts w:hint="default" w:ascii="Times New Roman" w:hAnsi="Times New Roman" w:cs="Times New Roman"/>
              <w:bCs/>
            </w:rPr>
            <w:t xml:space="preserve">1.1. </w:t>
          </w:r>
          <w:r>
            <w:rPr>
              <w:rFonts w:hint="eastAsia" w:ascii="黑体" w:hAnsi="黑体" w:eastAsia="黑体" w:cs="黑体"/>
              <w:bCs/>
              <w:szCs w:val="24"/>
            </w:rPr>
            <w:t>适用范围</w:t>
          </w:r>
          <w:r>
            <w:tab/>
          </w:r>
          <w:r>
            <w:fldChar w:fldCharType="begin"/>
          </w:r>
          <w:r>
            <w:instrText xml:space="preserve"> PAGEREF _Toc24490 \h </w:instrText>
          </w:r>
          <w:r>
            <w:fldChar w:fldCharType="separate"/>
          </w:r>
          <w:r>
            <w:t>2</w:t>
          </w:r>
          <w:r>
            <w:fldChar w:fldCharType="end"/>
          </w:r>
          <w:r>
            <w:rPr>
              <w:color w:val="auto"/>
            </w:rPr>
            <w:fldChar w:fldCharType="end"/>
          </w:r>
        </w:p>
        <w:p w14:paraId="2F17ED5B">
          <w:pPr>
            <w:pStyle w:val="23"/>
            <w:tabs>
              <w:tab w:val="right" w:leader="dot" w:pos="8312"/>
              <w:tab w:val="clear" w:pos="900"/>
              <w:tab w:val="clear" w:pos="8296"/>
            </w:tabs>
          </w:pPr>
          <w:r>
            <w:rPr>
              <w:color w:val="auto"/>
            </w:rPr>
            <w:fldChar w:fldCharType="begin"/>
          </w:r>
          <w:r>
            <w:instrText xml:space="preserve"> HYPERLINK \l _Toc27432 </w:instrText>
          </w:r>
          <w:r>
            <w:fldChar w:fldCharType="separate"/>
          </w:r>
          <w:r>
            <w:rPr>
              <w:rFonts w:hint="default" w:ascii="Times New Roman" w:hAnsi="Times New Roman" w:eastAsia="黑体" w:cs="Times New Roman"/>
              <w:bCs/>
              <w:szCs w:val="24"/>
            </w:rPr>
            <w:t xml:space="preserve">1.2. </w:t>
          </w:r>
          <w:r>
            <w:rPr>
              <w:rFonts w:hint="eastAsia" w:ascii="黑体" w:hAnsi="黑体" w:eastAsia="黑体" w:cs="黑体"/>
              <w:bCs/>
              <w:szCs w:val="24"/>
            </w:rPr>
            <w:t>规范性引用文件</w:t>
          </w:r>
          <w:r>
            <w:tab/>
          </w:r>
          <w:r>
            <w:fldChar w:fldCharType="begin"/>
          </w:r>
          <w:r>
            <w:instrText xml:space="preserve"> PAGEREF _Toc27432 \h </w:instrText>
          </w:r>
          <w:r>
            <w:fldChar w:fldCharType="separate"/>
          </w:r>
          <w:r>
            <w:t>2</w:t>
          </w:r>
          <w:r>
            <w:fldChar w:fldCharType="end"/>
          </w:r>
          <w:r>
            <w:rPr>
              <w:color w:val="auto"/>
            </w:rPr>
            <w:fldChar w:fldCharType="end"/>
          </w:r>
        </w:p>
        <w:p w14:paraId="19B91DA3">
          <w:pPr>
            <w:pStyle w:val="23"/>
            <w:tabs>
              <w:tab w:val="right" w:leader="dot" w:pos="8312"/>
              <w:tab w:val="clear" w:pos="900"/>
              <w:tab w:val="clear" w:pos="8296"/>
            </w:tabs>
          </w:pPr>
          <w:r>
            <w:rPr>
              <w:color w:val="auto"/>
            </w:rPr>
            <w:fldChar w:fldCharType="begin"/>
          </w:r>
          <w:r>
            <w:instrText xml:space="preserve"> HYPERLINK \l _Toc17517 </w:instrText>
          </w:r>
          <w:r>
            <w:fldChar w:fldCharType="separate"/>
          </w:r>
          <w:r>
            <w:rPr>
              <w:rFonts w:hint="default" w:ascii="Times New Roman" w:hAnsi="Times New Roman" w:eastAsia="黑体" w:cs="Times New Roman"/>
              <w:bCs/>
              <w:szCs w:val="24"/>
            </w:rPr>
            <w:t xml:space="preserve">1.3. </w:t>
          </w:r>
          <w:r>
            <w:rPr>
              <w:rFonts w:hint="eastAsia" w:ascii="黑体" w:hAnsi="黑体" w:eastAsia="黑体" w:cs="黑体"/>
              <w:bCs/>
              <w:szCs w:val="24"/>
            </w:rPr>
            <w:t>术语和定义</w:t>
          </w:r>
          <w:r>
            <w:tab/>
          </w:r>
          <w:r>
            <w:fldChar w:fldCharType="begin"/>
          </w:r>
          <w:r>
            <w:instrText xml:space="preserve"> PAGEREF _Toc17517 \h </w:instrText>
          </w:r>
          <w:r>
            <w:fldChar w:fldCharType="separate"/>
          </w:r>
          <w:r>
            <w:t>3</w:t>
          </w:r>
          <w:r>
            <w:fldChar w:fldCharType="end"/>
          </w:r>
          <w:r>
            <w:rPr>
              <w:color w:val="auto"/>
            </w:rPr>
            <w:fldChar w:fldCharType="end"/>
          </w:r>
        </w:p>
        <w:p w14:paraId="10E21BBD">
          <w:pPr>
            <w:pStyle w:val="23"/>
            <w:tabs>
              <w:tab w:val="right" w:leader="dot" w:pos="8312"/>
              <w:tab w:val="clear" w:pos="900"/>
              <w:tab w:val="clear" w:pos="8296"/>
            </w:tabs>
          </w:pPr>
          <w:r>
            <w:rPr>
              <w:color w:val="auto"/>
            </w:rPr>
            <w:fldChar w:fldCharType="begin"/>
          </w:r>
          <w:r>
            <w:instrText xml:space="preserve"> HYPERLINK \l _Toc23118 </w:instrText>
          </w:r>
          <w:r>
            <w:fldChar w:fldCharType="separate"/>
          </w:r>
          <w:r>
            <w:rPr>
              <w:rFonts w:hint="default" w:ascii="Times New Roman" w:hAnsi="Times New Roman" w:eastAsia="黑体" w:cs="Times New Roman"/>
              <w:bCs/>
              <w:szCs w:val="24"/>
            </w:rPr>
            <w:t xml:space="preserve">1.4. </w:t>
          </w:r>
          <w:r>
            <w:rPr>
              <w:rFonts w:hint="eastAsia" w:ascii="黑体" w:hAnsi="黑体" w:eastAsia="黑体" w:cs="黑体"/>
              <w:bCs/>
              <w:szCs w:val="24"/>
            </w:rPr>
            <w:t>总体技术原则</w:t>
          </w:r>
          <w:r>
            <w:tab/>
          </w:r>
          <w:r>
            <w:fldChar w:fldCharType="begin"/>
          </w:r>
          <w:r>
            <w:instrText xml:space="preserve"> PAGEREF _Toc23118 \h </w:instrText>
          </w:r>
          <w:r>
            <w:fldChar w:fldCharType="separate"/>
          </w:r>
          <w:r>
            <w:t>3</w:t>
          </w:r>
          <w:r>
            <w:fldChar w:fldCharType="end"/>
          </w:r>
          <w:r>
            <w:rPr>
              <w:color w:val="auto"/>
            </w:rPr>
            <w:fldChar w:fldCharType="end"/>
          </w:r>
        </w:p>
        <w:p w14:paraId="5A2A62CC">
          <w:pPr>
            <w:pStyle w:val="23"/>
            <w:tabs>
              <w:tab w:val="right" w:leader="dot" w:pos="8312"/>
              <w:tab w:val="clear" w:pos="900"/>
              <w:tab w:val="clear" w:pos="8296"/>
            </w:tabs>
          </w:pPr>
          <w:r>
            <w:rPr>
              <w:color w:val="auto"/>
            </w:rPr>
            <w:fldChar w:fldCharType="begin"/>
          </w:r>
          <w:r>
            <w:instrText xml:space="preserve"> HYPERLINK \l _Toc13520 </w:instrText>
          </w:r>
          <w:r>
            <w:fldChar w:fldCharType="separate"/>
          </w:r>
          <w:r>
            <w:rPr>
              <w:rFonts w:hint="default" w:ascii="Times New Roman" w:hAnsi="Times New Roman" w:eastAsia="黑体" w:cs="Times New Roman"/>
              <w:bCs/>
              <w:szCs w:val="24"/>
            </w:rPr>
            <w:t xml:space="preserve">1.5. </w:t>
          </w:r>
          <w:r>
            <w:rPr>
              <w:rFonts w:hint="eastAsia" w:ascii="黑体" w:hAnsi="黑体" w:eastAsia="黑体" w:cs="黑体"/>
              <w:bCs/>
              <w:szCs w:val="24"/>
            </w:rPr>
            <w:t>框架采购约定</w:t>
          </w:r>
          <w:r>
            <w:tab/>
          </w:r>
          <w:r>
            <w:fldChar w:fldCharType="begin"/>
          </w:r>
          <w:r>
            <w:instrText xml:space="preserve"> PAGEREF _Toc13520 \h </w:instrText>
          </w:r>
          <w:r>
            <w:fldChar w:fldCharType="separate"/>
          </w:r>
          <w:r>
            <w:t>3</w:t>
          </w:r>
          <w:r>
            <w:fldChar w:fldCharType="end"/>
          </w:r>
          <w:r>
            <w:rPr>
              <w:color w:val="auto"/>
            </w:rPr>
            <w:fldChar w:fldCharType="end"/>
          </w:r>
        </w:p>
        <w:p w14:paraId="3350209E">
          <w:pPr>
            <w:pStyle w:val="21"/>
            <w:tabs>
              <w:tab w:val="right" w:leader="dot" w:pos="8312"/>
            </w:tabs>
          </w:pPr>
          <w:r>
            <w:rPr>
              <w:color w:val="auto"/>
            </w:rPr>
            <w:fldChar w:fldCharType="begin"/>
          </w:r>
          <w:r>
            <w:instrText xml:space="preserve"> HYPERLINK \l _Toc3404 </w:instrText>
          </w:r>
          <w:r>
            <w:fldChar w:fldCharType="separate"/>
          </w:r>
          <w:r>
            <w:rPr>
              <w:rFonts w:hint="default" w:ascii="Times New Roman" w:hAnsi="Times New Roman" w:cs="Times New Roman"/>
              <w:szCs w:val="24"/>
              <w:lang w:val="en-US" w:eastAsia="zh-CN"/>
            </w:rPr>
            <w:t>2</w:t>
          </w:r>
          <w:r>
            <w:rPr>
              <w:rFonts w:hint="eastAsia" w:ascii="宋体" w:hAnsi="宋体" w:eastAsia="宋体" w:cs="宋体"/>
              <w:szCs w:val="24"/>
            </w:rPr>
            <w:t>项目概况及代加工要求</w:t>
          </w:r>
          <w:r>
            <w:tab/>
          </w:r>
          <w:r>
            <w:fldChar w:fldCharType="begin"/>
          </w:r>
          <w:r>
            <w:instrText xml:space="preserve"> PAGEREF _Toc3404 \h </w:instrText>
          </w:r>
          <w:r>
            <w:fldChar w:fldCharType="separate"/>
          </w:r>
          <w:r>
            <w:t>4</w:t>
          </w:r>
          <w:r>
            <w:fldChar w:fldCharType="end"/>
          </w:r>
          <w:r>
            <w:rPr>
              <w:color w:val="auto"/>
            </w:rPr>
            <w:fldChar w:fldCharType="end"/>
          </w:r>
        </w:p>
        <w:p w14:paraId="6F6C5FB4">
          <w:pPr>
            <w:pStyle w:val="23"/>
            <w:tabs>
              <w:tab w:val="right" w:leader="dot" w:pos="8312"/>
              <w:tab w:val="clear" w:pos="900"/>
              <w:tab w:val="clear" w:pos="8296"/>
            </w:tabs>
          </w:pPr>
          <w:r>
            <w:rPr>
              <w:color w:val="auto"/>
            </w:rPr>
            <w:fldChar w:fldCharType="begin"/>
          </w:r>
          <w:r>
            <w:instrText xml:space="preserve"> HYPERLINK \l _Toc22144 </w:instrText>
          </w:r>
          <w:r>
            <w:fldChar w:fldCharType="separate"/>
          </w:r>
          <w:r>
            <w:rPr>
              <w:rFonts w:hint="default" w:ascii="Times New Roman" w:hAnsi="Times New Roman" w:eastAsia="黑体" w:cs="Times New Roman"/>
              <w:szCs w:val="24"/>
            </w:rPr>
            <w:t xml:space="preserve">2.1. </w:t>
          </w:r>
          <w:r>
            <w:rPr>
              <w:rFonts w:hint="eastAsia" w:ascii="黑体" w:hAnsi="黑体" w:eastAsia="黑体" w:cs="黑体"/>
              <w:szCs w:val="24"/>
            </w:rPr>
            <w:t>项目概况</w:t>
          </w:r>
          <w:r>
            <w:tab/>
          </w:r>
          <w:r>
            <w:fldChar w:fldCharType="begin"/>
          </w:r>
          <w:r>
            <w:instrText xml:space="preserve"> PAGEREF _Toc22144 \h </w:instrText>
          </w:r>
          <w:r>
            <w:fldChar w:fldCharType="separate"/>
          </w:r>
          <w:r>
            <w:t>4</w:t>
          </w:r>
          <w:r>
            <w:fldChar w:fldCharType="end"/>
          </w:r>
          <w:r>
            <w:rPr>
              <w:color w:val="auto"/>
            </w:rPr>
            <w:fldChar w:fldCharType="end"/>
          </w:r>
        </w:p>
        <w:p w14:paraId="7B22FC4B">
          <w:pPr>
            <w:pStyle w:val="23"/>
            <w:tabs>
              <w:tab w:val="right" w:leader="dot" w:pos="8312"/>
              <w:tab w:val="clear" w:pos="900"/>
              <w:tab w:val="clear" w:pos="8296"/>
            </w:tabs>
          </w:pPr>
          <w:r>
            <w:rPr>
              <w:color w:val="auto"/>
            </w:rPr>
            <w:fldChar w:fldCharType="begin"/>
          </w:r>
          <w:r>
            <w:instrText xml:space="preserve"> HYPERLINK \l _Toc8926 </w:instrText>
          </w:r>
          <w:r>
            <w:fldChar w:fldCharType="separate"/>
          </w:r>
          <w:r>
            <w:rPr>
              <w:rFonts w:hint="default" w:ascii="Times New Roman" w:hAnsi="Times New Roman" w:eastAsia="黑体" w:cs="Times New Roman"/>
              <w:szCs w:val="24"/>
            </w:rPr>
            <w:t xml:space="preserve">2.2. </w:t>
          </w:r>
          <w:r>
            <w:rPr>
              <w:rFonts w:hint="eastAsia" w:ascii="黑体" w:hAnsi="黑体" w:eastAsia="黑体" w:cs="黑体"/>
              <w:szCs w:val="24"/>
            </w:rPr>
            <w:t>代加工核心要求</w:t>
          </w:r>
          <w:r>
            <w:tab/>
          </w:r>
          <w:r>
            <w:fldChar w:fldCharType="begin"/>
          </w:r>
          <w:r>
            <w:instrText xml:space="preserve"> PAGEREF _Toc8926 \h </w:instrText>
          </w:r>
          <w:r>
            <w:fldChar w:fldCharType="separate"/>
          </w:r>
          <w:r>
            <w:t>4</w:t>
          </w:r>
          <w:r>
            <w:fldChar w:fldCharType="end"/>
          </w:r>
          <w:r>
            <w:rPr>
              <w:color w:val="auto"/>
            </w:rPr>
            <w:fldChar w:fldCharType="end"/>
          </w:r>
        </w:p>
        <w:p w14:paraId="3AFB2D6A">
          <w:pPr>
            <w:pStyle w:val="23"/>
            <w:tabs>
              <w:tab w:val="right" w:leader="dot" w:pos="8312"/>
              <w:tab w:val="clear" w:pos="900"/>
              <w:tab w:val="clear" w:pos="8296"/>
            </w:tabs>
          </w:pPr>
          <w:r>
            <w:rPr>
              <w:color w:val="auto"/>
            </w:rPr>
            <w:fldChar w:fldCharType="begin"/>
          </w:r>
          <w:r>
            <w:instrText xml:space="preserve"> HYPERLINK \l _Toc9734 </w:instrText>
          </w:r>
          <w:r>
            <w:fldChar w:fldCharType="separate"/>
          </w:r>
          <w:r>
            <w:rPr>
              <w:rFonts w:hint="default" w:ascii="Times New Roman" w:hAnsi="Times New Roman" w:eastAsia="黑体" w:cs="Times New Roman"/>
              <w:szCs w:val="24"/>
            </w:rPr>
            <w:t xml:space="preserve">2.3. </w:t>
          </w:r>
          <w:r>
            <w:rPr>
              <w:rFonts w:hint="eastAsia" w:ascii="黑体" w:hAnsi="黑体" w:eastAsia="黑体" w:cs="黑体"/>
              <w:szCs w:val="24"/>
            </w:rPr>
            <w:t>现场及生产环境要求</w:t>
          </w:r>
          <w:r>
            <w:tab/>
          </w:r>
          <w:r>
            <w:fldChar w:fldCharType="begin"/>
          </w:r>
          <w:r>
            <w:instrText xml:space="preserve"> PAGEREF _Toc9734 \h </w:instrText>
          </w:r>
          <w:r>
            <w:fldChar w:fldCharType="separate"/>
          </w:r>
          <w:r>
            <w:t>4</w:t>
          </w:r>
          <w:r>
            <w:fldChar w:fldCharType="end"/>
          </w:r>
          <w:r>
            <w:rPr>
              <w:color w:val="auto"/>
            </w:rPr>
            <w:fldChar w:fldCharType="end"/>
          </w:r>
        </w:p>
        <w:p w14:paraId="05C70FB4">
          <w:pPr>
            <w:pStyle w:val="23"/>
            <w:tabs>
              <w:tab w:val="right" w:leader="dot" w:pos="8312"/>
              <w:tab w:val="clear" w:pos="900"/>
              <w:tab w:val="clear" w:pos="8296"/>
            </w:tabs>
          </w:pPr>
          <w:r>
            <w:rPr>
              <w:color w:val="auto"/>
            </w:rPr>
            <w:fldChar w:fldCharType="begin"/>
          </w:r>
          <w:r>
            <w:instrText xml:space="preserve"> HYPERLINK \l _Toc825 </w:instrText>
          </w:r>
          <w:r>
            <w:fldChar w:fldCharType="separate"/>
          </w:r>
          <w:r>
            <w:rPr>
              <w:rFonts w:hint="default" w:ascii="Times New Roman" w:hAnsi="Times New Roman" w:eastAsia="黑体" w:cs="Times New Roman"/>
              <w:szCs w:val="24"/>
            </w:rPr>
            <w:t xml:space="preserve">2.4. </w:t>
          </w:r>
          <w:r>
            <w:rPr>
              <w:rFonts w:hint="eastAsia" w:ascii="黑体" w:hAnsi="黑体" w:eastAsia="黑体" w:cs="黑体"/>
              <w:szCs w:val="24"/>
              <w:highlight w:val="none"/>
              <w:lang w:val="en-US" w:eastAsia="zh-CN"/>
            </w:rPr>
            <w:t>供货范围一览表</w:t>
          </w:r>
          <w:r>
            <w:tab/>
          </w:r>
          <w:r>
            <w:fldChar w:fldCharType="begin"/>
          </w:r>
          <w:r>
            <w:instrText xml:space="preserve"> PAGEREF _Toc825 \h </w:instrText>
          </w:r>
          <w:r>
            <w:fldChar w:fldCharType="separate"/>
          </w:r>
          <w:r>
            <w:t>5</w:t>
          </w:r>
          <w:r>
            <w:fldChar w:fldCharType="end"/>
          </w:r>
          <w:r>
            <w:rPr>
              <w:color w:val="auto"/>
            </w:rPr>
            <w:fldChar w:fldCharType="end"/>
          </w:r>
        </w:p>
        <w:p w14:paraId="191269B0">
          <w:pPr>
            <w:pStyle w:val="21"/>
            <w:tabs>
              <w:tab w:val="right" w:leader="dot" w:pos="8312"/>
            </w:tabs>
          </w:pPr>
          <w:r>
            <w:rPr>
              <w:color w:val="auto"/>
            </w:rPr>
            <w:fldChar w:fldCharType="begin"/>
          </w:r>
          <w:r>
            <w:instrText xml:space="preserve"> HYPERLINK \l _Toc6474 </w:instrText>
          </w:r>
          <w:r>
            <w:fldChar w:fldCharType="separate"/>
          </w:r>
          <w:r>
            <w:rPr>
              <w:rFonts w:hint="default" w:ascii="Times New Roman" w:hAnsi="Times New Roman" w:cs="Times New Roman"/>
              <w:szCs w:val="24"/>
              <w:lang w:val="en-US" w:eastAsia="zh-CN"/>
            </w:rPr>
            <w:t>3</w:t>
          </w:r>
          <w:r>
            <w:rPr>
              <w:rFonts w:hint="eastAsia" w:ascii="宋体" w:hAnsi="宋体" w:eastAsia="宋体" w:cs="宋体"/>
              <w:szCs w:val="24"/>
            </w:rPr>
            <w:t>代加工范围及内容</w:t>
          </w:r>
          <w:r>
            <w:tab/>
          </w:r>
          <w:r>
            <w:fldChar w:fldCharType="begin"/>
          </w:r>
          <w:r>
            <w:instrText xml:space="preserve"> PAGEREF _Toc6474 \h </w:instrText>
          </w:r>
          <w:r>
            <w:fldChar w:fldCharType="separate"/>
          </w:r>
          <w:r>
            <w:t>5</w:t>
          </w:r>
          <w:r>
            <w:fldChar w:fldCharType="end"/>
          </w:r>
          <w:r>
            <w:rPr>
              <w:color w:val="auto"/>
            </w:rPr>
            <w:fldChar w:fldCharType="end"/>
          </w:r>
        </w:p>
        <w:p w14:paraId="13ADE35C">
          <w:pPr>
            <w:pStyle w:val="21"/>
            <w:tabs>
              <w:tab w:val="right" w:leader="dot" w:pos="8312"/>
            </w:tabs>
          </w:pPr>
          <w:r>
            <w:rPr>
              <w:color w:val="auto"/>
            </w:rPr>
            <w:fldChar w:fldCharType="begin"/>
          </w:r>
          <w:r>
            <w:instrText xml:space="preserve"> HYPERLINK \l _Toc26889 </w:instrText>
          </w:r>
          <w:r>
            <w:fldChar w:fldCharType="separate"/>
          </w:r>
          <w:r>
            <w:rPr>
              <w:rFonts w:hint="default" w:ascii="Times New Roman" w:hAnsi="Times New Roman" w:cs="Times New Roman"/>
              <w:szCs w:val="24"/>
              <w:lang w:val="en-US" w:eastAsia="zh-CN"/>
            </w:rPr>
            <w:t>4</w:t>
          </w:r>
          <w:r>
            <w:rPr>
              <w:rFonts w:hint="eastAsia" w:ascii="宋体" w:hAnsi="宋体" w:eastAsia="宋体" w:cs="宋体"/>
              <w:szCs w:val="24"/>
            </w:rPr>
            <w:t>详细技术及代加工要求</w:t>
          </w:r>
          <w:r>
            <w:tab/>
          </w:r>
          <w:r>
            <w:fldChar w:fldCharType="begin"/>
          </w:r>
          <w:r>
            <w:instrText xml:space="preserve"> PAGEREF _Toc26889 \h </w:instrText>
          </w:r>
          <w:r>
            <w:fldChar w:fldCharType="separate"/>
          </w:r>
          <w:r>
            <w:t>6</w:t>
          </w:r>
          <w:r>
            <w:fldChar w:fldCharType="end"/>
          </w:r>
          <w:r>
            <w:rPr>
              <w:color w:val="auto"/>
            </w:rPr>
            <w:fldChar w:fldCharType="end"/>
          </w:r>
        </w:p>
        <w:p w14:paraId="7DC905A1">
          <w:pPr>
            <w:pStyle w:val="23"/>
            <w:tabs>
              <w:tab w:val="right" w:leader="dot" w:pos="8312"/>
              <w:tab w:val="clear" w:pos="900"/>
              <w:tab w:val="clear" w:pos="8296"/>
            </w:tabs>
          </w:pPr>
          <w:r>
            <w:rPr>
              <w:color w:val="auto"/>
            </w:rPr>
            <w:fldChar w:fldCharType="begin"/>
          </w:r>
          <w:r>
            <w:instrText xml:space="preserve"> HYPERLINK \l _Toc13093 </w:instrText>
          </w:r>
          <w:r>
            <w:fldChar w:fldCharType="separate"/>
          </w:r>
          <w:r>
            <w:rPr>
              <w:rFonts w:hint="default" w:ascii="Times New Roman" w:hAnsi="Times New Roman" w:eastAsia="黑体" w:cs="Times New Roman"/>
              <w:szCs w:val="24"/>
            </w:rPr>
            <w:t xml:space="preserve">4.1 </w:t>
          </w:r>
          <w:r>
            <w:rPr>
              <w:rFonts w:hint="eastAsia" w:ascii="黑体" w:hAnsi="黑体" w:eastAsia="黑体" w:cs="黑体"/>
              <w:szCs w:val="24"/>
            </w:rPr>
            <w:t>代加工生产能力要求</w:t>
          </w:r>
          <w:r>
            <w:tab/>
          </w:r>
          <w:r>
            <w:fldChar w:fldCharType="begin"/>
          </w:r>
          <w:r>
            <w:instrText xml:space="preserve"> PAGEREF _Toc13093 \h </w:instrText>
          </w:r>
          <w:r>
            <w:fldChar w:fldCharType="separate"/>
          </w:r>
          <w:r>
            <w:t>6</w:t>
          </w:r>
          <w:r>
            <w:fldChar w:fldCharType="end"/>
          </w:r>
          <w:r>
            <w:rPr>
              <w:color w:val="auto"/>
            </w:rPr>
            <w:fldChar w:fldCharType="end"/>
          </w:r>
        </w:p>
        <w:p w14:paraId="23C3A4ED">
          <w:pPr>
            <w:pStyle w:val="23"/>
            <w:tabs>
              <w:tab w:val="right" w:leader="dot" w:pos="8312"/>
              <w:tab w:val="clear" w:pos="900"/>
              <w:tab w:val="clear" w:pos="8296"/>
            </w:tabs>
          </w:pPr>
          <w:r>
            <w:rPr>
              <w:color w:val="auto"/>
            </w:rPr>
            <w:fldChar w:fldCharType="begin"/>
          </w:r>
          <w:r>
            <w:instrText xml:space="preserve"> HYPERLINK \l _Toc6965 </w:instrText>
          </w:r>
          <w:r>
            <w:fldChar w:fldCharType="separate"/>
          </w:r>
          <w:r>
            <w:rPr>
              <w:rFonts w:hint="default" w:ascii="Times New Roman" w:hAnsi="Times New Roman" w:eastAsia="黑体" w:cs="Times New Roman"/>
              <w:szCs w:val="24"/>
              <w:lang w:val="en-US" w:eastAsia="zh-CN"/>
            </w:rPr>
            <w:t>4.2</w:t>
          </w:r>
          <w:r>
            <w:rPr>
              <w:rFonts w:hint="eastAsia" w:ascii="黑体" w:hAnsi="黑体" w:eastAsia="黑体" w:cs="黑体"/>
              <w:szCs w:val="24"/>
            </w:rPr>
            <w:t>原材料采购及管控要求</w:t>
          </w:r>
          <w:r>
            <w:tab/>
          </w:r>
          <w:r>
            <w:fldChar w:fldCharType="begin"/>
          </w:r>
          <w:r>
            <w:instrText xml:space="preserve"> PAGEREF _Toc6965 \h </w:instrText>
          </w:r>
          <w:r>
            <w:fldChar w:fldCharType="separate"/>
          </w:r>
          <w:r>
            <w:t>6</w:t>
          </w:r>
          <w:r>
            <w:fldChar w:fldCharType="end"/>
          </w:r>
          <w:r>
            <w:rPr>
              <w:color w:val="auto"/>
            </w:rPr>
            <w:fldChar w:fldCharType="end"/>
          </w:r>
        </w:p>
        <w:p w14:paraId="078571C9">
          <w:pPr>
            <w:pStyle w:val="23"/>
            <w:tabs>
              <w:tab w:val="right" w:leader="dot" w:pos="8312"/>
              <w:tab w:val="clear" w:pos="900"/>
              <w:tab w:val="clear" w:pos="8296"/>
            </w:tabs>
          </w:pPr>
          <w:r>
            <w:rPr>
              <w:color w:val="auto"/>
            </w:rPr>
            <w:fldChar w:fldCharType="begin"/>
          </w:r>
          <w:r>
            <w:instrText xml:space="preserve"> HYPERLINK \l _Toc30862 </w:instrText>
          </w:r>
          <w:r>
            <w:fldChar w:fldCharType="separate"/>
          </w:r>
          <w:r>
            <w:rPr>
              <w:rFonts w:hint="eastAsia" w:ascii="Times New Roman" w:eastAsia="黑体" w:cs="Times New Roman"/>
              <w:szCs w:val="24"/>
              <w:lang w:val="en-US" w:eastAsia="zh-CN"/>
            </w:rPr>
            <w:t>4.3</w:t>
          </w:r>
          <w:r>
            <w:rPr>
              <w:rFonts w:hint="eastAsia" w:ascii="Times New Roman" w:hAnsi="Times New Roman" w:eastAsia="黑体" w:cs="Times New Roman"/>
              <w:szCs w:val="24"/>
              <w:lang w:val="en-US" w:eastAsia="zh-CN"/>
            </w:rPr>
            <w:t>生产工艺及加工要求</w:t>
          </w:r>
          <w:r>
            <w:tab/>
          </w:r>
          <w:r>
            <w:fldChar w:fldCharType="begin"/>
          </w:r>
          <w:r>
            <w:instrText xml:space="preserve"> PAGEREF _Toc30862 \h </w:instrText>
          </w:r>
          <w:r>
            <w:fldChar w:fldCharType="separate"/>
          </w:r>
          <w:r>
            <w:t>7</w:t>
          </w:r>
          <w:r>
            <w:fldChar w:fldCharType="end"/>
          </w:r>
          <w:r>
            <w:rPr>
              <w:color w:val="auto"/>
            </w:rPr>
            <w:fldChar w:fldCharType="end"/>
          </w:r>
        </w:p>
        <w:p w14:paraId="74DD9625">
          <w:pPr>
            <w:pStyle w:val="23"/>
            <w:tabs>
              <w:tab w:val="right" w:leader="dot" w:pos="8312"/>
              <w:tab w:val="clear" w:pos="900"/>
              <w:tab w:val="clear" w:pos="8296"/>
            </w:tabs>
          </w:pPr>
          <w:r>
            <w:rPr>
              <w:color w:val="auto"/>
            </w:rPr>
            <w:fldChar w:fldCharType="begin"/>
          </w:r>
          <w:r>
            <w:instrText xml:space="preserve"> HYPERLINK \l _Toc9689 </w:instrText>
          </w:r>
          <w:r>
            <w:fldChar w:fldCharType="separate"/>
          </w:r>
          <w:r>
            <w:rPr>
              <w:rFonts w:hint="eastAsia" w:ascii="Times New Roman" w:eastAsia="黑体" w:cs="Times New Roman"/>
              <w:szCs w:val="24"/>
              <w:lang w:val="en-US" w:eastAsia="zh-CN"/>
            </w:rPr>
            <w:t>4.4 产品技术参数要求</w:t>
          </w:r>
          <w:r>
            <w:tab/>
          </w:r>
          <w:r>
            <w:fldChar w:fldCharType="begin"/>
          </w:r>
          <w:r>
            <w:instrText xml:space="preserve"> PAGEREF _Toc9689 \h </w:instrText>
          </w:r>
          <w:r>
            <w:fldChar w:fldCharType="separate"/>
          </w:r>
          <w:r>
            <w:t>7</w:t>
          </w:r>
          <w:r>
            <w:fldChar w:fldCharType="end"/>
          </w:r>
          <w:r>
            <w:rPr>
              <w:color w:val="auto"/>
            </w:rPr>
            <w:fldChar w:fldCharType="end"/>
          </w:r>
        </w:p>
        <w:p w14:paraId="7B6D216A">
          <w:pPr>
            <w:pStyle w:val="23"/>
            <w:tabs>
              <w:tab w:val="right" w:leader="dot" w:pos="8312"/>
              <w:tab w:val="clear" w:pos="900"/>
              <w:tab w:val="clear" w:pos="8296"/>
            </w:tabs>
          </w:pPr>
          <w:r>
            <w:rPr>
              <w:color w:val="auto"/>
            </w:rPr>
            <w:fldChar w:fldCharType="begin"/>
          </w:r>
          <w:r>
            <w:instrText xml:space="preserve"> HYPERLINK \l _Toc31782 </w:instrText>
          </w:r>
          <w:r>
            <w:fldChar w:fldCharType="separate"/>
          </w:r>
          <w:r>
            <w:rPr>
              <w:rFonts w:hint="eastAsia" w:ascii="Times New Roman" w:eastAsia="黑体" w:cs="Times New Roman"/>
              <w:szCs w:val="24"/>
              <w:lang w:val="en-US" w:eastAsia="zh-CN"/>
            </w:rPr>
            <w:t>4.5 图纸</w:t>
          </w:r>
          <w:r>
            <w:tab/>
          </w:r>
          <w:r>
            <w:fldChar w:fldCharType="begin"/>
          </w:r>
          <w:r>
            <w:instrText xml:space="preserve"> PAGEREF _Toc31782 \h </w:instrText>
          </w:r>
          <w:r>
            <w:fldChar w:fldCharType="separate"/>
          </w:r>
          <w:r>
            <w:t>8</w:t>
          </w:r>
          <w:r>
            <w:fldChar w:fldCharType="end"/>
          </w:r>
          <w:r>
            <w:rPr>
              <w:color w:val="auto"/>
            </w:rPr>
            <w:fldChar w:fldCharType="end"/>
          </w:r>
        </w:p>
        <w:p w14:paraId="52B96DA4">
          <w:pPr>
            <w:pStyle w:val="23"/>
            <w:tabs>
              <w:tab w:val="right" w:leader="dot" w:pos="8312"/>
              <w:tab w:val="clear" w:pos="900"/>
              <w:tab w:val="clear" w:pos="8296"/>
            </w:tabs>
          </w:pPr>
          <w:r>
            <w:rPr>
              <w:color w:val="auto"/>
            </w:rPr>
            <w:fldChar w:fldCharType="begin"/>
          </w:r>
          <w:r>
            <w:instrText xml:space="preserve"> HYPERLINK \l _Toc5155 </w:instrText>
          </w:r>
          <w:r>
            <w:fldChar w:fldCharType="separate"/>
          </w:r>
          <w:r>
            <w:rPr>
              <w:rFonts w:hint="eastAsia" w:ascii="Times New Roman" w:eastAsia="黑体" w:cs="Times New Roman"/>
              <w:szCs w:val="24"/>
              <w:lang w:val="en-US" w:eastAsia="zh-CN"/>
            </w:rPr>
            <w:t>4.6 质量管控及检验要求</w:t>
          </w:r>
          <w:r>
            <w:tab/>
          </w:r>
          <w:r>
            <w:fldChar w:fldCharType="begin"/>
          </w:r>
          <w:r>
            <w:instrText xml:space="preserve"> PAGEREF _Toc5155 \h </w:instrText>
          </w:r>
          <w:r>
            <w:fldChar w:fldCharType="separate"/>
          </w:r>
          <w:r>
            <w:t>8</w:t>
          </w:r>
          <w:r>
            <w:fldChar w:fldCharType="end"/>
          </w:r>
          <w:r>
            <w:rPr>
              <w:color w:val="auto"/>
            </w:rPr>
            <w:fldChar w:fldCharType="end"/>
          </w:r>
        </w:p>
        <w:p w14:paraId="7572C7B7">
          <w:pPr>
            <w:pStyle w:val="23"/>
            <w:tabs>
              <w:tab w:val="right" w:leader="dot" w:pos="8312"/>
              <w:tab w:val="clear" w:pos="900"/>
              <w:tab w:val="clear" w:pos="8296"/>
            </w:tabs>
          </w:pPr>
          <w:r>
            <w:rPr>
              <w:color w:val="auto"/>
            </w:rPr>
            <w:fldChar w:fldCharType="begin"/>
          </w:r>
          <w:r>
            <w:instrText xml:space="preserve"> HYPERLINK \l _Toc6960 </w:instrText>
          </w:r>
          <w:r>
            <w:fldChar w:fldCharType="separate"/>
          </w:r>
          <w:r>
            <w:rPr>
              <w:rFonts w:hint="eastAsia" w:ascii="Times New Roman" w:eastAsia="黑体" w:cs="Times New Roman"/>
              <w:szCs w:val="24"/>
              <w:lang w:val="en-US" w:eastAsia="zh-CN"/>
            </w:rPr>
            <w:t>4.7企业VI标识</w:t>
          </w:r>
          <w:r>
            <w:tab/>
          </w:r>
          <w:r>
            <w:fldChar w:fldCharType="begin"/>
          </w:r>
          <w:r>
            <w:instrText xml:space="preserve"> PAGEREF _Toc6960 \h </w:instrText>
          </w:r>
          <w:r>
            <w:fldChar w:fldCharType="separate"/>
          </w:r>
          <w:r>
            <w:t>9</w:t>
          </w:r>
          <w:r>
            <w:fldChar w:fldCharType="end"/>
          </w:r>
          <w:r>
            <w:rPr>
              <w:color w:val="auto"/>
            </w:rPr>
            <w:fldChar w:fldCharType="end"/>
          </w:r>
        </w:p>
        <w:p w14:paraId="2B4CFB83">
          <w:pPr>
            <w:pStyle w:val="23"/>
            <w:tabs>
              <w:tab w:val="right" w:leader="dot" w:pos="8312"/>
              <w:tab w:val="clear" w:pos="900"/>
              <w:tab w:val="clear" w:pos="8296"/>
            </w:tabs>
          </w:pPr>
          <w:r>
            <w:rPr>
              <w:color w:val="auto"/>
            </w:rPr>
            <w:fldChar w:fldCharType="begin"/>
          </w:r>
          <w:r>
            <w:instrText xml:space="preserve"> HYPERLINK \l _Toc31213 </w:instrText>
          </w:r>
          <w:r>
            <w:fldChar w:fldCharType="separate"/>
          </w:r>
          <w:r>
            <w:rPr>
              <w:rFonts w:hint="eastAsia" w:ascii="Times New Roman" w:eastAsia="黑体" w:cs="Times New Roman"/>
              <w:szCs w:val="24"/>
              <w:lang w:val="en-US" w:eastAsia="zh-CN"/>
            </w:rPr>
            <w:t>4.8包装、标识及交付要求</w:t>
          </w:r>
          <w:r>
            <w:tab/>
          </w:r>
          <w:r>
            <w:fldChar w:fldCharType="begin"/>
          </w:r>
          <w:r>
            <w:instrText xml:space="preserve"> PAGEREF _Toc31213 \h </w:instrText>
          </w:r>
          <w:r>
            <w:fldChar w:fldCharType="separate"/>
          </w:r>
          <w:r>
            <w:t>9</w:t>
          </w:r>
          <w:r>
            <w:fldChar w:fldCharType="end"/>
          </w:r>
          <w:r>
            <w:rPr>
              <w:color w:val="auto"/>
            </w:rPr>
            <w:fldChar w:fldCharType="end"/>
          </w:r>
        </w:p>
        <w:p w14:paraId="4EC423F3">
          <w:pPr>
            <w:pStyle w:val="21"/>
            <w:tabs>
              <w:tab w:val="right" w:leader="dot" w:pos="8312"/>
            </w:tabs>
          </w:pPr>
          <w:r>
            <w:rPr>
              <w:color w:val="auto"/>
            </w:rPr>
            <w:fldChar w:fldCharType="begin"/>
          </w:r>
          <w:r>
            <w:instrText xml:space="preserve"> HYPERLINK \l _Toc7991 </w:instrText>
          </w:r>
          <w:r>
            <w:fldChar w:fldCharType="separate"/>
          </w:r>
          <w:r>
            <w:rPr>
              <w:rFonts w:hint="default" w:ascii="Times New Roman" w:hAnsi="Times New Roman" w:cs="Times New Roman"/>
              <w:szCs w:val="24"/>
              <w:lang w:val="en-US" w:eastAsia="zh-CN"/>
            </w:rPr>
            <w:t>5</w:t>
          </w:r>
          <w:r>
            <w:rPr>
              <w:rFonts w:hint="eastAsia"/>
              <w:szCs w:val="24"/>
              <w:lang w:val="en-US" w:eastAsia="zh-CN"/>
            </w:rPr>
            <w:t>试验与检测要求</w:t>
          </w:r>
          <w:r>
            <w:tab/>
          </w:r>
          <w:r>
            <w:fldChar w:fldCharType="begin"/>
          </w:r>
          <w:r>
            <w:instrText xml:space="preserve"> PAGEREF _Toc7991 \h </w:instrText>
          </w:r>
          <w:r>
            <w:fldChar w:fldCharType="separate"/>
          </w:r>
          <w:r>
            <w:t>9</w:t>
          </w:r>
          <w:r>
            <w:fldChar w:fldCharType="end"/>
          </w:r>
          <w:r>
            <w:rPr>
              <w:color w:val="auto"/>
            </w:rPr>
            <w:fldChar w:fldCharType="end"/>
          </w:r>
        </w:p>
        <w:p w14:paraId="271D2B0B">
          <w:pPr>
            <w:pStyle w:val="23"/>
            <w:tabs>
              <w:tab w:val="right" w:leader="dot" w:pos="8312"/>
              <w:tab w:val="clear" w:pos="900"/>
              <w:tab w:val="clear" w:pos="8296"/>
            </w:tabs>
          </w:pPr>
          <w:r>
            <w:rPr>
              <w:color w:val="auto"/>
            </w:rPr>
            <w:fldChar w:fldCharType="begin"/>
          </w:r>
          <w:r>
            <w:instrText xml:space="preserve"> HYPERLINK \l _Toc21321 </w:instrText>
          </w:r>
          <w:r>
            <w:fldChar w:fldCharType="separate"/>
          </w:r>
          <w:r>
            <w:rPr>
              <w:rFonts w:hint="eastAsia" w:ascii="Times New Roman" w:eastAsia="黑体" w:cs="Times New Roman"/>
              <w:szCs w:val="24"/>
              <w:lang w:val="en-US" w:eastAsia="zh-CN"/>
            </w:rPr>
            <w:t>5.1 原材料检验</w:t>
          </w:r>
          <w:r>
            <w:tab/>
          </w:r>
          <w:r>
            <w:fldChar w:fldCharType="begin"/>
          </w:r>
          <w:r>
            <w:instrText xml:space="preserve"> PAGEREF _Toc21321 \h </w:instrText>
          </w:r>
          <w:r>
            <w:fldChar w:fldCharType="separate"/>
          </w:r>
          <w:r>
            <w:t>9</w:t>
          </w:r>
          <w:r>
            <w:fldChar w:fldCharType="end"/>
          </w:r>
          <w:r>
            <w:rPr>
              <w:color w:val="auto"/>
            </w:rPr>
            <w:fldChar w:fldCharType="end"/>
          </w:r>
        </w:p>
        <w:p w14:paraId="47F58207">
          <w:pPr>
            <w:pStyle w:val="23"/>
            <w:tabs>
              <w:tab w:val="right" w:leader="dot" w:pos="8312"/>
              <w:tab w:val="clear" w:pos="900"/>
              <w:tab w:val="clear" w:pos="8296"/>
            </w:tabs>
          </w:pPr>
          <w:r>
            <w:rPr>
              <w:color w:val="auto"/>
            </w:rPr>
            <w:fldChar w:fldCharType="begin"/>
          </w:r>
          <w:r>
            <w:instrText xml:space="preserve"> HYPERLINK \l _Toc20973 </w:instrText>
          </w:r>
          <w:r>
            <w:fldChar w:fldCharType="separate"/>
          </w:r>
          <w:r>
            <w:rPr>
              <w:rFonts w:hint="eastAsia" w:ascii="Times New Roman" w:eastAsia="黑体" w:cs="Times New Roman"/>
              <w:szCs w:val="24"/>
              <w:lang w:val="en-US" w:eastAsia="zh-CN"/>
            </w:rPr>
            <w:t>5.2 过程检验</w:t>
          </w:r>
          <w:r>
            <w:tab/>
          </w:r>
          <w:r>
            <w:fldChar w:fldCharType="begin"/>
          </w:r>
          <w:r>
            <w:instrText xml:space="preserve"> PAGEREF _Toc20973 \h </w:instrText>
          </w:r>
          <w:r>
            <w:fldChar w:fldCharType="separate"/>
          </w:r>
          <w:r>
            <w:t>10</w:t>
          </w:r>
          <w:r>
            <w:fldChar w:fldCharType="end"/>
          </w:r>
          <w:r>
            <w:rPr>
              <w:color w:val="auto"/>
            </w:rPr>
            <w:fldChar w:fldCharType="end"/>
          </w:r>
        </w:p>
        <w:p w14:paraId="46C86C47">
          <w:pPr>
            <w:pStyle w:val="23"/>
            <w:tabs>
              <w:tab w:val="right" w:leader="dot" w:pos="8312"/>
              <w:tab w:val="clear" w:pos="900"/>
              <w:tab w:val="clear" w:pos="8296"/>
            </w:tabs>
          </w:pPr>
          <w:r>
            <w:rPr>
              <w:color w:val="auto"/>
            </w:rPr>
            <w:fldChar w:fldCharType="begin"/>
          </w:r>
          <w:r>
            <w:instrText xml:space="preserve"> HYPERLINK \l _Toc12643 </w:instrText>
          </w:r>
          <w:r>
            <w:fldChar w:fldCharType="separate"/>
          </w:r>
          <w:r>
            <w:rPr>
              <w:rFonts w:hint="eastAsia" w:ascii="Times New Roman" w:eastAsia="黑体" w:cs="Times New Roman"/>
              <w:szCs w:val="24"/>
              <w:lang w:val="en-US" w:eastAsia="zh-CN"/>
            </w:rPr>
            <w:t>5.3 出厂试验</w:t>
          </w:r>
          <w:r>
            <w:tab/>
          </w:r>
          <w:r>
            <w:fldChar w:fldCharType="begin"/>
          </w:r>
          <w:r>
            <w:instrText xml:space="preserve"> PAGEREF _Toc12643 \h </w:instrText>
          </w:r>
          <w:r>
            <w:fldChar w:fldCharType="separate"/>
          </w:r>
          <w:r>
            <w:t>10</w:t>
          </w:r>
          <w:r>
            <w:fldChar w:fldCharType="end"/>
          </w:r>
          <w:r>
            <w:rPr>
              <w:color w:val="auto"/>
            </w:rPr>
            <w:fldChar w:fldCharType="end"/>
          </w:r>
        </w:p>
        <w:p w14:paraId="0AA67EA7">
          <w:pPr>
            <w:pStyle w:val="23"/>
            <w:tabs>
              <w:tab w:val="right" w:leader="dot" w:pos="8312"/>
              <w:tab w:val="clear" w:pos="900"/>
              <w:tab w:val="clear" w:pos="8296"/>
            </w:tabs>
          </w:pPr>
          <w:r>
            <w:rPr>
              <w:color w:val="auto"/>
            </w:rPr>
            <w:fldChar w:fldCharType="begin"/>
          </w:r>
          <w:r>
            <w:instrText xml:space="preserve"> HYPERLINK \l _Toc15630 </w:instrText>
          </w:r>
          <w:r>
            <w:fldChar w:fldCharType="separate"/>
          </w:r>
          <w:r>
            <w:rPr>
              <w:rFonts w:hint="eastAsia" w:ascii="Times New Roman" w:eastAsia="黑体" w:cs="Times New Roman"/>
              <w:szCs w:val="24"/>
              <w:lang w:val="en-US" w:eastAsia="zh-CN"/>
            </w:rPr>
            <w:t>5.4 第三方检测试验</w:t>
          </w:r>
          <w:r>
            <w:tab/>
          </w:r>
          <w:r>
            <w:fldChar w:fldCharType="begin"/>
          </w:r>
          <w:r>
            <w:instrText xml:space="preserve"> PAGEREF _Toc15630 \h </w:instrText>
          </w:r>
          <w:r>
            <w:fldChar w:fldCharType="separate"/>
          </w:r>
          <w:r>
            <w:t>10</w:t>
          </w:r>
          <w:r>
            <w:fldChar w:fldCharType="end"/>
          </w:r>
          <w:r>
            <w:rPr>
              <w:color w:val="auto"/>
            </w:rPr>
            <w:fldChar w:fldCharType="end"/>
          </w:r>
        </w:p>
        <w:p w14:paraId="50BA5113">
          <w:pPr>
            <w:pStyle w:val="23"/>
            <w:tabs>
              <w:tab w:val="right" w:leader="dot" w:pos="8312"/>
              <w:tab w:val="clear" w:pos="900"/>
              <w:tab w:val="clear" w:pos="8296"/>
            </w:tabs>
          </w:pPr>
          <w:r>
            <w:rPr>
              <w:color w:val="auto"/>
            </w:rPr>
            <w:fldChar w:fldCharType="begin"/>
          </w:r>
          <w:r>
            <w:instrText xml:space="preserve"> HYPERLINK \l _Toc10071 </w:instrText>
          </w:r>
          <w:r>
            <w:fldChar w:fldCharType="separate"/>
          </w:r>
          <w:r>
            <w:rPr>
              <w:rFonts w:hint="eastAsia" w:ascii="Times New Roman" w:eastAsia="黑体" w:cs="Times New Roman"/>
              <w:szCs w:val="24"/>
              <w:lang w:val="en-US" w:eastAsia="zh-CN"/>
            </w:rPr>
            <w:t>5.5 到货验收试验</w:t>
          </w:r>
          <w:r>
            <w:tab/>
          </w:r>
          <w:r>
            <w:fldChar w:fldCharType="begin"/>
          </w:r>
          <w:r>
            <w:instrText xml:space="preserve"> PAGEREF _Toc10071 \h </w:instrText>
          </w:r>
          <w:r>
            <w:fldChar w:fldCharType="separate"/>
          </w:r>
          <w:r>
            <w:t>11</w:t>
          </w:r>
          <w:r>
            <w:fldChar w:fldCharType="end"/>
          </w:r>
          <w:r>
            <w:rPr>
              <w:color w:val="auto"/>
            </w:rPr>
            <w:fldChar w:fldCharType="end"/>
          </w:r>
        </w:p>
        <w:p w14:paraId="2C4DA6DD">
          <w:pPr>
            <w:pStyle w:val="23"/>
            <w:tabs>
              <w:tab w:val="right" w:leader="dot" w:pos="8312"/>
              <w:tab w:val="clear" w:pos="900"/>
              <w:tab w:val="clear" w:pos="8296"/>
            </w:tabs>
          </w:pPr>
          <w:r>
            <w:rPr>
              <w:color w:val="auto"/>
            </w:rPr>
            <w:fldChar w:fldCharType="begin"/>
          </w:r>
          <w:r>
            <w:instrText xml:space="preserve"> HYPERLINK \l _Toc24138 </w:instrText>
          </w:r>
          <w:r>
            <w:fldChar w:fldCharType="separate"/>
          </w:r>
          <w:r>
            <w:rPr>
              <w:rFonts w:hint="eastAsia" w:ascii="Times New Roman" w:eastAsia="黑体" w:cs="Times New Roman"/>
              <w:szCs w:val="24"/>
              <w:lang w:val="en-US" w:eastAsia="zh-CN"/>
            </w:rPr>
            <w:t>5.6 合格判定标准</w:t>
          </w:r>
          <w:r>
            <w:tab/>
          </w:r>
          <w:r>
            <w:fldChar w:fldCharType="begin"/>
          </w:r>
          <w:r>
            <w:instrText xml:space="preserve"> PAGEREF _Toc24138 \h </w:instrText>
          </w:r>
          <w:r>
            <w:fldChar w:fldCharType="separate"/>
          </w:r>
          <w:r>
            <w:t>11</w:t>
          </w:r>
          <w:r>
            <w:fldChar w:fldCharType="end"/>
          </w:r>
          <w:r>
            <w:rPr>
              <w:color w:val="auto"/>
            </w:rPr>
            <w:fldChar w:fldCharType="end"/>
          </w:r>
        </w:p>
        <w:p w14:paraId="20D6BF25">
          <w:pPr>
            <w:pStyle w:val="21"/>
            <w:tabs>
              <w:tab w:val="right" w:leader="dot" w:pos="8312"/>
            </w:tabs>
          </w:pPr>
          <w:r>
            <w:rPr>
              <w:color w:val="auto"/>
            </w:rPr>
            <w:fldChar w:fldCharType="begin"/>
          </w:r>
          <w:r>
            <w:instrText xml:space="preserve"> HYPERLINK \l _Toc16123 </w:instrText>
          </w:r>
          <w:r>
            <w:fldChar w:fldCharType="separate"/>
          </w:r>
          <w:r>
            <w:rPr>
              <w:rFonts w:hint="default" w:ascii="Times New Roman" w:hAnsi="Times New Roman" w:cs="Times New Roman"/>
              <w:szCs w:val="24"/>
              <w:lang w:val="en-US" w:eastAsia="zh-CN"/>
            </w:rPr>
            <w:t xml:space="preserve">6 </w:t>
          </w:r>
          <w:r>
            <w:rPr>
              <w:rFonts w:hint="eastAsia"/>
              <w:szCs w:val="24"/>
              <w:lang w:val="en-US" w:eastAsia="zh-CN"/>
            </w:rPr>
            <w:t>质量保证要求</w:t>
          </w:r>
          <w:r>
            <w:tab/>
          </w:r>
          <w:r>
            <w:fldChar w:fldCharType="begin"/>
          </w:r>
          <w:r>
            <w:instrText xml:space="preserve"> PAGEREF _Toc16123 \h </w:instrText>
          </w:r>
          <w:r>
            <w:fldChar w:fldCharType="separate"/>
          </w:r>
          <w:r>
            <w:t>11</w:t>
          </w:r>
          <w:r>
            <w:fldChar w:fldCharType="end"/>
          </w:r>
          <w:r>
            <w:rPr>
              <w:color w:val="auto"/>
            </w:rPr>
            <w:fldChar w:fldCharType="end"/>
          </w:r>
        </w:p>
        <w:p w14:paraId="611CD26D">
          <w:pPr>
            <w:pStyle w:val="21"/>
            <w:tabs>
              <w:tab w:val="right" w:leader="dot" w:pos="8312"/>
            </w:tabs>
          </w:pPr>
          <w:r>
            <w:rPr>
              <w:color w:val="auto"/>
            </w:rPr>
            <w:fldChar w:fldCharType="begin"/>
          </w:r>
          <w:r>
            <w:instrText xml:space="preserve"> HYPERLINK \l _Toc6014 </w:instrText>
          </w:r>
          <w:r>
            <w:fldChar w:fldCharType="separate"/>
          </w:r>
          <w:r>
            <w:rPr>
              <w:rFonts w:hint="default" w:ascii="Times New Roman" w:hAnsi="Times New Roman" w:cs="Times New Roman"/>
              <w:szCs w:val="24"/>
              <w:lang w:val="en-US" w:eastAsia="zh-CN"/>
            </w:rPr>
            <w:t>7</w:t>
          </w:r>
          <w:r>
            <w:rPr>
              <w:rFonts w:hint="eastAsia"/>
              <w:szCs w:val="24"/>
              <w:lang w:val="en-US" w:eastAsia="zh-CN"/>
            </w:rPr>
            <w:t xml:space="preserve"> 包装、运输及储存要求</w:t>
          </w:r>
          <w:r>
            <w:tab/>
          </w:r>
          <w:r>
            <w:fldChar w:fldCharType="begin"/>
          </w:r>
          <w:r>
            <w:instrText xml:space="preserve"> PAGEREF _Toc6014 \h </w:instrText>
          </w:r>
          <w:r>
            <w:fldChar w:fldCharType="separate"/>
          </w:r>
          <w:r>
            <w:t>12</w:t>
          </w:r>
          <w:r>
            <w:fldChar w:fldCharType="end"/>
          </w:r>
          <w:r>
            <w:rPr>
              <w:color w:val="auto"/>
            </w:rPr>
            <w:fldChar w:fldCharType="end"/>
          </w:r>
        </w:p>
        <w:p w14:paraId="051D4569">
          <w:pPr>
            <w:pStyle w:val="21"/>
            <w:tabs>
              <w:tab w:val="right" w:leader="dot" w:pos="8312"/>
            </w:tabs>
          </w:pPr>
          <w:r>
            <w:rPr>
              <w:color w:val="auto"/>
            </w:rPr>
            <w:fldChar w:fldCharType="begin"/>
          </w:r>
          <w:r>
            <w:instrText xml:space="preserve"> HYPERLINK \l _Toc15525 </w:instrText>
          </w:r>
          <w:r>
            <w:fldChar w:fldCharType="separate"/>
          </w:r>
          <w:r>
            <w:rPr>
              <w:rFonts w:hint="default" w:ascii="Times New Roman" w:hAnsi="Times New Roman" w:cs="Times New Roman"/>
              <w:szCs w:val="24"/>
              <w:lang w:val="en-US" w:eastAsia="zh-CN"/>
            </w:rPr>
            <w:t>8</w:t>
          </w:r>
          <w:r>
            <w:rPr>
              <w:rFonts w:hint="eastAsia"/>
              <w:szCs w:val="24"/>
              <w:lang w:val="en-US" w:eastAsia="zh-CN"/>
            </w:rPr>
            <w:t xml:space="preserve"> 安装、调试及技术支持要求</w:t>
          </w:r>
          <w:r>
            <w:tab/>
          </w:r>
          <w:r>
            <w:fldChar w:fldCharType="begin"/>
          </w:r>
          <w:r>
            <w:instrText xml:space="preserve"> PAGEREF _Toc15525 \h </w:instrText>
          </w:r>
          <w:r>
            <w:fldChar w:fldCharType="separate"/>
          </w:r>
          <w:r>
            <w:t>12</w:t>
          </w:r>
          <w:r>
            <w:fldChar w:fldCharType="end"/>
          </w:r>
          <w:r>
            <w:rPr>
              <w:color w:val="auto"/>
            </w:rPr>
            <w:fldChar w:fldCharType="end"/>
          </w:r>
        </w:p>
        <w:p w14:paraId="7E62C41B">
          <w:pPr>
            <w:pStyle w:val="21"/>
            <w:tabs>
              <w:tab w:val="right" w:leader="dot" w:pos="8312"/>
            </w:tabs>
          </w:pPr>
          <w:r>
            <w:rPr>
              <w:color w:val="auto"/>
            </w:rPr>
            <w:fldChar w:fldCharType="begin"/>
          </w:r>
          <w:r>
            <w:instrText xml:space="preserve"> HYPERLINK \l _Toc9674 </w:instrText>
          </w:r>
          <w:r>
            <w:fldChar w:fldCharType="separate"/>
          </w:r>
          <w:r>
            <w:rPr>
              <w:rFonts w:hint="default" w:ascii="Times New Roman" w:hAnsi="Times New Roman" w:cs="Times New Roman"/>
              <w:szCs w:val="24"/>
              <w:lang w:val="en-US" w:eastAsia="zh-CN"/>
            </w:rPr>
            <w:t>9</w:t>
          </w:r>
          <w:r>
            <w:rPr>
              <w:rFonts w:hint="eastAsia"/>
              <w:szCs w:val="24"/>
              <w:lang w:val="en-US" w:eastAsia="zh-CN"/>
            </w:rPr>
            <w:t xml:space="preserve"> 交付技术资料要求</w:t>
          </w:r>
          <w:r>
            <w:tab/>
          </w:r>
          <w:r>
            <w:fldChar w:fldCharType="begin"/>
          </w:r>
          <w:r>
            <w:instrText xml:space="preserve"> PAGEREF _Toc9674 \h </w:instrText>
          </w:r>
          <w:r>
            <w:fldChar w:fldCharType="separate"/>
          </w:r>
          <w:r>
            <w:t>12</w:t>
          </w:r>
          <w:r>
            <w:fldChar w:fldCharType="end"/>
          </w:r>
          <w:r>
            <w:rPr>
              <w:color w:val="auto"/>
            </w:rPr>
            <w:fldChar w:fldCharType="end"/>
          </w:r>
        </w:p>
        <w:p w14:paraId="3B8A397E">
          <w:pPr>
            <w:pStyle w:val="21"/>
            <w:tabs>
              <w:tab w:val="right" w:leader="dot" w:pos="8312"/>
            </w:tabs>
          </w:pPr>
          <w:r>
            <w:rPr>
              <w:color w:val="auto"/>
            </w:rPr>
            <w:fldChar w:fldCharType="begin"/>
          </w:r>
          <w:r>
            <w:instrText xml:space="preserve"> HYPERLINK \l _Toc29304 </w:instrText>
          </w:r>
          <w:r>
            <w:fldChar w:fldCharType="separate"/>
          </w:r>
          <w:r>
            <w:rPr>
              <w:rFonts w:hint="default" w:ascii="Times New Roman" w:hAnsi="Times New Roman" w:cs="Times New Roman"/>
              <w:szCs w:val="24"/>
              <w:lang w:val="en-US" w:eastAsia="zh-CN"/>
            </w:rPr>
            <w:t>10</w:t>
          </w:r>
          <w:r>
            <w:rPr>
              <w:rFonts w:hint="eastAsia"/>
              <w:szCs w:val="24"/>
              <w:lang w:val="en-US" w:eastAsia="zh-CN"/>
            </w:rPr>
            <w:t xml:space="preserve"> 验收标准及验收流程</w:t>
          </w:r>
          <w:r>
            <w:tab/>
          </w:r>
          <w:r>
            <w:fldChar w:fldCharType="begin"/>
          </w:r>
          <w:r>
            <w:instrText xml:space="preserve"> PAGEREF _Toc29304 \h </w:instrText>
          </w:r>
          <w:r>
            <w:fldChar w:fldCharType="separate"/>
          </w:r>
          <w:r>
            <w:t>12</w:t>
          </w:r>
          <w:r>
            <w:fldChar w:fldCharType="end"/>
          </w:r>
          <w:r>
            <w:rPr>
              <w:color w:val="auto"/>
            </w:rPr>
            <w:fldChar w:fldCharType="end"/>
          </w:r>
        </w:p>
        <w:p w14:paraId="6629FBF5">
          <w:pPr>
            <w:pStyle w:val="23"/>
            <w:tabs>
              <w:tab w:val="right" w:leader="dot" w:pos="8312"/>
              <w:tab w:val="clear" w:pos="900"/>
              <w:tab w:val="clear" w:pos="8296"/>
            </w:tabs>
          </w:pPr>
          <w:r>
            <w:rPr>
              <w:color w:val="auto"/>
            </w:rPr>
            <w:fldChar w:fldCharType="begin"/>
          </w:r>
          <w:r>
            <w:instrText xml:space="preserve"> HYPERLINK \l _Toc32328 </w:instrText>
          </w:r>
          <w:r>
            <w:fldChar w:fldCharType="separate"/>
          </w:r>
          <w:r>
            <w:rPr>
              <w:rFonts w:hint="eastAsia" w:ascii="Times New Roman" w:eastAsia="黑体" w:cs="Times New Roman"/>
              <w:szCs w:val="24"/>
              <w:lang w:val="en-US" w:eastAsia="zh-CN"/>
            </w:rPr>
            <w:t>10.1 验收依据</w:t>
          </w:r>
          <w:r>
            <w:tab/>
          </w:r>
          <w:r>
            <w:fldChar w:fldCharType="begin"/>
          </w:r>
          <w:r>
            <w:instrText xml:space="preserve"> PAGEREF _Toc32328 \h </w:instrText>
          </w:r>
          <w:r>
            <w:fldChar w:fldCharType="separate"/>
          </w:r>
          <w:r>
            <w:t>12</w:t>
          </w:r>
          <w:r>
            <w:fldChar w:fldCharType="end"/>
          </w:r>
          <w:r>
            <w:rPr>
              <w:color w:val="auto"/>
            </w:rPr>
            <w:fldChar w:fldCharType="end"/>
          </w:r>
        </w:p>
        <w:p w14:paraId="5C44A551">
          <w:pPr>
            <w:pStyle w:val="23"/>
            <w:tabs>
              <w:tab w:val="right" w:leader="dot" w:pos="8312"/>
              <w:tab w:val="clear" w:pos="900"/>
              <w:tab w:val="clear" w:pos="8296"/>
            </w:tabs>
          </w:pPr>
          <w:r>
            <w:rPr>
              <w:color w:val="auto"/>
            </w:rPr>
            <w:fldChar w:fldCharType="begin"/>
          </w:r>
          <w:r>
            <w:instrText xml:space="preserve"> HYPERLINK \l _Toc9917 </w:instrText>
          </w:r>
          <w:r>
            <w:fldChar w:fldCharType="separate"/>
          </w:r>
          <w:r>
            <w:rPr>
              <w:rFonts w:hint="eastAsia" w:ascii="Times New Roman" w:eastAsia="黑体" w:cs="Times New Roman"/>
              <w:szCs w:val="24"/>
              <w:lang w:val="en-US" w:eastAsia="zh-CN"/>
            </w:rPr>
            <w:t>10.2 验收阶段</w:t>
          </w:r>
          <w:r>
            <w:tab/>
          </w:r>
          <w:r>
            <w:fldChar w:fldCharType="begin"/>
          </w:r>
          <w:r>
            <w:instrText xml:space="preserve"> PAGEREF _Toc9917 \h </w:instrText>
          </w:r>
          <w:r>
            <w:fldChar w:fldCharType="separate"/>
          </w:r>
          <w:r>
            <w:t>13</w:t>
          </w:r>
          <w:r>
            <w:fldChar w:fldCharType="end"/>
          </w:r>
          <w:r>
            <w:rPr>
              <w:color w:val="auto"/>
            </w:rPr>
            <w:fldChar w:fldCharType="end"/>
          </w:r>
        </w:p>
        <w:p w14:paraId="6699AA7A">
          <w:pPr>
            <w:pStyle w:val="23"/>
            <w:tabs>
              <w:tab w:val="right" w:leader="dot" w:pos="8312"/>
              <w:tab w:val="clear" w:pos="900"/>
              <w:tab w:val="clear" w:pos="8296"/>
            </w:tabs>
          </w:pPr>
          <w:r>
            <w:rPr>
              <w:color w:val="auto"/>
            </w:rPr>
            <w:fldChar w:fldCharType="begin"/>
          </w:r>
          <w:r>
            <w:instrText xml:space="preserve"> HYPERLINK \l _Toc9572 </w:instrText>
          </w:r>
          <w:r>
            <w:fldChar w:fldCharType="separate"/>
          </w:r>
          <w:r>
            <w:rPr>
              <w:rFonts w:hint="eastAsia" w:ascii="Times New Roman" w:eastAsia="黑体" w:cs="Times New Roman"/>
              <w:szCs w:val="24"/>
              <w:lang w:val="en-US" w:eastAsia="zh-CN"/>
            </w:rPr>
            <w:t>10.3 验收合格判定</w:t>
          </w:r>
          <w:r>
            <w:tab/>
          </w:r>
          <w:r>
            <w:fldChar w:fldCharType="begin"/>
          </w:r>
          <w:r>
            <w:instrText xml:space="preserve"> PAGEREF _Toc9572 \h </w:instrText>
          </w:r>
          <w:r>
            <w:fldChar w:fldCharType="separate"/>
          </w:r>
          <w:r>
            <w:t>13</w:t>
          </w:r>
          <w:r>
            <w:fldChar w:fldCharType="end"/>
          </w:r>
          <w:r>
            <w:rPr>
              <w:color w:val="auto"/>
            </w:rPr>
            <w:fldChar w:fldCharType="end"/>
          </w:r>
        </w:p>
        <w:p w14:paraId="2883B076">
          <w:pPr>
            <w:pStyle w:val="23"/>
            <w:tabs>
              <w:tab w:val="right" w:leader="dot" w:pos="8312"/>
              <w:tab w:val="clear" w:pos="900"/>
              <w:tab w:val="clear" w:pos="8296"/>
            </w:tabs>
          </w:pPr>
          <w:r>
            <w:rPr>
              <w:color w:val="auto"/>
            </w:rPr>
            <w:fldChar w:fldCharType="begin"/>
          </w:r>
          <w:r>
            <w:instrText xml:space="preserve"> HYPERLINK \l _Toc28234 </w:instrText>
          </w:r>
          <w:r>
            <w:fldChar w:fldCharType="separate"/>
          </w:r>
          <w:r>
            <w:rPr>
              <w:rFonts w:hint="eastAsia" w:ascii="Times New Roman" w:eastAsia="黑体" w:cs="Times New Roman"/>
              <w:szCs w:val="24"/>
              <w:lang w:val="en-US" w:eastAsia="zh-CN"/>
            </w:rPr>
            <w:t>10.4 不合格处理</w:t>
          </w:r>
          <w:r>
            <w:tab/>
          </w:r>
          <w:r>
            <w:fldChar w:fldCharType="begin"/>
          </w:r>
          <w:r>
            <w:instrText xml:space="preserve"> PAGEREF _Toc28234 \h </w:instrText>
          </w:r>
          <w:r>
            <w:fldChar w:fldCharType="separate"/>
          </w:r>
          <w:r>
            <w:t>13</w:t>
          </w:r>
          <w:r>
            <w:fldChar w:fldCharType="end"/>
          </w:r>
          <w:r>
            <w:rPr>
              <w:color w:val="auto"/>
            </w:rPr>
            <w:fldChar w:fldCharType="end"/>
          </w:r>
        </w:p>
        <w:p w14:paraId="6C56E174">
          <w:pPr>
            <w:pStyle w:val="21"/>
            <w:tabs>
              <w:tab w:val="right" w:leader="dot" w:pos="8312"/>
            </w:tabs>
          </w:pPr>
          <w:r>
            <w:rPr>
              <w:color w:val="auto"/>
            </w:rPr>
            <w:fldChar w:fldCharType="begin"/>
          </w:r>
          <w:r>
            <w:instrText xml:space="preserve"> HYPERLINK \l _Toc32307 </w:instrText>
          </w:r>
          <w:r>
            <w:fldChar w:fldCharType="separate"/>
          </w:r>
          <w:r>
            <w:rPr>
              <w:rFonts w:hint="eastAsia"/>
              <w:szCs w:val="24"/>
              <w:lang w:val="en-US" w:eastAsia="zh-CN"/>
            </w:rPr>
            <w:t>11 框架采购专项要求</w:t>
          </w:r>
          <w:r>
            <w:tab/>
          </w:r>
          <w:r>
            <w:fldChar w:fldCharType="begin"/>
          </w:r>
          <w:r>
            <w:instrText xml:space="preserve"> PAGEREF _Toc32307 \h </w:instrText>
          </w:r>
          <w:r>
            <w:fldChar w:fldCharType="separate"/>
          </w:r>
          <w:r>
            <w:t>13</w:t>
          </w:r>
          <w:r>
            <w:fldChar w:fldCharType="end"/>
          </w:r>
          <w:r>
            <w:rPr>
              <w:color w:val="auto"/>
            </w:rPr>
            <w:fldChar w:fldCharType="end"/>
          </w:r>
        </w:p>
        <w:p w14:paraId="3F7EA5DC">
          <w:pPr>
            <w:pStyle w:val="21"/>
            <w:tabs>
              <w:tab w:val="right" w:leader="dot" w:pos="8312"/>
            </w:tabs>
          </w:pPr>
          <w:r>
            <w:rPr>
              <w:color w:val="auto"/>
            </w:rPr>
            <w:fldChar w:fldCharType="begin"/>
          </w:r>
          <w:r>
            <w:instrText xml:space="preserve"> HYPERLINK \l _Toc8985 </w:instrText>
          </w:r>
          <w:r>
            <w:fldChar w:fldCharType="separate"/>
          </w:r>
          <w:r>
            <w:rPr>
              <w:rFonts w:hint="eastAsia"/>
              <w:szCs w:val="24"/>
              <w:lang w:val="en-US" w:eastAsia="zh-CN"/>
            </w:rPr>
            <w:t>12 其他要求</w:t>
          </w:r>
          <w:r>
            <w:tab/>
          </w:r>
          <w:r>
            <w:fldChar w:fldCharType="begin"/>
          </w:r>
          <w:r>
            <w:instrText xml:space="preserve"> PAGEREF _Toc8985 \h </w:instrText>
          </w:r>
          <w:r>
            <w:fldChar w:fldCharType="separate"/>
          </w:r>
          <w:r>
            <w:t>14</w:t>
          </w:r>
          <w:r>
            <w:fldChar w:fldCharType="end"/>
          </w:r>
          <w:r>
            <w:rPr>
              <w:color w:val="auto"/>
            </w:rPr>
            <w:fldChar w:fldCharType="end"/>
          </w:r>
        </w:p>
        <w:p w14:paraId="735F12C9">
          <w:pPr>
            <w:pStyle w:val="23"/>
            <w:tabs>
              <w:tab w:val="right" w:leader="dot" w:pos="8312"/>
              <w:tab w:val="clear" w:pos="900"/>
              <w:tab w:val="clear" w:pos="8296"/>
            </w:tabs>
          </w:pPr>
          <w:r>
            <w:rPr>
              <w:color w:val="auto"/>
            </w:rPr>
            <w:fldChar w:fldCharType="begin"/>
          </w:r>
          <w:r>
            <w:instrText xml:space="preserve"> HYPERLINK \l _Toc14644 </w:instrText>
          </w:r>
          <w:r>
            <w:fldChar w:fldCharType="separate"/>
          </w:r>
          <w:r>
            <w:rPr>
              <w:rFonts w:hint="eastAsia" w:ascii="Times New Roman" w:eastAsia="黑体" w:cs="Times New Roman"/>
              <w:szCs w:val="24"/>
              <w:lang w:val="en-US" w:eastAsia="zh-CN"/>
            </w:rPr>
            <w:t>12.1 知识产权</w:t>
          </w:r>
          <w:r>
            <w:tab/>
          </w:r>
          <w:r>
            <w:fldChar w:fldCharType="begin"/>
          </w:r>
          <w:r>
            <w:instrText xml:space="preserve"> PAGEREF _Toc14644 \h </w:instrText>
          </w:r>
          <w:r>
            <w:fldChar w:fldCharType="separate"/>
          </w:r>
          <w:r>
            <w:t>14</w:t>
          </w:r>
          <w:r>
            <w:fldChar w:fldCharType="end"/>
          </w:r>
          <w:r>
            <w:rPr>
              <w:color w:val="auto"/>
            </w:rPr>
            <w:fldChar w:fldCharType="end"/>
          </w:r>
        </w:p>
        <w:p w14:paraId="5D21290D">
          <w:pPr>
            <w:pStyle w:val="23"/>
            <w:tabs>
              <w:tab w:val="right" w:leader="dot" w:pos="8312"/>
              <w:tab w:val="clear" w:pos="900"/>
              <w:tab w:val="clear" w:pos="8296"/>
            </w:tabs>
          </w:pPr>
          <w:r>
            <w:rPr>
              <w:color w:val="auto"/>
            </w:rPr>
            <w:fldChar w:fldCharType="begin"/>
          </w:r>
          <w:r>
            <w:instrText xml:space="preserve"> HYPERLINK \l _Toc8299 </w:instrText>
          </w:r>
          <w:r>
            <w:fldChar w:fldCharType="separate"/>
          </w:r>
          <w:r>
            <w:rPr>
              <w:rFonts w:hint="eastAsia" w:ascii="Times New Roman" w:eastAsia="黑体" w:cs="Times New Roman"/>
              <w:szCs w:val="24"/>
              <w:lang w:val="en-US" w:eastAsia="zh-CN"/>
            </w:rPr>
            <w:t>12.2 保密要求</w:t>
          </w:r>
          <w:r>
            <w:tab/>
          </w:r>
          <w:r>
            <w:fldChar w:fldCharType="begin"/>
          </w:r>
          <w:r>
            <w:instrText xml:space="preserve"> PAGEREF _Toc8299 \h </w:instrText>
          </w:r>
          <w:r>
            <w:fldChar w:fldCharType="separate"/>
          </w:r>
          <w:r>
            <w:t>14</w:t>
          </w:r>
          <w:r>
            <w:fldChar w:fldCharType="end"/>
          </w:r>
          <w:r>
            <w:rPr>
              <w:color w:val="auto"/>
            </w:rPr>
            <w:fldChar w:fldCharType="end"/>
          </w:r>
        </w:p>
        <w:p w14:paraId="334B6A59">
          <w:pPr>
            <w:pStyle w:val="21"/>
            <w:tabs>
              <w:tab w:val="right" w:leader="dot" w:pos="8312"/>
            </w:tabs>
          </w:pPr>
          <w:r>
            <w:rPr>
              <w:color w:val="auto"/>
            </w:rPr>
            <w:fldChar w:fldCharType="begin"/>
          </w:r>
          <w:r>
            <w:instrText xml:space="preserve"> HYPERLINK \l _Toc1631 </w:instrText>
          </w:r>
          <w:r>
            <w:fldChar w:fldCharType="separate"/>
          </w:r>
          <w:r>
            <w:rPr>
              <w:rFonts w:hint="default" w:ascii="Times New Roman" w:hAnsi="Times New Roman" w:cs="Times New Roman"/>
              <w:szCs w:val="24"/>
              <w:lang w:val="en-US" w:eastAsia="zh-CN"/>
            </w:rPr>
            <w:t>1</w:t>
          </w:r>
          <w:r>
            <w:rPr>
              <w:rFonts w:hint="eastAsia" w:ascii="Times New Roman" w:cs="Times New Roman"/>
              <w:szCs w:val="24"/>
              <w:lang w:val="en-US" w:eastAsia="zh-CN"/>
            </w:rPr>
            <w:t>3</w:t>
          </w:r>
          <w:r>
            <w:rPr>
              <w:rFonts w:hint="eastAsia"/>
              <w:szCs w:val="24"/>
              <w:lang w:val="en-US" w:eastAsia="zh-CN"/>
            </w:rPr>
            <w:t>设备技术参数和性能要求响应表</w:t>
          </w:r>
          <w:r>
            <w:tab/>
          </w:r>
          <w:r>
            <w:fldChar w:fldCharType="begin"/>
          </w:r>
          <w:r>
            <w:instrText xml:space="preserve"> PAGEREF _Toc1631 \h </w:instrText>
          </w:r>
          <w:r>
            <w:fldChar w:fldCharType="separate"/>
          </w:r>
          <w:r>
            <w:t>14</w:t>
          </w:r>
          <w:r>
            <w:fldChar w:fldCharType="end"/>
          </w:r>
          <w:r>
            <w:rPr>
              <w:color w:val="auto"/>
            </w:rPr>
            <w:fldChar w:fldCharType="end"/>
          </w:r>
        </w:p>
        <w:p w14:paraId="23E977B9">
          <w:pPr>
            <w:pStyle w:val="21"/>
            <w:tabs>
              <w:tab w:val="right" w:leader="dot" w:pos="8312"/>
            </w:tabs>
          </w:pPr>
          <w:r>
            <w:rPr>
              <w:color w:val="auto"/>
            </w:rPr>
            <w:fldChar w:fldCharType="begin"/>
          </w:r>
          <w:r>
            <w:instrText xml:space="preserve"> HYPERLINK \l _Toc31022 </w:instrText>
          </w:r>
          <w:r>
            <w:fldChar w:fldCharType="separate"/>
          </w:r>
          <w:r>
            <w:rPr>
              <w:rFonts w:hint="default" w:ascii="Times New Roman" w:hAnsi="Times New Roman" w:eastAsia="宋体"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4</w:t>
          </w:r>
          <w:r>
            <w:rPr>
              <w:rFonts w:hint="eastAsia" w:ascii="Times New Roman" w:hAnsi="Times New Roman" w:eastAsia="宋体" w:cs="Times New Roman"/>
              <w:bCs/>
              <w:i w:val="0"/>
              <w:kern w:val="44"/>
              <w:szCs w:val="24"/>
              <w:lang w:val="en-US" w:eastAsia="zh-CN" w:bidi="ar-SA"/>
            </w:rPr>
            <w:t xml:space="preserve"> 技术差异表</w:t>
          </w:r>
          <w:r>
            <w:tab/>
          </w:r>
          <w:r>
            <w:fldChar w:fldCharType="begin"/>
          </w:r>
          <w:r>
            <w:instrText xml:space="preserve"> PAGEREF _Toc31022 \h </w:instrText>
          </w:r>
          <w:r>
            <w:fldChar w:fldCharType="separate"/>
          </w:r>
          <w:r>
            <w:t>16</w:t>
          </w:r>
          <w:r>
            <w:fldChar w:fldCharType="end"/>
          </w:r>
          <w:r>
            <w:rPr>
              <w:color w:val="auto"/>
            </w:rPr>
            <w:fldChar w:fldCharType="end"/>
          </w:r>
        </w:p>
        <w:p w14:paraId="3EE68857">
          <w:pPr>
            <w:pStyle w:val="21"/>
            <w:tabs>
              <w:tab w:val="right" w:leader="dot" w:pos="8312"/>
            </w:tabs>
          </w:pPr>
          <w:r>
            <w:rPr>
              <w:color w:val="auto"/>
            </w:rPr>
            <w:fldChar w:fldCharType="begin"/>
          </w:r>
          <w:r>
            <w:instrText xml:space="preserve"> HYPERLINK \l _Toc3185 </w:instrText>
          </w:r>
          <w:r>
            <w:fldChar w:fldCharType="separate"/>
          </w:r>
          <w:r>
            <w:rPr>
              <w:rFonts w:hint="eastAsia" w:ascii="Times New Roman" w:hAnsi="Times New Roman" w:cs="Times New Roman"/>
              <w:bCs w:val="0"/>
              <w:i w:val="0"/>
              <w:kern w:val="44"/>
              <w:szCs w:val="24"/>
              <w:lang w:val="en-US" w:eastAsia="zh-CN" w:bidi="ar-SA"/>
            </w:rPr>
            <w:t>1</w:t>
          </w:r>
          <w:r>
            <w:rPr>
              <w:rFonts w:hint="eastAsia" w:ascii="Times New Roman" w:cs="Times New Roman"/>
              <w:bCs w:val="0"/>
              <w:i w:val="0"/>
              <w:kern w:val="44"/>
              <w:szCs w:val="24"/>
              <w:lang w:val="en-US" w:eastAsia="zh-CN" w:bidi="ar-SA"/>
            </w:rPr>
            <w:t>5</w:t>
          </w:r>
          <w:r>
            <w:rPr>
              <w:rFonts w:hint="default" w:ascii="Times New Roman" w:hAnsi="Times New Roman" w:eastAsia="宋体" w:cs="Times New Roman"/>
              <w:bCs w:val="0"/>
              <w:szCs w:val="24"/>
            </w:rPr>
            <w:t xml:space="preserve"> </w:t>
          </w:r>
          <w:r>
            <w:rPr>
              <w:rFonts w:hint="eastAsia" w:ascii="宋体" w:hAnsi="宋体" w:eastAsia="宋体" w:cs="宋体"/>
              <w:szCs w:val="24"/>
            </w:rPr>
            <w:t>投标方需说明的其他问题</w:t>
          </w:r>
          <w:r>
            <w:tab/>
          </w:r>
          <w:r>
            <w:fldChar w:fldCharType="begin"/>
          </w:r>
          <w:r>
            <w:instrText xml:space="preserve"> PAGEREF _Toc3185 \h </w:instrText>
          </w:r>
          <w:r>
            <w:fldChar w:fldCharType="separate"/>
          </w:r>
          <w:r>
            <w:t>16</w:t>
          </w:r>
          <w:r>
            <w:fldChar w:fldCharType="end"/>
          </w:r>
          <w:r>
            <w:rPr>
              <w:color w:val="auto"/>
            </w:rPr>
            <w:fldChar w:fldCharType="end"/>
          </w:r>
        </w:p>
        <w:p w14:paraId="096BD1A6">
          <w:pPr>
            <w:rPr>
              <w:color w:val="auto"/>
            </w:rPr>
            <w:sectPr>
              <w:headerReference r:id="rId6" w:type="default"/>
              <w:footerReference r:id="rId7" w:type="default"/>
              <w:pgSz w:w="11906" w:h="16838"/>
              <w:pgMar w:top="1440" w:right="1797" w:bottom="1440" w:left="1797" w:header="851" w:footer="992" w:gutter="0"/>
              <w:pgNumType w:fmt="decimal" w:start="1"/>
              <w:cols w:space="425" w:num="1"/>
              <w:docGrid w:type="lines" w:linePitch="312" w:charSpace="0"/>
            </w:sectPr>
          </w:pPr>
          <w:r>
            <w:rPr>
              <w:color w:val="auto"/>
            </w:rPr>
            <w:fldChar w:fldCharType="end"/>
          </w:r>
        </w:p>
      </w:sdtContent>
    </w:sdt>
    <w:p w14:paraId="692EF503">
      <w:pPr>
        <w:rPr>
          <w:color w:val="auto"/>
        </w:rPr>
      </w:pPr>
    </w:p>
    <w:p w14:paraId="60B764A1">
      <w:pPr>
        <w:pStyle w:val="2"/>
        <w:numPr>
          <w:ilvl w:val="0"/>
          <w:numId w:val="0"/>
        </w:numPr>
        <w:bidi w:val="0"/>
        <w:ind w:leftChars="0"/>
        <w:rPr>
          <w:rFonts w:hint="eastAsia"/>
          <w:color w:val="auto"/>
          <w:sz w:val="24"/>
          <w:szCs w:val="24"/>
        </w:rPr>
      </w:pPr>
      <w:bookmarkStart w:id="6" w:name="_Toc18428"/>
      <w:r>
        <w:rPr>
          <w:rFonts w:hint="eastAsia"/>
          <w:color w:val="auto"/>
          <w:sz w:val="24"/>
          <w:szCs w:val="24"/>
        </w:rPr>
        <w:t>前 言</w:t>
      </w:r>
      <w:bookmarkEnd w:id="6"/>
    </w:p>
    <w:p w14:paraId="49D860E3">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宋体" w:hAnsi="宋体" w:eastAsia="宋体" w:cs="宋体"/>
          <w:color w:val="auto"/>
          <w:sz w:val="24"/>
          <w:szCs w:val="24"/>
        </w:rPr>
      </w:pPr>
      <w:r>
        <w:rPr>
          <w:rFonts w:hint="default" w:ascii="Times New Roman" w:hAnsi="Times New Roman" w:eastAsia="宋体" w:cs="Times New Roman"/>
          <w:color w:val="auto"/>
          <w:sz w:val="24"/>
          <w:szCs w:val="24"/>
        </w:rPr>
        <w:t>1.</w:t>
      </w:r>
      <w:r>
        <w:rPr>
          <w:rFonts w:hint="eastAsia" w:ascii="宋体" w:hAnsi="宋体" w:eastAsia="宋体" w:cs="宋体"/>
          <w:color w:val="auto"/>
          <w:sz w:val="24"/>
          <w:szCs w:val="24"/>
        </w:rPr>
        <w:t>本技术规范书针对</w:t>
      </w:r>
      <w:r>
        <w:rPr>
          <w:rFonts w:hint="eastAsia" w:ascii="宋体" w:hAnsi="宋体" w:cs="宋体"/>
          <w:b w:val="0"/>
          <w:bCs/>
          <w:color w:val="auto"/>
          <w:sz w:val="24"/>
          <w:szCs w:val="24"/>
          <w:lang w:eastAsia="zh-CN"/>
        </w:rPr>
        <w:t>微型轻量化超灵敏日盲紫外探测巡检装置</w:t>
      </w:r>
      <w:r>
        <w:rPr>
          <w:rFonts w:hint="eastAsia" w:ascii="宋体" w:hAnsi="宋体" w:eastAsia="宋体" w:cs="宋体"/>
          <w:b w:val="0"/>
          <w:bCs/>
          <w:color w:val="auto"/>
          <w:sz w:val="24"/>
          <w:szCs w:val="24"/>
        </w:rPr>
        <w:t>代加工框架采购</w:t>
      </w:r>
      <w:r>
        <w:rPr>
          <w:rFonts w:hint="eastAsia" w:ascii="宋体" w:hAnsi="宋体" w:eastAsia="宋体" w:cs="宋体"/>
          <w:color w:val="auto"/>
          <w:sz w:val="24"/>
          <w:szCs w:val="24"/>
        </w:rPr>
        <w:t>编制，为招标最低技术及代加工要求，投标人（</w:t>
      </w:r>
      <w:r>
        <w:rPr>
          <w:rFonts w:hint="eastAsia" w:ascii="宋体" w:hAnsi="宋体" w:cs="宋体"/>
          <w:color w:val="auto"/>
          <w:sz w:val="24"/>
          <w:szCs w:val="24"/>
          <w:lang w:eastAsia="zh-CN"/>
        </w:rPr>
        <w:t>投标方</w:t>
      </w:r>
      <w:r>
        <w:rPr>
          <w:rFonts w:hint="eastAsia" w:ascii="宋体" w:hAnsi="宋体" w:eastAsia="宋体" w:cs="宋体"/>
          <w:color w:val="auto"/>
          <w:sz w:val="24"/>
          <w:szCs w:val="24"/>
        </w:rPr>
        <w:t>）所提供的代加工服务、生产的产品，所有性能参数、加工质量、服务标准不得低于本规范要求，优于本规范要求可做正偏离响应。</w:t>
      </w:r>
    </w:p>
    <w:p w14:paraId="44E8FD68">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.本技术规范书为本次框架采购合同不可分割的技术附件，与合同正文、框架合作协议具有同等法律效力，约束框架合作期间（自合同生效至期限届满）的全部代加工业务。</w:t>
      </w:r>
    </w:p>
    <w:p w14:paraId="43B60BDA">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.本规范所有引用标准均执行现行最新有效版本，新旧标准冲突时以最新版本为准；代加工过程须严格遵循国家、电力行业相关标准及招标人技术要求。</w:t>
      </w:r>
    </w:p>
    <w:p w14:paraId="331A9F26">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4</w:t>
      </w:r>
      <w:r>
        <w:rPr>
          <w:rFonts w:hint="eastAsia" w:ascii="Times New Roman" w:hAnsi="Times New Roman" w:eastAsia="宋体" w:cs="Times New Roman"/>
          <w:color w:val="auto"/>
          <w:sz w:val="24"/>
          <w:szCs w:val="24"/>
        </w:rPr>
        <w:t>.本次采购为框架采购，招标人根据实际需求，在框架协议有效期内，向中标人下达分批代加工订单，中标人须按订单要求、本规范要求，完成原材料采购、生产加工、质量检验、包装交付、售后保障等全部工作。</w:t>
      </w:r>
    </w:p>
    <w:p w14:paraId="611CFF67">
      <w:pPr>
        <w:keepNext w:val="0"/>
        <w:keepLines w:val="0"/>
        <w:pageBreakBefore w:val="0"/>
        <w:widowControl w:val="0"/>
        <w:kinsoku/>
        <w:wordWrap/>
        <w:overflowPunct/>
        <w:topLinePunct w:val="0"/>
        <w:autoSpaceDE/>
        <w:autoSpaceDN/>
        <w:bidi w:val="0"/>
        <w:adjustRightInd/>
        <w:snapToGrid/>
        <w:spacing w:before="120" w:after="120" w:line="360" w:lineRule="auto"/>
        <w:ind w:left="0"/>
        <w:jc w:val="left"/>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5</w:t>
      </w:r>
      <w:r>
        <w:rPr>
          <w:rFonts w:hint="eastAsia" w:ascii="Times New Roman" w:hAnsi="Times New Roman" w:eastAsia="宋体" w:cs="Times New Roman"/>
          <w:color w:val="auto"/>
          <w:sz w:val="24"/>
          <w:szCs w:val="24"/>
        </w:rPr>
        <w:t>.未尽事宜按照国家、电力行业现行相关标准、招标人相关管理规定及框架合作协议约定执行。</w:t>
      </w:r>
    </w:p>
    <w:p w14:paraId="5A20ED54">
      <w:pPr>
        <w:pStyle w:val="2"/>
        <w:numPr>
          <w:ilvl w:val="0"/>
          <w:numId w:val="0"/>
        </w:numPr>
        <w:bidi w:val="0"/>
        <w:ind w:leftChars="0"/>
        <w:rPr>
          <w:color w:val="auto"/>
        </w:rPr>
      </w:pPr>
      <w:r>
        <w:rPr>
          <w:rFonts w:hint="eastAsia"/>
          <w:color w:val="auto"/>
        </w:rPr>
        <w:br w:type="page"/>
      </w:r>
      <w:bookmarkEnd w:id="0"/>
      <w:bookmarkEnd w:id="5"/>
      <w:bookmarkStart w:id="7" w:name="_Toc11592"/>
      <w:r>
        <w:rPr>
          <w:rFonts w:hint="default" w:ascii="Times New Roman" w:hAnsi="Times New Roman" w:cs="Times New Roman"/>
          <w:color w:val="auto"/>
          <w:lang w:val="en-US" w:eastAsia="zh-CN"/>
        </w:rPr>
        <w:t>1</w:t>
      </w:r>
      <w:r>
        <w:rPr>
          <w:color w:val="auto"/>
          <w:sz w:val="24"/>
          <w:szCs w:val="24"/>
        </w:rPr>
        <w:t>总则</w:t>
      </w:r>
      <w:bookmarkEnd w:id="7"/>
    </w:p>
    <w:p w14:paraId="3F2C0801">
      <w:pPr>
        <w:numPr>
          <w:ilvl w:val="1"/>
          <w:numId w:val="6"/>
        </w:numPr>
        <w:spacing w:before="120" w:after="120" w:line="288" w:lineRule="auto"/>
        <w:ind w:left="567" w:leftChars="0" w:hanging="567" w:firstLineChars="0"/>
        <w:jc w:val="left"/>
        <w:rPr>
          <w:rStyle w:val="94"/>
          <w:rFonts w:hint="eastAsia"/>
          <w:b w:val="0"/>
          <w:bCs/>
          <w:color w:val="auto"/>
        </w:rPr>
      </w:pPr>
      <w:bookmarkStart w:id="8" w:name="_Toc24490"/>
      <w:r>
        <w:rPr>
          <w:rStyle w:val="94"/>
          <w:rFonts w:hint="eastAsia" w:ascii="黑体" w:hAnsi="黑体" w:eastAsia="黑体" w:cs="黑体"/>
          <w:b w:val="0"/>
          <w:bCs/>
          <w:color w:val="auto"/>
          <w:sz w:val="24"/>
          <w:szCs w:val="24"/>
        </w:rPr>
        <w:t>适用范围</w:t>
      </w:r>
    </w:p>
    <w:bookmarkEnd w:id="8"/>
    <w:p w14:paraId="2D3176D4">
      <w:pPr>
        <w:pStyle w:val="42"/>
        <w:bidi w:val="0"/>
        <w:rPr>
          <w:rFonts w:hint="eastAsia" w:ascii="宋体" w:hAnsi="宋体" w:eastAsia="宋体" w:cs="宋体"/>
          <w:color w:val="auto"/>
          <w:sz w:val="21"/>
          <w:szCs w:val="21"/>
        </w:rPr>
      </w:pPr>
      <w:r>
        <w:rPr>
          <w:rFonts w:hint="eastAsia" w:ascii="宋体" w:hAnsi="宋体" w:eastAsia="宋体" w:cs="宋体"/>
          <w:color w:val="auto"/>
          <w:sz w:val="21"/>
          <w:szCs w:val="21"/>
        </w:rPr>
        <w:t>本规范适用于广东天广能源科技发展有限公司微型轻量化超灵敏日盲紫外探测巡检装置2026—2028年生产代工框架采购项目的全部工作，包括但不限于：原材料采购与管控、生产加工、质量检验、试验检测、包装、运输、交付、安装调试、技术服务、人员培训、售后保障，以及框架合作期间的订单响应、产能保障、质量追溯等全部代加工相关工作。</w:t>
      </w:r>
    </w:p>
    <w:p w14:paraId="29F3C596">
      <w:pPr>
        <w:pStyle w:val="42"/>
        <w:bidi w:val="0"/>
        <w:rPr>
          <w:rFonts w:hint="eastAsia" w:ascii="宋体" w:hAnsi="宋体" w:eastAsia="宋体" w:cs="宋体"/>
          <w:color w:val="auto"/>
          <w:sz w:val="21"/>
          <w:szCs w:val="21"/>
        </w:rPr>
      </w:pPr>
      <w:r>
        <w:rPr>
          <w:rFonts w:hint="eastAsia" w:ascii="宋体" w:hAnsi="宋体" w:eastAsia="宋体" w:cs="宋体"/>
          <w:color w:val="auto"/>
          <w:sz w:val="21"/>
          <w:szCs w:val="21"/>
        </w:rPr>
        <w:t>本规范同时适用于框架协议有效期内，招标人下达的所有分批代加工订单，</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须严格按本规范及订单要求执行。</w:t>
      </w:r>
    </w:p>
    <w:p w14:paraId="3E6415DD">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auto"/>
          <w:sz w:val="24"/>
          <w:szCs w:val="24"/>
        </w:rPr>
      </w:pPr>
      <w:bookmarkStart w:id="9" w:name="_Toc27432"/>
      <w:r>
        <w:rPr>
          <w:rStyle w:val="94"/>
          <w:rFonts w:hint="eastAsia" w:ascii="黑体" w:hAnsi="黑体" w:eastAsia="黑体" w:cs="黑体"/>
          <w:b w:val="0"/>
          <w:bCs/>
          <w:color w:val="auto"/>
          <w:sz w:val="24"/>
          <w:szCs w:val="24"/>
        </w:rPr>
        <w:t>规范性引用文件</w:t>
      </w:r>
    </w:p>
    <w:bookmarkEnd w:id="9"/>
    <w:p w14:paraId="7552A650">
      <w:pPr>
        <w:pStyle w:val="42"/>
        <w:bidi w:val="0"/>
        <w:rPr>
          <w:rFonts w:hint="eastAsia" w:ascii="宋体" w:hAnsi="宋体" w:eastAsia="宋体" w:cs="宋体"/>
          <w:color w:val="auto"/>
          <w:sz w:val="21"/>
          <w:szCs w:val="21"/>
        </w:rPr>
      </w:pPr>
      <w:r>
        <w:rPr>
          <w:rFonts w:hint="eastAsia" w:ascii="宋体" w:hAnsi="宋体" w:eastAsia="宋体" w:cs="宋体"/>
          <w:color w:val="auto"/>
          <w:sz w:val="21"/>
          <w:szCs w:val="21"/>
        </w:rPr>
        <w:t>除本技术规范书特殊规定外，投标方所提供的设备均按规定的标准和规程的最新版本进行原材料采购与管控、生产加工、质量检验、试验检测、包装、运输、交付、安装调试</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售后保障</w:t>
      </w:r>
      <w:r>
        <w:rPr>
          <w:rFonts w:hint="eastAsia" w:ascii="宋体" w:hAnsi="宋体" w:eastAsia="宋体" w:cs="宋体"/>
          <w:color w:val="auto"/>
          <w:sz w:val="21"/>
          <w:szCs w:val="21"/>
          <w:lang w:val="en-US" w:eastAsia="zh-CN"/>
        </w:rPr>
        <w:t>等工作</w:t>
      </w:r>
      <w:r>
        <w:rPr>
          <w:rFonts w:hint="eastAsia" w:ascii="宋体" w:hAnsi="宋体" w:eastAsia="宋体" w:cs="宋体"/>
          <w:color w:val="auto"/>
          <w:sz w:val="21"/>
          <w:szCs w:val="21"/>
        </w:rPr>
        <w:t>。如果这些标准内容有矛盾时，应按最高标准的条款执行或按双方商定的标准执行。如果投标方选用本标书规定以外的标准时，则需提交这种替换标准供审查和分析</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待</w:t>
      </w:r>
      <w:r>
        <w:rPr>
          <w:rFonts w:hint="eastAsia" w:ascii="宋体" w:hAnsi="宋体" w:eastAsia="宋体" w:cs="宋体"/>
          <w:color w:val="auto"/>
          <w:sz w:val="21"/>
          <w:szCs w:val="21"/>
        </w:rPr>
        <w:t>从招标方处获得书面的认可才能使用。提交供审查的标准应为中文或英文版本。主要引用标准如下：</w:t>
      </w:r>
    </w:p>
    <w:p w14:paraId="1ED91CC5">
      <w:pPr>
        <w:spacing w:line="360" w:lineRule="auto"/>
        <w:ind w:left="6" w:leftChars="3" w:firstLine="420" w:firstLineChars="20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rPr>
        <w:t>GB/T3608</w:t>
      </w:r>
      <w:r>
        <w:rPr>
          <w:rFonts w:hint="eastAsia" w:ascii="黑体" w:hAnsi="黑体" w:eastAsia="黑体" w:cs="黑体"/>
          <w:color w:val="auto"/>
          <w:sz w:val="21"/>
          <w:szCs w:val="21"/>
          <w:highlight w:val="none"/>
          <w:lang w:val="en-US" w:eastAsia="zh-CN"/>
        </w:rPr>
        <w:t xml:space="preserve"> 《高空作业分级》</w:t>
      </w:r>
    </w:p>
    <w:p w14:paraId="20A3546F">
      <w:pPr>
        <w:spacing w:line="360" w:lineRule="auto"/>
        <w:ind w:left="6" w:leftChars="3" w:firstLine="420" w:firstLineChars="20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rPr>
        <w:t>GB26859-2011</w:t>
      </w:r>
      <w:r>
        <w:rPr>
          <w:rFonts w:hint="eastAsia" w:ascii="黑体" w:hAnsi="黑体" w:eastAsia="黑体" w:cs="黑体"/>
          <w:color w:val="auto"/>
          <w:sz w:val="21"/>
          <w:szCs w:val="21"/>
          <w:highlight w:val="none"/>
          <w:lang w:val="en-US" w:eastAsia="zh-CN"/>
        </w:rPr>
        <w:t xml:space="preserve"> 《电力安全工作规程电力线路部分》</w:t>
      </w:r>
    </w:p>
    <w:p w14:paraId="6F6CE860">
      <w:pPr>
        <w:spacing w:line="360" w:lineRule="auto"/>
        <w:ind w:left="6" w:leftChars="3" w:firstLine="420" w:firstLineChars="20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DL/T741-2010 《架空输电线路运行规程》</w:t>
      </w:r>
    </w:p>
    <w:p w14:paraId="6BF6F840">
      <w:pPr>
        <w:spacing w:line="360" w:lineRule="auto"/>
        <w:ind w:left="6" w:leftChars="3" w:firstLine="420" w:firstLineChars="200"/>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Q/CSG510001-2015 《中国南方电网有限责任公司电力安全工作规程》</w:t>
      </w:r>
    </w:p>
    <w:p w14:paraId="01C1B3F5">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 26859电力安全工作规程 电力线路部分</w:t>
      </w:r>
    </w:p>
    <w:p w14:paraId="57AE39F8">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2423 电工电子产品环境试验</w:t>
      </w:r>
    </w:p>
    <w:p w14:paraId="0348B3DD">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 4208 外壳防护等级（IP代码）</w:t>
      </w:r>
    </w:p>
    <w:p w14:paraId="783358AD">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17626 电磁兼容试验和测量技术</w:t>
      </w:r>
    </w:p>
    <w:p w14:paraId="51C6F0AB">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191 包装储运图示标志</w:t>
      </w:r>
    </w:p>
    <w:p w14:paraId="72B59F2B">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13306 标牌</w:t>
      </w:r>
    </w:p>
    <w:p w14:paraId="0CBF3158">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26125 电子电气产品六种限用物质的检测方法</w:t>
      </w:r>
    </w:p>
    <w:p w14:paraId="10369A47">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GB/T 26572 电子电气产品中限用物质的限量要求</w:t>
      </w:r>
    </w:p>
    <w:p w14:paraId="27B0A769">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SJ/T 11364 电子电气产品有害物质限制使用标识要求</w:t>
      </w:r>
    </w:p>
    <w:p w14:paraId="24FE7C4A">
      <w:pPr>
        <w:spacing w:line="360" w:lineRule="auto"/>
        <w:ind w:left="6" w:leftChars="3" w:firstLine="420" w:firstLineChars="200"/>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无人机挂载设备接口协议（PSDK、E-port）相关技术规范</w:t>
      </w:r>
    </w:p>
    <w:p w14:paraId="33D21800">
      <w:pPr>
        <w:spacing w:line="360" w:lineRule="auto"/>
        <w:ind w:left="6" w:leftChars="3" w:firstLine="420" w:firstLineChars="200"/>
        <w:rPr>
          <w:rFonts w:hint="eastAsia" w:ascii="黑体" w:hAnsi="黑体" w:eastAsia="黑体" w:cs="黑体"/>
          <w:color w:val="auto"/>
          <w:sz w:val="21"/>
          <w:szCs w:val="21"/>
          <w:highlight w:val="none"/>
        </w:rPr>
      </w:pPr>
    </w:p>
    <w:p w14:paraId="5077A8AA">
      <w:pPr>
        <w:spacing w:line="360" w:lineRule="auto"/>
        <w:ind w:left="6" w:leftChars="3" w:firstLine="420" w:firstLineChars="200"/>
        <w:rPr>
          <w:rFonts w:hint="eastAsia" w:ascii="黑体" w:hAnsi="黑体" w:eastAsia="黑体" w:cs="黑体"/>
          <w:color w:val="auto"/>
          <w:sz w:val="21"/>
          <w:szCs w:val="21"/>
          <w:highlight w:val="none"/>
        </w:rPr>
      </w:pPr>
    </w:p>
    <w:p w14:paraId="4183049D">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auto"/>
          <w:sz w:val="24"/>
          <w:szCs w:val="24"/>
        </w:rPr>
      </w:pPr>
      <w:bookmarkStart w:id="10" w:name="_Toc17517"/>
      <w:r>
        <w:rPr>
          <w:rStyle w:val="94"/>
          <w:rFonts w:hint="eastAsia" w:ascii="黑体" w:hAnsi="黑体" w:eastAsia="黑体" w:cs="黑体"/>
          <w:b w:val="0"/>
          <w:bCs/>
          <w:color w:val="auto"/>
          <w:sz w:val="24"/>
          <w:szCs w:val="24"/>
        </w:rPr>
        <w:t>术语和定义</w:t>
      </w:r>
    </w:p>
    <w:bookmarkEnd w:id="10"/>
    <w:p w14:paraId="7E47ADFE">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1.3.1 微型轻量化超灵敏日盲紫外探测巡检装置：一种挂载于无人机上，用于输电线路日盲紫外成像巡检的专用设备，具备紫外通道、可见光广角通道、智能融合、云台增稳等功能，重量≤400g，功耗≤14W。</w:t>
      </w:r>
    </w:p>
    <w:p w14:paraId="7D92D00B">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1.3.2 代加工：中标人（</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）按照招标人提供的技术图纸、参数要求、质量标准，自行采购符合要求的原材料，完成</w:t>
      </w:r>
      <w:r>
        <w:rPr>
          <w:rFonts w:hint="eastAsia" w:ascii="宋体" w:hAnsi="宋体" w:cs="宋体"/>
          <w:color w:val="auto"/>
          <w:sz w:val="21"/>
          <w:szCs w:val="21"/>
          <w:lang w:eastAsia="zh-CN"/>
        </w:rPr>
        <w:t>微型轻量化超灵敏日盲紫外探测巡检装置</w:t>
      </w:r>
      <w:r>
        <w:rPr>
          <w:rFonts w:hint="eastAsia" w:ascii="宋体" w:hAnsi="宋体" w:eastAsia="宋体" w:cs="宋体"/>
          <w:color w:val="auto"/>
          <w:sz w:val="21"/>
          <w:szCs w:val="21"/>
        </w:rPr>
        <w:t>的生产、加工、组装、检验、包装</w:t>
      </w:r>
      <w:r>
        <w:rPr>
          <w:rFonts w:hint="eastAsia" w:ascii="宋体" w:hAnsi="宋体" w:eastAsia="宋体" w:cs="宋体"/>
          <w:color w:val="auto"/>
          <w:sz w:val="21"/>
          <w:szCs w:val="21"/>
          <w:lang w:val="en-US" w:eastAsia="zh-CN"/>
        </w:rPr>
        <w:t>等</w:t>
      </w:r>
      <w:r>
        <w:rPr>
          <w:rFonts w:hint="eastAsia" w:ascii="宋体" w:hAnsi="宋体" w:eastAsia="宋体" w:cs="宋体"/>
          <w:color w:val="auto"/>
          <w:sz w:val="21"/>
          <w:szCs w:val="21"/>
        </w:rPr>
        <w:t>，并按订单要求交付招标人的全部过程。</w:t>
      </w:r>
    </w:p>
    <w:p w14:paraId="7409AB9E">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1.3.3 框架采购：招标人通过招标确定中标人，签订框架合作协议，约定合作期限、产品标准、价格原则、订单流程、质量要求等核心条款，在协议有效期内，招标人根据实际需求下达分批代加工订单，中标人按订单执行的采购模式。</w:t>
      </w:r>
    </w:p>
    <w:p w14:paraId="15D6AF84">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1.3.</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 xml:space="preserve"> 质量追溯：</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建立完善的质量追溯体系，实现原材料采购、生产加工、检验检测、交付等全流程可追溯，确保出现质量问题时可快速定位、排查原因。</w:t>
      </w:r>
    </w:p>
    <w:p w14:paraId="41F84D59">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auto"/>
          <w:sz w:val="24"/>
          <w:szCs w:val="24"/>
        </w:rPr>
      </w:pPr>
      <w:bookmarkStart w:id="11" w:name="_Toc23118"/>
      <w:r>
        <w:rPr>
          <w:rStyle w:val="94"/>
          <w:rFonts w:hint="eastAsia" w:ascii="黑体" w:hAnsi="黑体" w:eastAsia="黑体" w:cs="黑体"/>
          <w:b w:val="0"/>
          <w:bCs/>
          <w:color w:val="auto"/>
          <w:sz w:val="24"/>
          <w:szCs w:val="24"/>
        </w:rPr>
        <w:t>总体技术原则</w:t>
      </w:r>
    </w:p>
    <w:bookmarkEnd w:id="11"/>
    <w:p w14:paraId="5B3516CF">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1.4.1 </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须具备完善的生产体系和质量管控体系，能够独立完成本规范约定的全部代加工工作。</w:t>
      </w:r>
    </w:p>
    <w:p w14:paraId="0193E6B0">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1.4.2 代加工产品须为全新、合格产品，无翻新、无二手、无返修部件，所有原材料、零部件均符合国家相关标准及本规范要求，严禁使用不合格原材料、劣质零部件。</w:t>
      </w:r>
    </w:p>
    <w:p w14:paraId="1AF8169A">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1.4.3 代加工过程须严格遵循招标人提供的技术图纸、加工工艺要求，确保产品结构、尺寸、性能、外观等全部符合标准，机械强度裕度充足，安全可靠。</w:t>
      </w:r>
    </w:p>
    <w:p w14:paraId="68342DC4">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1.4.4 </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须具备充足的生产产能，能够快速响应招标人的分批订单需求，确保订单交付及时，无逾期交付情况。</w:t>
      </w:r>
    </w:p>
    <w:p w14:paraId="377ACEAF">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1.4.5 </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须建立完善的质量追溯体系和售后服务体系，确保产品质量可追溯、售后响应及时，能够妥善处理产品质量问题。</w:t>
      </w:r>
    </w:p>
    <w:p w14:paraId="689193A7">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1.4.6 所有代加工工作须符合国家安全生产、环保要求，生产过程无安全隐患、无环境污染。</w:t>
      </w:r>
    </w:p>
    <w:p w14:paraId="70BD8F73">
      <w:pPr>
        <w:numPr>
          <w:ilvl w:val="1"/>
          <w:numId w:val="6"/>
        </w:numPr>
        <w:spacing w:before="120" w:after="120" w:line="288" w:lineRule="auto"/>
        <w:ind w:left="567" w:leftChars="0" w:hanging="567" w:firstLineChars="0"/>
        <w:jc w:val="left"/>
        <w:rPr>
          <w:rStyle w:val="94"/>
          <w:rFonts w:hint="eastAsia" w:ascii="黑体" w:hAnsi="黑体" w:eastAsia="黑体" w:cs="黑体"/>
          <w:b w:val="0"/>
          <w:bCs/>
          <w:color w:val="auto"/>
          <w:sz w:val="24"/>
          <w:szCs w:val="24"/>
        </w:rPr>
      </w:pPr>
      <w:bookmarkStart w:id="12" w:name="_Toc13520"/>
      <w:r>
        <w:rPr>
          <w:rStyle w:val="94"/>
          <w:rFonts w:hint="eastAsia" w:ascii="黑体" w:hAnsi="黑体" w:eastAsia="黑体" w:cs="黑体"/>
          <w:b w:val="0"/>
          <w:bCs/>
          <w:color w:val="auto"/>
          <w:sz w:val="24"/>
          <w:szCs w:val="24"/>
        </w:rPr>
        <w:t>框架采购约定</w:t>
      </w:r>
    </w:p>
    <w:bookmarkEnd w:id="12"/>
    <w:p w14:paraId="4A19EB19">
      <w:pPr>
        <w:spacing w:before="120" w:after="120" w:line="288" w:lineRule="auto"/>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框架合作期限：自框架协议签订生效之日起</w:t>
      </w:r>
      <w:r>
        <w:rPr>
          <w:rFonts w:hint="eastAsia" w:ascii="宋体" w:hAnsi="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年，期满后可根据双方合作情况，协商续签事宜。</w:t>
      </w:r>
    </w:p>
    <w:p w14:paraId="3E0C0502">
      <w:pPr>
        <w:spacing w:before="120" w:after="120" w:line="288" w:lineRule="auto"/>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订单下达：招标人根据实际需求</w:t>
      </w:r>
      <w:r>
        <w:rPr>
          <w:rFonts w:hint="eastAsia" w:ascii="宋体" w:hAnsi="宋体" w:cs="宋体"/>
          <w:color w:val="auto"/>
          <w:sz w:val="21"/>
          <w:szCs w:val="21"/>
          <w:highlight w:val="none"/>
          <w:lang w:val="en-US" w:eastAsia="zh-CN"/>
        </w:rPr>
        <w:t>通知</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，明确产品数量、交付时间、交付地点、特殊要求等内容。</w:t>
      </w:r>
    </w:p>
    <w:p w14:paraId="25CAF773">
      <w:pPr>
        <w:spacing w:before="120" w:after="120" w:line="288" w:lineRule="auto"/>
        <w:ind w:left="0"/>
        <w:jc w:val="left"/>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1.5.3 订单响应：</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收到</w:t>
      </w:r>
      <w:r>
        <w:rPr>
          <w:rFonts w:hint="eastAsia" w:ascii="宋体" w:hAnsi="宋体" w:cs="宋体"/>
          <w:color w:val="auto"/>
          <w:sz w:val="21"/>
          <w:szCs w:val="21"/>
          <w:highlight w:val="none"/>
          <w:lang w:val="en-US" w:eastAsia="zh-CN"/>
        </w:rPr>
        <w:t>通知</w:t>
      </w:r>
      <w:r>
        <w:rPr>
          <w:rFonts w:hint="eastAsia" w:ascii="宋体" w:hAnsi="宋体" w:eastAsia="宋体" w:cs="宋体"/>
          <w:color w:val="auto"/>
          <w:sz w:val="21"/>
          <w:szCs w:val="21"/>
          <w:highlight w:val="none"/>
        </w:rPr>
        <w:t>后，须在</w:t>
      </w:r>
      <w:r>
        <w:rPr>
          <w:rFonts w:hint="eastAsia" w:ascii="宋体" w:hAnsi="宋体" w:cs="宋体"/>
          <w:color w:val="auto"/>
          <w:sz w:val="21"/>
          <w:szCs w:val="21"/>
          <w:highlight w:val="none"/>
          <w:u w:val="single"/>
          <w:lang w:val="en-US" w:eastAsia="zh-CN"/>
        </w:rPr>
        <w:t>20</w:t>
      </w:r>
      <w:r>
        <w:rPr>
          <w:rFonts w:hint="eastAsia" w:ascii="宋体" w:hAnsi="宋体" w:eastAsia="宋体" w:cs="宋体"/>
          <w:color w:val="auto"/>
          <w:sz w:val="21"/>
          <w:szCs w:val="21"/>
          <w:highlight w:val="none"/>
        </w:rPr>
        <w:t>个</w:t>
      </w:r>
      <w:r>
        <w:rPr>
          <w:rFonts w:hint="eastAsia" w:ascii="宋体" w:hAnsi="宋体" w:cs="宋体"/>
          <w:color w:val="auto"/>
          <w:sz w:val="21"/>
          <w:szCs w:val="21"/>
          <w:highlight w:val="none"/>
          <w:lang w:val="en-US" w:eastAsia="zh-CN"/>
        </w:rPr>
        <w:t>自然</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完成生产并交付。</w:t>
      </w:r>
    </w:p>
    <w:p w14:paraId="464F033E">
      <w:pPr>
        <w:spacing w:before="120" w:after="120" w:line="288" w:lineRule="auto"/>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1.5.</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 xml:space="preserve"> 产能保障：</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须保障框架合作期间，具备满足招标人订单需求的产能，若招标人有紧急订单，</w:t>
      </w:r>
      <w:r>
        <w:rPr>
          <w:rFonts w:hint="eastAsia" w:ascii="宋体" w:hAnsi="宋体" w:eastAsia="宋体" w:cs="宋体"/>
          <w:color w:val="auto"/>
          <w:sz w:val="21"/>
          <w:szCs w:val="21"/>
          <w:lang w:eastAsia="zh-CN"/>
        </w:rPr>
        <w:t>投标方</w:t>
      </w:r>
      <w:r>
        <w:rPr>
          <w:rFonts w:hint="eastAsia" w:ascii="宋体" w:hAnsi="宋体" w:eastAsia="宋体" w:cs="宋体"/>
          <w:color w:val="auto"/>
          <w:sz w:val="21"/>
          <w:szCs w:val="21"/>
        </w:rPr>
        <w:t>须优先安排生产，确保按时交付。</w:t>
      </w:r>
    </w:p>
    <w:p w14:paraId="5E6C879F">
      <w:pPr>
        <w:spacing w:before="120" w:after="120" w:line="288" w:lineRule="auto"/>
        <w:ind w:left="0"/>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bookmarkStart w:id="13" w:name="_Toc3404"/>
      <w:r>
        <w:rPr>
          <w:rFonts w:hint="eastAsia" w:ascii="宋体" w:hAnsi="宋体" w:cs="宋体"/>
          <w:color w:val="000000" w:themeColor="text1"/>
          <w:sz w:val="21"/>
          <w:szCs w:val="21"/>
          <w:highlight w:val="none"/>
          <w:lang w:val="en-US" w:eastAsia="zh-CN"/>
          <w14:textFill>
            <w14:solidFill>
              <w14:schemeClr w14:val="tx1"/>
            </w14:solidFill>
          </w14:textFill>
        </w:rPr>
        <w:t>1.5.5 合同签订之后，中标方根据招标方提供的技术资料在20个自然日内试制一台样机，如样机不能满足技术规范书的要求，招标方有权终止合同，且制造样机的成本由中标方自行承担。</w:t>
      </w:r>
    </w:p>
    <w:p w14:paraId="21A7902C">
      <w:pPr>
        <w:pStyle w:val="2"/>
        <w:numPr>
          <w:ilvl w:val="0"/>
          <w:numId w:val="0"/>
        </w:numPr>
        <w:bidi w:val="0"/>
        <w:ind w:leftChars="0"/>
        <w:rPr>
          <w:rFonts w:hint="eastAsia" w:ascii="宋体" w:hAnsi="宋体" w:eastAsia="宋体" w:cs="宋体"/>
          <w:color w:val="auto"/>
          <w:sz w:val="24"/>
          <w:szCs w:val="24"/>
        </w:rPr>
      </w:pPr>
      <w:r>
        <w:rPr>
          <w:rFonts w:hint="default" w:ascii="Times New Roman" w:hAnsi="Times New Roman" w:cs="Times New Roman"/>
          <w:color w:val="auto"/>
          <w:sz w:val="24"/>
          <w:szCs w:val="24"/>
          <w:lang w:val="en-US" w:eastAsia="zh-CN"/>
        </w:rPr>
        <w:t>2</w:t>
      </w:r>
      <w:r>
        <w:rPr>
          <w:rFonts w:hint="eastAsia" w:ascii="宋体" w:hAnsi="宋体" w:eastAsia="宋体" w:cs="宋体"/>
          <w:color w:val="auto"/>
          <w:sz w:val="24"/>
          <w:szCs w:val="24"/>
        </w:rPr>
        <w:t>项目概况及代加工要求</w:t>
      </w:r>
      <w:bookmarkEnd w:id="13"/>
    </w:p>
    <w:p w14:paraId="6866AA21">
      <w:pPr>
        <w:pStyle w:val="3"/>
        <w:numPr>
          <w:ilvl w:val="1"/>
          <w:numId w:val="7"/>
        </w:numPr>
        <w:bidi w:val="0"/>
        <w:ind w:left="567" w:leftChars="0" w:hanging="567" w:firstLineChars="0"/>
        <w:rPr>
          <w:rFonts w:hint="eastAsia" w:ascii="黑体" w:hAnsi="黑体" w:eastAsia="黑体" w:cs="黑体"/>
          <w:color w:val="auto"/>
          <w:sz w:val="24"/>
          <w:szCs w:val="24"/>
        </w:rPr>
      </w:pPr>
      <w:bookmarkStart w:id="14" w:name="_Toc22144"/>
      <w:r>
        <w:rPr>
          <w:rFonts w:hint="eastAsia" w:ascii="黑体" w:hAnsi="黑体" w:eastAsia="黑体" w:cs="黑体"/>
          <w:color w:val="auto"/>
          <w:sz w:val="24"/>
          <w:szCs w:val="24"/>
        </w:rPr>
        <w:t>项目概况</w:t>
      </w:r>
      <w:bookmarkEnd w:id="14"/>
    </w:p>
    <w:p w14:paraId="31ABEC1F">
      <w:pPr>
        <w:keepNext w:val="0"/>
        <w:keepLines w:val="0"/>
        <w:pageBreakBefore w:val="0"/>
        <w:widowControl w:val="0"/>
        <w:kinsoku/>
        <w:wordWrap/>
        <w:overflowPunct/>
        <w:topLinePunct w:val="0"/>
        <w:autoSpaceDE/>
        <w:autoSpaceDN/>
        <w:bidi w:val="0"/>
        <w:adjustRightInd/>
        <w:snapToGrid/>
        <w:spacing w:before="120" w:after="120" w:line="288" w:lineRule="auto"/>
        <w:ind w:left="0"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为广东天广能源科技发展有限公司微型轻量化超灵敏日盲紫外探测巡检装置2026—2028年生产代工框架采购，招标人通过招标确定合格代加工方，建立长期框架合作关系，用于满足招标人输电线路运维巡检所需微型轻量化超灵敏日盲紫外探测巡检装置的批量代加工需求。代加工产品主要用于无人机挂载实现输电线路日盲紫外成像检测，可实现紫外与可见光融合、云台稳像、</w:t>
      </w:r>
      <w:r>
        <w:rPr>
          <w:rFonts w:hint="eastAsia" w:ascii="宋体" w:hAnsi="宋体" w:cs="宋体"/>
          <w:color w:val="auto"/>
          <w:sz w:val="21"/>
          <w:szCs w:val="21"/>
          <w:lang w:val="en-US" w:eastAsia="zh-CN"/>
        </w:rPr>
        <w:t>光子计数</w:t>
      </w:r>
      <w:r>
        <w:rPr>
          <w:rFonts w:hint="eastAsia" w:ascii="宋体" w:hAnsi="宋体" w:eastAsia="宋体" w:cs="宋体"/>
          <w:color w:val="auto"/>
          <w:sz w:val="21"/>
          <w:szCs w:val="21"/>
        </w:rPr>
        <w:t>等功能。</w:t>
      </w:r>
    </w:p>
    <w:p w14:paraId="63326BB6">
      <w:pPr>
        <w:pStyle w:val="3"/>
        <w:numPr>
          <w:ilvl w:val="1"/>
          <w:numId w:val="7"/>
        </w:numPr>
        <w:bidi w:val="0"/>
        <w:ind w:left="567" w:leftChars="0" w:hanging="567" w:firstLineChars="0"/>
        <w:rPr>
          <w:rFonts w:hint="eastAsia" w:ascii="黑体" w:hAnsi="黑体" w:eastAsia="黑体" w:cs="黑体"/>
          <w:color w:val="auto"/>
          <w:sz w:val="24"/>
          <w:szCs w:val="24"/>
        </w:rPr>
      </w:pPr>
      <w:bookmarkStart w:id="15" w:name="_Toc8926"/>
      <w:r>
        <w:rPr>
          <w:rFonts w:hint="eastAsia" w:ascii="黑体" w:hAnsi="黑体" w:eastAsia="黑体" w:cs="黑体"/>
          <w:color w:val="auto"/>
          <w:sz w:val="24"/>
          <w:szCs w:val="24"/>
        </w:rPr>
        <w:t>代加工核心要求</w:t>
      </w:r>
      <w:bookmarkEnd w:id="15"/>
    </w:p>
    <w:p w14:paraId="36A2F80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2.2.1 代加工方须严格按照招标人提供的技术图纸、参数标准、加工工艺要求进行生产加工，不得擅自修改产品结构、尺寸、材质及加工工艺，若需调整，须提前书面报备招标人，经招标人书面同意后方可实施。</w:t>
      </w:r>
    </w:p>
    <w:p w14:paraId="3A7770B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2.2.2 代加工方负责原材料的采购、检验、储存，所有原材料须符合国家相关标准及本规范要求，且须提供原材料合格证明、检验报告等相关资料，接受招标人的抽查。</w:t>
      </w:r>
    </w:p>
    <w:p w14:paraId="5C37049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2.2.3 代加工方须建立完善的生产过程管控体系，对生产加工的每一道工序进行严格检验，确保产品质量符合标准，杜绝不合格产品出厂。</w:t>
      </w:r>
    </w:p>
    <w:p w14:paraId="135214B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2.2.4 框架合作期间，代加工方须配合招标人完成产品质量抽查、工艺核查、产能验证等工作，提供必要的生产记录、检验报告等相关资料。</w:t>
      </w:r>
    </w:p>
    <w:p w14:paraId="5D25E1B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2.2.5 代加工方须严格遵守框架合作协议约定，履行订单交付、售后保障等义务。</w:t>
      </w:r>
    </w:p>
    <w:p w14:paraId="0E9927EF">
      <w:pPr>
        <w:pStyle w:val="3"/>
        <w:numPr>
          <w:ilvl w:val="1"/>
          <w:numId w:val="7"/>
        </w:numPr>
        <w:bidi w:val="0"/>
        <w:ind w:left="567" w:leftChars="0" w:hanging="567" w:firstLineChars="0"/>
        <w:rPr>
          <w:rFonts w:hint="eastAsia" w:ascii="黑体" w:hAnsi="黑体" w:eastAsia="黑体" w:cs="黑体"/>
          <w:color w:val="auto"/>
          <w:sz w:val="24"/>
          <w:szCs w:val="24"/>
        </w:rPr>
      </w:pPr>
      <w:bookmarkStart w:id="16" w:name="_Toc9734"/>
      <w:r>
        <w:rPr>
          <w:rFonts w:hint="eastAsia" w:ascii="黑体" w:hAnsi="黑体" w:eastAsia="黑体" w:cs="黑体"/>
          <w:color w:val="auto"/>
          <w:sz w:val="24"/>
          <w:szCs w:val="24"/>
        </w:rPr>
        <w:t>现场及生产环境要求</w:t>
      </w:r>
      <w:bookmarkEnd w:id="16"/>
    </w:p>
    <w:p w14:paraId="3CE48DD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2.3.1 代加工方的生产车间须具备良好的生产环境，整洁、通风、干燥，无粉尘、油污污染，符合安全生产、环保要求。</w:t>
      </w:r>
    </w:p>
    <w:p w14:paraId="0F588E1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2.3.2 生产车间须配备必要的防尘、防潮、防腐蚀设施，确保原材料、零部件及成品不受损坏，保证产品质量。</w:t>
      </w:r>
    </w:p>
    <w:p w14:paraId="2407DD4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2.3.3 生产设备须定期维护、校准，确保设备运行正常，加工精度满足要求，无设备故障导致的产品质量问题。</w:t>
      </w:r>
    </w:p>
    <w:p w14:paraId="08F25C6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2.3.4 产品储存环境须干燥、通风、防潮、防腐蚀、防重压，避免产品结构变形、零部件损坏、表面氧化。</w:t>
      </w:r>
    </w:p>
    <w:p w14:paraId="1913EB8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2.3.5 生产现场须建立完善的安全生产管理制度，配备必要的安全防护设施，作业人员须持证上岗，杜绝安全生产事故。</w:t>
      </w:r>
    </w:p>
    <w:p w14:paraId="0221CC3C">
      <w:pPr>
        <w:pStyle w:val="3"/>
        <w:numPr>
          <w:ilvl w:val="1"/>
          <w:numId w:val="7"/>
        </w:numPr>
        <w:bidi w:val="0"/>
        <w:ind w:left="567" w:leftChars="0" w:hanging="567" w:firstLineChars="0"/>
        <w:rPr>
          <w:rFonts w:hint="eastAsia" w:ascii="黑体" w:hAnsi="黑体" w:eastAsia="黑体" w:cs="黑体"/>
          <w:color w:val="000000" w:themeColor="text1"/>
          <w:sz w:val="24"/>
          <w:szCs w:val="24"/>
          <w:highlight w:val="none"/>
          <w14:textFill>
            <w14:solidFill>
              <w14:schemeClr w14:val="tx1"/>
            </w14:solidFill>
          </w14:textFill>
        </w:rPr>
      </w:pPr>
      <w:bookmarkStart w:id="17" w:name="_Toc15800"/>
      <w:bookmarkStart w:id="18" w:name="_Toc19199"/>
      <w:bookmarkStart w:id="19" w:name="_Toc825"/>
      <w:r>
        <w:rPr>
          <w:rFonts w:hint="eastAsia" w:ascii="黑体" w:hAnsi="黑体" w:eastAsia="黑体" w:cs="黑体"/>
          <w:color w:val="000000" w:themeColor="text1"/>
          <w:sz w:val="24"/>
          <w:szCs w:val="24"/>
          <w:highlight w:val="none"/>
          <w:lang w:val="en-US" w:eastAsia="zh-CN"/>
          <w14:textFill>
            <w14:solidFill>
              <w14:schemeClr w14:val="tx1"/>
            </w14:solidFill>
          </w14:textFill>
        </w:rPr>
        <w:t>供货范围一览表</w:t>
      </w:r>
      <w:bookmarkEnd w:id="17"/>
      <w:bookmarkEnd w:id="18"/>
      <w:bookmarkEnd w:id="19"/>
    </w:p>
    <w:p w14:paraId="273A9008">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投标方提供的</w:t>
      </w:r>
      <w:r>
        <w:rPr>
          <w:rFonts w:hint="eastAsia" w:ascii="宋体" w:hAnsi="宋体" w:cs="宋体"/>
          <w:color w:val="000000" w:themeColor="text1"/>
          <w:sz w:val="21"/>
          <w:szCs w:val="21"/>
          <w:highlight w:val="none"/>
          <w:lang w:val="en-US" w:eastAsia="zh-CN"/>
          <w14:textFill>
            <w14:solidFill>
              <w14:schemeClr w14:val="tx1"/>
            </w14:solidFill>
          </w14:textFill>
        </w:rPr>
        <w:t>货物为</w:t>
      </w:r>
      <w:r>
        <w:rPr>
          <w:rFonts w:hint="eastAsia" w:ascii="宋体" w:hAnsi="宋体" w:cs="宋体"/>
          <w:color w:val="auto"/>
          <w:sz w:val="21"/>
          <w:szCs w:val="21"/>
          <w:lang w:eastAsia="zh-CN"/>
        </w:rPr>
        <w:t>微型轻量化超灵敏日盲紫外探测巡检装置</w:t>
      </w:r>
      <w:r>
        <w:rPr>
          <w:rFonts w:hint="eastAsia" w:ascii="宋体" w:hAnsi="宋体" w:cs="宋体"/>
          <w:color w:val="000000" w:themeColor="text1"/>
          <w:sz w:val="21"/>
          <w:szCs w:val="21"/>
          <w:highlight w:val="none"/>
          <w:lang w:val="en-US" w:eastAsia="zh-CN"/>
          <w14:textFill>
            <w14:solidFill>
              <w14:schemeClr w14:val="tx1"/>
            </w14:solidFill>
          </w14:textFill>
        </w:rPr>
        <w:t>成品，主要原材料以及规格参数见表2.1：</w:t>
      </w:r>
    </w:p>
    <w:p w14:paraId="535733AD">
      <w:pPr>
        <w:keepNext w:val="0"/>
        <w:keepLines w:val="0"/>
        <w:pageBreakBefore w:val="0"/>
        <w:widowControl w:val="0"/>
        <w:kinsoku/>
        <w:wordWrap/>
        <w:overflowPunct/>
        <w:topLinePunct w:val="0"/>
        <w:autoSpaceDE/>
        <w:autoSpaceDN/>
        <w:bidi w:val="0"/>
        <w:adjustRightInd/>
        <w:snapToGrid/>
        <w:spacing w:before="120" w:after="120" w:line="288" w:lineRule="auto"/>
        <w:ind w:firstLine="422" w:firstLineChars="200"/>
        <w:jc w:val="center"/>
        <w:textAlignment w:val="auto"/>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表2.1微型轻量化超灵敏日盲紫外探测巡检装置供货一览表</w:t>
      </w:r>
    </w:p>
    <w:tbl>
      <w:tblPr>
        <w:tblStyle w:val="28"/>
        <w:tblW w:w="0" w:type="auto"/>
        <w:jc w:val="center"/>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Layout w:type="autofit"/>
        <w:tblCellMar>
          <w:top w:w="0" w:type="dxa"/>
          <w:left w:w="108" w:type="dxa"/>
          <w:bottom w:w="0" w:type="dxa"/>
          <w:right w:w="108" w:type="dxa"/>
        </w:tblCellMar>
      </w:tblPr>
      <w:tblGrid>
        <w:gridCol w:w="396"/>
        <w:gridCol w:w="1531"/>
        <w:gridCol w:w="650"/>
        <w:gridCol w:w="2152"/>
        <w:gridCol w:w="706"/>
        <w:gridCol w:w="2025"/>
        <w:gridCol w:w="624"/>
      </w:tblGrid>
      <w:tr w14:paraId="0C05FF5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restart"/>
            <w:tcBorders>
              <w:top w:val="single" w:color="auto" w:sz="8" w:space="0"/>
              <w:left w:val="single" w:color="auto" w:sz="8" w:space="0"/>
              <w:right w:val="single" w:color="auto" w:sz="4" w:space="0"/>
            </w:tcBorders>
            <w:vAlign w:val="center"/>
          </w:tcPr>
          <w:p w14:paraId="5AA0C926">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序号</w:t>
            </w:r>
          </w:p>
        </w:tc>
        <w:tc>
          <w:tcPr>
            <w:tcW w:w="1531" w:type="dxa"/>
            <w:vMerge w:val="restart"/>
            <w:tcBorders>
              <w:top w:val="single" w:color="auto" w:sz="8" w:space="0"/>
              <w:left w:val="single" w:color="auto" w:sz="4" w:space="0"/>
              <w:right w:val="single" w:color="auto" w:sz="4" w:space="0"/>
            </w:tcBorders>
            <w:vAlign w:val="center"/>
          </w:tcPr>
          <w:p w14:paraId="61F07824">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cs="宋体"/>
                <w:color w:val="000000" w:themeColor="text1"/>
                <w:sz w:val="18"/>
                <w:szCs w:val="18"/>
                <w:highlight w:val="none"/>
                <w:vertAlign w:val="baseline"/>
                <w:lang w:val="en-US" w:eastAsia="zh-CN"/>
                <w14:textFill>
                  <w14:solidFill>
                    <w14:schemeClr w14:val="tx1"/>
                  </w14:solidFill>
                </w14:textFill>
              </w:rPr>
              <w:t>名称</w:t>
            </w:r>
          </w:p>
        </w:tc>
        <w:tc>
          <w:tcPr>
            <w:tcW w:w="650" w:type="dxa"/>
            <w:vMerge w:val="restart"/>
            <w:tcBorders>
              <w:top w:val="single" w:color="auto" w:sz="8" w:space="0"/>
              <w:left w:val="single" w:color="auto" w:sz="4" w:space="0"/>
              <w:right w:val="single" w:color="auto" w:sz="4" w:space="0"/>
            </w:tcBorders>
            <w:vAlign w:val="center"/>
          </w:tcPr>
          <w:p w14:paraId="02424C7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3"/>
                <w:sz w:val="18"/>
                <w:szCs w:val="18"/>
              </w:rPr>
            </w:pPr>
            <w:r>
              <w:rPr>
                <w:spacing w:val="-5"/>
                <w:sz w:val="18"/>
                <w:szCs w:val="18"/>
              </w:rPr>
              <w:t>单位</w:t>
            </w:r>
          </w:p>
        </w:tc>
        <w:tc>
          <w:tcPr>
            <w:tcW w:w="2858" w:type="dxa"/>
            <w:gridSpan w:val="2"/>
            <w:tcBorders>
              <w:top w:val="single" w:color="auto" w:sz="8" w:space="0"/>
              <w:left w:val="single" w:color="auto" w:sz="4" w:space="0"/>
              <w:bottom w:val="single" w:color="auto" w:sz="4" w:space="0"/>
              <w:right w:val="single" w:color="auto" w:sz="8" w:space="0"/>
            </w:tcBorders>
            <w:vAlign w:val="center"/>
          </w:tcPr>
          <w:p w14:paraId="557C425E">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rFonts w:hint="default" w:ascii="宋体" w:hAnsi="宋体" w:eastAsia="宋体" w:cs="宋体"/>
                <w:color w:val="000000" w:themeColor="text1"/>
                <w:sz w:val="18"/>
                <w:szCs w:val="18"/>
                <w:highlight w:val="none"/>
                <w:vertAlign w:val="baseline"/>
                <w14:textFill>
                  <w14:solidFill>
                    <w14:schemeClr w14:val="tx1"/>
                  </w14:solidFill>
                </w14:textFill>
              </w:rPr>
            </w:pPr>
            <w:r>
              <w:rPr>
                <w:rFonts w:hint="eastAsia"/>
                <w:spacing w:val="-3"/>
                <w:sz w:val="18"/>
                <w:szCs w:val="18"/>
                <w:lang w:val="en-US" w:eastAsia="zh-CN"/>
              </w:rPr>
              <w:t>项目要求</w:t>
            </w:r>
          </w:p>
        </w:tc>
        <w:tc>
          <w:tcPr>
            <w:tcW w:w="2649" w:type="dxa"/>
            <w:gridSpan w:val="2"/>
            <w:tcBorders>
              <w:top w:val="single" w:color="auto" w:sz="8" w:space="0"/>
              <w:left w:val="single" w:color="auto" w:sz="4" w:space="0"/>
              <w:bottom w:val="single" w:color="auto" w:sz="4" w:space="0"/>
              <w:right w:val="single" w:color="auto" w:sz="8" w:space="0"/>
            </w:tcBorders>
            <w:vAlign w:val="center"/>
          </w:tcPr>
          <w:p w14:paraId="798BB4A0">
            <w:pPr>
              <w:keepNext w:val="0"/>
              <w:keepLines w:val="0"/>
              <w:pageBreakBefore w:val="0"/>
              <w:widowControl w:val="0"/>
              <w:kinsoku/>
              <w:wordWrap/>
              <w:overflowPunct/>
              <w:topLinePunct w:val="0"/>
              <w:autoSpaceDE/>
              <w:autoSpaceDN/>
              <w:bidi w:val="0"/>
              <w:adjustRightInd/>
              <w:snapToGrid/>
              <w:spacing w:before="120" w:after="120" w:line="288" w:lineRule="auto"/>
              <w:jc w:val="center"/>
              <w:textAlignment w:val="auto"/>
              <w:rPr>
                <w:spacing w:val="-5"/>
                <w:sz w:val="18"/>
                <w:szCs w:val="18"/>
              </w:rPr>
            </w:pPr>
            <w:r>
              <w:rPr>
                <w:rFonts w:hint="eastAsia" w:ascii="宋体" w:hAnsi="宋体"/>
                <w:sz w:val="18"/>
                <w:szCs w:val="18"/>
              </w:rPr>
              <w:t>投标方保证</w:t>
            </w:r>
          </w:p>
        </w:tc>
      </w:tr>
      <w:tr w14:paraId="282E85FF">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vMerge w:val="continue"/>
            <w:tcBorders>
              <w:left w:val="single" w:color="auto" w:sz="8" w:space="0"/>
              <w:bottom w:val="single" w:color="auto" w:sz="4" w:space="0"/>
              <w:right w:val="single" w:color="auto" w:sz="4" w:space="0"/>
            </w:tcBorders>
            <w:vAlign w:val="center"/>
          </w:tcPr>
          <w:p w14:paraId="295EA526">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20" w:after="120" w:line="288" w:lineRule="auto"/>
              <w:ind w:leftChars="0"/>
              <w:jc w:val="both"/>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vMerge w:val="continue"/>
            <w:tcBorders>
              <w:left w:val="single" w:color="auto" w:sz="4" w:space="0"/>
              <w:bottom w:val="single" w:color="auto" w:sz="4" w:space="0"/>
              <w:right w:val="single" w:color="auto" w:sz="4" w:space="0"/>
            </w:tcBorders>
            <w:shd w:val="clear" w:color="auto" w:fill="auto"/>
            <w:vAlign w:val="center"/>
          </w:tcPr>
          <w:p w14:paraId="7CE0F6B1">
            <w:pPr>
              <w:widowControl w:val="0"/>
              <w:spacing w:before="72" w:line="220" w:lineRule="auto"/>
              <w:ind w:left="0" w:leftChars="0"/>
              <w:jc w:val="both"/>
              <w:rPr>
                <w:rFonts w:hint="eastAsia" w:ascii="宋体" w:hAnsi="宋体" w:eastAsia="宋体" w:cs="宋体"/>
                <w:kern w:val="2"/>
                <w:sz w:val="18"/>
                <w:szCs w:val="18"/>
                <w:lang w:val="en-US" w:eastAsia="en-US" w:bidi="ar-SA"/>
              </w:rPr>
            </w:pPr>
          </w:p>
        </w:tc>
        <w:tc>
          <w:tcPr>
            <w:tcW w:w="650" w:type="dxa"/>
            <w:vMerge w:val="continue"/>
            <w:tcBorders>
              <w:left w:val="single" w:color="auto" w:sz="4" w:space="0"/>
              <w:bottom w:val="single" w:color="auto" w:sz="4" w:space="0"/>
              <w:right w:val="single" w:color="auto" w:sz="4" w:space="0"/>
            </w:tcBorders>
            <w:shd w:val="clear" w:color="auto" w:fill="auto"/>
            <w:vAlign w:val="center"/>
          </w:tcPr>
          <w:p w14:paraId="02A3CED6">
            <w:pPr>
              <w:widowControl w:val="0"/>
              <w:spacing w:before="72" w:line="220" w:lineRule="auto"/>
              <w:ind w:left="0" w:leftChars="0"/>
              <w:jc w:val="center"/>
              <w:rPr>
                <w:rFonts w:hint="eastAsia" w:ascii="宋体" w:hAnsi="宋体" w:eastAsia="宋体" w:cs="宋体"/>
                <w:kern w:val="2"/>
                <w:sz w:val="18"/>
                <w:szCs w:val="18"/>
                <w:lang w:val="en-US" w:eastAsia="en-US" w:bidi="ar-SA"/>
              </w:rPr>
            </w:pP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10F040F3">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spacing w:val="-3"/>
                <w:sz w:val="18"/>
                <w:szCs w:val="18"/>
              </w:rPr>
              <w:t>规格型号</w:t>
            </w:r>
          </w:p>
        </w:tc>
        <w:tc>
          <w:tcPr>
            <w:tcW w:w="706" w:type="dxa"/>
            <w:tcBorders>
              <w:top w:val="single" w:color="auto" w:sz="4" w:space="0"/>
              <w:left w:val="single" w:color="auto" w:sz="4" w:space="0"/>
              <w:bottom w:val="single" w:color="auto" w:sz="4" w:space="0"/>
              <w:right w:val="single" w:color="auto" w:sz="8" w:space="0"/>
            </w:tcBorders>
            <w:vAlign w:val="center"/>
          </w:tcPr>
          <w:p w14:paraId="529D2722">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c>
          <w:tcPr>
            <w:tcW w:w="2025" w:type="dxa"/>
            <w:tcBorders>
              <w:top w:val="single" w:color="auto" w:sz="4" w:space="0"/>
              <w:left w:val="single" w:color="auto" w:sz="4" w:space="0"/>
              <w:bottom w:val="single" w:color="auto" w:sz="4" w:space="0"/>
              <w:right w:val="single" w:color="auto" w:sz="8" w:space="0"/>
            </w:tcBorders>
            <w:vAlign w:val="center"/>
          </w:tcPr>
          <w:p w14:paraId="42D20605">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3"/>
                <w:sz w:val="18"/>
                <w:szCs w:val="18"/>
              </w:rPr>
              <w:t>规格型号</w:t>
            </w:r>
          </w:p>
        </w:tc>
        <w:tc>
          <w:tcPr>
            <w:tcW w:w="624" w:type="dxa"/>
            <w:tcBorders>
              <w:top w:val="single" w:color="auto" w:sz="4" w:space="0"/>
              <w:left w:val="single" w:color="auto" w:sz="4" w:space="0"/>
              <w:bottom w:val="single" w:color="auto" w:sz="4" w:space="0"/>
              <w:right w:val="single" w:color="auto" w:sz="8" w:space="0"/>
            </w:tcBorders>
            <w:vAlign w:val="center"/>
          </w:tcPr>
          <w:p w14:paraId="3C9EE3D9">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spacing w:val="-5"/>
                <w:sz w:val="18"/>
                <w:szCs w:val="18"/>
              </w:rPr>
              <w:t>数量</w:t>
            </w:r>
          </w:p>
        </w:tc>
      </w:tr>
      <w:tr w14:paraId="6C54978D">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686D8089">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53E8458F">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紫外镜头</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6D56DA59">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个</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5E64F1A8">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尺寸</w:t>
            </w:r>
            <w:r>
              <w:rPr>
                <w:rFonts w:hint="eastAsia" w:ascii="宋体" w:hAnsi="宋体" w:cs="宋体"/>
                <w:kern w:val="2"/>
                <w:sz w:val="18"/>
                <w:szCs w:val="18"/>
                <w:lang w:val="en-US" w:eastAsia="zh-CN" w:bidi="ar-SA"/>
              </w:rPr>
              <w:t>：</w:t>
            </w:r>
            <w:r>
              <w:rPr>
                <w:rFonts w:hint="eastAsia" w:ascii="宋体" w:hAnsi="宋体" w:eastAsia="宋体" w:cs="宋体"/>
                <w:kern w:val="2"/>
                <w:sz w:val="18"/>
                <w:szCs w:val="18"/>
                <w:lang w:val="en-US" w:eastAsia="en-US" w:bidi="ar-SA"/>
              </w:rPr>
              <w:t>40mm</w:t>
            </w:r>
            <w:r>
              <w:rPr>
                <w:rFonts w:hint="eastAsia" w:ascii="宋体" w:hAnsi="宋体" w:cs="宋体"/>
                <w:kern w:val="2"/>
                <w:sz w:val="18"/>
                <w:szCs w:val="18"/>
                <w:lang w:val="en-US" w:eastAsia="zh-CN" w:bidi="ar-SA"/>
              </w:rPr>
              <w:t>，</w:t>
            </w:r>
            <w:r>
              <w:rPr>
                <w:rFonts w:hint="eastAsia" w:ascii="宋体" w:hAnsi="宋体" w:eastAsia="宋体" w:cs="宋体"/>
                <w:kern w:val="2"/>
                <w:sz w:val="18"/>
                <w:szCs w:val="18"/>
                <w:lang w:val="en-US" w:eastAsia="en-US" w:bidi="ar-SA"/>
              </w:rPr>
              <w:t>含滤光片</w:t>
            </w:r>
          </w:p>
        </w:tc>
        <w:tc>
          <w:tcPr>
            <w:tcW w:w="706" w:type="dxa"/>
            <w:tcBorders>
              <w:top w:val="single" w:color="auto" w:sz="4" w:space="0"/>
              <w:left w:val="single" w:color="auto" w:sz="4" w:space="0"/>
              <w:bottom w:val="single" w:color="auto" w:sz="4" w:space="0"/>
              <w:right w:val="single" w:color="auto" w:sz="8" w:space="0"/>
            </w:tcBorders>
            <w:vAlign w:val="center"/>
          </w:tcPr>
          <w:p w14:paraId="62A5561D">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73FE6380">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7C4904E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1E55BB81">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0E2CDF53">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B24E9E8">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紫外CMOS模组</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450C2BBD">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个</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71754B33">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17-1</w:t>
            </w:r>
            <w:r>
              <w:rPr>
                <w:rFonts w:hint="eastAsia" w:ascii="宋体" w:hAnsi="宋体" w:cs="宋体"/>
                <w:kern w:val="2"/>
                <w:sz w:val="18"/>
                <w:szCs w:val="18"/>
                <w:lang w:val="en-US" w:eastAsia="zh-CN" w:bidi="ar-SA"/>
              </w:rPr>
              <w:t>：</w:t>
            </w:r>
            <w:r>
              <w:rPr>
                <w:rFonts w:hint="eastAsia" w:ascii="宋体" w:hAnsi="宋体" w:eastAsia="宋体" w:cs="宋体"/>
                <w:kern w:val="2"/>
                <w:sz w:val="18"/>
                <w:szCs w:val="18"/>
                <w:lang w:val="en-US" w:eastAsia="en-US" w:bidi="ar-SA"/>
              </w:rPr>
              <w:t>波段240nm-280nm</w:t>
            </w:r>
          </w:p>
        </w:tc>
        <w:tc>
          <w:tcPr>
            <w:tcW w:w="706" w:type="dxa"/>
            <w:tcBorders>
              <w:top w:val="single" w:color="auto" w:sz="4" w:space="0"/>
              <w:left w:val="single" w:color="auto" w:sz="4" w:space="0"/>
              <w:bottom w:val="single" w:color="auto" w:sz="4" w:space="0"/>
              <w:right w:val="single" w:color="auto" w:sz="8" w:space="0"/>
            </w:tcBorders>
            <w:vAlign w:val="center"/>
          </w:tcPr>
          <w:p w14:paraId="17188EE6">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1ACD906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2E1AF37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00645A34">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6E1115F6">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0A240F68">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可见光广角CMOS模组</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047DE58F">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个</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1A4FF569">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OV02K10 4800万px</w:t>
            </w:r>
          </w:p>
        </w:tc>
        <w:tc>
          <w:tcPr>
            <w:tcW w:w="706" w:type="dxa"/>
            <w:tcBorders>
              <w:top w:val="single" w:color="auto" w:sz="4" w:space="0"/>
              <w:left w:val="single" w:color="auto" w:sz="4" w:space="0"/>
              <w:bottom w:val="single" w:color="auto" w:sz="4" w:space="0"/>
              <w:right w:val="single" w:color="auto" w:sz="8" w:space="0"/>
            </w:tcBorders>
            <w:vAlign w:val="center"/>
          </w:tcPr>
          <w:p w14:paraId="507A3624">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1E636291">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62342FD0">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579E1CA6">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29CE4DCB">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6FB2C98B">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云台电机</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5ACA5135">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个</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27D61BBF">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2804无刷电机</w:t>
            </w:r>
          </w:p>
        </w:tc>
        <w:tc>
          <w:tcPr>
            <w:tcW w:w="706" w:type="dxa"/>
            <w:tcBorders>
              <w:top w:val="single" w:color="auto" w:sz="4" w:space="0"/>
              <w:left w:val="single" w:color="auto" w:sz="4" w:space="0"/>
              <w:bottom w:val="single" w:color="auto" w:sz="4" w:space="0"/>
              <w:right w:val="single" w:color="auto" w:sz="8" w:space="0"/>
            </w:tcBorders>
            <w:vAlign w:val="center"/>
          </w:tcPr>
          <w:p w14:paraId="14BE0C7A">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57CB450F">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32F2F9A4">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6598E91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6B81C09E">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4E98BC09">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智能计算模组</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226389DD">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个</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5F2D4820">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含AI芯片</w:t>
            </w:r>
            <w:r>
              <w:rPr>
                <w:rFonts w:hint="eastAsia" w:ascii="宋体" w:hAnsi="宋体" w:cs="宋体"/>
                <w:kern w:val="2"/>
                <w:sz w:val="18"/>
                <w:szCs w:val="18"/>
                <w:lang w:val="en-US" w:eastAsia="zh-CN" w:bidi="ar-SA"/>
              </w:rPr>
              <w:t>，</w:t>
            </w:r>
            <w:r>
              <w:rPr>
                <w:rFonts w:hint="eastAsia" w:ascii="宋体" w:hAnsi="宋体" w:eastAsia="宋体" w:cs="宋体"/>
                <w:kern w:val="2"/>
                <w:sz w:val="18"/>
                <w:szCs w:val="18"/>
                <w:lang w:val="en-US" w:eastAsia="en-US" w:bidi="ar-SA"/>
              </w:rPr>
              <w:t>算力≥6TRK3588</w:t>
            </w:r>
          </w:p>
        </w:tc>
        <w:tc>
          <w:tcPr>
            <w:tcW w:w="706" w:type="dxa"/>
            <w:tcBorders>
              <w:top w:val="single" w:color="auto" w:sz="4" w:space="0"/>
              <w:left w:val="single" w:color="auto" w:sz="4" w:space="0"/>
              <w:bottom w:val="single" w:color="auto" w:sz="4" w:space="0"/>
              <w:right w:val="single" w:color="auto" w:sz="8" w:space="0"/>
            </w:tcBorders>
            <w:vAlign w:val="center"/>
          </w:tcPr>
          <w:p w14:paraId="627C1F14">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32749B0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202DC0A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6E766D92">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7E9FCD9D">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8CB6412">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PCB 电路板</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2114A608">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zh-CN" w:bidi="ar-SA"/>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669EAA43">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ZW_PRY</w:t>
            </w:r>
          </w:p>
        </w:tc>
        <w:tc>
          <w:tcPr>
            <w:tcW w:w="706" w:type="dxa"/>
            <w:tcBorders>
              <w:top w:val="single" w:color="auto" w:sz="4" w:space="0"/>
              <w:left w:val="single" w:color="auto" w:sz="4" w:space="0"/>
              <w:bottom w:val="single" w:color="auto" w:sz="4" w:space="0"/>
              <w:right w:val="single" w:color="auto" w:sz="8" w:space="0"/>
            </w:tcBorders>
            <w:vAlign w:val="center"/>
          </w:tcPr>
          <w:p w14:paraId="0AE8A09D">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510325A9">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129962B7">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7F1A4D4E">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2BF28B3B">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36BD5C4D">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外壳结构件</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53A50F53">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zh-CN" w:bidi="ar-SA"/>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2918E6FE">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镁合金</w:t>
            </w:r>
          </w:p>
        </w:tc>
        <w:tc>
          <w:tcPr>
            <w:tcW w:w="706" w:type="dxa"/>
            <w:tcBorders>
              <w:top w:val="single" w:color="auto" w:sz="4" w:space="0"/>
              <w:left w:val="single" w:color="auto" w:sz="4" w:space="0"/>
              <w:bottom w:val="single" w:color="auto" w:sz="4" w:space="0"/>
              <w:right w:val="single" w:color="auto" w:sz="8" w:space="0"/>
            </w:tcBorders>
            <w:vAlign w:val="center"/>
          </w:tcPr>
          <w:p w14:paraId="69C67191">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0A4C5A0E">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6264E48A">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01379BFB">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1BA28FD6">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F8E8968">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接口线缆</w:t>
            </w:r>
          </w:p>
        </w:tc>
        <w:tc>
          <w:tcPr>
            <w:tcW w:w="650" w:type="dxa"/>
            <w:tcBorders>
              <w:top w:val="single" w:color="auto" w:sz="4" w:space="0"/>
              <w:left w:val="single" w:color="auto" w:sz="4" w:space="0"/>
              <w:bottom w:val="single" w:color="auto" w:sz="4" w:space="0"/>
              <w:right w:val="single" w:color="auto" w:sz="4" w:space="0"/>
            </w:tcBorders>
            <w:shd w:val="clear" w:color="auto" w:fill="auto"/>
            <w:vAlign w:val="center"/>
          </w:tcPr>
          <w:p w14:paraId="6BFC0682">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zh-CN" w:bidi="ar-SA"/>
              </w:rPr>
              <w:t>套</w:t>
            </w:r>
          </w:p>
        </w:tc>
        <w:tc>
          <w:tcPr>
            <w:tcW w:w="2152" w:type="dxa"/>
            <w:tcBorders>
              <w:top w:val="single" w:color="auto" w:sz="4" w:space="0"/>
              <w:left w:val="single" w:color="auto" w:sz="4" w:space="0"/>
              <w:bottom w:val="single" w:color="auto" w:sz="4" w:space="0"/>
              <w:right w:val="single" w:color="auto" w:sz="4" w:space="0"/>
            </w:tcBorders>
            <w:shd w:val="clear" w:color="auto" w:fill="auto"/>
            <w:vAlign w:val="center"/>
          </w:tcPr>
          <w:p w14:paraId="4FA0DA87">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E-port、PSDK</w:t>
            </w:r>
          </w:p>
        </w:tc>
        <w:tc>
          <w:tcPr>
            <w:tcW w:w="706" w:type="dxa"/>
            <w:tcBorders>
              <w:top w:val="single" w:color="auto" w:sz="4" w:space="0"/>
              <w:left w:val="single" w:color="auto" w:sz="4" w:space="0"/>
              <w:bottom w:val="single" w:color="auto" w:sz="4" w:space="0"/>
              <w:right w:val="single" w:color="auto" w:sz="8" w:space="0"/>
            </w:tcBorders>
            <w:vAlign w:val="center"/>
          </w:tcPr>
          <w:p w14:paraId="01E272CF">
            <w:pPr>
              <w:widowControl w:val="0"/>
              <w:spacing w:before="72" w:line="220" w:lineRule="auto"/>
              <w:ind w:left="0" w:leftChars="0"/>
              <w:jc w:val="center"/>
              <w:rPr>
                <w:rFonts w:hint="default"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vAlign w:val="center"/>
          </w:tcPr>
          <w:p w14:paraId="303FB924">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vAlign w:val="center"/>
          </w:tcPr>
          <w:p w14:paraId="04D718AA">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r w14:paraId="39659FD5">
        <w:tblPrEx>
          <w:tblBorders>
            <w:top w:val="single" w:color="auto" w:sz="4" w:space="0"/>
            <w:left w:val="single" w:color="000000" w:themeColor="text1" w:sz="4" w:space="0"/>
            <w:bottom w:val="single" w:color="auto" w:sz="4" w:space="0"/>
            <w:right w:val="single" w:color="000000" w:themeColor="text1" w:sz="4" w:space="0"/>
            <w:insideH w:val="single" w:color="auto" w:sz="4" w:space="0"/>
            <w:insideV w:val="single" w:color="000000" w:themeColor="text1" w:sz="4" w:space="0"/>
          </w:tblBorders>
          <w:tblCellMar>
            <w:top w:w="0" w:type="dxa"/>
            <w:left w:w="108" w:type="dxa"/>
            <w:bottom w:w="0" w:type="dxa"/>
            <w:right w:w="108" w:type="dxa"/>
          </w:tblCellMar>
        </w:tblPrEx>
        <w:trPr>
          <w:jc w:val="center"/>
        </w:trPr>
        <w:tc>
          <w:tcPr>
            <w:tcW w:w="396" w:type="dxa"/>
            <w:tcBorders>
              <w:top w:val="single" w:color="auto" w:sz="4" w:space="0"/>
              <w:left w:val="single" w:color="auto" w:sz="8" w:space="0"/>
              <w:bottom w:val="single" w:color="auto" w:sz="4" w:space="0"/>
              <w:right w:val="single" w:color="auto" w:sz="4" w:space="0"/>
            </w:tcBorders>
            <w:vAlign w:val="center"/>
          </w:tcPr>
          <w:p w14:paraId="7A6DBFFD">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0" w:leftChars="0" w:firstLine="0" w:firstLineChars="0"/>
              <w:jc w:val="center"/>
              <w:textAlignment w:val="auto"/>
              <w:rPr>
                <w:rFonts w:hint="eastAsia" w:ascii="宋体" w:hAnsi="宋体" w:eastAsia="宋体" w:cs="宋体"/>
                <w:color w:val="000000" w:themeColor="text1"/>
                <w:sz w:val="18"/>
                <w:szCs w:val="18"/>
                <w:highlight w:val="none"/>
                <w:vertAlign w:val="baseline"/>
                <w14:textFill>
                  <w14:solidFill>
                    <w14:schemeClr w14:val="tx1"/>
                  </w14:solidFill>
                </w14:textFill>
              </w:rPr>
            </w:pPr>
          </w:p>
        </w:tc>
        <w:tc>
          <w:tcPr>
            <w:tcW w:w="1531" w:type="dxa"/>
            <w:tcBorders>
              <w:top w:val="single" w:color="auto" w:sz="4" w:space="0"/>
              <w:left w:val="single" w:color="auto" w:sz="4" w:space="0"/>
              <w:bottom w:val="single" w:color="auto" w:sz="4" w:space="0"/>
              <w:right w:val="single" w:color="auto" w:sz="4" w:space="0"/>
            </w:tcBorders>
            <w:vAlign w:val="center"/>
          </w:tcPr>
          <w:p w14:paraId="5290723C">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紧固件</w:t>
            </w:r>
          </w:p>
        </w:tc>
        <w:tc>
          <w:tcPr>
            <w:tcW w:w="650" w:type="dxa"/>
            <w:tcBorders>
              <w:top w:val="single" w:color="auto" w:sz="4" w:space="0"/>
              <w:left w:val="single" w:color="auto" w:sz="4" w:space="0"/>
              <w:bottom w:val="single" w:color="auto" w:sz="4" w:space="0"/>
              <w:right w:val="single" w:color="auto" w:sz="4" w:space="0"/>
            </w:tcBorders>
            <w:vAlign w:val="center"/>
          </w:tcPr>
          <w:p w14:paraId="1298C46D">
            <w:pPr>
              <w:widowControl w:val="0"/>
              <w:spacing w:before="72" w:line="220" w:lineRule="auto"/>
              <w:ind w:left="0" w:leftChars="0"/>
              <w:jc w:val="center"/>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zh-CN" w:bidi="ar-SA"/>
              </w:rPr>
              <w:t>套</w:t>
            </w:r>
          </w:p>
        </w:tc>
        <w:tc>
          <w:tcPr>
            <w:tcW w:w="2152" w:type="dxa"/>
            <w:tcBorders>
              <w:top w:val="single" w:color="auto" w:sz="4" w:space="0"/>
              <w:left w:val="single" w:color="auto" w:sz="4" w:space="0"/>
              <w:bottom w:val="single" w:color="auto" w:sz="4" w:space="0"/>
              <w:right w:val="single" w:color="auto" w:sz="4" w:space="0"/>
            </w:tcBorders>
            <w:vAlign w:val="center"/>
          </w:tcPr>
          <w:p w14:paraId="29C0969F">
            <w:pPr>
              <w:widowControl w:val="0"/>
              <w:spacing w:before="72" w:line="220" w:lineRule="auto"/>
              <w:ind w:left="0" w:leftChars="0"/>
              <w:jc w:val="both"/>
              <w:rPr>
                <w:rFonts w:hint="eastAsia" w:ascii="宋体" w:hAnsi="宋体" w:eastAsia="宋体" w:cs="宋体"/>
                <w:kern w:val="2"/>
                <w:sz w:val="18"/>
                <w:szCs w:val="18"/>
                <w:lang w:val="en-US" w:eastAsia="en-US" w:bidi="ar-SA"/>
              </w:rPr>
            </w:pPr>
            <w:r>
              <w:rPr>
                <w:rFonts w:hint="eastAsia" w:ascii="宋体" w:hAnsi="宋体" w:eastAsia="宋体" w:cs="宋体"/>
                <w:kern w:val="2"/>
                <w:sz w:val="18"/>
                <w:szCs w:val="18"/>
                <w:lang w:val="en-US" w:eastAsia="en-US" w:bidi="ar-SA"/>
              </w:rPr>
              <w:t>镁合金</w:t>
            </w:r>
          </w:p>
        </w:tc>
        <w:tc>
          <w:tcPr>
            <w:tcW w:w="706" w:type="dxa"/>
            <w:tcBorders>
              <w:top w:val="single" w:color="auto" w:sz="4" w:space="0"/>
              <w:left w:val="single" w:color="auto" w:sz="4" w:space="0"/>
              <w:bottom w:val="single" w:color="auto" w:sz="4" w:space="0"/>
              <w:right w:val="single" w:color="auto" w:sz="8" w:space="0"/>
            </w:tcBorders>
            <w:shd w:val="clear" w:color="auto" w:fill="auto"/>
            <w:vAlign w:val="center"/>
          </w:tcPr>
          <w:p w14:paraId="533D4B73">
            <w:pPr>
              <w:widowControl w:val="0"/>
              <w:spacing w:before="72" w:line="220" w:lineRule="auto"/>
              <w:ind w:left="0" w:leftChars="0"/>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1</w:t>
            </w:r>
          </w:p>
        </w:tc>
        <w:tc>
          <w:tcPr>
            <w:tcW w:w="2025" w:type="dxa"/>
            <w:tcBorders>
              <w:top w:val="single" w:color="auto" w:sz="4" w:space="0"/>
              <w:left w:val="single" w:color="auto" w:sz="4" w:space="0"/>
              <w:bottom w:val="single" w:color="auto" w:sz="4" w:space="0"/>
              <w:right w:val="single" w:color="auto" w:sz="8" w:space="0"/>
            </w:tcBorders>
            <w:shd w:val="clear" w:color="auto" w:fill="auto"/>
            <w:vAlign w:val="center"/>
          </w:tcPr>
          <w:p w14:paraId="76DF4411">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c>
          <w:tcPr>
            <w:tcW w:w="624" w:type="dxa"/>
            <w:tcBorders>
              <w:top w:val="single" w:color="auto" w:sz="4" w:space="0"/>
              <w:left w:val="single" w:color="auto" w:sz="4" w:space="0"/>
              <w:bottom w:val="single" w:color="auto" w:sz="4" w:space="0"/>
              <w:right w:val="single" w:color="auto" w:sz="8" w:space="0"/>
            </w:tcBorders>
            <w:shd w:val="clear" w:color="auto" w:fill="auto"/>
            <w:vAlign w:val="center"/>
          </w:tcPr>
          <w:p w14:paraId="1B11947B">
            <w:pPr>
              <w:widowControl w:val="0"/>
              <w:spacing w:before="72" w:line="220" w:lineRule="auto"/>
              <w:ind w:left="0" w:leftChars="0"/>
              <w:jc w:val="center"/>
              <w:rPr>
                <w:rFonts w:hint="eastAsia" w:ascii="宋体" w:hAnsi="宋体" w:eastAsia="宋体" w:cs="宋体"/>
                <w:kern w:val="2"/>
                <w:sz w:val="18"/>
                <w:szCs w:val="18"/>
                <w:lang w:val="en-US" w:eastAsia="zh-CN" w:bidi="ar-SA"/>
              </w:rPr>
            </w:pPr>
          </w:p>
        </w:tc>
      </w:tr>
    </w:tbl>
    <w:p w14:paraId="201A563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p>
    <w:p w14:paraId="3B05DF22">
      <w:pPr>
        <w:pStyle w:val="2"/>
        <w:numPr>
          <w:ilvl w:val="0"/>
          <w:numId w:val="0"/>
        </w:numPr>
        <w:bidi w:val="0"/>
        <w:ind w:leftChars="0"/>
        <w:rPr>
          <w:rFonts w:hint="eastAsia" w:ascii="宋体" w:hAnsi="宋体" w:eastAsia="宋体" w:cs="宋体"/>
          <w:color w:val="auto"/>
          <w:sz w:val="24"/>
          <w:szCs w:val="24"/>
        </w:rPr>
      </w:pPr>
      <w:bookmarkStart w:id="20" w:name="_Toc6474"/>
      <w:r>
        <w:rPr>
          <w:rFonts w:hint="default" w:ascii="Times New Roman" w:hAnsi="Times New Roman" w:cs="Times New Roman"/>
          <w:color w:val="auto"/>
          <w:sz w:val="24"/>
          <w:szCs w:val="24"/>
          <w:lang w:val="en-US" w:eastAsia="zh-CN"/>
        </w:rPr>
        <w:t>3</w:t>
      </w:r>
      <w:r>
        <w:rPr>
          <w:rFonts w:hint="eastAsia" w:ascii="宋体" w:hAnsi="宋体" w:eastAsia="宋体" w:cs="宋体"/>
          <w:color w:val="auto"/>
          <w:sz w:val="24"/>
          <w:szCs w:val="24"/>
        </w:rPr>
        <w:t>代加工范围及内容</w:t>
      </w:r>
      <w:bookmarkEnd w:id="20"/>
    </w:p>
    <w:p w14:paraId="2ADFC9CF">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本次框架采购代加工范围涵盖</w:t>
      </w:r>
      <w:r>
        <w:rPr>
          <w:rFonts w:hint="eastAsia" w:ascii="宋体" w:hAnsi="宋体" w:cs="宋体"/>
          <w:color w:val="auto"/>
          <w:sz w:val="21"/>
          <w:szCs w:val="21"/>
          <w:lang w:eastAsia="zh-CN"/>
        </w:rPr>
        <w:t>微型轻量化超灵敏日盲紫外探测巡检装置</w:t>
      </w:r>
      <w:r>
        <w:rPr>
          <w:rFonts w:hint="eastAsia" w:ascii="宋体" w:hAnsi="宋体" w:eastAsia="宋体" w:cs="宋体"/>
          <w:color w:val="auto"/>
          <w:sz w:val="21"/>
          <w:szCs w:val="21"/>
        </w:rPr>
        <w:t>的全部生产加工及相关配套服务，具体内容如下：</w:t>
      </w:r>
    </w:p>
    <w:p w14:paraId="3FAA977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3.1原材料采购：代加工方负责采购产品生产所需的全部原材料、零部件，包括但不限于：紫外镜头（含滤光片）、紫外CMOS模组、可见光广角CMOS模组、云台电机（无刷电机）、智能计算模组（含AI芯片，算力≥6T）、PCB电路板、</w:t>
      </w:r>
      <w:r>
        <w:rPr>
          <w:rFonts w:hint="eastAsia" w:ascii="宋体" w:hAnsi="宋体" w:eastAsia="宋体" w:cs="宋体"/>
          <w:color w:val="auto"/>
          <w:sz w:val="21"/>
          <w:szCs w:val="21"/>
          <w:highlight w:val="none"/>
        </w:rPr>
        <w:t>外壳结构件（铝合金或复合材料）、</w:t>
      </w:r>
      <w:r>
        <w:rPr>
          <w:rFonts w:hint="eastAsia" w:ascii="宋体" w:hAnsi="宋体" w:eastAsia="宋体" w:cs="宋体"/>
          <w:color w:val="auto"/>
          <w:sz w:val="21"/>
          <w:szCs w:val="21"/>
        </w:rPr>
        <w:t>接口线缆（E-port、PSDK）、紧固件等，所有原材料须符合本规范及招标人要求。</w:t>
      </w:r>
    </w:p>
    <w:p w14:paraId="491AB53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3.2生产加工：按照招标人提供的技术图纸、加工工艺要求，完成PCBA贴片焊接、光学镜头组装、云台总成装配、整机集成、固件烧录、调焦校准、老化测试等全部生产加工工序。</w:t>
      </w:r>
    </w:p>
    <w:p w14:paraId="20B9F35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3.3 质量检验：负责原材料检验、过程检验、出厂检验</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rPr>
        <w:t>等全流程检验工作，出具检验报告，确保产品质量符合标准。</w:t>
      </w:r>
    </w:p>
    <w:p w14:paraId="79523A4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3.4 包装交付：按照本规范要求，完成产品的包装、标识，按订单要求将产品运输至招标人指定地点，承担全部运输、装卸费用及风险。</w:t>
      </w:r>
    </w:p>
    <w:p w14:paraId="5831FE0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3.5 技术资料交付：随货交付产品出厂合格证、检验报告、使用说明书、零部件清单、质保卡等全套技术资料，满足招标人验收及使用需求。</w:t>
      </w:r>
    </w:p>
    <w:p w14:paraId="0A73D37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3.6 技术服务及培训：提供安装调试指导、操作培训、售后技术支持、故障处理等服务，配合招标人完成产品验收工作。</w:t>
      </w:r>
    </w:p>
    <w:p w14:paraId="3F5D155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3.7 售后保障：按照本规范及框架协议约定，提供产品质保、维修、配件供应等售后保障服务。</w:t>
      </w:r>
    </w:p>
    <w:p w14:paraId="19B1558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3.8 框架合作配合：配合招标人完成订单下达、质量抽查、产能验证、工艺核查等工作，提供必要的生产记录、检验报告等资料。</w:t>
      </w:r>
    </w:p>
    <w:p w14:paraId="39F31B16">
      <w:pPr>
        <w:pStyle w:val="2"/>
        <w:numPr>
          <w:ilvl w:val="0"/>
          <w:numId w:val="0"/>
        </w:numPr>
        <w:bidi w:val="0"/>
        <w:ind w:leftChars="0"/>
        <w:rPr>
          <w:rFonts w:hint="eastAsia" w:ascii="宋体" w:hAnsi="宋体" w:eastAsia="宋体" w:cs="宋体"/>
          <w:color w:val="auto"/>
          <w:sz w:val="24"/>
          <w:szCs w:val="24"/>
        </w:rPr>
      </w:pPr>
      <w:bookmarkStart w:id="21" w:name="_Toc26889"/>
      <w:r>
        <w:rPr>
          <w:rFonts w:hint="default" w:ascii="Times New Roman" w:hAnsi="Times New Roman" w:cs="Times New Roman"/>
          <w:color w:val="auto"/>
          <w:sz w:val="24"/>
          <w:szCs w:val="24"/>
          <w:lang w:val="en-US" w:eastAsia="zh-CN"/>
        </w:rPr>
        <w:t>4</w:t>
      </w:r>
      <w:r>
        <w:rPr>
          <w:rFonts w:hint="eastAsia" w:ascii="宋体" w:hAnsi="宋体" w:eastAsia="宋体" w:cs="宋体"/>
          <w:color w:val="auto"/>
          <w:sz w:val="24"/>
          <w:szCs w:val="24"/>
        </w:rPr>
        <w:t>详细技术及代加工要求</w:t>
      </w:r>
      <w:bookmarkEnd w:id="21"/>
    </w:p>
    <w:p w14:paraId="19A577B8">
      <w:pPr>
        <w:pStyle w:val="3"/>
        <w:numPr>
          <w:ilvl w:val="1"/>
          <w:numId w:val="0"/>
        </w:numPr>
        <w:bidi w:val="0"/>
        <w:ind w:leftChars="0"/>
        <w:rPr>
          <w:rFonts w:hint="eastAsia" w:ascii="黑体" w:hAnsi="黑体" w:eastAsia="黑体" w:cs="黑体"/>
          <w:color w:val="auto"/>
          <w:sz w:val="24"/>
          <w:szCs w:val="24"/>
        </w:rPr>
      </w:pPr>
      <w:bookmarkStart w:id="22" w:name="_Toc13093"/>
      <w:r>
        <w:rPr>
          <w:rFonts w:hint="default" w:ascii="Times New Roman" w:hAnsi="Times New Roman" w:eastAsia="黑体" w:cs="Times New Roman"/>
          <w:color w:val="auto"/>
          <w:sz w:val="24"/>
          <w:szCs w:val="24"/>
        </w:rPr>
        <w:t xml:space="preserve">4.1 </w:t>
      </w:r>
      <w:r>
        <w:rPr>
          <w:rFonts w:hint="eastAsia" w:ascii="黑体" w:hAnsi="黑体" w:eastAsia="黑体" w:cs="黑体"/>
          <w:color w:val="auto"/>
          <w:sz w:val="24"/>
          <w:szCs w:val="24"/>
        </w:rPr>
        <w:t>代加工生产能力要求</w:t>
      </w:r>
      <w:bookmarkEnd w:id="22"/>
    </w:p>
    <w:p w14:paraId="6673F73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4.1.1 代加工方须具备</w:t>
      </w:r>
      <w:r>
        <w:rPr>
          <w:rFonts w:hint="eastAsia" w:ascii="宋体" w:hAnsi="宋体" w:cs="宋体"/>
          <w:color w:val="auto"/>
          <w:sz w:val="21"/>
          <w:szCs w:val="21"/>
          <w:lang w:val="en-US" w:eastAsia="zh-CN"/>
        </w:rPr>
        <w:t>以下设备：</w:t>
      </w:r>
      <w:r>
        <w:rPr>
          <w:rFonts w:hint="eastAsia" w:ascii="宋体" w:hAnsi="宋体" w:eastAsia="宋体" w:cs="宋体"/>
          <w:color w:val="auto"/>
          <w:sz w:val="21"/>
          <w:szCs w:val="21"/>
        </w:rPr>
        <w:t>绝缘电阻测试仪≥1台、高低温试验箱≥1台、示波器≥1台，3D打印机≥1台，黑体辐射源≥1台</w:t>
      </w:r>
      <w:r>
        <w:rPr>
          <w:rFonts w:hint="eastAsia" w:ascii="宋体" w:hAnsi="宋体" w:cs="宋体"/>
          <w:color w:val="auto"/>
          <w:sz w:val="21"/>
          <w:szCs w:val="21"/>
          <w:lang w:eastAsia="zh-CN"/>
        </w:rPr>
        <w:t>。</w:t>
      </w:r>
    </w:p>
    <w:p w14:paraId="563C474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bookmarkStart w:id="23" w:name="_Toc6965"/>
      <w:r>
        <w:rPr>
          <w:rFonts w:hint="eastAsia" w:ascii="宋体" w:hAnsi="宋体" w:eastAsia="宋体" w:cs="宋体"/>
          <w:color w:val="000000" w:themeColor="text1"/>
          <w:sz w:val="21"/>
          <w:szCs w:val="21"/>
          <w14:textFill>
            <w14:solidFill>
              <w14:schemeClr w14:val="tx1"/>
            </w14:solidFill>
          </w14:textFill>
        </w:rPr>
        <w:t>4.1.</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代加工方须</w:t>
      </w:r>
      <w:r>
        <w:rPr>
          <w:rFonts w:hint="eastAsia" w:ascii="宋体" w:hAnsi="宋体" w:cs="宋体"/>
          <w:color w:val="000000" w:themeColor="text1"/>
          <w:sz w:val="21"/>
          <w:szCs w:val="21"/>
          <w:highlight w:val="none"/>
          <w:lang w:val="en-US" w:eastAsia="zh-CN"/>
          <w14:textFill>
            <w14:solidFill>
              <w14:schemeClr w14:val="tx1"/>
            </w14:solidFill>
          </w14:textFill>
        </w:rPr>
        <w:t>为本项目</w:t>
      </w:r>
      <w:r>
        <w:rPr>
          <w:rFonts w:hint="eastAsia" w:ascii="宋体" w:hAnsi="宋体" w:eastAsia="宋体" w:cs="宋体"/>
          <w:color w:val="000000" w:themeColor="text1"/>
          <w:sz w:val="21"/>
          <w:szCs w:val="21"/>
          <w:highlight w:val="none"/>
          <w14:textFill>
            <w14:solidFill>
              <w14:schemeClr w14:val="tx1"/>
            </w14:solidFill>
          </w14:textFill>
        </w:rPr>
        <w:t>配备</w:t>
      </w:r>
      <w:r>
        <w:rPr>
          <w:rFonts w:hint="eastAsia" w:ascii="宋体" w:hAnsi="宋体" w:cs="宋体"/>
          <w:color w:val="000000" w:themeColor="text1"/>
          <w:sz w:val="21"/>
          <w:szCs w:val="21"/>
          <w:highlight w:val="none"/>
          <w:lang w:val="en-US" w:eastAsia="zh-CN"/>
          <w14:textFill>
            <w14:solidFill>
              <w14:schemeClr w14:val="tx1"/>
            </w14:solidFill>
          </w14:textFill>
        </w:rPr>
        <w:t>不少于12人的生产</w:t>
      </w:r>
      <w:r>
        <w:rPr>
          <w:rFonts w:hint="eastAsia" w:ascii="宋体" w:hAnsi="宋体" w:eastAsia="宋体" w:cs="宋体"/>
          <w:color w:val="000000" w:themeColor="text1"/>
          <w:sz w:val="21"/>
          <w:szCs w:val="21"/>
          <w:highlight w:val="none"/>
          <w14:textFill>
            <w14:solidFill>
              <w14:schemeClr w14:val="tx1"/>
            </w14:solidFill>
          </w14:textFill>
        </w:rPr>
        <w:t>团队，</w:t>
      </w:r>
      <w:r>
        <w:rPr>
          <w:rFonts w:hint="eastAsia" w:ascii="宋体" w:hAnsi="宋体" w:cs="宋体"/>
          <w:color w:val="000000" w:themeColor="text1"/>
          <w:sz w:val="21"/>
          <w:szCs w:val="21"/>
          <w:highlight w:val="none"/>
          <w:lang w:val="en-US" w:eastAsia="zh-CN"/>
          <w14:textFill>
            <w14:solidFill>
              <w14:schemeClr w14:val="tx1"/>
            </w14:solidFill>
          </w14:textFill>
        </w:rPr>
        <w:t>并</w:t>
      </w:r>
      <w:r>
        <w:rPr>
          <w:rFonts w:hint="eastAsia" w:ascii="宋体" w:hAnsi="宋体" w:eastAsia="宋体" w:cs="宋体"/>
          <w:color w:val="000000" w:themeColor="text1"/>
          <w:sz w:val="21"/>
          <w:szCs w:val="21"/>
          <w:highlight w:val="none"/>
          <w14:textFill>
            <w14:solidFill>
              <w14:schemeClr w14:val="tx1"/>
            </w14:solidFill>
          </w14:textFill>
        </w:rPr>
        <w:t>熟练掌握生产加工工艺。</w:t>
      </w:r>
    </w:p>
    <w:p w14:paraId="44792E3F">
      <w:pPr>
        <w:pStyle w:val="3"/>
        <w:numPr>
          <w:ilvl w:val="1"/>
          <w:numId w:val="0"/>
        </w:numPr>
        <w:bidi w:val="0"/>
        <w:ind w:leftChars="0"/>
        <w:rPr>
          <w:rFonts w:hint="eastAsia" w:ascii="黑体" w:hAnsi="黑体" w:eastAsia="黑体" w:cs="黑体"/>
          <w:color w:val="auto"/>
          <w:sz w:val="24"/>
          <w:szCs w:val="24"/>
        </w:rPr>
      </w:pPr>
      <w:r>
        <w:rPr>
          <w:rFonts w:hint="default" w:ascii="Times New Roman" w:hAnsi="Times New Roman" w:eastAsia="黑体" w:cs="Times New Roman"/>
          <w:color w:val="auto"/>
          <w:sz w:val="24"/>
          <w:szCs w:val="24"/>
          <w:lang w:val="en-US" w:eastAsia="zh-CN"/>
        </w:rPr>
        <w:t>4.2</w:t>
      </w:r>
      <w:r>
        <w:rPr>
          <w:rFonts w:hint="eastAsia" w:ascii="黑体" w:hAnsi="黑体" w:eastAsia="黑体" w:cs="黑体"/>
          <w:color w:val="auto"/>
          <w:sz w:val="24"/>
          <w:szCs w:val="24"/>
        </w:rPr>
        <w:t>原材料采购及管控要求</w:t>
      </w:r>
      <w:bookmarkEnd w:id="23"/>
    </w:p>
    <w:p w14:paraId="4A7484D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4.2.1 </w:t>
      </w:r>
      <w:r>
        <w:rPr>
          <w:rFonts w:hint="eastAsia" w:ascii="宋体" w:hAnsi="宋体" w:eastAsia="宋体" w:cs="宋体"/>
          <w:color w:val="000000" w:themeColor="text1"/>
          <w:sz w:val="21"/>
          <w:szCs w:val="21"/>
          <w14:textFill>
            <w14:solidFill>
              <w14:schemeClr w14:val="tx1"/>
            </w14:solidFill>
          </w14:textFill>
        </w:rPr>
        <w:t>代加工方采购的所有原材料须符合国家相关标准及本规范要求，优先选用行业知名品牌原材料，</w:t>
      </w:r>
      <w:r>
        <w:rPr>
          <w:rFonts w:hint="eastAsia" w:ascii="宋体" w:hAnsi="宋体" w:cs="宋体"/>
          <w:color w:val="000000" w:themeColor="text1"/>
          <w:sz w:val="21"/>
          <w:szCs w:val="21"/>
          <w:lang w:val="en-US" w:eastAsia="zh-CN"/>
          <w14:textFill>
            <w14:solidFill>
              <w14:schemeClr w14:val="tx1"/>
            </w14:solidFill>
          </w14:textFill>
        </w:rPr>
        <w:t>招标方不定期抽查原材料是否满足要求</w:t>
      </w:r>
      <w:r>
        <w:rPr>
          <w:rFonts w:hint="eastAsia" w:ascii="宋体" w:hAnsi="宋体" w:eastAsia="宋体" w:cs="宋体"/>
          <w:color w:val="000000" w:themeColor="text1"/>
          <w:sz w:val="21"/>
          <w:szCs w:val="21"/>
          <w14:textFill>
            <w14:solidFill>
              <w14:schemeClr w14:val="tx1"/>
            </w14:solidFill>
          </w14:textFill>
        </w:rPr>
        <w:t>。</w:t>
      </w:r>
    </w:p>
    <w:p w14:paraId="62796E5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4.2.2</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紫外通道组件：紫外波段240～280nm，紫外分辨率816×624，焦距40mm，紫外镜头视角10.86°×8.33%，透光率≥80%，滤光器峰值透过率≥0.309，紫外灵敏度≤3×10⁻¹⁸ W/cm²，紫外录像帧率≥30FPS，紫外融合可见光视频最大分辨率1920×1080。</w:t>
      </w:r>
    </w:p>
    <w:p w14:paraId="7B1F7C7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4.2.3</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可见光广角CMOS：CMOS尺寸1/2英寸，总像素数≥4800万，分辨率≥8000×6000，光圈F2.2，焦距实际2.59mm（等效14mm），水平视角≥50.63°，垂直视角≥42.45°，支持静态图像4000×3000(30FPS)/8000×6000(7FPS)，视频录制1920×1080(30FPS)/3840×2160(30FPS)。</w:t>
      </w:r>
    </w:p>
    <w:p w14:paraId="29E4063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4.2.4</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智能单元：AI算力≥6T，支持可见光/紫外视场融合算法，并提供SDK开发支持。</w:t>
      </w:r>
    </w:p>
    <w:p w14:paraId="66E13A0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4.2.5</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云台组件：无刷电机型号2804，控制范围pitch:-30°～30°，角度抖动量≤±0.01°。</w:t>
      </w:r>
    </w:p>
    <w:p w14:paraId="03CD1D0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4.2.6</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结构件：外壳采用高强度轻量化材料（铝合金或碳纤维复合材料），表面做阳极氧化或喷涂处理，耐腐蚀，整机重量≤400g，尺寸≤98×92×112mm。</w:t>
      </w:r>
    </w:p>
    <w:p w14:paraId="30DE59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4.2.7 代加工方须建立原材料采购台账和检验台账，对每一批次原材料进行检验，检验合格后方可投入生产，检验记录须完整、可追溯，接受招标人抽查。</w:t>
      </w:r>
    </w:p>
    <w:p w14:paraId="3E96BD6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4.2.8 原材料储存须分类存放，做好标识，采取防潮、防腐蚀、防损坏措施，确保原材料质量不受影响。</w:t>
      </w:r>
    </w:p>
    <w:p w14:paraId="239BDE37">
      <w:pPr>
        <w:pStyle w:val="3"/>
        <w:numPr>
          <w:ilvl w:val="1"/>
          <w:numId w:val="0"/>
        </w:numPr>
        <w:bidi w:val="0"/>
        <w:ind w:leftChars="0"/>
        <w:rPr>
          <w:rFonts w:hint="eastAsia" w:ascii="Times New Roman" w:hAnsi="Times New Roman" w:eastAsia="黑体" w:cs="Times New Roman"/>
          <w:color w:val="auto"/>
          <w:sz w:val="24"/>
          <w:szCs w:val="24"/>
          <w:lang w:val="en-US" w:eastAsia="zh-CN"/>
        </w:rPr>
      </w:pPr>
      <w:bookmarkStart w:id="24" w:name="_Toc30862"/>
      <w:r>
        <w:rPr>
          <w:rFonts w:hint="eastAsia" w:ascii="Times New Roman" w:eastAsia="黑体" w:cs="Times New Roman"/>
          <w:color w:val="auto"/>
          <w:sz w:val="24"/>
          <w:szCs w:val="24"/>
          <w:lang w:val="en-US" w:eastAsia="zh-CN"/>
        </w:rPr>
        <w:t>4.3</w:t>
      </w:r>
      <w:r>
        <w:rPr>
          <w:rFonts w:hint="eastAsia" w:ascii="Times New Roman" w:hAnsi="Times New Roman" w:eastAsia="黑体" w:cs="Times New Roman"/>
          <w:color w:val="auto"/>
          <w:sz w:val="24"/>
          <w:szCs w:val="24"/>
          <w:lang w:val="en-US" w:eastAsia="zh-CN"/>
        </w:rPr>
        <w:t>生产工艺及加工要求</w:t>
      </w:r>
      <w:bookmarkEnd w:id="24"/>
    </w:p>
    <w:p w14:paraId="19C1BA3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4.3.1 代加工方须严格按照招标人提供的技术图纸、加工工艺文件进行生产加工，各项公差须符合设计文件要求。</w:t>
      </w:r>
    </w:p>
    <w:p w14:paraId="1E5196B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4.3.2</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SMT贴片工艺：采用无铅回流焊工艺，焊点饱满、无虚焊、无桥接，AOI检测合格率≥99.5%。PCBA须经过清洗和涂覆三防漆处理。</w:t>
      </w:r>
    </w:p>
    <w:p w14:paraId="4D923B6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4.3.3</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光学镜头组装：在百级/千级超净工作台内完成紫外镜头、滤光片、CMOS模组的装配，保证光轴一致性，调焦后MTF≥0.3@10lp/mm，透光率≥80%。每个镜头需提供MTF测试曲线。</w:t>
      </w:r>
    </w:p>
    <w:p w14:paraId="3751927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云台装配：无刷电机安装牢固，转动灵活无卡滞，pitch轴控制精度±0.01°，需使用激光角度测量仪校准。</w:t>
      </w:r>
    </w:p>
    <w:p w14:paraId="48D27E3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4.3.5</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整机集成：将紫外模组、可见光模组、智能单元、云台、接口板等按图纸进行装配，紧固件采用防松处理，电气连接可靠，无短路、虚接。</w:t>
      </w:r>
    </w:p>
    <w:p w14:paraId="5D96912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4.3.6</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固件烧录与校准：烧录最新版本固件，完成紫外与可见光视场融合校准、云台零位校准、传感器校准，校准数据写入设备。</w:t>
      </w:r>
    </w:p>
    <w:p w14:paraId="2C1EE7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4.3.7 代加工方须建立生产过程管控台账，对每一道工序进行记录，包括加工人员、加工时间、工艺参数、检验结果等，确保生产过程可追溯。</w:t>
      </w:r>
    </w:p>
    <w:p w14:paraId="57B563F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4.3.8 生产过程中发现不合格品，须立即隔离、标识，严禁流入下一道工序，不合格品处理记录须完整，接受招标人核查。</w:t>
      </w:r>
    </w:p>
    <w:p w14:paraId="1E830763">
      <w:pPr>
        <w:pStyle w:val="3"/>
        <w:numPr>
          <w:ilvl w:val="1"/>
          <w:numId w:val="0"/>
        </w:numPr>
        <w:bidi w:val="0"/>
        <w:ind w:leftChars="0"/>
        <w:rPr>
          <w:rFonts w:hint="eastAsia" w:ascii="Times New Roman" w:eastAsia="黑体" w:cs="Times New Roman"/>
          <w:color w:val="auto"/>
          <w:sz w:val="24"/>
          <w:szCs w:val="24"/>
          <w:lang w:val="en-US" w:eastAsia="zh-CN"/>
        </w:rPr>
      </w:pPr>
      <w:bookmarkStart w:id="25" w:name="_Toc9689"/>
      <w:r>
        <w:rPr>
          <w:rFonts w:hint="eastAsia" w:ascii="Times New Roman" w:eastAsia="黑体" w:cs="Times New Roman"/>
          <w:color w:val="auto"/>
          <w:sz w:val="24"/>
          <w:szCs w:val="24"/>
          <w:lang w:val="en-US" w:eastAsia="zh-CN"/>
        </w:rPr>
        <w:t>4.4 产品技术参数要求</w:t>
      </w:r>
      <w:bookmarkEnd w:id="25"/>
    </w:p>
    <w:p w14:paraId="6F0192FD">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eastAsia" w:ascii="宋体" w:hAnsi="宋体" w:eastAsia="宋体" w:cs="宋体"/>
          <w:color w:val="auto"/>
          <w:sz w:val="21"/>
          <w:szCs w:val="21"/>
        </w:rPr>
      </w:pPr>
      <w:r>
        <w:rPr>
          <w:rFonts w:hint="default" w:ascii="宋体" w:hAnsi="宋体" w:eastAsia="宋体" w:cs="宋体"/>
          <w:color w:val="auto"/>
          <w:sz w:val="21"/>
          <w:szCs w:val="21"/>
        </w:rPr>
        <w:t>4.4.1</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紫外通道：波段240～280nm，分辨率816×624，焦距40mm，镜头视角10.86°×8.33°，透光率≥80%，滤光器峰值透过率≥0.309，紫外灵敏度≤3×10⁻¹⁸ W/cm²，紫外录像帧率≥30FPS，紫外融合可见光视频最大分辨率1920×1080。</w:t>
      </w:r>
    </w:p>
    <w:p w14:paraId="34AFC646">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default" w:ascii="宋体" w:hAnsi="宋体" w:eastAsia="宋体" w:cs="宋体"/>
          <w:color w:val="auto"/>
          <w:sz w:val="21"/>
          <w:szCs w:val="21"/>
        </w:rPr>
      </w:pPr>
      <w:r>
        <w:rPr>
          <w:rFonts w:hint="default" w:ascii="宋体" w:hAnsi="宋体" w:eastAsia="宋体" w:cs="宋体"/>
          <w:color w:val="auto"/>
          <w:sz w:val="21"/>
          <w:szCs w:val="21"/>
        </w:rPr>
        <w:t>4.4.2</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可见光广角通道：CMOS 1/2英寸，4800万像素，光圈F2.2，等效焦距14mm，水平视角≥50.63°，垂直视角≥42.45°，支持4K视频录制。</w:t>
      </w:r>
    </w:p>
    <w:p w14:paraId="09D5B9D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rPr>
      </w:pPr>
      <w:r>
        <w:rPr>
          <w:rFonts w:ascii="宋体" w:hAnsi="宋体" w:eastAsia="宋体" w:cs="宋体"/>
          <w:sz w:val="24"/>
          <w:szCs w:val="24"/>
        </w:rPr>
        <w:t>★</w:t>
      </w:r>
      <w:r>
        <w:rPr>
          <w:rFonts w:hint="default" w:ascii="宋体" w:hAnsi="宋体" w:eastAsia="宋体" w:cs="宋体"/>
          <w:color w:val="auto"/>
          <w:sz w:val="21"/>
          <w:szCs w:val="21"/>
        </w:rPr>
        <w:t>4.4.3</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智能单元：AI算力≥6T，支持紫外/可见光实时融合，融合延迟≤100ms。</w:t>
      </w:r>
    </w:p>
    <w:p w14:paraId="43DBCDAB">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default" w:ascii="宋体" w:hAnsi="宋体" w:eastAsia="宋体" w:cs="宋体"/>
          <w:color w:val="auto"/>
          <w:sz w:val="21"/>
          <w:szCs w:val="21"/>
        </w:rPr>
      </w:pPr>
      <w:r>
        <w:rPr>
          <w:rFonts w:hint="default" w:ascii="宋体" w:hAnsi="宋体" w:eastAsia="宋体" w:cs="宋体"/>
          <w:color w:val="auto"/>
          <w:sz w:val="21"/>
          <w:szCs w:val="21"/>
        </w:rPr>
        <w:t>4.4.4</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云台：无刷电机，pitch轴控制范围-30°～30°，角度抖动量≤±0.01°，具备自动增稳功能。</w:t>
      </w:r>
    </w:p>
    <w:p w14:paraId="72320728">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default" w:ascii="宋体" w:hAnsi="宋体" w:eastAsia="宋体" w:cs="宋体"/>
          <w:color w:val="auto"/>
          <w:sz w:val="21"/>
          <w:szCs w:val="21"/>
        </w:rPr>
      </w:pPr>
      <w:r>
        <w:rPr>
          <w:rFonts w:hint="default" w:ascii="宋体" w:hAnsi="宋体" w:eastAsia="宋体" w:cs="宋体"/>
          <w:color w:val="auto"/>
          <w:sz w:val="21"/>
          <w:szCs w:val="21"/>
        </w:rPr>
        <w:t>4.4.5</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整机重量：≤400g。</w:t>
      </w:r>
    </w:p>
    <w:p w14:paraId="52A7043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rPr>
      </w:pPr>
      <w:r>
        <w:rPr>
          <w:rFonts w:ascii="宋体" w:hAnsi="宋体" w:eastAsia="宋体" w:cs="宋体"/>
          <w:sz w:val="24"/>
          <w:szCs w:val="24"/>
        </w:rPr>
        <w:t>★</w:t>
      </w:r>
      <w:r>
        <w:rPr>
          <w:rFonts w:hint="default" w:ascii="宋体" w:hAnsi="宋体" w:eastAsia="宋体" w:cs="宋体"/>
          <w:color w:val="auto"/>
          <w:sz w:val="21"/>
          <w:szCs w:val="21"/>
        </w:rPr>
        <w:t>4.4.6</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整机尺寸：≤98×92×112 mm。</w:t>
      </w:r>
    </w:p>
    <w:p w14:paraId="684625AF">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default" w:ascii="宋体" w:hAnsi="宋体" w:eastAsia="宋体" w:cs="宋体"/>
          <w:color w:val="auto"/>
          <w:sz w:val="21"/>
          <w:szCs w:val="21"/>
        </w:rPr>
      </w:pPr>
      <w:r>
        <w:rPr>
          <w:rFonts w:hint="default" w:ascii="宋体" w:hAnsi="宋体" w:eastAsia="宋体" w:cs="宋体"/>
          <w:color w:val="auto"/>
          <w:sz w:val="21"/>
          <w:szCs w:val="21"/>
        </w:rPr>
        <w:t>4.4.7</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功耗：≤14W。</w:t>
      </w:r>
    </w:p>
    <w:p w14:paraId="71D518B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rPr>
      </w:pPr>
      <w:r>
        <w:rPr>
          <w:rFonts w:ascii="宋体" w:hAnsi="宋体" w:eastAsia="宋体" w:cs="宋体"/>
          <w:sz w:val="24"/>
          <w:szCs w:val="24"/>
        </w:rPr>
        <w:t>★</w:t>
      </w:r>
      <w:r>
        <w:rPr>
          <w:rFonts w:hint="default" w:ascii="宋体" w:hAnsi="宋体" w:eastAsia="宋体" w:cs="宋体"/>
          <w:color w:val="auto"/>
          <w:sz w:val="21"/>
          <w:szCs w:val="21"/>
        </w:rPr>
        <w:t>4.4.8</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环境适应性：工作温度-20℃～50℃，存储温度-20℃～60℃，防护等级≥IP45。</w:t>
      </w:r>
    </w:p>
    <w:p w14:paraId="66FEFD7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rPr>
      </w:pPr>
      <w:r>
        <w:rPr>
          <w:rFonts w:ascii="宋体" w:hAnsi="宋体" w:eastAsia="宋体" w:cs="宋体"/>
          <w:sz w:val="24"/>
          <w:szCs w:val="24"/>
        </w:rPr>
        <w:t>★</w:t>
      </w:r>
      <w:r>
        <w:rPr>
          <w:rFonts w:hint="default" w:ascii="宋体" w:hAnsi="宋体" w:eastAsia="宋体" w:cs="宋体"/>
          <w:color w:val="auto"/>
          <w:sz w:val="21"/>
          <w:szCs w:val="21"/>
        </w:rPr>
        <w:t>4.4.9</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适配性与接口：适配</w:t>
      </w:r>
      <w:r>
        <w:rPr>
          <w:rFonts w:hint="eastAsia" w:ascii="宋体" w:hAnsi="宋体" w:cs="宋体"/>
          <w:color w:val="auto"/>
          <w:sz w:val="21"/>
          <w:szCs w:val="21"/>
          <w:lang w:val="en-US" w:eastAsia="zh-CN"/>
        </w:rPr>
        <w:t>小型</w:t>
      </w:r>
      <w:r>
        <w:rPr>
          <w:rFonts w:hint="default" w:ascii="宋体" w:hAnsi="宋体" w:eastAsia="宋体" w:cs="宋体"/>
          <w:color w:val="auto"/>
          <w:sz w:val="21"/>
          <w:szCs w:val="21"/>
        </w:rPr>
        <w:t>无人机，接口为E-port，协议符合PSDK，支持快拆。</w:t>
      </w:r>
    </w:p>
    <w:p w14:paraId="71A3E453">
      <w:pPr>
        <w:keepNext w:val="0"/>
        <w:keepLines w:val="0"/>
        <w:pageBreakBefore w:val="0"/>
        <w:widowControl w:val="0"/>
        <w:kinsoku/>
        <w:wordWrap/>
        <w:overflowPunct/>
        <w:topLinePunct w:val="0"/>
        <w:autoSpaceDE/>
        <w:autoSpaceDN/>
        <w:bidi w:val="0"/>
        <w:adjustRightInd/>
        <w:snapToGrid/>
        <w:spacing w:before="120" w:after="120" w:line="288" w:lineRule="auto"/>
        <w:ind w:firstLine="210" w:firstLineChars="100"/>
        <w:jc w:val="left"/>
        <w:textAlignment w:val="auto"/>
        <w:rPr>
          <w:rFonts w:hint="default" w:ascii="宋体" w:hAnsi="宋体" w:eastAsia="宋体" w:cs="宋体"/>
          <w:color w:val="auto"/>
          <w:sz w:val="21"/>
          <w:szCs w:val="21"/>
        </w:rPr>
      </w:pPr>
      <w:r>
        <w:rPr>
          <w:rFonts w:hint="default" w:ascii="宋体" w:hAnsi="宋体" w:eastAsia="宋体" w:cs="宋体"/>
          <w:color w:val="auto"/>
          <w:sz w:val="21"/>
          <w:szCs w:val="21"/>
        </w:rPr>
        <w:t>4.4.10</w:t>
      </w:r>
      <w:r>
        <w:rPr>
          <w:rFonts w:hint="eastAsia" w:ascii="宋体" w:hAnsi="宋体" w:cs="宋体"/>
          <w:color w:val="auto"/>
          <w:sz w:val="21"/>
          <w:szCs w:val="21"/>
          <w:lang w:val="en-US" w:eastAsia="zh-CN"/>
        </w:rPr>
        <w:t xml:space="preserve"> </w:t>
      </w:r>
      <w:r>
        <w:rPr>
          <w:rFonts w:hint="default" w:ascii="宋体" w:hAnsi="宋体" w:eastAsia="宋体" w:cs="宋体"/>
          <w:color w:val="auto"/>
          <w:sz w:val="21"/>
          <w:szCs w:val="21"/>
        </w:rPr>
        <w:t>设计使用寿命：≥5年，正常使用无性能衰退超标。</w:t>
      </w:r>
    </w:p>
    <w:p w14:paraId="7904D1BB">
      <w:pPr>
        <w:pStyle w:val="3"/>
        <w:numPr>
          <w:ilvl w:val="1"/>
          <w:numId w:val="0"/>
        </w:numPr>
        <w:bidi w:val="0"/>
        <w:ind w:leftChars="0"/>
        <w:rPr>
          <w:rFonts w:hint="eastAsia" w:ascii="Times New Roman" w:eastAsia="黑体" w:cs="Times New Roman"/>
          <w:color w:val="auto"/>
          <w:sz w:val="24"/>
          <w:szCs w:val="24"/>
          <w:lang w:val="en-US" w:eastAsia="zh-CN"/>
        </w:rPr>
      </w:pPr>
      <w:bookmarkStart w:id="26" w:name="_Toc31782"/>
      <w:r>
        <w:rPr>
          <w:rFonts w:hint="eastAsia" w:ascii="Times New Roman" w:eastAsia="黑体" w:cs="Times New Roman"/>
          <w:color w:val="auto"/>
          <w:sz w:val="24"/>
          <w:szCs w:val="24"/>
          <w:lang w:val="en-US" w:eastAsia="zh-CN"/>
        </w:rPr>
        <w:t>4.5 图纸</w:t>
      </w:r>
      <w:bookmarkEnd w:id="26"/>
    </w:p>
    <w:p w14:paraId="6127DF76">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以下搭载了无人机的外观图供参考，待中标单位确认并在双方签署保密协议后，招标方向中标单位提供详细图纸。</w:t>
      </w:r>
    </w:p>
    <w:p w14:paraId="662D9B01">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cs="宋体"/>
          <w:color w:val="auto"/>
          <w:sz w:val="21"/>
          <w:szCs w:val="21"/>
          <w:lang w:val="en-US" w:eastAsia="zh-CN"/>
        </w:rPr>
      </w:pPr>
      <w:r>
        <w:drawing>
          <wp:inline distT="0" distB="0" distL="114300" distR="114300">
            <wp:extent cx="3901440" cy="200406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901440" cy="2004060"/>
                    </a:xfrm>
                    <a:prstGeom prst="rect">
                      <a:avLst/>
                    </a:prstGeom>
                    <a:noFill/>
                    <a:ln>
                      <a:noFill/>
                    </a:ln>
                  </pic:spPr>
                </pic:pic>
              </a:graphicData>
            </a:graphic>
          </wp:inline>
        </w:drawing>
      </w:r>
    </w:p>
    <w:p w14:paraId="5D2BE35A">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cs="宋体"/>
          <w:color w:val="auto"/>
          <w:sz w:val="21"/>
          <w:szCs w:val="21"/>
          <w:lang w:val="en-US" w:eastAsia="zh-CN"/>
        </w:rPr>
      </w:pPr>
    </w:p>
    <w:p w14:paraId="1BC88A7A">
      <w:pPr>
        <w:pStyle w:val="3"/>
        <w:numPr>
          <w:ilvl w:val="1"/>
          <w:numId w:val="0"/>
        </w:numPr>
        <w:bidi w:val="0"/>
        <w:ind w:leftChars="0"/>
        <w:rPr>
          <w:rFonts w:hint="eastAsia" w:ascii="Times New Roman" w:eastAsia="黑体" w:cs="Times New Roman"/>
          <w:color w:val="auto"/>
          <w:sz w:val="24"/>
          <w:szCs w:val="24"/>
          <w:lang w:val="en-US" w:eastAsia="zh-CN"/>
        </w:rPr>
      </w:pPr>
      <w:bookmarkStart w:id="27" w:name="_Toc5155"/>
      <w:r>
        <w:rPr>
          <w:rFonts w:hint="eastAsia" w:ascii="Times New Roman" w:eastAsia="黑体" w:cs="Times New Roman"/>
          <w:color w:val="auto"/>
          <w:sz w:val="24"/>
          <w:szCs w:val="24"/>
          <w:lang w:val="en-US" w:eastAsia="zh-CN"/>
        </w:rPr>
        <w:t>4.6 质量管控及检验要求</w:t>
      </w:r>
      <w:bookmarkEnd w:id="27"/>
    </w:p>
    <w:p w14:paraId="72CA8A3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.1 代加工方须建立完善的质量管控体系，覆盖原材料采购、生产加工、检验检测、包装交付等全流程，制定详细的质量管控细则和检验标准，确保产品质量符合本规范要求。</w:t>
      </w:r>
    </w:p>
    <w:p w14:paraId="316109B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.2 原材料检验：每一批次原材料进场后，须进行全项检验，检验项目包括材质、尺寸、性能等，检验合格后方可投入生产，检验记录须完整，留存检验报告及合格证明。</w:t>
      </w:r>
    </w:p>
    <w:p w14:paraId="44F9499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.3 过程检验：对生产加工的每一道工序进行检验，</w:t>
      </w:r>
      <w:r>
        <w:rPr>
          <w:rFonts w:hint="eastAsia" w:ascii="宋体" w:hAnsi="宋体" w:cs="宋体"/>
          <w:color w:val="auto"/>
          <w:sz w:val="21"/>
          <w:szCs w:val="21"/>
          <w:lang w:val="en-US" w:eastAsia="zh-CN"/>
        </w:rPr>
        <w:t>包</w:t>
      </w:r>
      <w:r>
        <w:rPr>
          <w:rFonts w:hint="eastAsia" w:ascii="宋体" w:hAnsi="宋体" w:eastAsia="宋体" w:cs="宋体"/>
          <w:color w:val="auto"/>
          <w:sz w:val="21"/>
          <w:szCs w:val="21"/>
          <w:lang w:val="en-US" w:eastAsia="zh-CN"/>
        </w:rPr>
        <w:t>括镜头测试、云台角度校准、整机功能测试等，检验合格后方可进入下一道工序，过程检验记录须完整、可追溯。</w:t>
      </w:r>
    </w:p>
    <w:p w14:paraId="1933BC6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4.6</w:t>
      </w:r>
      <w:r>
        <w:rPr>
          <w:rFonts w:hint="eastAsia" w:ascii="宋体" w:hAnsi="宋体" w:eastAsia="宋体" w:cs="宋体"/>
          <w:color w:val="auto"/>
          <w:sz w:val="21"/>
          <w:szCs w:val="21"/>
          <w:highlight w:val="none"/>
          <w:lang w:val="en-US" w:eastAsia="zh-CN"/>
        </w:rPr>
        <w:t>.4 出厂检验：每台产品出厂前，须进行全项出厂检验，检验项目包括外观、尺寸、重量、紫外图像清晰度、可见光图像质量、融合效果、云台角度精度、功耗、接口通信等，检验合格后出具出厂合格证及检验报告，不合格产品严禁出厂。</w:t>
      </w:r>
    </w:p>
    <w:p w14:paraId="1104BF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4.6</w:t>
      </w:r>
      <w:r>
        <w:rPr>
          <w:rFonts w:hint="eastAsia" w:ascii="宋体" w:hAnsi="宋体" w:eastAsia="宋体" w:cs="宋体"/>
          <w:color w:val="auto"/>
          <w:sz w:val="21"/>
          <w:szCs w:val="21"/>
          <w:highlight w:val="none"/>
          <w:lang w:val="en-US" w:eastAsia="zh-CN"/>
        </w:rPr>
        <w:t>.5 检验设备：代加工方配备的检验设备须定期校准，校准周期不超过1年，确保检验精度达标，提供检验设备校准报告。</w:t>
      </w:r>
    </w:p>
    <w:p w14:paraId="73BB506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.6 质量追溯：建立产品质量追溯体系，每台产品配备唯一追溯码，追溯码包含产品编号、生产批次、原材料信息、加工人员、检验结果等内容，确保产品质量可追溯。</w:t>
      </w:r>
    </w:p>
    <w:p w14:paraId="0C8E409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4.6</w:t>
      </w:r>
      <w:r>
        <w:rPr>
          <w:rFonts w:hint="eastAsia" w:ascii="宋体" w:hAnsi="宋体" w:eastAsia="宋体" w:cs="宋体"/>
          <w:color w:val="auto"/>
          <w:sz w:val="21"/>
          <w:szCs w:val="21"/>
          <w:lang w:val="en-US" w:eastAsia="zh-CN"/>
        </w:rPr>
        <w:t>.7 框架合作期间，招标人有权对代加工方的生产过程、质量管控、检验检测等工作进行抽查，代加工方须积极配合，提供必要的生产记录、检验报告等资料。</w:t>
      </w:r>
    </w:p>
    <w:p w14:paraId="3E0CC2AF">
      <w:pPr>
        <w:pStyle w:val="3"/>
        <w:numPr>
          <w:ilvl w:val="1"/>
          <w:numId w:val="0"/>
        </w:numPr>
        <w:bidi w:val="0"/>
        <w:ind w:leftChars="0"/>
        <w:rPr>
          <w:rFonts w:hint="eastAsia" w:ascii="Times New Roman" w:eastAsia="黑体" w:cs="Times New Roman"/>
          <w:color w:val="auto"/>
          <w:sz w:val="24"/>
          <w:szCs w:val="24"/>
          <w:lang w:val="en-US" w:eastAsia="zh-CN"/>
        </w:rPr>
      </w:pPr>
      <w:bookmarkStart w:id="28" w:name="_Toc6960"/>
      <w:r>
        <w:rPr>
          <w:rFonts w:hint="eastAsia" w:ascii="Times New Roman" w:eastAsia="黑体" w:cs="Times New Roman"/>
          <w:color w:val="auto"/>
          <w:sz w:val="24"/>
          <w:szCs w:val="24"/>
          <w:lang w:val="en-US" w:eastAsia="zh-CN"/>
        </w:rPr>
        <w:t>4.</w:t>
      </w:r>
      <w:bookmarkStart w:id="29" w:name="_Toc25447"/>
      <w:bookmarkStart w:id="30" w:name="_Toc20004"/>
      <w:r>
        <w:rPr>
          <w:rFonts w:hint="eastAsia" w:ascii="Times New Roman" w:eastAsia="黑体" w:cs="Times New Roman"/>
          <w:color w:val="auto"/>
          <w:sz w:val="24"/>
          <w:szCs w:val="24"/>
          <w:lang w:val="en-US" w:eastAsia="zh-CN"/>
        </w:rPr>
        <w:t>7企业VI标识</w:t>
      </w:r>
      <w:bookmarkEnd w:id="28"/>
      <w:bookmarkEnd w:id="29"/>
      <w:bookmarkEnd w:id="30"/>
    </w:p>
    <w:p w14:paraId="3E378D55">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auto"/>
          <w:sz w:val="21"/>
          <w:szCs w:val="21"/>
          <w:lang w:val="en-US" w:eastAsia="zh-CN"/>
        </w:rPr>
      </w:pPr>
      <w:bookmarkStart w:id="31" w:name="_Toc277686859"/>
      <w:bookmarkStart w:id="32" w:name="_Toc277255901"/>
      <w:r>
        <w:rPr>
          <w:rFonts w:hint="eastAsia" w:ascii="宋体" w:hAnsi="宋体" w:eastAsia="宋体" w:cs="宋体"/>
          <w:color w:val="auto"/>
          <w:kern w:val="2"/>
          <w:sz w:val="21"/>
          <w:szCs w:val="21"/>
          <w:highlight w:val="none"/>
          <w:lang w:val="en-US" w:eastAsia="zh-CN" w:bidi="ar-SA"/>
        </w:rPr>
        <w:t>设备外立面上应有统一的中国南方电网有限责任公司企业VI标识，并符合《中国南方电网视觉识别系统管理手册》的要求。</w:t>
      </w:r>
      <w:bookmarkEnd w:id="31"/>
      <w:bookmarkEnd w:id="32"/>
    </w:p>
    <w:p w14:paraId="0C6E9F65">
      <w:pPr>
        <w:pStyle w:val="3"/>
        <w:numPr>
          <w:ilvl w:val="1"/>
          <w:numId w:val="0"/>
        </w:numPr>
        <w:bidi w:val="0"/>
        <w:ind w:leftChars="0"/>
        <w:rPr>
          <w:rFonts w:hint="eastAsia" w:ascii="Times New Roman" w:eastAsia="黑体" w:cs="Times New Roman"/>
          <w:color w:val="auto"/>
          <w:sz w:val="24"/>
          <w:szCs w:val="24"/>
          <w:lang w:val="en-US" w:eastAsia="zh-CN"/>
        </w:rPr>
      </w:pPr>
      <w:bookmarkStart w:id="33" w:name="_Toc31213"/>
      <w:r>
        <w:rPr>
          <w:rFonts w:hint="eastAsia" w:ascii="Times New Roman" w:eastAsia="黑体" w:cs="Times New Roman"/>
          <w:color w:val="auto"/>
          <w:sz w:val="24"/>
          <w:szCs w:val="24"/>
          <w:lang w:val="en-US" w:eastAsia="zh-CN"/>
        </w:rPr>
        <w:t>4.8包装、标识及交付要求</w:t>
      </w:r>
      <w:bookmarkEnd w:id="33"/>
    </w:p>
    <w:p w14:paraId="1208215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4.8</w:t>
      </w:r>
      <w:r>
        <w:rPr>
          <w:rFonts w:hint="eastAsia" w:ascii="宋体" w:hAnsi="宋体" w:eastAsia="宋体" w:cs="宋体"/>
          <w:color w:val="auto"/>
          <w:sz w:val="21"/>
          <w:szCs w:val="21"/>
          <w:lang w:val="en-US" w:eastAsia="zh-CN"/>
        </w:rPr>
        <w:t>.1 包装：采用专用防震防潮硬质包装箱独立包装，每台产品单独包装，内部采用柔性缓冲材料（泡沫、珍珠棉等）防护，防止运输过程中磕碰、变形、零部件损坏；包装箱材质坚固，能够承受运输过程中的挤压、震动。</w:t>
      </w:r>
    </w:p>
    <w:p w14:paraId="3E45DDD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4.8</w:t>
      </w:r>
      <w:r>
        <w:rPr>
          <w:rFonts w:hint="eastAsia" w:ascii="宋体" w:hAnsi="宋体" w:eastAsia="宋体" w:cs="宋体"/>
          <w:color w:val="auto"/>
          <w:sz w:val="21"/>
          <w:szCs w:val="21"/>
          <w:lang w:val="en-US" w:eastAsia="zh-CN"/>
        </w:rPr>
        <w:t>.2 标识：包装箱外须清晰标注产品名称、型号、数量、生产批次、生产日期、招标人名称、交付地点、“易碎”“向上”“防潮”“小心轻放”等储运图示标志，标识清晰、牢固，不易脱落。</w:t>
      </w:r>
    </w:p>
    <w:p w14:paraId="1473AEE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4.8</w:t>
      </w:r>
      <w:r>
        <w:rPr>
          <w:rFonts w:hint="eastAsia" w:ascii="宋体" w:hAnsi="宋体" w:eastAsia="宋体" w:cs="宋体"/>
          <w:color w:val="auto"/>
          <w:sz w:val="21"/>
          <w:szCs w:val="21"/>
          <w:highlight w:val="none"/>
          <w:lang w:val="en-US" w:eastAsia="zh-CN"/>
        </w:rPr>
        <w:t>.3 交付：代加工方须按订单要求的时间、地点，将产品及配套技术资料、备品备件交付招标人，承担全部运输、装卸费用及风险；交付时须提供产品出厂合格证、检验报告、技术资料等相关文件，配合招标人完成验收。</w:t>
      </w:r>
    </w:p>
    <w:p w14:paraId="5EF0B19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4.8</w:t>
      </w:r>
      <w:r>
        <w:rPr>
          <w:rFonts w:hint="eastAsia" w:ascii="宋体" w:hAnsi="宋体" w:eastAsia="宋体" w:cs="宋体"/>
          <w:color w:val="auto"/>
          <w:sz w:val="21"/>
          <w:szCs w:val="21"/>
          <w:highlight w:val="none"/>
          <w:lang w:val="en-US" w:eastAsia="zh-CN"/>
        </w:rPr>
        <w:t>.4 备品备件：每批订单须随货提供易损备品备件（接口线缆、紧固件、防护盖等等），</w:t>
      </w:r>
      <w:r>
        <w:rPr>
          <w:rFonts w:hint="eastAsia" w:ascii="宋体" w:hAnsi="宋体" w:eastAsia="宋体" w:cs="宋体"/>
          <w:color w:val="auto"/>
          <w:sz w:val="21"/>
          <w:szCs w:val="21"/>
          <w:lang w:val="en-US" w:eastAsia="zh-CN"/>
        </w:rPr>
        <w:t>备品备件数量按订单数量的5%配备，且须单独包装、标识，附带合格证明。</w:t>
      </w:r>
    </w:p>
    <w:p w14:paraId="39A45A67">
      <w:pPr>
        <w:pStyle w:val="2"/>
        <w:numPr>
          <w:ilvl w:val="0"/>
          <w:numId w:val="0"/>
        </w:numPr>
        <w:bidi w:val="0"/>
        <w:ind w:leftChars="0"/>
        <w:rPr>
          <w:rFonts w:hint="eastAsia"/>
          <w:color w:val="auto"/>
          <w:sz w:val="24"/>
          <w:szCs w:val="24"/>
          <w:lang w:val="en-US" w:eastAsia="zh-CN"/>
        </w:rPr>
      </w:pPr>
      <w:bookmarkStart w:id="34" w:name="_Toc7991"/>
      <w:r>
        <w:rPr>
          <w:rFonts w:hint="default" w:ascii="Times New Roman" w:hAnsi="Times New Roman" w:cs="Times New Roman"/>
          <w:color w:val="auto"/>
          <w:sz w:val="24"/>
          <w:szCs w:val="24"/>
          <w:lang w:val="en-US" w:eastAsia="zh-CN"/>
        </w:rPr>
        <w:t>5</w:t>
      </w:r>
      <w:r>
        <w:rPr>
          <w:rFonts w:hint="eastAsia"/>
          <w:color w:val="auto"/>
          <w:sz w:val="24"/>
          <w:szCs w:val="24"/>
          <w:lang w:val="en-US" w:eastAsia="zh-CN"/>
        </w:rPr>
        <w:t>试验与检测要求</w:t>
      </w:r>
      <w:bookmarkEnd w:id="34"/>
    </w:p>
    <w:p w14:paraId="0F20242D">
      <w:pPr>
        <w:pStyle w:val="3"/>
        <w:numPr>
          <w:ilvl w:val="1"/>
          <w:numId w:val="0"/>
        </w:numPr>
        <w:bidi w:val="0"/>
        <w:ind w:leftChars="0"/>
        <w:rPr>
          <w:rFonts w:hint="eastAsia" w:ascii="Times New Roman" w:eastAsia="黑体" w:cs="Times New Roman"/>
          <w:color w:val="auto"/>
          <w:sz w:val="24"/>
          <w:szCs w:val="24"/>
          <w:lang w:val="en-US" w:eastAsia="zh-CN"/>
        </w:rPr>
      </w:pPr>
      <w:bookmarkStart w:id="35" w:name="_Toc21321"/>
      <w:r>
        <w:rPr>
          <w:rFonts w:hint="eastAsia" w:ascii="Times New Roman" w:eastAsia="黑体" w:cs="Times New Roman"/>
          <w:color w:val="auto"/>
          <w:sz w:val="24"/>
          <w:szCs w:val="24"/>
          <w:lang w:val="en-US" w:eastAsia="zh-CN"/>
        </w:rPr>
        <w:t>5.1 原材料检验</w:t>
      </w:r>
      <w:bookmarkEnd w:id="35"/>
    </w:p>
    <w:p w14:paraId="3B7C3BE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5.1.1</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紫外镜头及滤光片：检测透光率、峰值透过率、紫外光谱响应范围、MTF曲线，符合本规范及设计要求。</w:t>
      </w:r>
    </w:p>
    <w:p w14:paraId="5748EA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5.1.2</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可见光CMOS模组：检测分辨率、帧率、暗电流、坏点、色彩还原等。</w:t>
      </w:r>
    </w:p>
    <w:p w14:paraId="2D2D824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5.1.3</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智能计算模组：检测算力（≥6T）、接口通信、功耗、融合算法运行稳定性。</w:t>
      </w:r>
    </w:p>
    <w:p w14:paraId="237B3E4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5.1.4</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云台电机：检测角度控制范围、抖动量、噪声、耐久性。</w:t>
      </w:r>
    </w:p>
    <w:p w14:paraId="4B3BCC5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5.1.5</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结构件：检测尺寸公差、重量、表面处理质量（氧化层/涂层厚度）、材质证明。</w:t>
      </w:r>
    </w:p>
    <w:p w14:paraId="03DBB064">
      <w:pPr>
        <w:pStyle w:val="3"/>
        <w:numPr>
          <w:ilvl w:val="1"/>
          <w:numId w:val="0"/>
        </w:numPr>
        <w:bidi w:val="0"/>
        <w:ind w:leftChars="0"/>
        <w:rPr>
          <w:rFonts w:hint="eastAsia" w:ascii="Times New Roman" w:eastAsia="黑体" w:cs="Times New Roman"/>
          <w:color w:val="auto"/>
          <w:sz w:val="24"/>
          <w:szCs w:val="24"/>
          <w:lang w:val="en-US" w:eastAsia="zh-CN"/>
        </w:rPr>
      </w:pPr>
      <w:bookmarkStart w:id="36" w:name="_Toc20973"/>
      <w:r>
        <w:rPr>
          <w:rFonts w:hint="eastAsia" w:ascii="Times New Roman" w:eastAsia="黑体" w:cs="Times New Roman"/>
          <w:color w:val="auto"/>
          <w:sz w:val="24"/>
          <w:szCs w:val="24"/>
          <w:lang w:val="en-US" w:eastAsia="zh-CN"/>
        </w:rPr>
        <w:t>5.2 过程检验</w:t>
      </w:r>
      <w:bookmarkEnd w:id="36"/>
    </w:p>
    <w:p w14:paraId="39153CC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5.2.1</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SMT后AOI检测：检查焊点质量、元器件极性、偏移、桥接等缺陷，合格率≥99.5%。</w:t>
      </w:r>
    </w:p>
    <w:p w14:paraId="420D6CC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5.2.2</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镜头组装检测：在调焦工位进行MTF测试，确保中心及边缘清晰度达标；检查光轴一致性。</w:t>
      </w:r>
    </w:p>
    <w:p w14:paraId="0222F6C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5.2.3</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云台装配检测：使用角度测量仪标定pitch轴控制精度，±0.01°以内；检查云台回中、增稳效果。</w:t>
      </w:r>
    </w:p>
    <w:p w14:paraId="76F95BA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5.2.4</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整机初测：上电检测紫外和可见光图像输出、融合画面是否正常，云台是否可控，接口通信是否稳定。</w:t>
      </w:r>
    </w:p>
    <w:p w14:paraId="6D8BEB7B">
      <w:pPr>
        <w:pStyle w:val="3"/>
        <w:numPr>
          <w:ilvl w:val="1"/>
          <w:numId w:val="0"/>
        </w:numPr>
        <w:bidi w:val="0"/>
        <w:ind w:leftChars="0"/>
        <w:rPr>
          <w:rFonts w:hint="eastAsia" w:ascii="Times New Roman" w:eastAsia="黑体" w:cs="Times New Roman"/>
          <w:color w:val="auto"/>
          <w:sz w:val="24"/>
          <w:szCs w:val="24"/>
          <w:lang w:val="en-US" w:eastAsia="zh-CN"/>
        </w:rPr>
      </w:pPr>
      <w:bookmarkStart w:id="37" w:name="_Toc12643"/>
      <w:r>
        <w:rPr>
          <w:rFonts w:hint="eastAsia" w:ascii="Times New Roman" w:eastAsia="黑体" w:cs="Times New Roman"/>
          <w:color w:val="auto"/>
          <w:sz w:val="24"/>
          <w:szCs w:val="24"/>
          <w:lang w:val="en-US" w:eastAsia="zh-CN"/>
        </w:rPr>
        <w:t>5.3 出厂试验</w:t>
      </w:r>
      <w:bookmarkEnd w:id="37"/>
    </w:p>
    <w:p w14:paraId="42940AE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每台设备出厂前均完成全项出厂试验，试验项目及要求如下：</w:t>
      </w:r>
    </w:p>
    <w:p w14:paraId="553B7FD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5.3.1</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外观及尺寸检验：按照图纸检查外观无划伤、无脏污、无毛刺，尺寸及重量符合要求。</w:t>
      </w:r>
    </w:p>
    <w:p w14:paraId="4F0BBEE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5.3.2紫外图像性能测试：在标准紫外辐射源下，检查紫外成像清晰度、灵敏度、帧率，MTF≥0.3@10lp/mm，紫外灵敏度≤3×10⁻¹⁸ W/cm²。</w:t>
      </w:r>
    </w:p>
    <w:p w14:paraId="74CD874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5.3.3可见光图像测试：拍摄标准色卡和分辨率卡，检查图像色彩、清晰度、畸变等，符合设计指标。</w:t>
      </w:r>
    </w:p>
    <w:p w14:paraId="3D9BA02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5.3.4融合功能测试：验证紫外与可见光视场融合，融合精度≤2像素，融合延迟≤100ms。</w:t>
      </w:r>
    </w:p>
    <w:p w14:paraId="00AC243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5.3.5云台性能测试：pitch轴控制范围-30°～30°，角度抖动量≤±0.01°；施加振动模拟飞行姿态，云台增稳有效。</w:t>
      </w:r>
    </w:p>
    <w:p w14:paraId="487B4B9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5.3.6功耗测试：正常工作状态下整机功耗≤14W。</w:t>
      </w:r>
    </w:p>
    <w:p w14:paraId="680FE93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5.3.7接口通信测试：与小型无人机连接，验证E-port通信、PSDK协议、遥控器控制云台、图像传输等功能。</w:t>
      </w:r>
    </w:p>
    <w:p w14:paraId="5E74108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5.3.8高低温快速验证：在-20℃和50℃环境下各保持1小时，设备功能正常，无图像异常、无重启。</w:t>
      </w:r>
    </w:p>
    <w:p w14:paraId="4009CA7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5.3.9老化试验：整机连续工作48小时，期间每2小时进行一次全功能检查，无故障。</w:t>
      </w:r>
    </w:p>
    <w:p w14:paraId="1CED593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所有出厂试验项目全部合格后方可出厂，并附带出厂试验报告。</w:t>
      </w:r>
    </w:p>
    <w:p w14:paraId="052B5875">
      <w:pPr>
        <w:pStyle w:val="3"/>
        <w:numPr>
          <w:ilvl w:val="1"/>
          <w:numId w:val="0"/>
        </w:numPr>
        <w:bidi w:val="0"/>
        <w:ind w:leftChars="0"/>
        <w:rPr>
          <w:rFonts w:hint="eastAsia" w:ascii="Times New Roman" w:eastAsia="黑体" w:cs="Times New Roman"/>
          <w:color w:val="auto"/>
          <w:sz w:val="24"/>
          <w:szCs w:val="24"/>
          <w:lang w:val="en-US" w:eastAsia="zh-CN"/>
        </w:rPr>
      </w:pPr>
      <w:bookmarkStart w:id="38" w:name="_Toc15630"/>
      <w:r>
        <w:rPr>
          <w:rFonts w:hint="eastAsia" w:ascii="Times New Roman" w:eastAsia="黑体" w:cs="Times New Roman"/>
          <w:color w:val="auto"/>
          <w:sz w:val="24"/>
          <w:szCs w:val="24"/>
          <w:lang w:val="en-US" w:eastAsia="zh-CN"/>
        </w:rPr>
        <w:t>5.4 第三方检测试验</w:t>
      </w:r>
      <w:bookmarkEnd w:id="38"/>
    </w:p>
    <w:p w14:paraId="08C16AC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5.4.1 代加工方须提供第三方权威检测机构依据</w:t>
      </w:r>
      <w:r>
        <w:rPr>
          <w:rFonts w:hint="eastAsia" w:ascii="宋体" w:hAnsi="宋体" w:cs="宋体"/>
          <w:color w:val="auto"/>
          <w:sz w:val="21"/>
          <w:szCs w:val="21"/>
          <w:lang w:val="en-US" w:eastAsia="zh-CN"/>
        </w:rPr>
        <w:t>国家相关标准</w:t>
      </w:r>
      <w:r>
        <w:rPr>
          <w:rFonts w:hint="eastAsia" w:ascii="宋体" w:hAnsi="宋体" w:eastAsia="宋体" w:cs="宋体"/>
          <w:color w:val="auto"/>
          <w:sz w:val="21"/>
          <w:szCs w:val="21"/>
          <w:lang w:val="en-US" w:eastAsia="zh-CN"/>
        </w:rPr>
        <w:t>及本规范要求完成的全项</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报告，报告真实有效、可核查，</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项目覆盖产品全部技术参数及安全性能指标。</w:t>
      </w:r>
    </w:p>
    <w:p w14:paraId="0CB39A9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5.4.2 框架合作期间，若产品结构、材质、工艺等发生重大变更，代加工方须重新进行</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，提供新的</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报告，经招标人确认后方可继续生产。</w:t>
      </w:r>
    </w:p>
    <w:p w14:paraId="6CB5D7AB">
      <w:pPr>
        <w:pStyle w:val="3"/>
        <w:numPr>
          <w:ilvl w:val="1"/>
          <w:numId w:val="0"/>
        </w:numPr>
        <w:bidi w:val="0"/>
        <w:ind w:leftChars="0"/>
        <w:rPr>
          <w:rFonts w:hint="eastAsia" w:ascii="Times New Roman" w:eastAsia="黑体" w:cs="Times New Roman"/>
          <w:color w:val="auto"/>
          <w:sz w:val="24"/>
          <w:szCs w:val="24"/>
          <w:lang w:val="en-US" w:eastAsia="zh-CN"/>
        </w:rPr>
      </w:pPr>
      <w:bookmarkStart w:id="39" w:name="_Toc10071"/>
      <w:r>
        <w:rPr>
          <w:rFonts w:hint="eastAsia" w:ascii="Times New Roman" w:eastAsia="黑体" w:cs="Times New Roman"/>
          <w:color w:val="auto"/>
          <w:sz w:val="24"/>
          <w:szCs w:val="24"/>
          <w:lang w:val="en-US" w:eastAsia="zh-CN"/>
        </w:rPr>
        <w:t>5.5 到货验收试验</w:t>
      </w:r>
      <w:bookmarkEnd w:id="39"/>
    </w:p>
    <w:p w14:paraId="4475C89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设备到货后，招标人现场开展验收试验，代加工方须配合，试验项目如下：</w:t>
      </w:r>
    </w:p>
    <w:p w14:paraId="00D0127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5.5.1外观、结构、配置完整性核查：检查产品外观、结构是否完整，说明书、合格证等是否齐全。</w:t>
      </w:r>
    </w:p>
    <w:p w14:paraId="363B31D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5.5.2尺寸、重量参数核查：实测整机尺寸、重量，符合本规范要求。</w:t>
      </w:r>
    </w:p>
    <w:p w14:paraId="68547BF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5.5.3无人机适配性验收：验证紫外装置快拆安装牢固、通信正常；通过遥控器测试云台控制、图像传输及融合切换功能；确认挂载后无人机自检无报错，安全功能正常。</w:t>
      </w:r>
    </w:p>
    <w:p w14:paraId="27DD288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5.5.4</w:t>
      </w:r>
      <w:r>
        <w:rPr>
          <w:rFonts w:hint="default" w:ascii="宋体" w:hAnsi="宋体" w:eastAsia="宋体" w:cs="宋体"/>
          <w:color w:val="auto"/>
          <w:sz w:val="21"/>
          <w:szCs w:val="21"/>
          <w:lang w:val="en-US" w:eastAsia="zh-CN"/>
        </w:rPr>
        <w:t>基本功能测试：与招标人提供的无人机挂载联调，测试紫外成像、可见光成像、融合显示、云台控制、录像及拍照等功能。</w:t>
      </w:r>
    </w:p>
    <w:p w14:paraId="0B3C74D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5.5.</w:t>
      </w:r>
      <w:r>
        <w:rPr>
          <w:rFonts w:hint="eastAsia" w:ascii="宋体" w:hAnsi="宋体" w:cs="宋体"/>
          <w:color w:val="auto"/>
          <w:sz w:val="21"/>
          <w:szCs w:val="21"/>
          <w:lang w:val="en-US" w:eastAsia="zh-CN"/>
        </w:rPr>
        <w:t>5</w:t>
      </w:r>
      <w:r>
        <w:rPr>
          <w:rFonts w:hint="default" w:ascii="宋体" w:hAnsi="宋体" w:eastAsia="宋体" w:cs="宋体"/>
          <w:color w:val="auto"/>
          <w:sz w:val="21"/>
          <w:szCs w:val="21"/>
          <w:lang w:val="en-US" w:eastAsia="zh-CN"/>
        </w:rPr>
        <w:t>图像质量目测：在真实线路场景下观察紫外图像对电晕的探测能力及融合效果。</w:t>
      </w:r>
    </w:p>
    <w:p w14:paraId="599B7E2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5.5.</w:t>
      </w:r>
      <w:r>
        <w:rPr>
          <w:rFonts w:hint="eastAsia" w:ascii="宋体" w:hAnsi="宋体" w:cs="宋体"/>
          <w:color w:val="auto"/>
          <w:sz w:val="21"/>
          <w:szCs w:val="21"/>
          <w:lang w:val="en-US" w:eastAsia="zh-CN"/>
        </w:rPr>
        <w:t>6</w:t>
      </w:r>
      <w:r>
        <w:rPr>
          <w:rFonts w:hint="default" w:ascii="宋体" w:hAnsi="宋体" w:eastAsia="宋体" w:cs="宋体"/>
          <w:color w:val="auto"/>
          <w:sz w:val="21"/>
          <w:szCs w:val="21"/>
          <w:lang w:val="en-US" w:eastAsia="zh-CN"/>
        </w:rPr>
        <w:t>技术资料核查：检查出厂合格证、检验报告、使用说明书等技术资料是否完整、规范。</w:t>
      </w:r>
    </w:p>
    <w:p w14:paraId="0986E637">
      <w:pPr>
        <w:pStyle w:val="3"/>
        <w:numPr>
          <w:ilvl w:val="1"/>
          <w:numId w:val="0"/>
        </w:numPr>
        <w:bidi w:val="0"/>
        <w:ind w:leftChars="0"/>
        <w:rPr>
          <w:rFonts w:hint="eastAsia" w:ascii="Times New Roman" w:eastAsia="黑体" w:cs="Times New Roman"/>
          <w:color w:val="auto"/>
          <w:sz w:val="24"/>
          <w:szCs w:val="24"/>
          <w:lang w:val="en-US" w:eastAsia="zh-CN"/>
        </w:rPr>
      </w:pPr>
      <w:bookmarkStart w:id="40" w:name="_Toc24138"/>
      <w:r>
        <w:rPr>
          <w:rFonts w:hint="eastAsia" w:ascii="Times New Roman" w:eastAsia="黑体" w:cs="Times New Roman"/>
          <w:color w:val="auto"/>
          <w:sz w:val="24"/>
          <w:szCs w:val="24"/>
          <w:lang w:val="en-US" w:eastAsia="zh-CN"/>
        </w:rPr>
        <w:t>5.6 合格判定标准</w:t>
      </w:r>
      <w:bookmarkEnd w:id="40"/>
    </w:p>
    <w:p w14:paraId="4C6FC0D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5.6.1 原材料检验、过程检验、出厂试验、</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、到货验收试验所有项目，全部满足本规范及行业标准要求，无不合格项，方可判定合格。</w:t>
      </w:r>
    </w:p>
    <w:p w14:paraId="3C8D46A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5.6.2 若任意一项试验项目不合格，代加工方须在招标人规定的期限内整改，重新进行检验试验，直至合格；若整改后仍不合格，招标人有权拒收该批次产品，解除订单，并追究代加工方的违约责任。</w:t>
      </w:r>
    </w:p>
    <w:p w14:paraId="210D01F5">
      <w:pPr>
        <w:pStyle w:val="2"/>
        <w:numPr>
          <w:ilvl w:val="0"/>
          <w:numId w:val="0"/>
        </w:numPr>
        <w:bidi w:val="0"/>
        <w:ind w:leftChars="0"/>
        <w:rPr>
          <w:rFonts w:hint="eastAsia"/>
          <w:color w:val="auto"/>
          <w:sz w:val="24"/>
          <w:szCs w:val="24"/>
          <w:lang w:val="en-US" w:eastAsia="zh-CN"/>
        </w:rPr>
      </w:pPr>
      <w:bookmarkStart w:id="41" w:name="_Toc16123"/>
      <w:r>
        <w:rPr>
          <w:rFonts w:hint="default" w:ascii="Times New Roman" w:hAnsi="Times New Roman" w:cs="Times New Roman"/>
          <w:color w:val="auto"/>
          <w:sz w:val="24"/>
          <w:szCs w:val="24"/>
          <w:lang w:val="en-US" w:eastAsia="zh-CN"/>
        </w:rPr>
        <w:t xml:space="preserve">6 </w:t>
      </w:r>
      <w:r>
        <w:rPr>
          <w:rFonts w:hint="eastAsia"/>
          <w:color w:val="auto"/>
          <w:sz w:val="24"/>
          <w:szCs w:val="24"/>
          <w:lang w:val="en-US" w:eastAsia="zh-CN"/>
        </w:rPr>
        <w:t>质量保证要求</w:t>
      </w:r>
      <w:bookmarkEnd w:id="41"/>
    </w:p>
    <w:p w14:paraId="3B35FB2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6.1 代加工方须保证所生产的产品符合本规范、国家及行业相关标准，质量合格、性能可靠，无材料缺陷、焊接缺陷、光学性能衰退隐患，满足长期高频次无人机挂载巡检使用。</w:t>
      </w:r>
    </w:p>
    <w:p w14:paraId="698DB644">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6.2 整机质保期：≥24个月，自设备到货验收合格之日起计算；质保期内，若产品出现非</w:t>
      </w:r>
      <w:r>
        <w:rPr>
          <w:rFonts w:hint="eastAsia" w:ascii="宋体" w:hAnsi="宋体" w:eastAsia="宋体" w:cs="宋体"/>
          <w:color w:val="auto"/>
          <w:sz w:val="21"/>
          <w:szCs w:val="21"/>
          <w:lang w:val="en-US" w:eastAsia="zh-CN"/>
        </w:rPr>
        <w:t>人为损坏的质量问题（包括原材料质量、加工质量、零部件质量等），代加工方须免费维修、免费更换整机及配件，无偿上门处理，承担全部维修、更换费用及运输费用。</w:t>
      </w:r>
    </w:p>
    <w:p w14:paraId="2148CDF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6.3 质保期内，产品出现质量缺陷，代加工方须在48小时内响应，72小时内完成现场处理；若无法现场处理，须提供临时替代产品，确保招标人正常使用，待故障产品修复后更换。</w:t>
      </w:r>
    </w:p>
    <w:p w14:paraId="400DEDB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6.4 若因代加工方原材料质量、加工工艺等问题，导致产品出现重大质量事故，代加工方须承担全部责任，赔偿招标人因此造成的全部损失，招标人有权终止框架合作协议。</w:t>
      </w:r>
    </w:p>
    <w:p w14:paraId="21819ED7">
      <w:pPr>
        <w:pStyle w:val="2"/>
        <w:numPr>
          <w:ilvl w:val="0"/>
          <w:numId w:val="0"/>
        </w:numPr>
        <w:bidi w:val="0"/>
        <w:ind w:leftChars="0"/>
        <w:rPr>
          <w:rFonts w:hint="eastAsia"/>
          <w:color w:val="auto"/>
          <w:sz w:val="24"/>
          <w:szCs w:val="24"/>
          <w:lang w:val="en-US" w:eastAsia="zh-CN"/>
        </w:rPr>
      </w:pPr>
      <w:bookmarkStart w:id="42" w:name="_Toc6014"/>
      <w:r>
        <w:rPr>
          <w:rFonts w:hint="default" w:ascii="Times New Roman" w:hAnsi="Times New Roman" w:cs="Times New Roman"/>
          <w:color w:val="auto"/>
          <w:sz w:val="24"/>
          <w:szCs w:val="24"/>
          <w:lang w:val="en-US" w:eastAsia="zh-CN"/>
        </w:rPr>
        <w:t>7</w:t>
      </w:r>
      <w:r>
        <w:rPr>
          <w:rFonts w:hint="eastAsia"/>
          <w:color w:val="auto"/>
          <w:sz w:val="24"/>
          <w:szCs w:val="24"/>
          <w:lang w:val="en-US" w:eastAsia="zh-CN"/>
        </w:rPr>
        <w:t xml:space="preserve"> 包装、运输及储存要求</w:t>
      </w:r>
      <w:bookmarkEnd w:id="42"/>
    </w:p>
    <w:p w14:paraId="6032BC6C">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7.1 包装：严格按照本规范4.</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.1条要求执行，确保产品在运输过程中不受损坏；包装材料须符合环保要求，可回收利用。</w:t>
      </w:r>
    </w:p>
    <w:p w14:paraId="06129C2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7.2 运输：代加工方选择合适的运输方式（如物流、快递），确保产品按时、安全交付；运输过程中须采取防震、防潮、防挤压、防碰撞措施，避免产品结构变形、零部件损坏；运输费用、装卸费用、运输风险全部由代加工方承担。</w:t>
      </w:r>
    </w:p>
    <w:p w14:paraId="4B9BA51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7.3 储存：代加工方的产品储存环境须干燥、通风、防潮、防腐蚀、防重压、防阳光直射，产品摆放整齐，做好标识；长期储存的产品，须定期检查、维护，确保产品质量不受影响。</w:t>
      </w:r>
    </w:p>
    <w:p w14:paraId="78C72D5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7.4 包装箱须具备重复收纳功能，便于招标人库房存放、重复使用。</w:t>
      </w:r>
    </w:p>
    <w:p w14:paraId="20A16FB9">
      <w:pPr>
        <w:pStyle w:val="2"/>
        <w:numPr>
          <w:ilvl w:val="0"/>
          <w:numId w:val="0"/>
        </w:numPr>
        <w:bidi w:val="0"/>
        <w:ind w:leftChars="0"/>
        <w:rPr>
          <w:rFonts w:hint="eastAsia"/>
          <w:color w:val="auto"/>
          <w:sz w:val="24"/>
          <w:szCs w:val="24"/>
          <w:lang w:val="en-US" w:eastAsia="zh-CN"/>
        </w:rPr>
      </w:pPr>
      <w:bookmarkStart w:id="43" w:name="_Toc15525"/>
      <w:r>
        <w:rPr>
          <w:rFonts w:hint="default" w:ascii="Times New Roman" w:hAnsi="Times New Roman" w:cs="Times New Roman"/>
          <w:color w:val="auto"/>
          <w:sz w:val="24"/>
          <w:szCs w:val="24"/>
          <w:lang w:val="en-US" w:eastAsia="zh-CN"/>
        </w:rPr>
        <w:t>8</w:t>
      </w:r>
      <w:r>
        <w:rPr>
          <w:rFonts w:hint="eastAsia"/>
          <w:color w:val="auto"/>
          <w:sz w:val="24"/>
          <w:szCs w:val="24"/>
          <w:lang w:val="en-US" w:eastAsia="zh-CN"/>
        </w:rPr>
        <w:t xml:space="preserve"> 安装、调试及技术支持要求</w:t>
      </w:r>
      <w:bookmarkEnd w:id="43"/>
    </w:p>
    <w:p w14:paraId="05CC4F06">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 代加工方</w:t>
      </w:r>
      <w:r>
        <w:rPr>
          <w:rFonts w:hint="eastAsia" w:ascii="宋体" w:hAnsi="宋体" w:cs="宋体"/>
          <w:color w:val="auto"/>
          <w:sz w:val="21"/>
          <w:szCs w:val="21"/>
          <w:lang w:val="en-US" w:eastAsia="zh-CN"/>
        </w:rPr>
        <w:t>需</w:t>
      </w:r>
      <w:r>
        <w:rPr>
          <w:rFonts w:hint="eastAsia" w:ascii="宋体" w:hAnsi="宋体" w:eastAsia="宋体" w:cs="宋体"/>
          <w:color w:val="auto"/>
          <w:sz w:val="21"/>
          <w:szCs w:val="21"/>
          <w:lang w:val="en-US" w:eastAsia="zh-CN"/>
        </w:rPr>
        <w:t>提供产品安装、调试指导服务，</w:t>
      </w:r>
      <w:r>
        <w:rPr>
          <w:rFonts w:hint="eastAsia" w:ascii="宋体" w:hAnsi="宋体" w:cs="宋体"/>
          <w:color w:val="auto"/>
          <w:sz w:val="21"/>
          <w:szCs w:val="21"/>
          <w:lang w:val="en-US" w:eastAsia="zh-CN"/>
        </w:rPr>
        <w:t>如有必要需</w:t>
      </w:r>
      <w:r>
        <w:rPr>
          <w:rFonts w:hint="eastAsia" w:ascii="宋体" w:hAnsi="宋体" w:eastAsia="宋体" w:cs="宋体"/>
          <w:color w:val="auto"/>
          <w:sz w:val="21"/>
          <w:szCs w:val="21"/>
          <w:lang w:val="en-US" w:eastAsia="zh-CN"/>
        </w:rPr>
        <w:t>派遣专业技术人员现场指导招标人进行产品悬挂安装、展开调试，确保产品安装规范、调试合格，能够正常使用。</w:t>
      </w:r>
    </w:p>
    <w:p w14:paraId="6111DD8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8.2 安装、调试过程中，代加工方技术人员</w:t>
      </w:r>
      <w:r>
        <w:rPr>
          <w:rFonts w:hint="eastAsia" w:ascii="宋体" w:hAnsi="宋体" w:cs="宋体"/>
          <w:color w:val="auto"/>
          <w:sz w:val="21"/>
          <w:szCs w:val="21"/>
          <w:lang w:val="en-US" w:eastAsia="zh-CN"/>
        </w:rPr>
        <w:t>需</w:t>
      </w:r>
      <w:r>
        <w:rPr>
          <w:rFonts w:hint="eastAsia" w:ascii="宋体" w:hAnsi="宋体" w:eastAsia="宋体" w:cs="宋体"/>
          <w:color w:val="auto"/>
          <w:sz w:val="21"/>
          <w:szCs w:val="21"/>
          <w:lang w:val="en-US" w:eastAsia="zh-CN"/>
        </w:rPr>
        <w:t>向招标人操作、运维人员讲解产品结构、安装要点、操作方法、注意事项等，确保相关人员掌握基本操作技能。</w:t>
      </w:r>
    </w:p>
    <w:p w14:paraId="1D4F3F2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8.3 框架合作期间，代加工方须提供24小时远程技术支持服务，及时解答招标人产品使用、维护、故障处理等方面的疑问；若出现无法远程解决的故障，</w:t>
      </w:r>
      <w:r>
        <w:rPr>
          <w:rFonts w:hint="eastAsia" w:ascii="宋体" w:hAnsi="宋体" w:cs="宋体"/>
          <w:color w:val="auto"/>
          <w:sz w:val="21"/>
          <w:szCs w:val="21"/>
          <w:lang w:val="en-US" w:eastAsia="zh-CN"/>
        </w:rPr>
        <w:t>需</w:t>
      </w:r>
      <w:r>
        <w:rPr>
          <w:rFonts w:hint="eastAsia" w:ascii="宋体" w:hAnsi="宋体" w:eastAsia="宋体" w:cs="宋体"/>
          <w:color w:val="auto"/>
          <w:sz w:val="21"/>
          <w:szCs w:val="21"/>
          <w:lang w:val="en-US" w:eastAsia="zh-CN"/>
        </w:rPr>
        <w:t>派遣技术人员现场处理。</w:t>
      </w:r>
    </w:p>
    <w:p w14:paraId="3FAF27C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8.4 代加工方</w:t>
      </w:r>
      <w:r>
        <w:rPr>
          <w:rFonts w:hint="eastAsia" w:ascii="宋体" w:hAnsi="宋体" w:cs="宋体"/>
          <w:color w:val="auto"/>
          <w:sz w:val="21"/>
          <w:szCs w:val="21"/>
          <w:lang w:val="en-US" w:eastAsia="zh-CN"/>
        </w:rPr>
        <w:t>需</w:t>
      </w:r>
      <w:r>
        <w:rPr>
          <w:rFonts w:hint="eastAsia" w:ascii="宋体" w:hAnsi="宋体" w:eastAsia="宋体" w:cs="宋体"/>
          <w:color w:val="auto"/>
          <w:sz w:val="21"/>
          <w:szCs w:val="21"/>
          <w:lang w:val="en-US" w:eastAsia="zh-CN"/>
        </w:rPr>
        <w:t>提供产品维护保养指导，指导招标人做好产品日常维护保养工作，延长产品使用寿命。</w:t>
      </w:r>
    </w:p>
    <w:p w14:paraId="66971910">
      <w:pPr>
        <w:pStyle w:val="2"/>
        <w:numPr>
          <w:ilvl w:val="0"/>
          <w:numId w:val="0"/>
        </w:numPr>
        <w:bidi w:val="0"/>
        <w:ind w:leftChars="0"/>
        <w:rPr>
          <w:rFonts w:hint="eastAsia"/>
          <w:color w:val="auto"/>
          <w:sz w:val="24"/>
          <w:szCs w:val="24"/>
          <w:lang w:val="en-US" w:eastAsia="zh-CN"/>
        </w:rPr>
      </w:pPr>
      <w:bookmarkStart w:id="44" w:name="_Toc9674"/>
      <w:r>
        <w:rPr>
          <w:rFonts w:hint="default" w:ascii="Times New Roman" w:hAnsi="Times New Roman" w:cs="Times New Roman"/>
          <w:color w:val="auto"/>
          <w:sz w:val="24"/>
          <w:szCs w:val="24"/>
          <w:lang w:val="en-US" w:eastAsia="zh-CN"/>
        </w:rPr>
        <w:t>9</w:t>
      </w:r>
      <w:r>
        <w:rPr>
          <w:rFonts w:hint="eastAsia"/>
          <w:color w:val="auto"/>
          <w:sz w:val="24"/>
          <w:szCs w:val="24"/>
          <w:lang w:val="en-US" w:eastAsia="zh-CN"/>
        </w:rPr>
        <w:t xml:space="preserve"> 交付技术资料要求</w:t>
      </w:r>
      <w:bookmarkEnd w:id="44"/>
    </w:p>
    <w:p w14:paraId="3B09150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代加工方须随每批订单产品，交付完整的技术资料，资料须完整、规范、清晰，具体如下：</w:t>
      </w:r>
    </w:p>
    <w:p w14:paraId="6521BB2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9.1 产品出厂合格证（每台产品1份，加盖代加工方公章）；</w:t>
      </w:r>
    </w:p>
    <w:p w14:paraId="0ADA1CF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9.2 全项出厂试验检测报告（每批订单1份，加盖代加工方公章）；</w:t>
      </w:r>
    </w:p>
    <w:p w14:paraId="63CB754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9.3 第三方</w:t>
      </w:r>
      <w:r>
        <w:rPr>
          <w:rFonts w:hint="eastAsia" w:ascii="宋体" w:hAnsi="宋体" w:cs="宋体"/>
          <w:color w:val="000000" w:themeColor="text1"/>
          <w:sz w:val="21"/>
          <w:szCs w:val="21"/>
          <w:highlight w:val="none"/>
          <w:lang w:val="en-US" w:eastAsia="zh-CN"/>
          <w14:textFill>
            <w14:solidFill>
              <w14:schemeClr w14:val="tx1"/>
            </w14:solidFill>
          </w14:textFill>
        </w:rPr>
        <w:t>检测试验</w:t>
      </w:r>
      <w:r>
        <w:rPr>
          <w:rFonts w:hint="eastAsia" w:ascii="宋体" w:hAnsi="宋体" w:eastAsia="宋体" w:cs="宋体"/>
          <w:color w:val="000000" w:themeColor="text1"/>
          <w:sz w:val="21"/>
          <w:szCs w:val="21"/>
          <w:highlight w:val="none"/>
          <w:lang w:val="en-US" w:eastAsia="zh-CN"/>
          <w14:textFill>
            <w14:solidFill>
              <w14:schemeClr w14:val="tx1"/>
            </w14:solidFill>
          </w14:textFill>
        </w:rPr>
        <w:t>报告复印件（加盖代加工方公章，每批订单1份）；</w:t>
      </w:r>
    </w:p>
    <w:p w14:paraId="4F56806A">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9.4 详细产品使用维护说明书（含结构图纸、操作步骤、保养规范、故障排查方法）；</w:t>
      </w:r>
    </w:p>
    <w:p w14:paraId="38AAD60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9.5 产品质保卡、零部件清单；</w:t>
      </w:r>
    </w:p>
    <w:p w14:paraId="411F953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9.6 设备安装示意图</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3502D4D">
      <w:pPr>
        <w:pStyle w:val="2"/>
        <w:numPr>
          <w:ilvl w:val="0"/>
          <w:numId w:val="0"/>
        </w:numPr>
        <w:bidi w:val="0"/>
        <w:ind w:leftChars="0"/>
        <w:rPr>
          <w:rFonts w:hint="eastAsia"/>
          <w:color w:val="auto"/>
          <w:sz w:val="24"/>
          <w:szCs w:val="24"/>
          <w:lang w:val="en-US" w:eastAsia="zh-CN"/>
        </w:rPr>
      </w:pPr>
      <w:bookmarkStart w:id="45" w:name="_Toc29304"/>
      <w:r>
        <w:rPr>
          <w:rFonts w:hint="default" w:ascii="Times New Roman" w:hAnsi="Times New Roman" w:cs="Times New Roman"/>
          <w:color w:val="auto"/>
          <w:sz w:val="24"/>
          <w:szCs w:val="24"/>
          <w:lang w:val="en-US" w:eastAsia="zh-CN"/>
        </w:rPr>
        <w:t>10</w:t>
      </w:r>
      <w:r>
        <w:rPr>
          <w:rFonts w:hint="eastAsia"/>
          <w:color w:val="auto"/>
          <w:sz w:val="24"/>
          <w:szCs w:val="24"/>
          <w:lang w:val="en-US" w:eastAsia="zh-CN"/>
        </w:rPr>
        <w:t xml:space="preserve"> 验收标准及验收流程</w:t>
      </w:r>
      <w:bookmarkEnd w:id="45"/>
    </w:p>
    <w:p w14:paraId="2F19227F">
      <w:pPr>
        <w:pStyle w:val="3"/>
        <w:numPr>
          <w:ilvl w:val="1"/>
          <w:numId w:val="0"/>
        </w:numPr>
        <w:bidi w:val="0"/>
        <w:ind w:leftChars="0"/>
        <w:rPr>
          <w:rFonts w:hint="eastAsia" w:ascii="Times New Roman" w:eastAsia="黑体" w:cs="Times New Roman"/>
          <w:color w:val="auto"/>
          <w:sz w:val="24"/>
          <w:szCs w:val="24"/>
          <w:lang w:val="en-US" w:eastAsia="zh-CN"/>
        </w:rPr>
      </w:pPr>
      <w:bookmarkStart w:id="46" w:name="_Toc32328"/>
      <w:r>
        <w:rPr>
          <w:rFonts w:hint="eastAsia" w:ascii="Times New Roman" w:eastAsia="黑体" w:cs="Times New Roman"/>
          <w:color w:val="auto"/>
          <w:sz w:val="24"/>
          <w:szCs w:val="24"/>
          <w:lang w:val="en-US" w:eastAsia="zh-CN"/>
        </w:rPr>
        <w:t>10.1 验收依据</w:t>
      </w:r>
      <w:bookmarkEnd w:id="46"/>
    </w:p>
    <w:p w14:paraId="48587108">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本技术规范书、国家及电力行业现行标准、招标人提供的技术图纸、加工工艺文件、投标承诺参数、框架合作协议、代加工订单约定条款。</w:t>
      </w:r>
    </w:p>
    <w:p w14:paraId="3D39DB84">
      <w:pPr>
        <w:pStyle w:val="3"/>
        <w:numPr>
          <w:ilvl w:val="1"/>
          <w:numId w:val="0"/>
        </w:numPr>
        <w:bidi w:val="0"/>
        <w:ind w:leftChars="0"/>
        <w:rPr>
          <w:rFonts w:hint="eastAsia" w:ascii="Times New Roman" w:eastAsia="黑体" w:cs="Times New Roman"/>
          <w:color w:val="auto"/>
          <w:sz w:val="24"/>
          <w:szCs w:val="24"/>
          <w:lang w:val="en-US" w:eastAsia="zh-CN"/>
        </w:rPr>
      </w:pPr>
      <w:bookmarkStart w:id="47" w:name="_Toc9917"/>
      <w:r>
        <w:rPr>
          <w:rFonts w:hint="eastAsia" w:ascii="Times New Roman" w:eastAsia="黑体" w:cs="Times New Roman"/>
          <w:color w:val="auto"/>
          <w:sz w:val="24"/>
          <w:szCs w:val="24"/>
          <w:lang w:val="en-US" w:eastAsia="zh-CN"/>
        </w:rPr>
        <w:t>10.2 验收阶段</w:t>
      </w:r>
      <w:bookmarkEnd w:id="47"/>
    </w:p>
    <w:p w14:paraId="389127D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.2.1 到货验收：产品到货后，招标人组织相关人员，对产品外观、结构、配置完整性、技术资料完整性进行核查，代加工方须配合。</w:t>
      </w:r>
    </w:p>
    <w:p w14:paraId="414331A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.2.2 现场性能验收：到货验收合格后，开展现场性能验收，对产品紫外成像、可见光成像、融合效果、云台控制、通信等进行实测</w:t>
      </w:r>
      <w:r>
        <w:rPr>
          <w:rFonts w:hint="eastAsia" w:ascii="宋体" w:hAnsi="宋体" w:cs="宋体"/>
          <w:color w:val="auto"/>
          <w:sz w:val="21"/>
          <w:szCs w:val="21"/>
          <w:lang w:val="en-US" w:eastAsia="zh-CN"/>
        </w:rPr>
        <w:t>；同时搭载无人机进行功能测试。</w:t>
      </w:r>
      <w:r>
        <w:rPr>
          <w:rFonts w:hint="eastAsia" w:ascii="宋体" w:hAnsi="宋体" w:eastAsia="宋体" w:cs="宋体"/>
          <w:color w:val="auto"/>
          <w:sz w:val="21"/>
          <w:szCs w:val="21"/>
          <w:lang w:val="en-US" w:eastAsia="zh-CN"/>
        </w:rPr>
        <w:t>代加工方须提供必要的测试条件和技术支持。</w:t>
      </w:r>
    </w:p>
    <w:p w14:paraId="303E07C9">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.2.3 综合验收：到货验收、现场性能验收全部合格后，招标人组织综合验收，签署验收合格文件；若验收过程中发现不合格项，代加工方须按要求整改，重新验收，直至合格。</w:t>
      </w:r>
    </w:p>
    <w:p w14:paraId="7C19C087">
      <w:pPr>
        <w:pStyle w:val="3"/>
        <w:numPr>
          <w:ilvl w:val="1"/>
          <w:numId w:val="0"/>
        </w:numPr>
        <w:bidi w:val="0"/>
        <w:ind w:leftChars="0"/>
        <w:rPr>
          <w:rFonts w:hint="eastAsia" w:ascii="Times New Roman" w:eastAsia="黑体" w:cs="Times New Roman"/>
          <w:color w:val="auto"/>
          <w:sz w:val="24"/>
          <w:szCs w:val="24"/>
          <w:lang w:val="en-US" w:eastAsia="zh-CN"/>
        </w:rPr>
      </w:pPr>
      <w:bookmarkStart w:id="48" w:name="_Toc9572"/>
      <w:r>
        <w:rPr>
          <w:rFonts w:hint="eastAsia" w:ascii="Times New Roman" w:eastAsia="黑体" w:cs="Times New Roman"/>
          <w:color w:val="auto"/>
          <w:sz w:val="24"/>
          <w:szCs w:val="24"/>
          <w:lang w:val="en-US" w:eastAsia="zh-CN"/>
        </w:rPr>
        <w:t>10.3 验收合格判定</w:t>
      </w:r>
      <w:bookmarkEnd w:id="48"/>
    </w:p>
    <w:p w14:paraId="0B83372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.3.1 产品为全新原厂合格产品，无翻新、无二手、无返修部件，配置齐全无缺项。</w:t>
      </w:r>
    </w:p>
    <w:p w14:paraId="55064DF3">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.3.2 所有技术参数、结构、功能、安全指标全部满足本规范全部条款要求。</w:t>
      </w:r>
    </w:p>
    <w:p w14:paraId="397A0E5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.3.3 原材料检验、过程检验、出厂试验、</w:t>
      </w:r>
      <w:r>
        <w:rPr>
          <w:rFonts w:hint="eastAsia" w:ascii="宋体" w:hAnsi="宋体" w:cs="宋体"/>
          <w:color w:val="auto"/>
          <w:sz w:val="21"/>
          <w:szCs w:val="21"/>
          <w:lang w:val="en-US" w:eastAsia="zh-CN"/>
        </w:rPr>
        <w:t>第三方检测试验</w:t>
      </w:r>
      <w:r>
        <w:rPr>
          <w:rFonts w:hint="eastAsia" w:ascii="宋体" w:hAnsi="宋体" w:eastAsia="宋体" w:cs="宋体"/>
          <w:color w:val="auto"/>
          <w:sz w:val="21"/>
          <w:szCs w:val="21"/>
          <w:lang w:val="en-US" w:eastAsia="zh-CN"/>
        </w:rPr>
        <w:t>、到货验收试验全部合格，检验报告完整、规范。</w:t>
      </w:r>
    </w:p>
    <w:p w14:paraId="21D9399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.3.4 技术资料完整、齐全，符合本规范要求。</w:t>
      </w:r>
    </w:p>
    <w:p w14:paraId="28E364FF">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.3.5 代加工过程符合本规范要求，生产记录、质量追溯台账完整可追溯。</w:t>
      </w:r>
    </w:p>
    <w:p w14:paraId="66DC53E0">
      <w:pPr>
        <w:pStyle w:val="3"/>
        <w:numPr>
          <w:ilvl w:val="1"/>
          <w:numId w:val="0"/>
        </w:numPr>
        <w:bidi w:val="0"/>
        <w:ind w:leftChars="0"/>
        <w:rPr>
          <w:rFonts w:hint="eastAsia" w:ascii="Times New Roman" w:eastAsia="黑体" w:cs="Times New Roman"/>
          <w:color w:val="auto"/>
          <w:sz w:val="24"/>
          <w:szCs w:val="24"/>
          <w:lang w:val="en-US" w:eastAsia="zh-CN"/>
        </w:rPr>
      </w:pPr>
      <w:bookmarkStart w:id="49" w:name="_Toc28234"/>
      <w:r>
        <w:rPr>
          <w:rFonts w:hint="eastAsia" w:ascii="Times New Roman" w:eastAsia="黑体" w:cs="Times New Roman"/>
          <w:color w:val="auto"/>
          <w:sz w:val="24"/>
          <w:szCs w:val="24"/>
          <w:lang w:val="en-US" w:eastAsia="zh-CN"/>
        </w:rPr>
        <w:t>10.4 不合格处理</w:t>
      </w:r>
      <w:bookmarkEnd w:id="49"/>
    </w:p>
    <w:p w14:paraId="5D92AF11">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.4.1 验收过程中，若发现任意一项指标不满足要求，招标人有权暂停验收，要求代加工方在</w:t>
      </w:r>
      <w:r>
        <w:rPr>
          <w:rFonts w:hint="eastAsia" w:ascii="宋体" w:hAnsi="宋体" w:cs="宋体"/>
          <w:color w:val="auto"/>
          <w:sz w:val="21"/>
          <w:szCs w:val="21"/>
          <w:u w:val="single"/>
          <w:lang w:val="en-US" w:eastAsia="zh-CN"/>
        </w:rPr>
        <w:t>7</w:t>
      </w:r>
      <w:r>
        <w:rPr>
          <w:rFonts w:hint="eastAsia" w:ascii="宋体" w:hAnsi="宋体" w:eastAsia="宋体" w:cs="宋体"/>
          <w:color w:val="auto"/>
          <w:sz w:val="21"/>
          <w:szCs w:val="21"/>
          <w:lang w:val="en-US" w:eastAsia="zh-CN"/>
        </w:rPr>
        <w:t>个工作日内整改，代加工方须承担全部整改费用；整改后重新验收，直至合格。</w:t>
      </w:r>
    </w:p>
    <w:p w14:paraId="1275BC2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.4.2 若代加工方整改后仍无法满足验收要求，招标人有权拒收该批次产品，解除订单，要求代加工方退还全部货款，并承担相应的违约责任；若情节严重，招标人有权终止框架合作协议。</w:t>
      </w:r>
    </w:p>
    <w:p w14:paraId="53DCB0F3">
      <w:pPr>
        <w:pStyle w:val="2"/>
        <w:numPr>
          <w:ilvl w:val="0"/>
          <w:numId w:val="0"/>
        </w:numPr>
        <w:bidi w:val="0"/>
        <w:ind w:leftChars="0"/>
        <w:rPr>
          <w:rFonts w:hint="eastAsia"/>
          <w:color w:val="auto"/>
          <w:sz w:val="24"/>
          <w:szCs w:val="24"/>
          <w:lang w:val="en-US" w:eastAsia="zh-CN"/>
        </w:rPr>
      </w:pPr>
      <w:bookmarkStart w:id="50" w:name="_Toc32307"/>
      <w:r>
        <w:rPr>
          <w:rFonts w:hint="eastAsia"/>
          <w:color w:val="auto"/>
          <w:sz w:val="24"/>
          <w:szCs w:val="24"/>
          <w:lang w:val="en-US" w:eastAsia="zh-CN"/>
        </w:rPr>
        <w:t>11 框架采购专项要求</w:t>
      </w:r>
      <w:bookmarkEnd w:id="50"/>
    </w:p>
    <w:p w14:paraId="5FE0C55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.1 订单响应：招标人</w:t>
      </w:r>
      <w:r>
        <w:rPr>
          <w:rFonts w:hint="eastAsia" w:ascii="宋体" w:hAnsi="宋体" w:cs="宋体"/>
          <w:color w:val="auto"/>
          <w:sz w:val="21"/>
          <w:szCs w:val="21"/>
          <w:lang w:val="en-US" w:eastAsia="zh-CN"/>
        </w:rPr>
        <w:t>通知</w:t>
      </w:r>
      <w:r>
        <w:rPr>
          <w:rFonts w:hint="eastAsia" w:ascii="宋体" w:hAnsi="宋体" w:eastAsia="宋体" w:cs="宋体"/>
          <w:color w:val="auto"/>
          <w:sz w:val="21"/>
          <w:szCs w:val="21"/>
          <w:lang w:val="en-US" w:eastAsia="zh-CN"/>
        </w:rPr>
        <w:t>代加工方交付时间、交付数量、交付地点等关键信息</w:t>
      </w:r>
      <w:r>
        <w:rPr>
          <w:rFonts w:hint="eastAsia" w:ascii="宋体" w:hAnsi="宋体" w:cs="宋体"/>
          <w:color w:val="auto"/>
          <w:sz w:val="21"/>
          <w:szCs w:val="21"/>
          <w:lang w:val="en-US" w:eastAsia="zh-CN"/>
        </w:rPr>
        <w:t>，代加工方应在收到通知后20个自然日内完成生产并交付。</w:t>
      </w:r>
    </w:p>
    <w:p w14:paraId="610527D2">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.2 产能保障：代加工方须保障框架合作期间，具备满足招标人订单需求的产能，若招标人有紧急订单（如应急检修所需），代加工方须优先安排生产，确保在招标人要求的时间内交付，不得逾期。</w:t>
      </w:r>
    </w:p>
    <w:p w14:paraId="4F14D82D">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3订单变更：招标人可根据实际需求，对已下达的订单进行变更（如数量、交付时间等），须提前告知代加工方，代加工方须积极配合，调整生产计划，确保变更后订单顺利交付；若因订单变更产生额外费用，双方协商承担。</w:t>
      </w:r>
    </w:p>
    <w:p w14:paraId="1B46FDA7">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 履约考核：框架合作期间，招标人将对代加工方的履约情况进行考核，考核指标包括订单响应速度、交付及时性、产品质量、售后服务等；考核不合格的，招标人有权暂停下达订单，要求代加工方整改；整改后仍不合格的，招标人有权终止框架合作协议。</w:t>
      </w:r>
    </w:p>
    <w:p w14:paraId="65686D45">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 xml:space="preserve"> 转包分包：代加工方不得将本次代加工业务转包、分包给第三方，不得擅自委托第三方生产加工，若违反，招标人有权终止框架合作协议，追究代加工方的违约责任。</w:t>
      </w:r>
    </w:p>
    <w:p w14:paraId="24E3824B">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 xml:space="preserve"> 合作终止：框架合作协议期满，双方未续签的，协议自动终止；若代加工方违反本规范及框架协议约定，招标人有权提前终止协议，代加工方须承担相应的违约责任。</w:t>
      </w:r>
    </w:p>
    <w:p w14:paraId="11535203">
      <w:pPr>
        <w:pStyle w:val="2"/>
        <w:numPr>
          <w:ilvl w:val="0"/>
          <w:numId w:val="0"/>
        </w:numPr>
        <w:bidi w:val="0"/>
        <w:ind w:leftChars="0"/>
        <w:rPr>
          <w:rFonts w:hint="eastAsia"/>
          <w:color w:val="auto"/>
          <w:sz w:val="24"/>
          <w:szCs w:val="24"/>
          <w:lang w:val="en-US" w:eastAsia="zh-CN"/>
        </w:rPr>
      </w:pPr>
      <w:bookmarkStart w:id="51" w:name="_Toc8985"/>
      <w:r>
        <w:rPr>
          <w:rFonts w:hint="eastAsia"/>
          <w:color w:val="auto"/>
          <w:sz w:val="24"/>
          <w:szCs w:val="24"/>
          <w:lang w:val="en-US" w:eastAsia="zh-CN"/>
        </w:rPr>
        <w:t>12 其他要求</w:t>
      </w:r>
      <w:bookmarkEnd w:id="51"/>
    </w:p>
    <w:p w14:paraId="610F0E03">
      <w:pPr>
        <w:pStyle w:val="3"/>
        <w:numPr>
          <w:ilvl w:val="1"/>
          <w:numId w:val="0"/>
        </w:numPr>
        <w:bidi w:val="0"/>
        <w:ind w:leftChars="0"/>
        <w:rPr>
          <w:rFonts w:hint="eastAsia" w:ascii="Times New Roman" w:eastAsia="黑体" w:cs="Times New Roman"/>
          <w:color w:val="auto"/>
          <w:sz w:val="24"/>
          <w:szCs w:val="24"/>
          <w:lang w:val="en-US" w:eastAsia="zh-CN"/>
        </w:rPr>
      </w:pPr>
      <w:bookmarkStart w:id="52" w:name="_Toc14644"/>
      <w:r>
        <w:rPr>
          <w:rFonts w:hint="eastAsia" w:ascii="Times New Roman" w:eastAsia="黑体" w:cs="Times New Roman"/>
          <w:color w:val="auto"/>
          <w:sz w:val="24"/>
          <w:szCs w:val="24"/>
          <w:lang w:val="en-US" w:eastAsia="zh-CN"/>
        </w:rPr>
        <w:t>12.1 知识产权</w:t>
      </w:r>
      <w:bookmarkEnd w:id="52"/>
    </w:p>
    <w:p w14:paraId="3C681C97">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代加工方须保证所投代加工服务、使用的原材料、生产的产品无任何知识产权纠纷、专利侵权问题，若产生相关争议，全部责任由代加工方承担，且须赔偿招标人因此造成的全部损失（包括但不限于律师费、诉讼费、赔偿金等）。</w:t>
      </w:r>
    </w:p>
    <w:p w14:paraId="585ACC6E">
      <w:pPr>
        <w:pStyle w:val="3"/>
        <w:numPr>
          <w:ilvl w:val="1"/>
          <w:numId w:val="0"/>
        </w:numPr>
        <w:bidi w:val="0"/>
        <w:ind w:leftChars="0"/>
        <w:rPr>
          <w:rFonts w:hint="eastAsia" w:ascii="Times New Roman" w:eastAsia="黑体" w:cs="Times New Roman"/>
          <w:color w:val="auto"/>
          <w:sz w:val="24"/>
          <w:szCs w:val="24"/>
          <w:lang w:val="en-US" w:eastAsia="zh-CN"/>
        </w:rPr>
      </w:pPr>
      <w:bookmarkStart w:id="53" w:name="_Toc8299"/>
      <w:r>
        <w:rPr>
          <w:rFonts w:hint="eastAsia" w:ascii="Times New Roman" w:eastAsia="黑体" w:cs="Times New Roman"/>
          <w:color w:val="auto"/>
          <w:sz w:val="24"/>
          <w:szCs w:val="24"/>
          <w:lang w:val="en-US" w:eastAsia="zh-CN"/>
        </w:rPr>
        <w:t>12.2 保密要求</w:t>
      </w:r>
      <w:bookmarkEnd w:id="53"/>
    </w:p>
    <w:p w14:paraId="491B3291">
      <w:pPr>
        <w:keepNext w:val="0"/>
        <w:keepLines w:val="0"/>
        <w:pageBreakBefore w:val="0"/>
        <w:widowControl w:val="0"/>
        <w:kinsoku/>
        <w:wordWrap/>
        <w:overflowPunct/>
        <w:topLinePunct w:val="0"/>
        <w:autoSpaceDE/>
        <w:autoSpaceDN/>
        <w:bidi w:val="0"/>
        <w:adjustRightInd/>
        <w:snapToGrid/>
        <w:spacing w:before="120" w:after="120" w:line="288"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双方对本次框架采购所有</w:t>
      </w:r>
      <w:r>
        <w:rPr>
          <w:rFonts w:hint="eastAsia" w:ascii="宋体" w:hAnsi="宋体" w:cs="宋体"/>
          <w:color w:val="auto"/>
          <w:sz w:val="21"/>
          <w:szCs w:val="21"/>
          <w:lang w:val="en-US" w:eastAsia="zh-CN"/>
        </w:rPr>
        <w:t>资料及信息保密。</w:t>
      </w:r>
    </w:p>
    <w:p w14:paraId="0D6FD2F8">
      <w:pPr>
        <w:pStyle w:val="2"/>
        <w:numPr>
          <w:ilvl w:val="0"/>
          <w:numId w:val="0"/>
        </w:numPr>
        <w:bidi w:val="0"/>
        <w:ind w:leftChars="0"/>
        <w:rPr>
          <w:rFonts w:hint="eastAsia"/>
          <w:color w:val="auto"/>
          <w:sz w:val="24"/>
          <w:szCs w:val="24"/>
          <w:lang w:val="en-US" w:eastAsia="zh-CN"/>
        </w:rPr>
      </w:pPr>
      <w:bookmarkStart w:id="54" w:name="_Toc1631"/>
      <w:r>
        <w:rPr>
          <w:rFonts w:hint="default" w:ascii="Times New Roman" w:hAnsi="Times New Roman" w:cs="Times New Roman"/>
          <w:color w:val="auto"/>
          <w:sz w:val="24"/>
          <w:szCs w:val="24"/>
          <w:lang w:val="en-US" w:eastAsia="zh-CN"/>
        </w:rPr>
        <w:t>1</w:t>
      </w:r>
      <w:r>
        <w:rPr>
          <w:rFonts w:hint="eastAsia" w:ascii="Times New Roman" w:cs="Times New Roman"/>
          <w:color w:val="auto"/>
          <w:sz w:val="24"/>
          <w:szCs w:val="24"/>
          <w:lang w:val="en-US" w:eastAsia="zh-CN"/>
        </w:rPr>
        <w:t>3</w:t>
      </w:r>
      <w:r>
        <w:rPr>
          <w:rFonts w:hint="eastAsia"/>
          <w:color w:val="auto"/>
          <w:sz w:val="24"/>
          <w:szCs w:val="24"/>
          <w:lang w:val="en-US" w:eastAsia="zh-CN"/>
        </w:rPr>
        <w:t>设备技术参数和性能要求响应表</w:t>
      </w:r>
      <w:bookmarkEnd w:id="54"/>
    </w:p>
    <w:p w14:paraId="06855930">
      <w:pPr>
        <w:adjustRightInd w:val="0"/>
        <w:snapToGrid w:val="0"/>
        <w:spacing w:line="360" w:lineRule="auto"/>
        <w:ind w:firstLine="412" w:firstLineChars="200"/>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投标方应认真逐项填写所供设备技术参数和性能要求响应表（见表1）中“投标方保证值”栏，不能空格，也不能以“响应”两字代替，不允许改动本表内 “投标方保证值”栏之外的数值。如有差异，请填写表</w:t>
      </w:r>
      <w:r>
        <w:rPr>
          <w:rFonts w:hint="eastAsia" w:ascii="宋体" w:hAnsi="宋体" w:cs="宋体"/>
          <w:color w:val="auto"/>
          <w:spacing w:val="-2"/>
          <w:sz w:val="21"/>
          <w:szCs w:val="21"/>
          <w:lang w:val="en-US" w:eastAsia="zh-CN"/>
        </w:rPr>
        <w:t>3</w:t>
      </w:r>
      <w:r>
        <w:rPr>
          <w:rFonts w:hint="eastAsia" w:ascii="宋体" w:hAnsi="宋体" w:eastAsia="宋体" w:cs="宋体"/>
          <w:color w:val="auto"/>
          <w:spacing w:val="-2"/>
          <w:sz w:val="21"/>
          <w:szCs w:val="21"/>
        </w:rPr>
        <w:t>：技术差异表。</w:t>
      </w:r>
    </w:p>
    <w:p w14:paraId="78AFCA42">
      <w:pPr>
        <w:adjustRightInd w:val="0"/>
        <w:snapToGrid w:val="0"/>
        <w:spacing w:line="360" w:lineRule="auto"/>
        <w:jc w:val="center"/>
        <w:rPr>
          <w:rFonts w:hint="eastAsia" w:ascii="宋体" w:hAnsi="宋体" w:eastAsia="宋体" w:cs="宋体"/>
          <w:color w:val="auto"/>
          <w:szCs w:val="21"/>
          <w:lang w:eastAsia="zh-CN"/>
        </w:rPr>
      </w:pPr>
      <w:r>
        <w:rPr>
          <w:rFonts w:hint="eastAsia" w:ascii="宋体" w:hAnsi="宋体" w:eastAsia="宋体" w:cs="宋体"/>
          <w:color w:val="auto"/>
          <w:szCs w:val="21"/>
        </w:rPr>
        <w:t xml:space="preserve"> </w:t>
      </w:r>
      <w:r>
        <w:rPr>
          <w:rFonts w:hint="eastAsia" w:ascii="宋体" w:hAnsi="宋体" w:cs="宋体"/>
          <w:color w:val="auto"/>
          <w:szCs w:val="21"/>
          <w:lang w:val="en-US" w:eastAsia="zh-CN"/>
        </w:rPr>
        <w:t>表13.1</w:t>
      </w:r>
      <w:r>
        <w:rPr>
          <w:rFonts w:hint="eastAsia" w:ascii="宋体" w:hAnsi="宋体" w:eastAsia="宋体" w:cs="宋体"/>
          <w:color w:val="auto"/>
          <w:szCs w:val="21"/>
          <w:highlight w:val="none"/>
        </w:rPr>
        <w:t>技术参数和性能要求响应表</w:t>
      </w:r>
    </w:p>
    <w:tbl>
      <w:tblPr>
        <w:tblStyle w:val="28"/>
        <w:tblW w:w="493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540"/>
        <w:gridCol w:w="3626"/>
        <w:gridCol w:w="2595"/>
      </w:tblGrid>
      <w:tr w14:paraId="577910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tblHeader/>
          <w:jc w:val="center"/>
        </w:trPr>
        <w:tc>
          <w:tcPr>
            <w:tcW w:w="385" w:type="pct"/>
            <w:vAlign w:val="center"/>
          </w:tcPr>
          <w:p w14:paraId="1A9325F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915" w:type="pct"/>
            <w:vAlign w:val="center"/>
          </w:tcPr>
          <w:p w14:paraId="3B03522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名</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称</w:t>
            </w:r>
          </w:p>
        </w:tc>
        <w:tc>
          <w:tcPr>
            <w:tcW w:w="2155" w:type="pct"/>
            <w:vAlign w:val="center"/>
          </w:tcPr>
          <w:p w14:paraId="216CCA0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项目要求值</w:t>
            </w:r>
          </w:p>
        </w:tc>
        <w:tc>
          <w:tcPr>
            <w:tcW w:w="1542" w:type="pct"/>
            <w:vAlign w:val="center"/>
          </w:tcPr>
          <w:p w14:paraId="039FC53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投标方保证值</w:t>
            </w:r>
          </w:p>
        </w:tc>
      </w:tr>
      <w:tr w14:paraId="6B7478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85" w:type="pct"/>
            <w:vAlign w:val="center"/>
          </w:tcPr>
          <w:p w14:paraId="6F73AE8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915" w:type="pct"/>
            <w:vAlign w:val="center"/>
          </w:tcPr>
          <w:p w14:paraId="4BC943B3">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紫外波段</w:t>
            </w:r>
          </w:p>
        </w:tc>
        <w:tc>
          <w:tcPr>
            <w:tcW w:w="2155" w:type="pct"/>
            <w:shd w:val="clear" w:color="auto" w:fill="auto"/>
            <w:vAlign w:val="center"/>
          </w:tcPr>
          <w:p w14:paraId="63217BC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240～280nm</w:t>
            </w:r>
          </w:p>
        </w:tc>
        <w:tc>
          <w:tcPr>
            <w:tcW w:w="1542" w:type="pct"/>
            <w:vAlign w:val="center"/>
          </w:tcPr>
          <w:p w14:paraId="28FF5783">
            <w:pPr>
              <w:jc w:val="center"/>
              <w:rPr>
                <w:rFonts w:hint="eastAsia" w:ascii="宋体" w:hAnsi="宋体" w:eastAsia="宋体" w:cs="宋体"/>
                <w:color w:val="auto"/>
                <w:sz w:val="21"/>
                <w:szCs w:val="21"/>
              </w:rPr>
            </w:pPr>
          </w:p>
        </w:tc>
      </w:tr>
      <w:tr w14:paraId="545F95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6D20A23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w:t>
            </w:r>
          </w:p>
        </w:tc>
        <w:tc>
          <w:tcPr>
            <w:tcW w:w="915" w:type="pct"/>
            <w:vAlign w:val="center"/>
          </w:tcPr>
          <w:p w14:paraId="24219168">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紫外分辨率</w:t>
            </w:r>
          </w:p>
        </w:tc>
        <w:tc>
          <w:tcPr>
            <w:tcW w:w="2155" w:type="pct"/>
            <w:shd w:val="clear" w:color="auto" w:fill="auto"/>
            <w:vAlign w:val="center"/>
          </w:tcPr>
          <w:p w14:paraId="7C1D674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816×624</w:t>
            </w:r>
          </w:p>
        </w:tc>
        <w:tc>
          <w:tcPr>
            <w:tcW w:w="1542" w:type="pct"/>
            <w:vAlign w:val="center"/>
          </w:tcPr>
          <w:p w14:paraId="3AF9DC17">
            <w:pPr>
              <w:jc w:val="center"/>
              <w:rPr>
                <w:rFonts w:hint="eastAsia" w:ascii="宋体" w:hAnsi="宋体" w:eastAsia="宋体" w:cs="宋体"/>
                <w:color w:val="auto"/>
                <w:sz w:val="21"/>
                <w:szCs w:val="21"/>
              </w:rPr>
            </w:pPr>
          </w:p>
        </w:tc>
      </w:tr>
      <w:tr w14:paraId="16B55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04CB6ECA">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w:t>
            </w:r>
          </w:p>
        </w:tc>
        <w:tc>
          <w:tcPr>
            <w:tcW w:w="915" w:type="pct"/>
            <w:vAlign w:val="center"/>
          </w:tcPr>
          <w:p w14:paraId="06E96737">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清晰度</w:t>
            </w:r>
          </w:p>
        </w:tc>
        <w:tc>
          <w:tcPr>
            <w:tcW w:w="2155" w:type="pct"/>
            <w:shd w:val="clear" w:color="auto" w:fill="auto"/>
            <w:vAlign w:val="center"/>
          </w:tcPr>
          <w:p w14:paraId="22D454D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MTF&gt;0.3@10lp/mm</w:t>
            </w:r>
          </w:p>
        </w:tc>
        <w:tc>
          <w:tcPr>
            <w:tcW w:w="1542" w:type="pct"/>
            <w:vAlign w:val="center"/>
          </w:tcPr>
          <w:p w14:paraId="717E03F3">
            <w:pPr>
              <w:jc w:val="center"/>
              <w:rPr>
                <w:rFonts w:hint="eastAsia" w:ascii="宋体" w:hAnsi="宋体" w:eastAsia="宋体" w:cs="宋体"/>
                <w:color w:val="auto"/>
                <w:sz w:val="21"/>
                <w:szCs w:val="21"/>
              </w:rPr>
            </w:pPr>
          </w:p>
        </w:tc>
      </w:tr>
      <w:tr w14:paraId="47A8EE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38BC5583">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w:t>
            </w:r>
          </w:p>
        </w:tc>
        <w:tc>
          <w:tcPr>
            <w:tcW w:w="915" w:type="pct"/>
            <w:vAlign w:val="center"/>
          </w:tcPr>
          <w:p w14:paraId="03FA4355">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焦距</w:t>
            </w:r>
          </w:p>
        </w:tc>
        <w:tc>
          <w:tcPr>
            <w:tcW w:w="2155" w:type="pct"/>
            <w:shd w:val="clear" w:color="auto" w:fill="auto"/>
            <w:vAlign w:val="center"/>
          </w:tcPr>
          <w:p w14:paraId="417BA82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40mm</w:t>
            </w:r>
          </w:p>
        </w:tc>
        <w:tc>
          <w:tcPr>
            <w:tcW w:w="1542" w:type="pct"/>
            <w:vAlign w:val="center"/>
          </w:tcPr>
          <w:p w14:paraId="19E56D3D">
            <w:pPr>
              <w:jc w:val="center"/>
              <w:rPr>
                <w:rFonts w:hint="eastAsia" w:ascii="宋体" w:hAnsi="宋体" w:eastAsia="宋体" w:cs="宋体"/>
                <w:color w:val="auto"/>
                <w:sz w:val="21"/>
                <w:szCs w:val="21"/>
              </w:rPr>
            </w:pPr>
          </w:p>
        </w:tc>
      </w:tr>
      <w:tr w14:paraId="387B02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7C5783E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w:t>
            </w:r>
          </w:p>
        </w:tc>
        <w:tc>
          <w:tcPr>
            <w:tcW w:w="915" w:type="pct"/>
            <w:vAlign w:val="center"/>
          </w:tcPr>
          <w:p w14:paraId="0CBEFF23">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紫外镜头视角</w:t>
            </w:r>
          </w:p>
        </w:tc>
        <w:tc>
          <w:tcPr>
            <w:tcW w:w="2155" w:type="pct"/>
            <w:shd w:val="clear" w:color="auto" w:fill="auto"/>
            <w:vAlign w:val="center"/>
          </w:tcPr>
          <w:p w14:paraId="6D8B2EB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10.86°×8.33°</w:t>
            </w:r>
          </w:p>
        </w:tc>
        <w:tc>
          <w:tcPr>
            <w:tcW w:w="1542" w:type="pct"/>
            <w:vAlign w:val="center"/>
          </w:tcPr>
          <w:p w14:paraId="30ACFF14">
            <w:pPr>
              <w:jc w:val="center"/>
              <w:rPr>
                <w:rFonts w:hint="eastAsia" w:ascii="宋体" w:hAnsi="宋体" w:eastAsia="宋体" w:cs="宋体"/>
                <w:color w:val="auto"/>
                <w:sz w:val="21"/>
                <w:szCs w:val="21"/>
              </w:rPr>
            </w:pPr>
          </w:p>
        </w:tc>
      </w:tr>
      <w:tr w14:paraId="62588A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4C56220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6</w:t>
            </w:r>
          </w:p>
        </w:tc>
        <w:tc>
          <w:tcPr>
            <w:tcW w:w="915" w:type="pct"/>
            <w:vAlign w:val="center"/>
          </w:tcPr>
          <w:p w14:paraId="7C5ACD6C">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透光率</w:t>
            </w:r>
          </w:p>
        </w:tc>
        <w:tc>
          <w:tcPr>
            <w:tcW w:w="2155" w:type="pct"/>
            <w:shd w:val="clear" w:color="auto" w:fill="auto"/>
            <w:vAlign w:val="center"/>
          </w:tcPr>
          <w:p w14:paraId="37E0B04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&gt; 80%</w:t>
            </w:r>
          </w:p>
        </w:tc>
        <w:tc>
          <w:tcPr>
            <w:tcW w:w="1542" w:type="pct"/>
            <w:vAlign w:val="center"/>
          </w:tcPr>
          <w:p w14:paraId="00071942">
            <w:pPr>
              <w:jc w:val="center"/>
              <w:rPr>
                <w:rFonts w:hint="eastAsia" w:ascii="宋体" w:hAnsi="宋体" w:eastAsia="宋体" w:cs="宋体"/>
                <w:color w:val="auto"/>
                <w:sz w:val="21"/>
                <w:szCs w:val="21"/>
              </w:rPr>
            </w:pPr>
          </w:p>
        </w:tc>
      </w:tr>
      <w:tr w14:paraId="0610A6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55B978B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7</w:t>
            </w:r>
          </w:p>
        </w:tc>
        <w:tc>
          <w:tcPr>
            <w:tcW w:w="915" w:type="pct"/>
            <w:vAlign w:val="center"/>
          </w:tcPr>
          <w:p w14:paraId="04EBF323">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滤光器峰值透过率</w:t>
            </w:r>
          </w:p>
        </w:tc>
        <w:tc>
          <w:tcPr>
            <w:tcW w:w="2155" w:type="pct"/>
            <w:shd w:val="clear" w:color="auto" w:fill="auto"/>
            <w:vAlign w:val="center"/>
          </w:tcPr>
          <w:p w14:paraId="285C7CE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0.309</w:t>
            </w:r>
          </w:p>
        </w:tc>
        <w:tc>
          <w:tcPr>
            <w:tcW w:w="1542" w:type="pct"/>
            <w:vAlign w:val="center"/>
          </w:tcPr>
          <w:p w14:paraId="3D640CBD">
            <w:pPr>
              <w:jc w:val="center"/>
              <w:rPr>
                <w:rFonts w:hint="eastAsia" w:ascii="宋体" w:hAnsi="宋体" w:eastAsia="宋体" w:cs="宋体"/>
                <w:color w:val="auto"/>
                <w:sz w:val="21"/>
                <w:szCs w:val="21"/>
              </w:rPr>
            </w:pPr>
          </w:p>
        </w:tc>
      </w:tr>
      <w:tr w14:paraId="10E29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85" w:type="pct"/>
            <w:vAlign w:val="center"/>
          </w:tcPr>
          <w:p w14:paraId="64C0412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8</w:t>
            </w:r>
          </w:p>
        </w:tc>
        <w:tc>
          <w:tcPr>
            <w:tcW w:w="915" w:type="pct"/>
            <w:vAlign w:val="center"/>
          </w:tcPr>
          <w:p w14:paraId="55130707">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紫外灵敏度</w:t>
            </w:r>
          </w:p>
        </w:tc>
        <w:tc>
          <w:tcPr>
            <w:tcW w:w="2155" w:type="pct"/>
            <w:shd w:val="clear" w:color="auto" w:fill="auto"/>
            <w:vAlign w:val="center"/>
          </w:tcPr>
          <w:p w14:paraId="26D42DC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3×10-18W/cm2</w:t>
            </w:r>
          </w:p>
        </w:tc>
        <w:tc>
          <w:tcPr>
            <w:tcW w:w="1542" w:type="pct"/>
            <w:vAlign w:val="center"/>
          </w:tcPr>
          <w:p w14:paraId="78C25CE5">
            <w:pPr>
              <w:jc w:val="center"/>
              <w:rPr>
                <w:rFonts w:hint="eastAsia" w:ascii="宋体" w:hAnsi="宋体" w:eastAsia="宋体" w:cs="宋体"/>
                <w:color w:val="auto"/>
                <w:sz w:val="21"/>
                <w:szCs w:val="21"/>
              </w:rPr>
            </w:pPr>
          </w:p>
        </w:tc>
      </w:tr>
      <w:tr w14:paraId="418442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85" w:type="pct"/>
            <w:vAlign w:val="center"/>
          </w:tcPr>
          <w:p w14:paraId="0B308F3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9</w:t>
            </w:r>
          </w:p>
        </w:tc>
        <w:tc>
          <w:tcPr>
            <w:tcW w:w="915" w:type="pct"/>
            <w:vAlign w:val="center"/>
          </w:tcPr>
          <w:p w14:paraId="7398B71B">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紫外录像帧率</w:t>
            </w:r>
          </w:p>
        </w:tc>
        <w:tc>
          <w:tcPr>
            <w:tcW w:w="2155" w:type="pct"/>
            <w:shd w:val="clear" w:color="auto" w:fill="auto"/>
            <w:vAlign w:val="center"/>
          </w:tcPr>
          <w:p w14:paraId="5699276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 FPS</w:t>
            </w:r>
          </w:p>
        </w:tc>
        <w:tc>
          <w:tcPr>
            <w:tcW w:w="1542" w:type="pct"/>
            <w:vAlign w:val="center"/>
          </w:tcPr>
          <w:p w14:paraId="6B8A6DC0">
            <w:pPr>
              <w:jc w:val="center"/>
              <w:rPr>
                <w:rFonts w:hint="eastAsia" w:ascii="宋体" w:hAnsi="宋体" w:eastAsia="宋体" w:cs="宋体"/>
                <w:color w:val="auto"/>
                <w:sz w:val="21"/>
                <w:szCs w:val="21"/>
              </w:rPr>
            </w:pPr>
          </w:p>
          <w:p w14:paraId="13DA103F">
            <w:pPr>
              <w:jc w:val="center"/>
              <w:rPr>
                <w:rFonts w:hint="eastAsia" w:ascii="宋体" w:hAnsi="宋体" w:eastAsia="宋体" w:cs="宋体"/>
                <w:color w:val="auto"/>
                <w:sz w:val="21"/>
                <w:szCs w:val="21"/>
              </w:rPr>
            </w:pPr>
          </w:p>
        </w:tc>
      </w:tr>
      <w:tr w14:paraId="3071DC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385" w:type="pct"/>
            <w:vAlign w:val="center"/>
          </w:tcPr>
          <w:p w14:paraId="3920AC0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915" w:type="pct"/>
            <w:vAlign w:val="center"/>
          </w:tcPr>
          <w:p w14:paraId="32042C12">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紫外融合可见光视频最大分辨率</w:t>
            </w:r>
          </w:p>
        </w:tc>
        <w:tc>
          <w:tcPr>
            <w:tcW w:w="2155" w:type="pct"/>
            <w:shd w:val="clear" w:color="auto" w:fill="auto"/>
            <w:vAlign w:val="center"/>
          </w:tcPr>
          <w:p w14:paraId="18E2FA9F">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1920×1080</w:t>
            </w:r>
          </w:p>
        </w:tc>
        <w:tc>
          <w:tcPr>
            <w:tcW w:w="1542" w:type="pct"/>
            <w:vAlign w:val="center"/>
          </w:tcPr>
          <w:p w14:paraId="30A9F759">
            <w:pPr>
              <w:jc w:val="center"/>
              <w:rPr>
                <w:rFonts w:hint="eastAsia" w:ascii="宋体" w:hAnsi="宋体" w:eastAsia="宋体" w:cs="宋体"/>
                <w:color w:val="auto"/>
                <w:sz w:val="21"/>
                <w:szCs w:val="21"/>
              </w:rPr>
            </w:pPr>
          </w:p>
        </w:tc>
      </w:tr>
      <w:tr w14:paraId="20C18A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42" w:hRule="atLeast"/>
          <w:jc w:val="center"/>
        </w:trPr>
        <w:tc>
          <w:tcPr>
            <w:tcW w:w="385" w:type="pct"/>
            <w:vAlign w:val="center"/>
          </w:tcPr>
          <w:p w14:paraId="2380549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915" w:type="pct"/>
            <w:vAlign w:val="center"/>
          </w:tcPr>
          <w:p w14:paraId="29759CB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CMOS尺寸</w:t>
            </w:r>
          </w:p>
        </w:tc>
        <w:tc>
          <w:tcPr>
            <w:tcW w:w="2155" w:type="pct"/>
            <w:shd w:val="clear" w:color="auto" w:fill="auto"/>
            <w:vAlign w:val="center"/>
          </w:tcPr>
          <w:p w14:paraId="20FAF53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 英寸</w:t>
            </w:r>
          </w:p>
        </w:tc>
        <w:tc>
          <w:tcPr>
            <w:tcW w:w="1542" w:type="pct"/>
            <w:vAlign w:val="center"/>
          </w:tcPr>
          <w:p w14:paraId="36884A7A">
            <w:pPr>
              <w:jc w:val="center"/>
              <w:rPr>
                <w:rFonts w:hint="eastAsia" w:ascii="宋体" w:hAnsi="宋体" w:eastAsia="宋体" w:cs="宋体"/>
                <w:color w:val="auto"/>
                <w:sz w:val="21"/>
                <w:szCs w:val="21"/>
              </w:rPr>
            </w:pPr>
          </w:p>
        </w:tc>
      </w:tr>
      <w:tr w14:paraId="5D39B4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39" w:hRule="atLeast"/>
          <w:jc w:val="center"/>
        </w:trPr>
        <w:tc>
          <w:tcPr>
            <w:tcW w:w="385" w:type="pct"/>
            <w:vAlign w:val="center"/>
          </w:tcPr>
          <w:p w14:paraId="5F8B34A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915" w:type="pct"/>
            <w:vAlign w:val="center"/>
          </w:tcPr>
          <w:p w14:paraId="1924706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CMOS总像素数*</w:t>
            </w:r>
          </w:p>
        </w:tc>
        <w:tc>
          <w:tcPr>
            <w:tcW w:w="2155" w:type="pct"/>
            <w:shd w:val="clear" w:color="auto" w:fill="auto"/>
            <w:vAlign w:val="center"/>
          </w:tcPr>
          <w:p w14:paraId="6D12753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4800万</w:t>
            </w:r>
          </w:p>
        </w:tc>
        <w:tc>
          <w:tcPr>
            <w:tcW w:w="1542" w:type="pct"/>
            <w:vAlign w:val="center"/>
          </w:tcPr>
          <w:p w14:paraId="44742EA6">
            <w:pPr>
              <w:jc w:val="center"/>
              <w:rPr>
                <w:rFonts w:hint="eastAsia" w:ascii="宋体" w:hAnsi="宋体" w:eastAsia="宋体" w:cs="宋体"/>
                <w:color w:val="auto"/>
                <w:sz w:val="21"/>
                <w:szCs w:val="21"/>
              </w:rPr>
            </w:pPr>
          </w:p>
        </w:tc>
      </w:tr>
      <w:tr w14:paraId="5DACDB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385" w:type="pct"/>
            <w:vAlign w:val="center"/>
          </w:tcPr>
          <w:p w14:paraId="184C661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915" w:type="pct"/>
            <w:vAlign w:val="center"/>
          </w:tcPr>
          <w:p w14:paraId="6C1E9C0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CMOS分辨率*</w:t>
            </w:r>
          </w:p>
        </w:tc>
        <w:tc>
          <w:tcPr>
            <w:tcW w:w="2155" w:type="pct"/>
            <w:shd w:val="clear" w:color="auto" w:fill="auto"/>
            <w:vAlign w:val="center"/>
          </w:tcPr>
          <w:p w14:paraId="6D3927B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8000×6000</w:t>
            </w:r>
          </w:p>
        </w:tc>
        <w:tc>
          <w:tcPr>
            <w:tcW w:w="1542" w:type="pct"/>
            <w:vAlign w:val="center"/>
          </w:tcPr>
          <w:p w14:paraId="6DAB06BF">
            <w:pPr>
              <w:jc w:val="center"/>
              <w:rPr>
                <w:rFonts w:hint="eastAsia" w:ascii="宋体" w:hAnsi="宋体" w:eastAsia="宋体" w:cs="宋体"/>
                <w:color w:val="auto"/>
                <w:sz w:val="21"/>
                <w:szCs w:val="21"/>
              </w:rPr>
            </w:pPr>
          </w:p>
        </w:tc>
      </w:tr>
      <w:tr w14:paraId="06F769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385" w:type="pct"/>
            <w:vAlign w:val="center"/>
          </w:tcPr>
          <w:p w14:paraId="0A1E197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915" w:type="pct"/>
            <w:vAlign w:val="center"/>
          </w:tcPr>
          <w:p w14:paraId="6B9C8A9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光圈</w:t>
            </w:r>
          </w:p>
        </w:tc>
        <w:tc>
          <w:tcPr>
            <w:tcW w:w="2155" w:type="pct"/>
            <w:shd w:val="clear" w:color="auto" w:fill="auto"/>
            <w:vAlign w:val="center"/>
          </w:tcPr>
          <w:p w14:paraId="64B507D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F2.2</w:t>
            </w:r>
          </w:p>
        </w:tc>
        <w:tc>
          <w:tcPr>
            <w:tcW w:w="1542" w:type="pct"/>
            <w:vAlign w:val="center"/>
          </w:tcPr>
          <w:p w14:paraId="05431D1F">
            <w:pPr>
              <w:jc w:val="center"/>
              <w:rPr>
                <w:rFonts w:hint="eastAsia" w:ascii="宋体" w:hAnsi="宋体" w:eastAsia="宋体" w:cs="宋体"/>
                <w:color w:val="auto"/>
                <w:sz w:val="21"/>
                <w:szCs w:val="21"/>
              </w:rPr>
            </w:pPr>
          </w:p>
        </w:tc>
      </w:tr>
      <w:tr w14:paraId="243CCF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385" w:type="pct"/>
            <w:vAlign w:val="center"/>
          </w:tcPr>
          <w:p w14:paraId="7DABB41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915" w:type="pct"/>
            <w:vAlign w:val="center"/>
          </w:tcPr>
          <w:p w14:paraId="446E11D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焦距</w:t>
            </w:r>
          </w:p>
        </w:tc>
        <w:tc>
          <w:tcPr>
            <w:tcW w:w="2155" w:type="pct"/>
            <w:shd w:val="clear" w:color="auto" w:fill="auto"/>
            <w:vAlign w:val="center"/>
          </w:tcPr>
          <w:p w14:paraId="04A1DBE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实际：2.59mm；等效14mm</w:t>
            </w:r>
          </w:p>
        </w:tc>
        <w:tc>
          <w:tcPr>
            <w:tcW w:w="1542" w:type="pct"/>
            <w:vAlign w:val="center"/>
          </w:tcPr>
          <w:p w14:paraId="21BF5C8A">
            <w:pPr>
              <w:jc w:val="center"/>
              <w:rPr>
                <w:rFonts w:hint="eastAsia" w:ascii="宋体" w:hAnsi="宋体" w:eastAsia="宋体" w:cs="宋体"/>
                <w:color w:val="auto"/>
                <w:sz w:val="21"/>
                <w:szCs w:val="21"/>
              </w:rPr>
            </w:pPr>
          </w:p>
        </w:tc>
      </w:tr>
      <w:tr w14:paraId="506887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385" w:type="pct"/>
            <w:vAlign w:val="center"/>
          </w:tcPr>
          <w:p w14:paraId="54ACAF1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w:t>
            </w:r>
          </w:p>
        </w:tc>
        <w:tc>
          <w:tcPr>
            <w:tcW w:w="915" w:type="pct"/>
            <w:vAlign w:val="center"/>
          </w:tcPr>
          <w:p w14:paraId="2291FA1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水平视角*</w:t>
            </w:r>
          </w:p>
        </w:tc>
        <w:tc>
          <w:tcPr>
            <w:tcW w:w="2155" w:type="pct"/>
            <w:shd w:val="clear" w:color="auto" w:fill="auto"/>
            <w:vAlign w:val="center"/>
          </w:tcPr>
          <w:p w14:paraId="6294825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50.63°</w:t>
            </w:r>
          </w:p>
        </w:tc>
        <w:tc>
          <w:tcPr>
            <w:tcW w:w="1542" w:type="pct"/>
            <w:vAlign w:val="center"/>
          </w:tcPr>
          <w:p w14:paraId="41ED4E29">
            <w:pPr>
              <w:jc w:val="center"/>
              <w:rPr>
                <w:rFonts w:hint="eastAsia" w:ascii="宋体" w:hAnsi="宋体" w:eastAsia="宋体" w:cs="宋体"/>
                <w:color w:val="auto"/>
                <w:sz w:val="21"/>
                <w:szCs w:val="21"/>
              </w:rPr>
            </w:pPr>
          </w:p>
        </w:tc>
      </w:tr>
      <w:tr w14:paraId="26F6DC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 w:hRule="atLeast"/>
          <w:jc w:val="center"/>
        </w:trPr>
        <w:tc>
          <w:tcPr>
            <w:tcW w:w="385" w:type="pct"/>
            <w:vAlign w:val="center"/>
          </w:tcPr>
          <w:p w14:paraId="0AFC436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17</w:t>
            </w:r>
          </w:p>
        </w:tc>
        <w:tc>
          <w:tcPr>
            <w:tcW w:w="915" w:type="pct"/>
            <w:vAlign w:val="center"/>
          </w:tcPr>
          <w:p w14:paraId="1808498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垂直视角*</w:t>
            </w:r>
          </w:p>
        </w:tc>
        <w:tc>
          <w:tcPr>
            <w:tcW w:w="2155" w:type="pct"/>
            <w:shd w:val="clear" w:color="auto" w:fill="auto"/>
            <w:vAlign w:val="center"/>
          </w:tcPr>
          <w:p w14:paraId="1D51434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42.45°</w:t>
            </w:r>
          </w:p>
        </w:tc>
        <w:tc>
          <w:tcPr>
            <w:tcW w:w="1542" w:type="pct"/>
            <w:vAlign w:val="center"/>
          </w:tcPr>
          <w:p w14:paraId="75DAC614">
            <w:pPr>
              <w:jc w:val="center"/>
              <w:rPr>
                <w:rFonts w:hint="eastAsia" w:ascii="宋体" w:hAnsi="宋体" w:eastAsia="宋体" w:cs="宋体"/>
                <w:color w:val="auto"/>
                <w:sz w:val="21"/>
                <w:szCs w:val="21"/>
              </w:rPr>
            </w:pPr>
          </w:p>
        </w:tc>
      </w:tr>
      <w:tr w14:paraId="3E4843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6" w:hRule="atLeast"/>
          <w:jc w:val="center"/>
        </w:trPr>
        <w:tc>
          <w:tcPr>
            <w:tcW w:w="385" w:type="pct"/>
            <w:vAlign w:val="center"/>
          </w:tcPr>
          <w:p w14:paraId="2778E05E">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18</w:t>
            </w:r>
          </w:p>
        </w:tc>
        <w:tc>
          <w:tcPr>
            <w:tcW w:w="915" w:type="pct"/>
            <w:vAlign w:val="center"/>
          </w:tcPr>
          <w:p w14:paraId="183C558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静态图像</w:t>
            </w:r>
          </w:p>
        </w:tc>
        <w:tc>
          <w:tcPr>
            <w:tcW w:w="2155" w:type="pct"/>
            <w:shd w:val="clear" w:color="auto" w:fill="auto"/>
            <w:vAlign w:val="center"/>
          </w:tcPr>
          <w:p w14:paraId="021C3AB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4000×3000(30FPS)/8000×6000(7FPS)</w:t>
            </w:r>
          </w:p>
        </w:tc>
        <w:tc>
          <w:tcPr>
            <w:tcW w:w="1542" w:type="pct"/>
            <w:vAlign w:val="center"/>
          </w:tcPr>
          <w:p w14:paraId="73D6FA26">
            <w:pPr>
              <w:jc w:val="center"/>
              <w:rPr>
                <w:rFonts w:hint="eastAsia" w:ascii="宋体" w:hAnsi="宋体" w:eastAsia="宋体" w:cs="宋体"/>
                <w:color w:val="auto"/>
                <w:sz w:val="21"/>
                <w:szCs w:val="21"/>
              </w:rPr>
            </w:pPr>
          </w:p>
        </w:tc>
      </w:tr>
      <w:tr w14:paraId="34B9F1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385" w:type="pct"/>
            <w:vAlign w:val="center"/>
          </w:tcPr>
          <w:p w14:paraId="44FA2FA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19</w:t>
            </w:r>
          </w:p>
        </w:tc>
        <w:tc>
          <w:tcPr>
            <w:tcW w:w="915" w:type="pct"/>
            <w:vAlign w:val="center"/>
          </w:tcPr>
          <w:p w14:paraId="10EB7F6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视频录制</w:t>
            </w:r>
          </w:p>
        </w:tc>
        <w:tc>
          <w:tcPr>
            <w:tcW w:w="2155" w:type="pct"/>
            <w:shd w:val="clear" w:color="auto" w:fill="auto"/>
            <w:vAlign w:val="center"/>
          </w:tcPr>
          <w:p w14:paraId="7F2589F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1920×1080(30FPS)/3840×2160(30FPS)</w:t>
            </w:r>
          </w:p>
        </w:tc>
        <w:tc>
          <w:tcPr>
            <w:tcW w:w="1542" w:type="pct"/>
            <w:vAlign w:val="center"/>
          </w:tcPr>
          <w:p w14:paraId="2F77C727">
            <w:pPr>
              <w:jc w:val="center"/>
              <w:rPr>
                <w:rFonts w:hint="eastAsia" w:ascii="宋体" w:hAnsi="宋体" w:eastAsia="宋体" w:cs="宋体"/>
                <w:color w:val="auto"/>
                <w:sz w:val="21"/>
                <w:szCs w:val="21"/>
              </w:rPr>
            </w:pPr>
          </w:p>
        </w:tc>
      </w:tr>
      <w:tr w14:paraId="09C34B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6" w:hRule="atLeast"/>
          <w:jc w:val="center"/>
        </w:trPr>
        <w:tc>
          <w:tcPr>
            <w:tcW w:w="385" w:type="pct"/>
            <w:vAlign w:val="center"/>
          </w:tcPr>
          <w:p w14:paraId="15B6DA5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p>
        </w:tc>
        <w:tc>
          <w:tcPr>
            <w:tcW w:w="915" w:type="pct"/>
            <w:vAlign w:val="center"/>
          </w:tcPr>
          <w:p w14:paraId="4532C0B5">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算力</w:t>
            </w:r>
          </w:p>
        </w:tc>
        <w:tc>
          <w:tcPr>
            <w:tcW w:w="2155" w:type="pct"/>
            <w:shd w:val="clear" w:color="auto" w:fill="auto"/>
            <w:vAlign w:val="center"/>
          </w:tcPr>
          <w:p w14:paraId="69C5558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6T</w:t>
            </w:r>
          </w:p>
        </w:tc>
        <w:tc>
          <w:tcPr>
            <w:tcW w:w="1542" w:type="pct"/>
            <w:vAlign w:val="center"/>
          </w:tcPr>
          <w:p w14:paraId="334360B5">
            <w:pPr>
              <w:jc w:val="center"/>
              <w:rPr>
                <w:rFonts w:hint="eastAsia" w:ascii="宋体" w:hAnsi="宋体" w:eastAsia="宋体" w:cs="宋体"/>
                <w:color w:val="auto"/>
                <w:sz w:val="21"/>
                <w:szCs w:val="21"/>
              </w:rPr>
            </w:pPr>
          </w:p>
        </w:tc>
      </w:tr>
      <w:tr w14:paraId="11EA2E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85" w:type="pct"/>
            <w:vAlign w:val="center"/>
          </w:tcPr>
          <w:p w14:paraId="29731F7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w:t>
            </w:r>
          </w:p>
        </w:tc>
        <w:tc>
          <w:tcPr>
            <w:tcW w:w="915" w:type="pct"/>
            <w:vAlign w:val="center"/>
          </w:tcPr>
          <w:p w14:paraId="682B19FB">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AI功能</w:t>
            </w:r>
          </w:p>
        </w:tc>
        <w:tc>
          <w:tcPr>
            <w:tcW w:w="2155" w:type="pct"/>
            <w:shd w:val="clear" w:color="auto" w:fill="auto"/>
            <w:vAlign w:val="center"/>
          </w:tcPr>
          <w:p w14:paraId="55A122E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可见光/紫外视场融合</w:t>
            </w:r>
          </w:p>
        </w:tc>
        <w:tc>
          <w:tcPr>
            <w:tcW w:w="1542" w:type="pct"/>
            <w:vAlign w:val="center"/>
          </w:tcPr>
          <w:p w14:paraId="3332F380">
            <w:pPr>
              <w:jc w:val="center"/>
              <w:rPr>
                <w:rFonts w:hint="eastAsia" w:ascii="宋体" w:hAnsi="宋体" w:eastAsia="宋体" w:cs="宋体"/>
                <w:color w:val="auto"/>
                <w:sz w:val="21"/>
                <w:szCs w:val="21"/>
              </w:rPr>
            </w:pPr>
          </w:p>
        </w:tc>
      </w:tr>
      <w:tr w14:paraId="190E57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85" w:type="pct"/>
            <w:vAlign w:val="center"/>
          </w:tcPr>
          <w:p w14:paraId="7F97E81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w:t>
            </w:r>
          </w:p>
        </w:tc>
        <w:tc>
          <w:tcPr>
            <w:tcW w:w="915" w:type="pct"/>
            <w:vAlign w:val="center"/>
          </w:tcPr>
          <w:p w14:paraId="0185F90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电机型号</w:t>
            </w:r>
          </w:p>
        </w:tc>
        <w:tc>
          <w:tcPr>
            <w:tcW w:w="2155" w:type="pct"/>
            <w:shd w:val="clear" w:color="auto" w:fill="auto"/>
            <w:vAlign w:val="center"/>
          </w:tcPr>
          <w:p w14:paraId="47920D66">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2804</w:t>
            </w:r>
          </w:p>
        </w:tc>
        <w:tc>
          <w:tcPr>
            <w:tcW w:w="1542" w:type="pct"/>
            <w:vAlign w:val="center"/>
          </w:tcPr>
          <w:p w14:paraId="630B5FEB">
            <w:pPr>
              <w:jc w:val="center"/>
              <w:rPr>
                <w:rFonts w:hint="eastAsia" w:ascii="宋体" w:hAnsi="宋体" w:eastAsia="宋体" w:cs="宋体"/>
                <w:color w:val="auto"/>
                <w:sz w:val="21"/>
                <w:szCs w:val="21"/>
              </w:rPr>
            </w:pPr>
          </w:p>
        </w:tc>
      </w:tr>
      <w:tr w14:paraId="4AB793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385" w:type="pct"/>
            <w:vAlign w:val="center"/>
          </w:tcPr>
          <w:p w14:paraId="48E6A71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23</w:t>
            </w:r>
          </w:p>
        </w:tc>
        <w:tc>
          <w:tcPr>
            <w:tcW w:w="915" w:type="pct"/>
            <w:vAlign w:val="center"/>
          </w:tcPr>
          <w:p w14:paraId="2999DED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电机类型</w:t>
            </w:r>
          </w:p>
        </w:tc>
        <w:tc>
          <w:tcPr>
            <w:tcW w:w="2155" w:type="pct"/>
            <w:shd w:val="clear" w:color="auto" w:fill="auto"/>
            <w:vAlign w:val="center"/>
          </w:tcPr>
          <w:p w14:paraId="364A8E5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无刷电机</w:t>
            </w:r>
          </w:p>
        </w:tc>
        <w:tc>
          <w:tcPr>
            <w:tcW w:w="1542" w:type="pct"/>
            <w:vAlign w:val="center"/>
          </w:tcPr>
          <w:p w14:paraId="56F25462">
            <w:pPr>
              <w:jc w:val="center"/>
              <w:rPr>
                <w:rFonts w:hint="eastAsia" w:ascii="宋体" w:hAnsi="宋体" w:eastAsia="宋体" w:cs="宋体"/>
                <w:color w:val="auto"/>
                <w:sz w:val="21"/>
                <w:szCs w:val="21"/>
              </w:rPr>
            </w:pPr>
          </w:p>
        </w:tc>
      </w:tr>
      <w:tr w14:paraId="361B4A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1" w:hRule="atLeast"/>
          <w:jc w:val="center"/>
        </w:trPr>
        <w:tc>
          <w:tcPr>
            <w:tcW w:w="385" w:type="pct"/>
            <w:vAlign w:val="center"/>
          </w:tcPr>
          <w:p w14:paraId="23F4869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w:t>
            </w:r>
          </w:p>
        </w:tc>
        <w:tc>
          <w:tcPr>
            <w:tcW w:w="915" w:type="pct"/>
            <w:vAlign w:val="center"/>
          </w:tcPr>
          <w:p w14:paraId="445B35A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控制范围</w:t>
            </w:r>
          </w:p>
        </w:tc>
        <w:tc>
          <w:tcPr>
            <w:tcW w:w="2155" w:type="pct"/>
            <w:shd w:val="clear" w:color="auto" w:fill="auto"/>
            <w:vAlign w:val="center"/>
          </w:tcPr>
          <w:p w14:paraId="1DD2A2B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pitch:-30°～30°</w:t>
            </w:r>
          </w:p>
        </w:tc>
        <w:tc>
          <w:tcPr>
            <w:tcW w:w="1542" w:type="pct"/>
            <w:vAlign w:val="center"/>
          </w:tcPr>
          <w:p w14:paraId="43240660">
            <w:pPr>
              <w:jc w:val="center"/>
              <w:rPr>
                <w:rFonts w:hint="eastAsia" w:ascii="宋体" w:hAnsi="宋体" w:eastAsia="宋体" w:cs="宋体"/>
                <w:color w:val="auto"/>
                <w:sz w:val="21"/>
                <w:szCs w:val="21"/>
              </w:rPr>
            </w:pPr>
          </w:p>
        </w:tc>
      </w:tr>
      <w:tr w14:paraId="5DE4CF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385" w:type="pct"/>
            <w:vAlign w:val="center"/>
          </w:tcPr>
          <w:p w14:paraId="483C351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w:t>
            </w:r>
          </w:p>
        </w:tc>
        <w:tc>
          <w:tcPr>
            <w:tcW w:w="915" w:type="pct"/>
            <w:vAlign w:val="center"/>
          </w:tcPr>
          <w:p w14:paraId="57C2033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角度抖动量</w:t>
            </w:r>
          </w:p>
        </w:tc>
        <w:tc>
          <w:tcPr>
            <w:tcW w:w="2155" w:type="pct"/>
            <w:shd w:val="clear" w:color="auto" w:fill="auto"/>
            <w:vAlign w:val="center"/>
          </w:tcPr>
          <w:p w14:paraId="1B4ED3E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±0.01°</w:t>
            </w:r>
          </w:p>
        </w:tc>
        <w:tc>
          <w:tcPr>
            <w:tcW w:w="1542" w:type="pct"/>
            <w:vAlign w:val="center"/>
          </w:tcPr>
          <w:p w14:paraId="0E32433D">
            <w:pPr>
              <w:jc w:val="center"/>
              <w:rPr>
                <w:rFonts w:hint="eastAsia" w:ascii="宋体" w:hAnsi="宋体" w:eastAsia="宋体" w:cs="宋体"/>
                <w:color w:val="auto"/>
                <w:sz w:val="21"/>
                <w:szCs w:val="21"/>
              </w:rPr>
            </w:pPr>
          </w:p>
        </w:tc>
      </w:tr>
      <w:tr w14:paraId="69F020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385" w:type="pct"/>
            <w:vAlign w:val="center"/>
          </w:tcPr>
          <w:p w14:paraId="2205ADD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26</w:t>
            </w:r>
          </w:p>
        </w:tc>
        <w:tc>
          <w:tcPr>
            <w:tcW w:w="915" w:type="pct"/>
            <w:vAlign w:val="center"/>
          </w:tcPr>
          <w:p w14:paraId="5629079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适配机型</w:t>
            </w:r>
          </w:p>
        </w:tc>
        <w:tc>
          <w:tcPr>
            <w:tcW w:w="2155" w:type="pct"/>
            <w:shd w:val="clear" w:color="auto" w:fill="auto"/>
            <w:vAlign w:val="center"/>
          </w:tcPr>
          <w:p w14:paraId="1D43ACA0">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DJI Matrice 4T</w:t>
            </w:r>
          </w:p>
        </w:tc>
        <w:tc>
          <w:tcPr>
            <w:tcW w:w="1542" w:type="pct"/>
            <w:vAlign w:val="center"/>
          </w:tcPr>
          <w:p w14:paraId="253D2C48">
            <w:pPr>
              <w:jc w:val="center"/>
              <w:rPr>
                <w:rFonts w:hint="eastAsia" w:ascii="宋体" w:hAnsi="宋体" w:eastAsia="宋体" w:cs="宋体"/>
                <w:color w:val="auto"/>
                <w:sz w:val="21"/>
                <w:szCs w:val="21"/>
              </w:rPr>
            </w:pPr>
          </w:p>
        </w:tc>
      </w:tr>
      <w:tr w14:paraId="1F2E06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51" w:hRule="atLeast"/>
          <w:jc w:val="center"/>
        </w:trPr>
        <w:tc>
          <w:tcPr>
            <w:tcW w:w="385" w:type="pct"/>
            <w:vAlign w:val="center"/>
          </w:tcPr>
          <w:p w14:paraId="4234627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27</w:t>
            </w:r>
          </w:p>
        </w:tc>
        <w:tc>
          <w:tcPr>
            <w:tcW w:w="915" w:type="pct"/>
            <w:vAlign w:val="center"/>
          </w:tcPr>
          <w:p w14:paraId="303488C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重量</w:t>
            </w:r>
          </w:p>
        </w:tc>
        <w:tc>
          <w:tcPr>
            <w:tcW w:w="2155" w:type="pct"/>
            <w:shd w:val="clear" w:color="auto" w:fill="auto"/>
            <w:vAlign w:val="center"/>
          </w:tcPr>
          <w:p w14:paraId="784B0E4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400g</w:t>
            </w:r>
          </w:p>
        </w:tc>
        <w:tc>
          <w:tcPr>
            <w:tcW w:w="1542" w:type="pct"/>
            <w:vAlign w:val="center"/>
          </w:tcPr>
          <w:p w14:paraId="50AD5C24">
            <w:pPr>
              <w:jc w:val="center"/>
              <w:rPr>
                <w:rFonts w:hint="eastAsia" w:ascii="宋体" w:hAnsi="宋体" w:eastAsia="宋体" w:cs="宋体"/>
                <w:color w:val="auto"/>
                <w:sz w:val="21"/>
                <w:szCs w:val="21"/>
              </w:rPr>
            </w:pPr>
          </w:p>
        </w:tc>
      </w:tr>
      <w:tr w14:paraId="7C52C7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12" w:hRule="atLeast"/>
          <w:jc w:val="center"/>
        </w:trPr>
        <w:tc>
          <w:tcPr>
            <w:tcW w:w="385" w:type="pct"/>
            <w:vAlign w:val="center"/>
          </w:tcPr>
          <w:p w14:paraId="79D973C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28</w:t>
            </w:r>
          </w:p>
        </w:tc>
        <w:tc>
          <w:tcPr>
            <w:tcW w:w="915" w:type="pct"/>
            <w:vAlign w:val="center"/>
          </w:tcPr>
          <w:p w14:paraId="2194D483">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尺寸</w:t>
            </w:r>
          </w:p>
        </w:tc>
        <w:tc>
          <w:tcPr>
            <w:tcW w:w="2155" w:type="pct"/>
            <w:shd w:val="clear" w:color="auto" w:fill="auto"/>
            <w:vAlign w:val="center"/>
          </w:tcPr>
          <w:p w14:paraId="549CDA0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98×92×112</w:t>
            </w:r>
          </w:p>
        </w:tc>
        <w:tc>
          <w:tcPr>
            <w:tcW w:w="1542" w:type="pct"/>
            <w:vAlign w:val="center"/>
          </w:tcPr>
          <w:p w14:paraId="17BE62A3">
            <w:pPr>
              <w:jc w:val="center"/>
              <w:rPr>
                <w:rFonts w:hint="eastAsia" w:ascii="宋体" w:hAnsi="宋体" w:eastAsia="宋体" w:cs="宋体"/>
                <w:color w:val="auto"/>
                <w:sz w:val="21"/>
                <w:szCs w:val="21"/>
              </w:rPr>
            </w:pPr>
          </w:p>
        </w:tc>
      </w:tr>
      <w:tr w14:paraId="606A97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02" w:hRule="atLeast"/>
          <w:jc w:val="center"/>
        </w:trPr>
        <w:tc>
          <w:tcPr>
            <w:tcW w:w="385" w:type="pct"/>
            <w:vAlign w:val="center"/>
          </w:tcPr>
          <w:p w14:paraId="273BD27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29</w:t>
            </w:r>
          </w:p>
        </w:tc>
        <w:tc>
          <w:tcPr>
            <w:tcW w:w="915" w:type="pct"/>
            <w:vAlign w:val="center"/>
          </w:tcPr>
          <w:p w14:paraId="2F41FB1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功耗</w:t>
            </w:r>
          </w:p>
        </w:tc>
        <w:tc>
          <w:tcPr>
            <w:tcW w:w="2155" w:type="pct"/>
            <w:shd w:val="clear" w:color="auto" w:fill="auto"/>
            <w:vAlign w:val="center"/>
          </w:tcPr>
          <w:p w14:paraId="20056C4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w:t>
            </w:r>
          </w:p>
        </w:tc>
        <w:tc>
          <w:tcPr>
            <w:tcW w:w="1542" w:type="pct"/>
            <w:vAlign w:val="center"/>
          </w:tcPr>
          <w:p w14:paraId="5B74C582">
            <w:pPr>
              <w:jc w:val="center"/>
              <w:rPr>
                <w:rFonts w:hint="eastAsia" w:ascii="宋体" w:hAnsi="宋体" w:eastAsia="宋体" w:cs="宋体"/>
                <w:color w:val="auto"/>
                <w:sz w:val="21"/>
                <w:szCs w:val="21"/>
              </w:rPr>
            </w:pPr>
          </w:p>
        </w:tc>
      </w:tr>
      <w:tr w14:paraId="01BB55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93" w:hRule="atLeast"/>
          <w:jc w:val="center"/>
        </w:trPr>
        <w:tc>
          <w:tcPr>
            <w:tcW w:w="385" w:type="pct"/>
            <w:vAlign w:val="center"/>
          </w:tcPr>
          <w:p w14:paraId="1453D51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w:t>
            </w:r>
          </w:p>
        </w:tc>
        <w:tc>
          <w:tcPr>
            <w:tcW w:w="915" w:type="pct"/>
            <w:vAlign w:val="center"/>
          </w:tcPr>
          <w:p w14:paraId="70362143">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工作温度</w:t>
            </w:r>
          </w:p>
        </w:tc>
        <w:tc>
          <w:tcPr>
            <w:tcW w:w="2155" w:type="pct"/>
            <w:shd w:val="clear" w:color="auto" w:fill="auto"/>
            <w:vAlign w:val="center"/>
          </w:tcPr>
          <w:p w14:paraId="087EE07B">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-20℃~50℃</w:t>
            </w:r>
          </w:p>
        </w:tc>
        <w:tc>
          <w:tcPr>
            <w:tcW w:w="1542" w:type="pct"/>
            <w:vAlign w:val="center"/>
          </w:tcPr>
          <w:p w14:paraId="1C4EF91A">
            <w:pPr>
              <w:jc w:val="center"/>
              <w:rPr>
                <w:rFonts w:hint="eastAsia" w:ascii="宋体" w:hAnsi="宋体" w:eastAsia="宋体" w:cs="宋体"/>
                <w:color w:val="auto"/>
                <w:sz w:val="21"/>
                <w:szCs w:val="21"/>
              </w:rPr>
            </w:pPr>
          </w:p>
        </w:tc>
      </w:tr>
      <w:tr w14:paraId="3A4C86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03" w:hRule="atLeast"/>
          <w:jc w:val="center"/>
        </w:trPr>
        <w:tc>
          <w:tcPr>
            <w:tcW w:w="385" w:type="pct"/>
            <w:vAlign w:val="center"/>
          </w:tcPr>
          <w:p w14:paraId="70C1AF3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w:t>
            </w:r>
          </w:p>
        </w:tc>
        <w:tc>
          <w:tcPr>
            <w:tcW w:w="915" w:type="pct"/>
            <w:vAlign w:val="center"/>
          </w:tcPr>
          <w:p w14:paraId="188158E5">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存储温度</w:t>
            </w:r>
          </w:p>
        </w:tc>
        <w:tc>
          <w:tcPr>
            <w:tcW w:w="2155" w:type="pct"/>
            <w:shd w:val="clear" w:color="auto" w:fill="auto"/>
            <w:vAlign w:val="center"/>
          </w:tcPr>
          <w:p w14:paraId="078DE12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-20℃~60℃</w:t>
            </w:r>
          </w:p>
        </w:tc>
        <w:tc>
          <w:tcPr>
            <w:tcW w:w="1542" w:type="pct"/>
            <w:vAlign w:val="center"/>
          </w:tcPr>
          <w:p w14:paraId="4874E7BB">
            <w:pPr>
              <w:jc w:val="center"/>
              <w:rPr>
                <w:rFonts w:hint="eastAsia" w:ascii="宋体" w:hAnsi="宋体" w:eastAsia="宋体" w:cs="宋体"/>
                <w:color w:val="auto"/>
                <w:sz w:val="21"/>
                <w:szCs w:val="21"/>
              </w:rPr>
            </w:pPr>
          </w:p>
        </w:tc>
      </w:tr>
      <w:tr w14:paraId="19EA4B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22" w:hRule="atLeast"/>
          <w:jc w:val="center"/>
        </w:trPr>
        <w:tc>
          <w:tcPr>
            <w:tcW w:w="385" w:type="pct"/>
            <w:vAlign w:val="center"/>
          </w:tcPr>
          <w:p w14:paraId="3A596009">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w:t>
            </w:r>
          </w:p>
        </w:tc>
        <w:tc>
          <w:tcPr>
            <w:tcW w:w="915" w:type="pct"/>
            <w:vAlign w:val="center"/>
          </w:tcPr>
          <w:p w14:paraId="21DB1622">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防护等级</w:t>
            </w:r>
          </w:p>
        </w:tc>
        <w:tc>
          <w:tcPr>
            <w:tcW w:w="2155" w:type="pct"/>
            <w:shd w:val="clear" w:color="auto" w:fill="auto"/>
            <w:vAlign w:val="center"/>
          </w:tcPr>
          <w:p w14:paraId="1AE34D4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IP45</w:t>
            </w:r>
          </w:p>
        </w:tc>
        <w:tc>
          <w:tcPr>
            <w:tcW w:w="1542" w:type="pct"/>
            <w:vAlign w:val="center"/>
          </w:tcPr>
          <w:p w14:paraId="1F878E89">
            <w:pPr>
              <w:jc w:val="center"/>
              <w:rPr>
                <w:rFonts w:hint="eastAsia" w:ascii="宋体" w:hAnsi="宋体" w:eastAsia="宋体" w:cs="宋体"/>
                <w:color w:val="auto"/>
                <w:sz w:val="21"/>
                <w:szCs w:val="21"/>
              </w:rPr>
            </w:pPr>
          </w:p>
        </w:tc>
      </w:tr>
      <w:tr w14:paraId="0CF015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52" w:hRule="atLeast"/>
          <w:jc w:val="center"/>
        </w:trPr>
        <w:tc>
          <w:tcPr>
            <w:tcW w:w="385" w:type="pct"/>
            <w:vAlign w:val="center"/>
          </w:tcPr>
          <w:p w14:paraId="5EE23585">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w:t>
            </w:r>
          </w:p>
        </w:tc>
        <w:tc>
          <w:tcPr>
            <w:tcW w:w="915" w:type="pct"/>
            <w:vAlign w:val="center"/>
          </w:tcPr>
          <w:p w14:paraId="1905504C">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安装方式</w:t>
            </w:r>
          </w:p>
        </w:tc>
        <w:tc>
          <w:tcPr>
            <w:tcW w:w="2155" w:type="pct"/>
            <w:shd w:val="clear" w:color="auto" w:fill="auto"/>
            <w:vAlign w:val="center"/>
          </w:tcPr>
          <w:p w14:paraId="62062038">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支持快拆</w:t>
            </w:r>
          </w:p>
        </w:tc>
        <w:tc>
          <w:tcPr>
            <w:tcW w:w="1542" w:type="pct"/>
            <w:vAlign w:val="center"/>
          </w:tcPr>
          <w:p w14:paraId="1D1F3CC8">
            <w:pPr>
              <w:jc w:val="center"/>
              <w:rPr>
                <w:rFonts w:hint="eastAsia" w:ascii="宋体" w:hAnsi="宋体" w:eastAsia="宋体" w:cs="宋体"/>
                <w:color w:val="auto"/>
                <w:sz w:val="21"/>
                <w:szCs w:val="21"/>
              </w:rPr>
            </w:pPr>
          </w:p>
        </w:tc>
      </w:tr>
      <w:tr w14:paraId="2F97FE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385" w:type="pct"/>
            <w:vAlign w:val="center"/>
          </w:tcPr>
          <w:p w14:paraId="5EFCB1D3">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w:t>
            </w:r>
          </w:p>
        </w:tc>
        <w:tc>
          <w:tcPr>
            <w:tcW w:w="915" w:type="pct"/>
            <w:vAlign w:val="center"/>
          </w:tcPr>
          <w:p w14:paraId="659A39A2">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对外接口*</w:t>
            </w:r>
          </w:p>
        </w:tc>
        <w:tc>
          <w:tcPr>
            <w:tcW w:w="2155" w:type="pct"/>
            <w:shd w:val="clear" w:color="auto" w:fill="auto"/>
            <w:vAlign w:val="center"/>
          </w:tcPr>
          <w:p w14:paraId="51FC98E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E-port</w:t>
            </w:r>
          </w:p>
        </w:tc>
        <w:tc>
          <w:tcPr>
            <w:tcW w:w="1542" w:type="pct"/>
            <w:vAlign w:val="center"/>
          </w:tcPr>
          <w:p w14:paraId="0C79E890">
            <w:pPr>
              <w:jc w:val="center"/>
              <w:rPr>
                <w:rFonts w:hint="eastAsia" w:ascii="宋体" w:hAnsi="宋体" w:eastAsia="宋体" w:cs="宋体"/>
                <w:color w:val="auto"/>
                <w:sz w:val="21"/>
                <w:szCs w:val="21"/>
              </w:rPr>
            </w:pPr>
          </w:p>
        </w:tc>
      </w:tr>
      <w:tr w14:paraId="4AE4E2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385" w:type="pct"/>
            <w:vAlign w:val="center"/>
          </w:tcPr>
          <w:p w14:paraId="2C59EEC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w:t>
            </w:r>
          </w:p>
        </w:tc>
        <w:tc>
          <w:tcPr>
            <w:tcW w:w="915" w:type="pct"/>
            <w:vAlign w:val="center"/>
          </w:tcPr>
          <w:p w14:paraId="5A81B301">
            <w:pPr>
              <w:jc w:val="center"/>
              <w:rPr>
                <w:rFonts w:hint="eastAsia" w:ascii="宋体" w:hAnsi="宋体" w:eastAsia="宋体" w:cs="宋体"/>
                <w:color w:val="auto"/>
                <w:sz w:val="21"/>
                <w:szCs w:val="21"/>
                <w:lang w:val="en-US" w:eastAsia="zh-CN"/>
              </w:rPr>
            </w:pPr>
            <w:r>
              <w:rPr>
                <w:rFonts w:ascii="宋体" w:hAnsi="宋体" w:eastAsia="宋体" w:cs="宋体"/>
                <w:sz w:val="24"/>
                <w:szCs w:val="24"/>
              </w:rPr>
              <w:t>★</w:t>
            </w:r>
            <w:r>
              <w:rPr>
                <w:rFonts w:hint="eastAsia" w:ascii="宋体" w:hAnsi="宋体" w:eastAsia="宋体" w:cs="宋体"/>
                <w:color w:val="auto"/>
                <w:sz w:val="21"/>
                <w:szCs w:val="21"/>
                <w:lang w:val="en-US" w:eastAsia="zh-CN"/>
              </w:rPr>
              <w:t>协议*</w:t>
            </w:r>
          </w:p>
        </w:tc>
        <w:tc>
          <w:tcPr>
            <w:tcW w:w="2155" w:type="pct"/>
            <w:shd w:val="clear" w:color="auto" w:fill="auto"/>
            <w:vAlign w:val="center"/>
          </w:tcPr>
          <w:p w14:paraId="51B5A68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PSDK</w:t>
            </w:r>
          </w:p>
        </w:tc>
        <w:tc>
          <w:tcPr>
            <w:tcW w:w="1542" w:type="pct"/>
            <w:vAlign w:val="center"/>
          </w:tcPr>
          <w:p w14:paraId="57E9C035">
            <w:pPr>
              <w:jc w:val="center"/>
              <w:rPr>
                <w:rFonts w:hint="eastAsia" w:ascii="宋体" w:hAnsi="宋体" w:eastAsia="宋体" w:cs="宋体"/>
                <w:color w:val="auto"/>
                <w:sz w:val="21"/>
                <w:szCs w:val="21"/>
              </w:rPr>
            </w:pPr>
          </w:p>
        </w:tc>
      </w:tr>
    </w:tbl>
    <w:p w14:paraId="67F84595">
      <w:pPr>
        <w:rPr>
          <w:rFonts w:hint="eastAsia"/>
          <w:color w:val="auto"/>
          <w:lang w:val="en-US" w:eastAsia="zh-CN"/>
        </w:rPr>
      </w:pPr>
    </w:p>
    <w:p w14:paraId="56EB7184">
      <w:pPr>
        <w:pStyle w:val="2"/>
        <w:numPr>
          <w:ilvl w:val="0"/>
          <w:numId w:val="0"/>
        </w:numPr>
        <w:adjustRightInd w:val="0"/>
        <w:spacing w:beforeLines="0"/>
        <w:ind w:left="0" w:leftChars="0" w:firstLine="0" w:firstLineChars="0"/>
        <w:rPr>
          <w:rFonts w:hint="eastAsia" w:ascii="Times New Roman" w:hAnsi="Times New Roman" w:eastAsia="宋体" w:cs="Times New Roman"/>
          <w:b/>
          <w:bCs/>
          <w:i w:val="0"/>
          <w:color w:val="auto"/>
          <w:kern w:val="44"/>
          <w:sz w:val="24"/>
          <w:szCs w:val="24"/>
          <w:lang w:val="en-US" w:eastAsia="zh-CN" w:bidi="ar-SA"/>
        </w:rPr>
      </w:pPr>
      <w:bookmarkStart w:id="55" w:name="_Toc287602849"/>
      <w:bookmarkStart w:id="56" w:name="_Toc31022"/>
      <w:bookmarkStart w:id="57" w:name="_Toc16787"/>
      <w:r>
        <w:rPr>
          <w:rFonts w:hint="default" w:ascii="Times New Roman" w:hAnsi="Times New Roman" w:eastAsia="宋体" w:cs="Times New Roman"/>
          <w:b w:val="0"/>
          <w:bCs w:val="0"/>
          <w:i w:val="0"/>
          <w:color w:val="auto"/>
          <w:kern w:val="44"/>
          <w:sz w:val="24"/>
          <w:szCs w:val="24"/>
          <w:lang w:val="en-US" w:eastAsia="zh-CN" w:bidi="ar-SA"/>
        </w:rPr>
        <w:t>1</w:t>
      </w:r>
      <w:r>
        <w:rPr>
          <w:rFonts w:hint="eastAsia" w:ascii="Times New Roman" w:cs="Times New Roman"/>
          <w:b w:val="0"/>
          <w:bCs w:val="0"/>
          <w:i w:val="0"/>
          <w:color w:val="auto"/>
          <w:kern w:val="44"/>
          <w:sz w:val="24"/>
          <w:szCs w:val="24"/>
          <w:lang w:val="en-US" w:eastAsia="zh-CN" w:bidi="ar-SA"/>
        </w:rPr>
        <w:t>4</w:t>
      </w:r>
      <w:r>
        <w:rPr>
          <w:rFonts w:hint="eastAsia" w:ascii="Times New Roman" w:hAnsi="Times New Roman" w:eastAsia="宋体" w:cs="Times New Roman"/>
          <w:b/>
          <w:bCs/>
          <w:i w:val="0"/>
          <w:color w:val="auto"/>
          <w:kern w:val="44"/>
          <w:sz w:val="24"/>
          <w:szCs w:val="24"/>
          <w:lang w:val="en-US" w:eastAsia="zh-CN" w:bidi="ar-SA"/>
        </w:rPr>
        <w:t xml:space="preserve"> </w:t>
      </w:r>
      <w:bookmarkStart w:id="58" w:name="_Toc23591"/>
      <w:bookmarkStart w:id="59" w:name="_Toc29728"/>
      <w:r>
        <w:rPr>
          <w:rFonts w:hint="eastAsia" w:ascii="Times New Roman" w:hAnsi="Times New Roman" w:eastAsia="宋体" w:cs="Times New Roman"/>
          <w:b/>
          <w:bCs/>
          <w:i w:val="0"/>
          <w:color w:val="auto"/>
          <w:kern w:val="44"/>
          <w:sz w:val="24"/>
          <w:szCs w:val="24"/>
          <w:lang w:val="en-US" w:eastAsia="zh-CN" w:bidi="ar-SA"/>
        </w:rPr>
        <w:t>技术差异表</w:t>
      </w:r>
      <w:bookmarkEnd w:id="55"/>
      <w:bookmarkEnd w:id="56"/>
      <w:bookmarkEnd w:id="57"/>
      <w:bookmarkEnd w:id="58"/>
      <w:bookmarkEnd w:id="59"/>
    </w:p>
    <w:p w14:paraId="36E12A2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auto"/>
        </w:rPr>
      </w:pPr>
      <w:bookmarkStart w:id="60" w:name="_Toc226362579"/>
      <w:r>
        <w:rPr>
          <w:rFonts w:hint="eastAsia"/>
          <w:color w:val="auto"/>
        </w:rPr>
        <w:t>投标方应将所供设备与本</w:t>
      </w:r>
      <w:r>
        <w:rPr>
          <w:rFonts w:hint="eastAsia"/>
          <w:color w:val="auto"/>
          <w:lang w:eastAsia="zh-CN"/>
        </w:rPr>
        <w:t>技术规范书</w:t>
      </w:r>
      <w:r>
        <w:rPr>
          <w:rFonts w:hint="eastAsia"/>
          <w:color w:val="auto"/>
        </w:rPr>
        <w:t>有差异之处，无论优于或劣于本</w:t>
      </w:r>
      <w:r>
        <w:rPr>
          <w:rFonts w:hint="eastAsia"/>
          <w:color w:val="auto"/>
          <w:lang w:eastAsia="zh-CN"/>
        </w:rPr>
        <w:t>技术规范书</w:t>
      </w:r>
      <w:r>
        <w:rPr>
          <w:rFonts w:hint="eastAsia"/>
          <w:color w:val="auto"/>
        </w:rPr>
        <w:t>要求，均汇集成此表。</w:t>
      </w:r>
    </w:p>
    <w:p w14:paraId="03203EDB">
      <w:pPr>
        <w:bidi w:val="0"/>
        <w:jc w:val="center"/>
        <w:rPr>
          <w:rFonts w:hint="eastAsia"/>
          <w:color w:val="auto"/>
        </w:rPr>
      </w:pPr>
      <w:r>
        <w:rPr>
          <w:rFonts w:hint="eastAsia"/>
          <w:color w:val="auto"/>
        </w:rPr>
        <w:t>表</w:t>
      </w:r>
      <w:r>
        <w:rPr>
          <w:rFonts w:hint="eastAsia"/>
          <w:color w:val="auto"/>
          <w:lang w:val="en-US" w:eastAsia="zh-CN"/>
        </w:rPr>
        <w:t>3</w:t>
      </w:r>
      <w:r>
        <w:rPr>
          <w:rFonts w:hint="eastAsia"/>
          <w:color w:val="auto"/>
        </w:rPr>
        <w:t xml:space="preserve"> 技术差异表</w:t>
      </w:r>
      <w:bookmarkEnd w:id="60"/>
      <w:r>
        <w:rPr>
          <w:rFonts w:hint="eastAsia"/>
          <w:color w:val="auto"/>
        </w:rPr>
        <w:t xml:space="preserve">  （投标方填写）</w:t>
      </w:r>
    </w:p>
    <w:tbl>
      <w:tblPr>
        <w:tblStyle w:val="28"/>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14:paraId="65806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585ABC87">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序</w:t>
            </w:r>
          </w:p>
          <w:p w14:paraId="06B5BF77">
            <w:pPr>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号</w:t>
            </w:r>
          </w:p>
        </w:tc>
        <w:tc>
          <w:tcPr>
            <w:tcW w:w="3876" w:type="dxa"/>
            <w:gridSpan w:val="2"/>
            <w:vAlign w:val="center"/>
          </w:tcPr>
          <w:p w14:paraId="67EDE997">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招 标 文 件</w:t>
            </w:r>
          </w:p>
        </w:tc>
        <w:tc>
          <w:tcPr>
            <w:tcW w:w="3833" w:type="dxa"/>
            <w:gridSpan w:val="2"/>
            <w:vAlign w:val="center"/>
          </w:tcPr>
          <w:p w14:paraId="3D1691F9">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投  标  文  件</w:t>
            </w:r>
          </w:p>
        </w:tc>
      </w:tr>
      <w:tr w14:paraId="1BF7B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74CB302B">
            <w:pPr>
              <w:widowControl/>
              <w:autoSpaceDE w:val="0"/>
              <w:autoSpaceDN w:val="0"/>
              <w:spacing w:before="40"/>
              <w:jc w:val="center"/>
              <w:textAlignment w:val="bottom"/>
              <w:rPr>
                <w:rFonts w:hint="eastAsia" w:ascii="宋体" w:hAnsi="宋体" w:eastAsia="宋体" w:cs="宋体"/>
                <w:color w:val="auto"/>
                <w:sz w:val="18"/>
                <w:szCs w:val="18"/>
              </w:rPr>
            </w:pPr>
          </w:p>
        </w:tc>
        <w:tc>
          <w:tcPr>
            <w:tcW w:w="1163" w:type="dxa"/>
            <w:vAlign w:val="center"/>
          </w:tcPr>
          <w:p w14:paraId="06386945">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条  目</w:t>
            </w:r>
          </w:p>
        </w:tc>
        <w:tc>
          <w:tcPr>
            <w:tcW w:w="2713" w:type="dxa"/>
            <w:vAlign w:val="center"/>
          </w:tcPr>
          <w:p w14:paraId="722989E2">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简  要  内  容</w:t>
            </w:r>
          </w:p>
        </w:tc>
        <w:tc>
          <w:tcPr>
            <w:tcW w:w="1258" w:type="dxa"/>
            <w:vAlign w:val="center"/>
          </w:tcPr>
          <w:p w14:paraId="1465C821">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条  目</w:t>
            </w:r>
          </w:p>
        </w:tc>
        <w:tc>
          <w:tcPr>
            <w:tcW w:w="2575" w:type="dxa"/>
            <w:vAlign w:val="center"/>
          </w:tcPr>
          <w:p w14:paraId="2F116811">
            <w:pPr>
              <w:widowControl/>
              <w:autoSpaceDE w:val="0"/>
              <w:autoSpaceDN w:val="0"/>
              <w:spacing w:before="4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简  要  内  容</w:t>
            </w:r>
          </w:p>
        </w:tc>
      </w:tr>
      <w:tr w14:paraId="18DD4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4D0815">
            <w:pPr>
              <w:widowControl/>
              <w:autoSpaceDE w:val="0"/>
              <w:autoSpaceDN w:val="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1163" w:type="dxa"/>
            <w:vAlign w:val="center"/>
          </w:tcPr>
          <w:p w14:paraId="50AABFCC">
            <w:pPr>
              <w:widowControl/>
              <w:autoSpaceDE w:val="0"/>
              <w:autoSpaceDN w:val="0"/>
              <w:jc w:val="center"/>
              <w:textAlignment w:val="bottom"/>
              <w:rPr>
                <w:rFonts w:hint="eastAsia" w:ascii="宋体" w:hAnsi="宋体" w:eastAsia="宋体" w:cs="宋体"/>
                <w:color w:val="auto"/>
                <w:sz w:val="18"/>
                <w:szCs w:val="18"/>
              </w:rPr>
            </w:pPr>
          </w:p>
        </w:tc>
        <w:tc>
          <w:tcPr>
            <w:tcW w:w="2713" w:type="dxa"/>
            <w:vAlign w:val="center"/>
          </w:tcPr>
          <w:p w14:paraId="7E669F94">
            <w:pPr>
              <w:widowControl/>
              <w:autoSpaceDE w:val="0"/>
              <w:autoSpaceDN w:val="0"/>
              <w:jc w:val="center"/>
              <w:textAlignment w:val="bottom"/>
              <w:rPr>
                <w:rFonts w:hint="eastAsia" w:ascii="宋体" w:hAnsi="宋体" w:eastAsia="宋体" w:cs="宋体"/>
                <w:color w:val="auto"/>
                <w:sz w:val="18"/>
                <w:szCs w:val="18"/>
              </w:rPr>
            </w:pPr>
          </w:p>
        </w:tc>
        <w:tc>
          <w:tcPr>
            <w:tcW w:w="1258" w:type="dxa"/>
            <w:vAlign w:val="center"/>
          </w:tcPr>
          <w:p w14:paraId="5DE9D6FD">
            <w:pPr>
              <w:widowControl/>
              <w:autoSpaceDE w:val="0"/>
              <w:autoSpaceDN w:val="0"/>
              <w:jc w:val="center"/>
              <w:textAlignment w:val="bottom"/>
              <w:rPr>
                <w:rFonts w:hint="eastAsia" w:ascii="宋体" w:hAnsi="宋体" w:eastAsia="宋体" w:cs="宋体"/>
                <w:color w:val="auto"/>
                <w:sz w:val="18"/>
                <w:szCs w:val="18"/>
              </w:rPr>
            </w:pPr>
          </w:p>
        </w:tc>
        <w:tc>
          <w:tcPr>
            <w:tcW w:w="2575" w:type="dxa"/>
            <w:vAlign w:val="center"/>
          </w:tcPr>
          <w:p w14:paraId="1F386D0A">
            <w:pPr>
              <w:widowControl/>
              <w:autoSpaceDE w:val="0"/>
              <w:autoSpaceDN w:val="0"/>
              <w:jc w:val="center"/>
              <w:textAlignment w:val="bottom"/>
              <w:rPr>
                <w:rFonts w:hint="eastAsia" w:ascii="宋体" w:hAnsi="宋体" w:eastAsia="宋体" w:cs="宋体"/>
                <w:color w:val="auto"/>
                <w:sz w:val="18"/>
                <w:szCs w:val="18"/>
              </w:rPr>
            </w:pPr>
          </w:p>
        </w:tc>
      </w:tr>
      <w:tr w14:paraId="41EB9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5EB6A28F">
            <w:pPr>
              <w:widowControl/>
              <w:autoSpaceDE w:val="0"/>
              <w:autoSpaceDN w:val="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1163" w:type="dxa"/>
            <w:vAlign w:val="center"/>
          </w:tcPr>
          <w:p w14:paraId="3168C5EA">
            <w:pPr>
              <w:widowControl/>
              <w:autoSpaceDE w:val="0"/>
              <w:autoSpaceDN w:val="0"/>
              <w:jc w:val="center"/>
              <w:textAlignment w:val="bottom"/>
              <w:rPr>
                <w:rFonts w:hint="eastAsia" w:ascii="宋体" w:hAnsi="宋体" w:eastAsia="宋体" w:cs="宋体"/>
                <w:color w:val="auto"/>
                <w:sz w:val="18"/>
                <w:szCs w:val="18"/>
              </w:rPr>
            </w:pPr>
          </w:p>
        </w:tc>
        <w:tc>
          <w:tcPr>
            <w:tcW w:w="2713" w:type="dxa"/>
            <w:vAlign w:val="center"/>
          </w:tcPr>
          <w:p w14:paraId="1BCDD0C6">
            <w:pPr>
              <w:widowControl/>
              <w:autoSpaceDE w:val="0"/>
              <w:autoSpaceDN w:val="0"/>
              <w:jc w:val="center"/>
              <w:textAlignment w:val="bottom"/>
              <w:rPr>
                <w:rFonts w:hint="eastAsia" w:ascii="宋体" w:hAnsi="宋体" w:eastAsia="宋体" w:cs="宋体"/>
                <w:color w:val="auto"/>
                <w:sz w:val="18"/>
                <w:szCs w:val="18"/>
              </w:rPr>
            </w:pPr>
          </w:p>
        </w:tc>
        <w:tc>
          <w:tcPr>
            <w:tcW w:w="1258" w:type="dxa"/>
            <w:vAlign w:val="center"/>
          </w:tcPr>
          <w:p w14:paraId="51231C5E">
            <w:pPr>
              <w:widowControl/>
              <w:autoSpaceDE w:val="0"/>
              <w:autoSpaceDN w:val="0"/>
              <w:jc w:val="center"/>
              <w:textAlignment w:val="bottom"/>
              <w:rPr>
                <w:rFonts w:hint="eastAsia" w:ascii="宋体" w:hAnsi="宋体" w:eastAsia="宋体" w:cs="宋体"/>
                <w:color w:val="auto"/>
                <w:sz w:val="18"/>
                <w:szCs w:val="18"/>
              </w:rPr>
            </w:pPr>
          </w:p>
        </w:tc>
        <w:tc>
          <w:tcPr>
            <w:tcW w:w="2575" w:type="dxa"/>
            <w:vAlign w:val="center"/>
          </w:tcPr>
          <w:p w14:paraId="5A1FED93">
            <w:pPr>
              <w:widowControl/>
              <w:autoSpaceDE w:val="0"/>
              <w:autoSpaceDN w:val="0"/>
              <w:jc w:val="center"/>
              <w:textAlignment w:val="bottom"/>
              <w:rPr>
                <w:rFonts w:hint="eastAsia" w:ascii="宋体" w:hAnsi="宋体" w:eastAsia="宋体" w:cs="宋体"/>
                <w:color w:val="auto"/>
                <w:sz w:val="18"/>
                <w:szCs w:val="18"/>
              </w:rPr>
            </w:pPr>
          </w:p>
        </w:tc>
      </w:tr>
      <w:tr w14:paraId="46900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0C141E7E">
            <w:pPr>
              <w:widowControl/>
              <w:autoSpaceDE w:val="0"/>
              <w:autoSpaceDN w:val="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1163" w:type="dxa"/>
            <w:vAlign w:val="center"/>
          </w:tcPr>
          <w:p w14:paraId="18F9B455">
            <w:pPr>
              <w:widowControl/>
              <w:autoSpaceDE w:val="0"/>
              <w:autoSpaceDN w:val="0"/>
              <w:jc w:val="center"/>
              <w:textAlignment w:val="bottom"/>
              <w:rPr>
                <w:rFonts w:hint="eastAsia" w:ascii="宋体" w:hAnsi="宋体" w:eastAsia="宋体" w:cs="宋体"/>
                <w:color w:val="auto"/>
                <w:sz w:val="18"/>
                <w:szCs w:val="18"/>
              </w:rPr>
            </w:pPr>
          </w:p>
        </w:tc>
        <w:tc>
          <w:tcPr>
            <w:tcW w:w="2713" w:type="dxa"/>
            <w:vAlign w:val="center"/>
          </w:tcPr>
          <w:p w14:paraId="09ABB0FF">
            <w:pPr>
              <w:widowControl/>
              <w:autoSpaceDE w:val="0"/>
              <w:autoSpaceDN w:val="0"/>
              <w:jc w:val="center"/>
              <w:textAlignment w:val="bottom"/>
              <w:rPr>
                <w:rFonts w:hint="eastAsia" w:ascii="宋体" w:hAnsi="宋体" w:eastAsia="宋体" w:cs="宋体"/>
                <w:color w:val="auto"/>
                <w:sz w:val="18"/>
                <w:szCs w:val="18"/>
              </w:rPr>
            </w:pPr>
          </w:p>
        </w:tc>
        <w:tc>
          <w:tcPr>
            <w:tcW w:w="1258" w:type="dxa"/>
            <w:vAlign w:val="center"/>
          </w:tcPr>
          <w:p w14:paraId="6F4A261E">
            <w:pPr>
              <w:widowControl/>
              <w:autoSpaceDE w:val="0"/>
              <w:autoSpaceDN w:val="0"/>
              <w:jc w:val="center"/>
              <w:textAlignment w:val="bottom"/>
              <w:rPr>
                <w:rFonts w:hint="eastAsia" w:ascii="宋体" w:hAnsi="宋体" w:eastAsia="宋体" w:cs="宋体"/>
                <w:color w:val="auto"/>
                <w:sz w:val="18"/>
                <w:szCs w:val="18"/>
              </w:rPr>
            </w:pPr>
          </w:p>
        </w:tc>
        <w:tc>
          <w:tcPr>
            <w:tcW w:w="2575" w:type="dxa"/>
            <w:vAlign w:val="center"/>
          </w:tcPr>
          <w:p w14:paraId="0E0E5AF9">
            <w:pPr>
              <w:widowControl/>
              <w:autoSpaceDE w:val="0"/>
              <w:autoSpaceDN w:val="0"/>
              <w:jc w:val="center"/>
              <w:textAlignment w:val="bottom"/>
              <w:rPr>
                <w:rFonts w:hint="eastAsia" w:ascii="宋体" w:hAnsi="宋体" w:eastAsia="宋体" w:cs="宋体"/>
                <w:color w:val="auto"/>
                <w:sz w:val="18"/>
                <w:szCs w:val="18"/>
              </w:rPr>
            </w:pPr>
          </w:p>
        </w:tc>
      </w:tr>
      <w:tr w14:paraId="7A086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 w:hRule="atLeast"/>
          <w:jc w:val="center"/>
        </w:trPr>
        <w:tc>
          <w:tcPr>
            <w:tcW w:w="679" w:type="dxa"/>
            <w:vAlign w:val="center"/>
          </w:tcPr>
          <w:p w14:paraId="3AE203C0">
            <w:pPr>
              <w:widowControl/>
              <w:autoSpaceDE w:val="0"/>
              <w:autoSpaceDN w:val="0"/>
              <w:jc w:val="center"/>
              <w:textAlignment w:val="bottom"/>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1163" w:type="dxa"/>
            <w:vAlign w:val="center"/>
          </w:tcPr>
          <w:p w14:paraId="651A8A8D">
            <w:pPr>
              <w:widowControl/>
              <w:autoSpaceDE w:val="0"/>
              <w:autoSpaceDN w:val="0"/>
              <w:jc w:val="center"/>
              <w:textAlignment w:val="bottom"/>
              <w:rPr>
                <w:rFonts w:hint="eastAsia" w:ascii="宋体" w:hAnsi="宋体" w:eastAsia="宋体" w:cs="宋体"/>
                <w:color w:val="auto"/>
                <w:sz w:val="18"/>
                <w:szCs w:val="18"/>
              </w:rPr>
            </w:pPr>
          </w:p>
        </w:tc>
        <w:tc>
          <w:tcPr>
            <w:tcW w:w="2713" w:type="dxa"/>
            <w:vAlign w:val="center"/>
          </w:tcPr>
          <w:p w14:paraId="1CADEA70">
            <w:pPr>
              <w:widowControl/>
              <w:autoSpaceDE w:val="0"/>
              <w:autoSpaceDN w:val="0"/>
              <w:jc w:val="center"/>
              <w:textAlignment w:val="bottom"/>
              <w:rPr>
                <w:rFonts w:hint="eastAsia" w:ascii="宋体" w:hAnsi="宋体" w:eastAsia="宋体" w:cs="宋体"/>
                <w:color w:val="auto"/>
                <w:sz w:val="18"/>
                <w:szCs w:val="18"/>
              </w:rPr>
            </w:pPr>
          </w:p>
        </w:tc>
        <w:tc>
          <w:tcPr>
            <w:tcW w:w="1258" w:type="dxa"/>
            <w:vAlign w:val="center"/>
          </w:tcPr>
          <w:p w14:paraId="5205E3EF">
            <w:pPr>
              <w:widowControl/>
              <w:autoSpaceDE w:val="0"/>
              <w:autoSpaceDN w:val="0"/>
              <w:jc w:val="center"/>
              <w:textAlignment w:val="bottom"/>
              <w:rPr>
                <w:rFonts w:hint="eastAsia" w:ascii="宋体" w:hAnsi="宋体" w:eastAsia="宋体" w:cs="宋体"/>
                <w:color w:val="auto"/>
                <w:sz w:val="18"/>
                <w:szCs w:val="18"/>
              </w:rPr>
            </w:pPr>
          </w:p>
        </w:tc>
        <w:tc>
          <w:tcPr>
            <w:tcW w:w="2575" w:type="dxa"/>
            <w:vAlign w:val="center"/>
          </w:tcPr>
          <w:p w14:paraId="12E7AC10">
            <w:pPr>
              <w:widowControl/>
              <w:autoSpaceDE w:val="0"/>
              <w:autoSpaceDN w:val="0"/>
              <w:jc w:val="center"/>
              <w:textAlignment w:val="bottom"/>
              <w:rPr>
                <w:rFonts w:hint="eastAsia" w:ascii="宋体" w:hAnsi="宋体" w:eastAsia="宋体" w:cs="宋体"/>
                <w:color w:val="auto"/>
                <w:sz w:val="18"/>
                <w:szCs w:val="18"/>
              </w:rPr>
            </w:pPr>
          </w:p>
        </w:tc>
      </w:tr>
    </w:tbl>
    <w:p w14:paraId="3D234BCE">
      <w:pPr>
        <w:pStyle w:val="16"/>
        <w:adjustRightInd w:val="0"/>
        <w:snapToGrid w:val="0"/>
        <w:spacing w:before="156" w:beforeLines="50" w:line="360" w:lineRule="auto"/>
        <w:rPr>
          <w:rFonts w:hint="eastAsia" w:ascii="宋体" w:hAnsi="宋体" w:eastAsia="宋体" w:cs="宋体"/>
          <w:color w:val="auto"/>
          <w:szCs w:val="21"/>
        </w:rPr>
      </w:pPr>
    </w:p>
    <w:p w14:paraId="0999D37C">
      <w:pPr>
        <w:pStyle w:val="16"/>
        <w:adjustRightInd w:val="0"/>
        <w:snapToGrid w:val="0"/>
        <w:spacing w:before="156" w:beforeLines="50" w:line="360" w:lineRule="auto"/>
        <w:rPr>
          <w:rFonts w:hint="eastAsia" w:ascii="宋体" w:hAnsi="宋体" w:eastAsia="宋体" w:cs="宋体"/>
          <w:color w:val="auto"/>
          <w:szCs w:val="21"/>
        </w:rPr>
      </w:pPr>
    </w:p>
    <w:p w14:paraId="3A48DE58">
      <w:pPr>
        <w:pStyle w:val="16"/>
        <w:adjustRightInd w:val="0"/>
        <w:snapToGrid w:val="0"/>
        <w:spacing w:before="156" w:beforeLines="50" w:line="360" w:lineRule="auto"/>
        <w:rPr>
          <w:rFonts w:hint="eastAsia"/>
          <w:color w:val="auto"/>
          <w:sz w:val="24"/>
          <w:szCs w:val="24"/>
          <w:lang w:val="en-US" w:eastAsia="zh-CN"/>
        </w:rPr>
      </w:pPr>
      <w:r>
        <w:rPr>
          <w:rFonts w:hint="eastAsia" w:ascii="宋体" w:hAnsi="宋体" w:eastAsia="宋体" w:cs="宋体"/>
          <w:color w:val="auto"/>
          <w:szCs w:val="21"/>
        </w:rPr>
        <w:t>投标方：</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盖章：</w:t>
      </w:r>
    </w:p>
    <w:p w14:paraId="49A78538">
      <w:pPr>
        <w:pStyle w:val="2"/>
        <w:numPr>
          <w:ilvl w:val="0"/>
          <w:numId w:val="0"/>
        </w:numPr>
        <w:adjustRightInd w:val="0"/>
        <w:spacing w:beforeLines="0"/>
        <w:ind w:left="0" w:leftChars="0" w:firstLine="0" w:firstLineChars="0"/>
        <w:rPr>
          <w:rFonts w:hint="eastAsia" w:ascii="宋体" w:hAnsi="宋体" w:eastAsia="宋体" w:cs="宋体"/>
          <w:color w:val="auto"/>
          <w:sz w:val="24"/>
          <w:szCs w:val="24"/>
        </w:rPr>
      </w:pPr>
      <w:bookmarkStart w:id="61" w:name="_Toc287602850"/>
      <w:bookmarkStart w:id="62" w:name="_Toc282421446"/>
      <w:bookmarkStart w:id="63" w:name="_Toc3185"/>
      <w:bookmarkStart w:id="64" w:name="_Toc3602"/>
      <w:bookmarkStart w:id="65" w:name="_Toc282420857"/>
      <w:r>
        <w:rPr>
          <w:rFonts w:hint="eastAsia" w:ascii="Times New Roman" w:hAnsi="Times New Roman" w:cs="Times New Roman"/>
          <w:b w:val="0"/>
          <w:bCs w:val="0"/>
          <w:i w:val="0"/>
          <w:color w:val="auto"/>
          <w:kern w:val="44"/>
          <w:sz w:val="24"/>
          <w:szCs w:val="24"/>
          <w:lang w:val="en-US" w:eastAsia="zh-CN" w:bidi="ar-SA"/>
        </w:rPr>
        <w:t>1</w:t>
      </w:r>
      <w:r>
        <w:rPr>
          <w:rFonts w:hint="eastAsia" w:ascii="Times New Roman" w:cs="Times New Roman"/>
          <w:b w:val="0"/>
          <w:bCs w:val="0"/>
          <w:i w:val="0"/>
          <w:color w:val="auto"/>
          <w:kern w:val="44"/>
          <w:sz w:val="24"/>
          <w:szCs w:val="24"/>
          <w:lang w:val="en-US" w:eastAsia="zh-CN" w:bidi="ar-SA"/>
        </w:rPr>
        <w:t>5</w:t>
      </w:r>
      <w:r>
        <w:rPr>
          <w:rFonts w:hint="default" w:ascii="Times New Roman" w:hAnsi="Times New Roman" w:eastAsia="宋体" w:cs="Times New Roman"/>
          <w:b w:val="0"/>
          <w:bCs w:val="0"/>
          <w:color w:val="auto"/>
          <w:sz w:val="24"/>
          <w:szCs w:val="24"/>
        </w:rPr>
        <w:t xml:space="preserve"> </w:t>
      </w:r>
      <w:bookmarkStart w:id="66" w:name="_Toc32105"/>
      <w:bookmarkStart w:id="67" w:name="_Toc28885"/>
      <w:r>
        <w:rPr>
          <w:rFonts w:hint="eastAsia" w:ascii="宋体" w:hAnsi="宋体" w:eastAsia="宋体" w:cs="宋体"/>
          <w:color w:val="auto"/>
          <w:sz w:val="24"/>
          <w:szCs w:val="24"/>
        </w:rPr>
        <w:t>投标方需说明的其他问题</w:t>
      </w:r>
      <w:bookmarkEnd w:id="61"/>
      <w:bookmarkEnd w:id="62"/>
      <w:bookmarkEnd w:id="63"/>
      <w:bookmarkEnd w:id="64"/>
      <w:bookmarkEnd w:id="65"/>
      <w:bookmarkEnd w:id="66"/>
      <w:bookmarkEnd w:id="67"/>
    </w:p>
    <w:p w14:paraId="69EBE141">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如有需说明的其他问题，投标方应通过书面形式提交，并加盖公章。</w:t>
      </w:r>
    </w:p>
    <w:p w14:paraId="27E1D593">
      <w:pPr>
        <w:rPr>
          <w:rFonts w:hint="eastAsia"/>
          <w:color w:val="auto"/>
          <w:lang w:val="en-US" w:eastAsia="zh-CN"/>
        </w:rPr>
      </w:pPr>
    </w:p>
    <w:p w14:paraId="6501B62E">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lang w:val="en-US" w:eastAsia="zh-CN"/>
        </w:rPr>
      </w:pPr>
    </w:p>
    <w:p w14:paraId="3FCEB32B">
      <w:pPr>
        <w:rPr>
          <w:rFonts w:hint="eastAsia"/>
          <w:color w:val="auto"/>
          <w:lang w:val="en-US" w:eastAsia="zh-CN"/>
        </w:rPr>
      </w:pPr>
    </w:p>
    <w:p w14:paraId="6AFE9284">
      <w:pPr>
        <w:rPr>
          <w:rFonts w:hint="eastAsia"/>
          <w:color w:val="auto"/>
          <w:lang w:val="en-US" w:eastAsia="zh-CN"/>
        </w:rPr>
      </w:pPr>
    </w:p>
    <w:p w14:paraId="52D5AF70">
      <w:pPr>
        <w:keepNext w:val="0"/>
        <w:keepLines w:val="0"/>
        <w:pageBreakBefore w:val="0"/>
        <w:widowControl w:val="0"/>
        <w:kinsoku/>
        <w:wordWrap/>
        <w:overflowPunct/>
        <w:topLinePunct w:val="0"/>
        <w:autoSpaceDE/>
        <w:autoSpaceDN/>
        <w:bidi w:val="0"/>
        <w:adjustRightInd/>
        <w:snapToGrid/>
        <w:spacing w:before="120" w:after="120" w:line="288" w:lineRule="auto"/>
        <w:jc w:val="left"/>
        <w:textAlignment w:val="auto"/>
        <w:rPr>
          <w:rFonts w:hint="eastAsia" w:ascii="宋体" w:hAnsi="宋体" w:eastAsia="宋体" w:cs="宋体"/>
          <w:color w:val="auto"/>
          <w:sz w:val="21"/>
          <w:szCs w:val="21"/>
        </w:rPr>
      </w:pPr>
    </w:p>
    <w:p w14:paraId="3CB931BD">
      <w:pPr>
        <w:rPr>
          <w:rFonts w:hint="eastAsia"/>
          <w:color w:val="auto"/>
        </w:rPr>
      </w:pPr>
    </w:p>
    <w:p w14:paraId="675A40DA">
      <w:pPr>
        <w:rPr>
          <w:rFonts w:hint="eastAsia"/>
          <w:color w:val="auto"/>
        </w:rPr>
      </w:pPr>
    </w:p>
    <w:p w14:paraId="44E50629">
      <w:pPr>
        <w:rPr>
          <w:rFonts w:hint="eastAsia"/>
          <w:color w:val="auto"/>
        </w:rPr>
      </w:pPr>
    </w:p>
    <w:sectPr>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简体">
    <w:altName w:val="方正书宋_GBK"/>
    <w:panose1 w:val="02000000000000000000"/>
    <w:charset w:val="86"/>
    <w:family w:val="auto"/>
    <w:pitch w:val="default"/>
    <w:sig w:usb0="00000000" w:usb1="00000000" w:usb2="00000012" w:usb3="00000000" w:csb0="00040001"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ˎ̥">
    <w:altName w:val="国标仿宋"/>
    <w:panose1 w:val="00000000000000000000"/>
    <w:charset w:val="00"/>
    <w:family w:val="roman"/>
    <w:pitch w:val="default"/>
    <w:sig w:usb0="00000000" w:usb1="00000000" w:usb2="00000000" w:usb3="00000000" w:csb0="00000000" w:csb1="00000000"/>
  </w:font>
  <w:font w:name="国标仿宋">
    <w:panose1 w:val="02000500000000000000"/>
    <w:charset w:val="86"/>
    <w:family w:val="auto"/>
    <w:pitch w:val="default"/>
    <w:sig w:usb0="A00002BF" w:usb1="38C77CFA" w:usb2="00000016" w:usb3="00000000" w:csb0="00060007" w:csb1="00000000"/>
  </w:font>
  <w:font w:name="EU-F1">
    <w:altName w:val="国标仿宋"/>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3DCCD">
    <w:pPr>
      <w:pStyle w:val="88"/>
      <w:ind w:right="360" w:firstLine="360"/>
      <w:rPr>
        <w:rStyle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7ABEC">
    <w:pPr>
      <w:pStyle w:val="87"/>
      <w:ind w:right="360" w:firstLine="360"/>
      <w:jc w:val="center"/>
      <w:rPr>
        <w:rStyle w:val="32"/>
      </w:rPr>
    </w:pPr>
    <w:r>
      <w:rPr>
        <w:rStyle w:val="32"/>
        <w:kern w:val="2"/>
        <w:szCs w:val="18"/>
      </w:rPr>
      <w:fldChar w:fldCharType="begin"/>
    </w:r>
    <w:r>
      <w:rPr>
        <w:rStyle w:val="32"/>
        <w:kern w:val="2"/>
        <w:szCs w:val="18"/>
      </w:rPr>
      <w:instrText xml:space="preserve"> PAGE </w:instrText>
    </w:r>
    <w:r>
      <w:rPr>
        <w:rStyle w:val="32"/>
        <w:kern w:val="2"/>
        <w:szCs w:val="18"/>
      </w:rPr>
      <w:fldChar w:fldCharType="separate"/>
    </w:r>
    <w:r>
      <w:rPr>
        <w:rStyle w:val="32"/>
        <w:kern w:val="2"/>
        <w:szCs w:val="18"/>
      </w:rPr>
      <w:t>4</w:t>
    </w:r>
    <w:r>
      <w:rPr>
        <w:rStyle w:val="32"/>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DA0FF">
    <w:pPr>
      <w:pStyle w:val="20"/>
      <w:bidi w:val="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95A1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E95A16">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6899">
    <w:pPr>
      <w:pStyle w:val="20"/>
      <w:jc w:val="both"/>
    </w:pPr>
    <w:r>
      <w:rPr>
        <w:rFonts w:hint="eastAsia"/>
      </w:rPr>
      <w:t>楚穗直流穗东侧高压</w:t>
    </w:r>
    <w:r>
      <w:rPr>
        <w:rFonts w:hint="eastAsia"/>
        <w:lang w:eastAsia="zh-CN"/>
      </w:rPr>
      <w:t>微型轻量化超灵敏日盲紫外探测巡检装置</w:t>
    </w:r>
    <w:r>
      <w:rPr>
        <w:rFonts w:hint="eastAsia"/>
      </w:rPr>
      <w:t>应用及推广（成果推广项目）：楚穗直流穗东侧高压</w:t>
    </w:r>
    <w:r>
      <w:rPr>
        <w:rFonts w:hint="eastAsia"/>
        <w:lang w:eastAsia="zh-CN"/>
      </w:rPr>
      <w:t>微型轻量化超灵敏日盲紫外探测巡检装置</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034E0">
    <w:pPr>
      <w:pStyle w:val="2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广东天广能源科技发展有限公司微型轻量化超灵敏日盲紫外探测巡检装置2026—2028年生产代工框架采购项目技术规范书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07EBAA"/>
    <w:multiLevelType w:val="singleLevel"/>
    <w:tmpl w:val="CD07EBAA"/>
    <w:lvl w:ilvl="0" w:tentative="0">
      <w:start w:val="1"/>
      <w:numFmt w:val="decimalFullWidth"/>
      <w:suff w:val="nothing"/>
      <w:lvlText w:val="%1"/>
      <w:lvlJc w:val="left"/>
      <w:pPr>
        <w:tabs>
          <w:tab w:val="left" w:pos="0"/>
        </w:tabs>
        <w:ind w:left="0" w:leftChars="0" w:firstLine="0" w:firstLineChars="0"/>
      </w:pPr>
      <w:rPr>
        <w:rFonts w:hint="eastAsia"/>
      </w:rPr>
    </w:lvl>
  </w:abstractNum>
  <w:abstractNum w:abstractNumId="1">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3" w:tentative="0">
      <w:start w:val="1"/>
      <w:numFmt w:val="decimal"/>
      <w:pStyle w:val="56"/>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lightRig w14:rig="threePt" w14:dir="t">
            <w14:rot w14:lat="0" w14:lon="0" w14:rev="0"/>
          </w14:lightRig>
        </w14:scene3d>
        <w14:ligatures w14:val="none"/>
        <w14:numForm w14:val="default"/>
        <w14:numSpacing w14:val="default"/>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A6B1602"/>
    <w:multiLevelType w:val="multilevel"/>
    <w:tmpl w:val="0A6B16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b/>
        <w:bCs/>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2C1C585D"/>
    <w:multiLevelType w:val="singleLevel"/>
    <w:tmpl w:val="2C1C585D"/>
    <w:lvl w:ilvl="0" w:tentative="0">
      <w:start w:val="1"/>
      <w:numFmt w:val="decimal"/>
      <w:pStyle w:val="64"/>
      <w:lvlText w:val="(%1)"/>
      <w:lvlJc w:val="left"/>
      <w:pPr>
        <w:tabs>
          <w:tab w:val="left" w:pos="678"/>
        </w:tabs>
        <w:ind w:left="678" w:hanging="468"/>
      </w:pPr>
      <w:rPr>
        <w:rFonts w:hint="eastAsia"/>
      </w:rPr>
    </w:lvl>
  </w:abstractNum>
  <w:abstractNum w:abstractNumId="4">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4" w:tentative="0">
      <w:start w:val="1"/>
      <w:numFmt w:val="decimal"/>
      <w:pStyle w:val="67"/>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6">
    <w:nsid w:val="4A5AC650"/>
    <w:multiLevelType w:val="multilevel"/>
    <w:tmpl w:val="4A5AC650"/>
    <w:lvl w:ilvl="0" w:tentative="0">
      <w:start w:val="2"/>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5BA62895"/>
    <w:multiLevelType w:val="multilevel"/>
    <w:tmpl w:val="5BA62895"/>
    <w:lvl w:ilvl="0" w:tentative="0">
      <w:start w:val="1"/>
      <w:numFmt w:val="decimal"/>
      <w:pStyle w:val="78"/>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5"/>
  </w:num>
  <w:num w:numId="5">
    <w:abstractNumId w:val="7"/>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AD"/>
    <w:rsid w:val="00005843"/>
    <w:rsid w:val="00007604"/>
    <w:rsid w:val="000100E6"/>
    <w:rsid w:val="00011333"/>
    <w:rsid w:val="00011D62"/>
    <w:rsid w:val="00015ED2"/>
    <w:rsid w:val="00025143"/>
    <w:rsid w:val="00030000"/>
    <w:rsid w:val="000306DA"/>
    <w:rsid w:val="00031B9E"/>
    <w:rsid w:val="000324BA"/>
    <w:rsid w:val="000331F3"/>
    <w:rsid w:val="000365DB"/>
    <w:rsid w:val="0003769F"/>
    <w:rsid w:val="0004219E"/>
    <w:rsid w:val="0004627E"/>
    <w:rsid w:val="0004651A"/>
    <w:rsid w:val="00046B9D"/>
    <w:rsid w:val="00053C2A"/>
    <w:rsid w:val="0005593E"/>
    <w:rsid w:val="000604F3"/>
    <w:rsid w:val="0006103B"/>
    <w:rsid w:val="0006156C"/>
    <w:rsid w:val="0006325A"/>
    <w:rsid w:val="00066CB2"/>
    <w:rsid w:val="000710D5"/>
    <w:rsid w:val="000712AF"/>
    <w:rsid w:val="00071D92"/>
    <w:rsid w:val="00071E61"/>
    <w:rsid w:val="000744AF"/>
    <w:rsid w:val="000749E5"/>
    <w:rsid w:val="000767AA"/>
    <w:rsid w:val="00080CB0"/>
    <w:rsid w:val="00080FFE"/>
    <w:rsid w:val="000819CE"/>
    <w:rsid w:val="0009024C"/>
    <w:rsid w:val="00090F66"/>
    <w:rsid w:val="00095CDE"/>
    <w:rsid w:val="000968A1"/>
    <w:rsid w:val="00097C70"/>
    <w:rsid w:val="00097E93"/>
    <w:rsid w:val="000A1260"/>
    <w:rsid w:val="000A1CFA"/>
    <w:rsid w:val="000A25AA"/>
    <w:rsid w:val="000B10A1"/>
    <w:rsid w:val="000B1B28"/>
    <w:rsid w:val="000B64C1"/>
    <w:rsid w:val="000B7327"/>
    <w:rsid w:val="000C4F02"/>
    <w:rsid w:val="000C6F8F"/>
    <w:rsid w:val="000C7FB7"/>
    <w:rsid w:val="000D10BF"/>
    <w:rsid w:val="000D1438"/>
    <w:rsid w:val="000D2ABC"/>
    <w:rsid w:val="000D3213"/>
    <w:rsid w:val="000D34A5"/>
    <w:rsid w:val="000D3A59"/>
    <w:rsid w:val="000E0C9A"/>
    <w:rsid w:val="000E0F79"/>
    <w:rsid w:val="000E49AB"/>
    <w:rsid w:val="000E57A5"/>
    <w:rsid w:val="000E5A91"/>
    <w:rsid w:val="000F0741"/>
    <w:rsid w:val="000F1CF6"/>
    <w:rsid w:val="000F43B1"/>
    <w:rsid w:val="000F4F64"/>
    <w:rsid w:val="000F65BE"/>
    <w:rsid w:val="000F6DB7"/>
    <w:rsid w:val="000F6E67"/>
    <w:rsid w:val="00104527"/>
    <w:rsid w:val="001050BC"/>
    <w:rsid w:val="00107979"/>
    <w:rsid w:val="0010799B"/>
    <w:rsid w:val="00115BAC"/>
    <w:rsid w:val="00117678"/>
    <w:rsid w:val="001254CB"/>
    <w:rsid w:val="00125B7E"/>
    <w:rsid w:val="0013047C"/>
    <w:rsid w:val="00131D68"/>
    <w:rsid w:val="001427E7"/>
    <w:rsid w:val="0014365C"/>
    <w:rsid w:val="00144091"/>
    <w:rsid w:val="00145502"/>
    <w:rsid w:val="001477C4"/>
    <w:rsid w:val="00155D5E"/>
    <w:rsid w:val="001570F8"/>
    <w:rsid w:val="001626A9"/>
    <w:rsid w:val="00167D63"/>
    <w:rsid w:val="00172393"/>
    <w:rsid w:val="00174E2F"/>
    <w:rsid w:val="001751E1"/>
    <w:rsid w:val="00176E9B"/>
    <w:rsid w:val="00180BFD"/>
    <w:rsid w:val="00183DF5"/>
    <w:rsid w:val="00185EF7"/>
    <w:rsid w:val="00192CFE"/>
    <w:rsid w:val="00194B8C"/>
    <w:rsid w:val="001977D4"/>
    <w:rsid w:val="001A0287"/>
    <w:rsid w:val="001A148D"/>
    <w:rsid w:val="001A416D"/>
    <w:rsid w:val="001A486A"/>
    <w:rsid w:val="001A5F8B"/>
    <w:rsid w:val="001B32F7"/>
    <w:rsid w:val="001B4544"/>
    <w:rsid w:val="001B77DB"/>
    <w:rsid w:val="001C4357"/>
    <w:rsid w:val="001C485B"/>
    <w:rsid w:val="001D30AE"/>
    <w:rsid w:val="001D40A1"/>
    <w:rsid w:val="001D4D25"/>
    <w:rsid w:val="001D4F58"/>
    <w:rsid w:val="001E0848"/>
    <w:rsid w:val="001E1058"/>
    <w:rsid w:val="001E187C"/>
    <w:rsid w:val="001E4826"/>
    <w:rsid w:val="001E78A4"/>
    <w:rsid w:val="001E7E08"/>
    <w:rsid w:val="001F189D"/>
    <w:rsid w:val="001F5FCA"/>
    <w:rsid w:val="00203747"/>
    <w:rsid w:val="00204A7B"/>
    <w:rsid w:val="00204D36"/>
    <w:rsid w:val="00205089"/>
    <w:rsid w:val="00205AA3"/>
    <w:rsid w:val="00211597"/>
    <w:rsid w:val="00212587"/>
    <w:rsid w:val="00213E95"/>
    <w:rsid w:val="00216110"/>
    <w:rsid w:val="00216882"/>
    <w:rsid w:val="00216FBB"/>
    <w:rsid w:val="00225CDF"/>
    <w:rsid w:val="002322CE"/>
    <w:rsid w:val="002338B8"/>
    <w:rsid w:val="002353CA"/>
    <w:rsid w:val="00235A6E"/>
    <w:rsid w:val="00236B0D"/>
    <w:rsid w:val="00237C55"/>
    <w:rsid w:val="00237E9B"/>
    <w:rsid w:val="00241231"/>
    <w:rsid w:val="0024256B"/>
    <w:rsid w:val="00242E00"/>
    <w:rsid w:val="00245B83"/>
    <w:rsid w:val="00256AE0"/>
    <w:rsid w:val="00260EA3"/>
    <w:rsid w:val="00264629"/>
    <w:rsid w:val="002650DE"/>
    <w:rsid w:val="00273E33"/>
    <w:rsid w:val="00276F96"/>
    <w:rsid w:val="00285C36"/>
    <w:rsid w:val="0028649B"/>
    <w:rsid w:val="002864E4"/>
    <w:rsid w:val="00286BBF"/>
    <w:rsid w:val="00287076"/>
    <w:rsid w:val="002A10BA"/>
    <w:rsid w:val="002A6688"/>
    <w:rsid w:val="002A6FA9"/>
    <w:rsid w:val="002B1825"/>
    <w:rsid w:val="002B1FAD"/>
    <w:rsid w:val="002B5AF2"/>
    <w:rsid w:val="002C0643"/>
    <w:rsid w:val="002D13DF"/>
    <w:rsid w:val="002D4818"/>
    <w:rsid w:val="002D496E"/>
    <w:rsid w:val="002D688A"/>
    <w:rsid w:val="002D6D8B"/>
    <w:rsid w:val="002E0A6A"/>
    <w:rsid w:val="002E44F0"/>
    <w:rsid w:val="002F3155"/>
    <w:rsid w:val="002F5681"/>
    <w:rsid w:val="002F66F2"/>
    <w:rsid w:val="002F6D4A"/>
    <w:rsid w:val="0030555F"/>
    <w:rsid w:val="0030596B"/>
    <w:rsid w:val="00305B51"/>
    <w:rsid w:val="00306436"/>
    <w:rsid w:val="00307590"/>
    <w:rsid w:val="0031002C"/>
    <w:rsid w:val="00310423"/>
    <w:rsid w:val="00313377"/>
    <w:rsid w:val="00315063"/>
    <w:rsid w:val="003150BD"/>
    <w:rsid w:val="00317BCA"/>
    <w:rsid w:val="0032019F"/>
    <w:rsid w:val="00320E84"/>
    <w:rsid w:val="00322EA4"/>
    <w:rsid w:val="00323B69"/>
    <w:rsid w:val="003241A0"/>
    <w:rsid w:val="00325571"/>
    <w:rsid w:val="00326F87"/>
    <w:rsid w:val="003300D4"/>
    <w:rsid w:val="00336D96"/>
    <w:rsid w:val="00337902"/>
    <w:rsid w:val="00340103"/>
    <w:rsid w:val="00340ADD"/>
    <w:rsid w:val="00342653"/>
    <w:rsid w:val="003466AF"/>
    <w:rsid w:val="00347F1A"/>
    <w:rsid w:val="00350872"/>
    <w:rsid w:val="00350996"/>
    <w:rsid w:val="003524B0"/>
    <w:rsid w:val="00356CAB"/>
    <w:rsid w:val="00356D38"/>
    <w:rsid w:val="00357D4F"/>
    <w:rsid w:val="00363EC2"/>
    <w:rsid w:val="00374A90"/>
    <w:rsid w:val="0037669C"/>
    <w:rsid w:val="00377122"/>
    <w:rsid w:val="00381023"/>
    <w:rsid w:val="003826BC"/>
    <w:rsid w:val="00386F0E"/>
    <w:rsid w:val="00386FDC"/>
    <w:rsid w:val="00387780"/>
    <w:rsid w:val="003878E0"/>
    <w:rsid w:val="00391E1D"/>
    <w:rsid w:val="0039300E"/>
    <w:rsid w:val="003936C4"/>
    <w:rsid w:val="003949AA"/>
    <w:rsid w:val="003A09F8"/>
    <w:rsid w:val="003A1B9D"/>
    <w:rsid w:val="003A1EC1"/>
    <w:rsid w:val="003A1F75"/>
    <w:rsid w:val="003A27B1"/>
    <w:rsid w:val="003A3619"/>
    <w:rsid w:val="003A6E2F"/>
    <w:rsid w:val="003A73DB"/>
    <w:rsid w:val="003B35F2"/>
    <w:rsid w:val="003B6118"/>
    <w:rsid w:val="003B6376"/>
    <w:rsid w:val="003B6F8D"/>
    <w:rsid w:val="003C60B4"/>
    <w:rsid w:val="003D087D"/>
    <w:rsid w:val="003D0CAE"/>
    <w:rsid w:val="003D44AD"/>
    <w:rsid w:val="003D6C8C"/>
    <w:rsid w:val="003E1D24"/>
    <w:rsid w:val="003E4D64"/>
    <w:rsid w:val="003E7E0E"/>
    <w:rsid w:val="003F0C37"/>
    <w:rsid w:val="003F1314"/>
    <w:rsid w:val="003F2B01"/>
    <w:rsid w:val="003F3808"/>
    <w:rsid w:val="003F7799"/>
    <w:rsid w:val="00401E11"/>
    <w:rsid w:val="00401F0A"/>
    <w:rsid w:val="00402D6B"/>
    <w:rsid w:val="00404647"/>
    <w:rsid w:val="00404D62"/>
    <w:rsid w:val="00405EEF"/>
    <w:rsid w:val="00406366"/>
    <w:rsid w:val="004076D7"/>
    <w:rsid w:val="00407F27"/>
    <w:rsid w:val="00413FCF"/>
    <w:rsid w:val="00417DF9"/>
    <w:rsid w:val="004206D0"/>
    <w:rsid w:val="004220F3"/>
    <w:rsid w:val="004248AC"/>
    <w:rsid w:val="00427000"/>
    <w:rsid w:val="00432C4E"/>
    <w:rsid w:val="00434438"/>
    <w:rsid w:val="00435126"/>
    <w:rsid w:val="0043556A"/>
    <w:rsid w:val="00441297"/>
    <w:rsid w:val="00443C39"/>
    <w:rsid w:val="004472BA"/>
    <w:rsid w:val="00447F80"/>
    <w:rsid w:val="004521EE"/>
    <w:rsid w:val="00460F53"/>
    <w:rsid w:val="004617FD"/>
    <w:rsid w:val="004620C2"/>
    <w:rsid w:val="00463105"/>
    <w:rsid w:val="00463450"/>
    <w:rsid w:val="0046609E"/>
    <w:rsid w:val="00467437"/>
    <w:rsid w:val="00472E46"/>
    <w:rsid w:val="004861BF"/>
    <w:rsid w:val="00487F75"/>
    <w:rsid w:val="004901BD"/>
    <w:rsid w:val="00492559"/>
    <w:rsid w:val="0049348D"/>
    <w:rsid w:val="004963D4"/>
    <w:rsid w:val="00496856"/>
    <w:rsid w:val="004A0F53"/>
    <w:rsid w:val="004A1130"/>
    <w:rsid w:val="004A3062"/>
    <w:rsid w:val="004B1A16"/>
    <w:rsid w:val="004B3D44"/>
    <w:rsid w:val="004B589A"/>
    <w:rsid w:val="004B5AA8"/>
    <w:rsid w:val="004B7AD2"/>
    <w:rsid w:val="004C1D99"/>
    <w:rsid w:val="004C23E3"/>
    <w:rsid w:val="004C46CF"/>
    <w:rsid w:val="004C4C16"/>
    <w:rsid w:val="004C70FF"/>
    <w:rsid w:val="004C735F"/>
    <w:rsid w:val="004D25C0"/>
    <w:rsid w:val="004D51BC"/>
    <w:rsid w:val="004D7F0B"/>
    <w:rsid w:val="004E1A1C"/>
    <w:rsid w:val="004E2DCA"/>
    <w:rsid w:val="004E3C5C"/>
    <w:rsid w:val="004E596D"/>
    <w:rsid w:val="004F0659"/>
    <w:rsid w:val="0050079B"/>
    <w:rsid w:val="00502F47"/>
    <w:rsid w:val="00506BC1"/>
    <w:rsid w:val="00522286"/>
    <w:rsid w:val="00523A45"/>
    <w:rsid w:val="00525A7B"/>
    <w:rsid w:val="005302D4"/>
    <w:rsid w:val="00536901"/>
    <w:rsid w:val="00537B6B"/>
    <w:rsid w:val="00540C98"/>
    <w:rsid w:val="0054233A"/>
    <w:rsid w:val="005423B2"/>
    <w:rsid w:val="00547580"/>
    <w:rsid w:val="00555205"/>
    <w:rsid w:val="00556121"/>
    <w:rsid w:val="00556E28"/>
    <w:rsid w:val="00557B71"/>
    <w:rsid w:val="005631B8"/>
    <w:rsid w:val="005633B4"/>
    <w:rsid w:val="00563500"/>
    <w:rsid w:val="0056787C"/>
    <w:rsid w:val="00574D51"/>
    <w:rsid w:val="00575084"/>
    <w:rsid w:val="005802E2"/>
    <w:rsid w:val="0058193D"/>
    <w:rsid w:val="00582696"/>
    <w:rsid w:val="00590F22"/>
    <w:rsid w:val="00594AEF"/>
    <w:rsid w:val="00595BDE"/>
    <w:rsid w:val="005A0BA5"/>
    <w:rsid w:val="005A7208"/>
    <w:rsid w:val="005C0D72"/>
    <w:rsid w:val="005C124A"/>
    <w:rsid w:val="005C2F32"/>
    <w:rsid w:val="005C32AB"/>
    <w:rsid w:val="005C68D6"/>
    <w:rsid w:val="005D087C"/>
    <w:rsid w:val="005D0A01"/>
    <w:rsid w:val="005D2149"/>
    <w:rsid w:val="005D7F69"/>
    <w:rsid w:val="005E0209"/>
    <w:rsid w:val="005E07C0"/>
    <w:rsid w:val="005E12D8"/>
    <w:rsid w:val="005E142C"/>
    <w:rsid w:val="005E1BFD"/>
    <w:rsid w:val="005E32FE"/>
    <w:rsid w:val="005E3F3B"/>
    <w:rsid w:val="005E6D25"/>
    <w:rsid w:val="005E7F4D"/>
    <w:rsid w:val="005F240F"/>
    <w:rsid w:val="005F4E55"/>
    <w:rsid w:val="005F5599"/>
    <w:rsid w:val="00602144"/>
    <w:rsid w:val="00605D48"/>
    <w:rsid w:val="00605DA9"/>
    <w:rsid w:val="00607EF3"/>
    <w:rsid w:val="00612F4A"/>
    <w:rsid w:val="00614034"/>
    <w:rsid w:val="006178FD"/>
    <w:rsid w:val="00617B6C"/>
    <w:rsid w:val="00623DEE"/>
    <w:rsid w:val="006244B5"/>
    <w:rsid w:val="00633016"/>
    <w:rsid w:val="006339E8"/>
    <w:rsid w:val="00633DB9"/>
    <w:rsid w:val="00642A77"/>
    <w:rsid w:val="00642AFF"/>
    <w:rsid w:val="0064321F"/>
    <w:rsid w:val="006438F3"/>
    <w:rsid w:val="00644706"/>
    <w:rsid w:val="00653F8B"/>
    <w:rsid w:val="00655907"/>
    <w:rsid w:val="00660410"/>
    <w:rsid w:val="00662108"/>
    <w:rsid w:val="00667D50"/>
    <w:rsid w:val="006724E1"/>
    <w:rsid w:val="00674401"/>
    <w:rsid w:val="00674774"/>
    <w:rsid w:val="00675A04"/>
    <w:rsid w:val="0067713B"/>
    <w:rsid w:val="00681A01"/>
    <w:rsid w:val="00684E4C"/>
    <w:rsid w:val="00685BA5"/>
    <w:rsid w:val="00694D4C"/>
    <w:rsid w:val="006974CC"/>
    <w:rsid w:val="006A3013"/>
    <w:rsid w:val="006A60F3"/>
    <w:rsid w:val="006A6266"/>
    <w:rsid w:val="006B1A78"/>
    <w:rsid w:val="006B2322"/>
    <w:rsid w:val="006B2554"/>
    <w:rsid w:val="006B547A"/>
    <w:rsid w:val="006B797B"/>
    <w:rsid w:val="006C10FD"/>
    <w:rsid w:val="006C2E4B"/>
    <w:rsid w:val="006C4622"/>
    <w:rsid w:val="006C5807"/>
    <w:rsid w:val="006D0440"/>
    <w:rsid w:val="006D0983"/>
    <w:rsid w:val="006D1818"/>
    <w:rsid w:val="006D236B"/>
    <w:rsid w:val="006D3D96"/>
    <w:rsid w:val="006D46FE"/>
    <w:rsid w:val="006E4BD1"/>
    <w:rsid w:val="006E4C40"/>
    <w:rsid w:val="006E5FD9"/>
    <w:rsid w:val="006E621F"/>
    <w:rsid w:val="006E643F"/>
    <w:rsid w:val="006E6F77"/>
    <w:rsid w:val="006F002F"/>
    <w:rsid w:val="006F02FE"/>
    <w:rsid w:val="00710273"/>
    <w:rsid w:val="007109DC"/>
    <w:rsid w:val="007126B4"/>
    <w:rsid w:val="007136CD"/>
    <w:rsid w:val="00713FAC"/>
    <w:rsid w:val="00724579"/>
    <w:rsid w:val="00724CD0"/>
    <w:rsid w:val="007251AD"/>
    <w:rsid w:val="00725E08"/>
    <w:rsid w:val="00727E22"/>
    <w:rsid w:val="00730A27"/>
    <w:rsid w:val="007316F3"/>
    <w:rsid w:val="00737C74"/>
    <w:rsid w:val="007414C3"/>
    <w:rsid w:val="00743973"/>
    <w:rsid w:val="0074630A"/>
    <w:rsid w:val="00752105"/>
    <w:rsid w:val="00753A59"/>
    <w:rsid w:val="0075560B"/>
    <w:rsid w:val="00756435"/>
    <w:rsid w:val="00756C33"/>
    <w:rsid w:val="00760411"/>
    <w:rsid w:val="00762D29"/>
    <w:rsid w:val="00767702"/>
    <w:rsid w:val="00770A7C"/>
    <w:rsid w:val="0077154B"/>
    <w:rsid w:val="00771AFF"/>
    <w:rsid w:val="00772F02"/>
    <w:rsid w:val="00773594"/>
    <w:rsid w:val="007743B2"/>
    <w:rsid w:val="00775D91"/>
    <w:rsid w:val="007774EA"/>
    <w:rsid w:val="0078105D"/>
    <w:rsid w:val="0078419F"/>
    <w:rsid w:val="00786E47"/>
    <w:rsid w:val="00787E4A"/>
    <w:rsid w:val="00794F31"/>
    <w:rsid w:val="00796C5F"/>
    <w:rsid w:val="007A4131"/>
    <w:rsid w:val="007A481B"/>
    <w:rsid w:val="007A4A47"/>
    <w:rsid w:val="007A4E63"/>
    <w:rsid w:val="007A5CDF"/>
    <w:rsid w:val="007B3DA9"/>
    <w:rsid w:val="007B42FD"/>
    <w:rsid w:val="007B6FA1"/>
    <w:rsid w:val="007B78F8"/>
    <w:rsid w:val="007C0393"/>
    <w:rsid w:val="007C054A"/>
    <w:rsid w:val="007C12C9"/>
    <w:rsid w:val="007C5A54"/>
    <w:rsid w:val="007D13DA"/>
    <w:rsid w:val="007D3905"/>
    <w:rsid w:val="007D63FF"/>
    <w:rsid w:val="007D7E8F"/>
    <w:rsid w:val="007E09CC"/>
    <w:rsid w:val="007E29F1"/>
    <w:rsid w:val="007E50D0"/>
    <w:rsid w:val="007E526A"/>
    <w:rsid w:val="007F5731"/>
    <w:rsid w:val="007F6812"/>
    <w:rsid w:val="0080037B"/>
    <w:rsid w:val="00802390"/>
    <w:rsid w:val="008057CF"/>
    <w:rsid w:val="008060F8"/>
    <w:rsid w:val="00806FDF"/>
    <w:rsid w:val="008073EA"/>
    <w:rsid w:val="00807BD3"/>
    <w:rsid w:val="00810B4D"/>
    <w:rsid w:val="00810CBD"/>
    <w:rsid w:val="008114E2"/>
    <w:rsid w:val="00812036"/>
    <w:rsid w:val="00813036"/>
    <w:rsid w:val="00813F9A"/>
    <w:rsid w:val="00817430"/>
    <w:rsid w:val="0082098E"/>
    <w:rsid w:val="00821B0D"/>
    <w:rsid w:val="00825CCD"/>
    <w:rsid w:val="008307DF"/>
    <w:rsid w:val="00832F9F"/>
    <w:rsid w:val="008331F7"/>
    <w:rsid w:val="00842C09"/>
    <w:rsid w:val="00844B3D"/>
    <w:rsid w:val="00847F6E"/>
    <w:rsid w:val="008514BD"/>
    <w:rsid w:val="00857A57"/>
    <w:rsid w:val="008603B3"/>
    <w:rsid w:val="008625C6"/>
    <w:rsid w:val="008636B0"/>
    <w:rsid w:val="008647EE"/>
    <w:rsid w:val="00867169"/>
    <w:rsid w:val="00871C32"/>
    <w:rsid w:val="00873F8C"/>
    <w:rsid w:val="008817FB"/>
    <w:rsid w:val="00881C91"/>
    <w:rsid w:val="00893AE0"/>
    <w:rsid w:val="0089529C"/>
    <w:rsid w:val="00897495"/>
    <w:rsid w:val="008A2B27"/>
    <w:rsid w:val="008A2BB7"/>
    <w:rsid w:val="008A54CB"/>
    <w:rsid w:val="008A5DC5"/>
    <w:rsid w:val="008B06AD"/>
    <w:rsid w:val="008B2BE1"/>
    <w:rsid w:val="008B3C42"/>
    <w:rsid w:val="008B7B75"/>
    <w:rsid w:val="008B7B90"/>
    <w:rsid w:val="008C1C84"/>
    <w:rsid w:val="008C23F2"/>
    <w:rsid w:val="008C7A51"/>
    <w:rsid w:val="008D163C"/>
    <w:rsid w:val="008D22B6"/>
    <w:rsid w:val="008D349C"/>
    <w:rsid w:val="008D6013"/>
    <w:rsid w:val="008D648E"/>
    <w:rsid w:val="008D66A8"/>
    <w:rsid w:val="008E23E0"/>
    <w:rsid w:val="008E3CAE"/>
    <w:rsid w:val="008E7BD1"/>
    <w:rsid w:val="008F0E5D"/>
    <w:rsid w:val="008F1B37"/>
    <w:rsid w:val="008F3EAB"/>
    <w:rsid w:val="009010F7"/>
    <w:rsid w:val="00903CAD"/>
    <w:rsid w:val="009057A7"/>
    <w:rsid w:val="009106F8"/>
    <w:rsid w:val="00914105"/>
    <w:rsid w:val="00914415"/>
    <w:rsid w:val="009166E7"/>
    <w:rsid w:val="009174AB"/>
    <w:rsid w:val="00920305"/>
    <w:rsid w:val="0092069C"/>
    <w:rsid w:val="00920FBF"/>
    <w:rsid w:val="0092243C"/>
    <w:rsid w:val="00923EC8"/>
    <w:rsid w:val="00924018"/>
    <w:rsid w:val="00924A44"/>
    <w:rsid w:val="00925C82"/>
    <w:rsid w:val="009302C2"/>
    <w:rsid w:val="00934980"/>
    <w:rsid w:val="00936D97"/>
    <w:rsid w:val="00941D55"/>
    <w:rsid w:val="00944951"/>
    <w:rsid w:val="009475E2"/>
    <w:rsid w:val="00950F7E"/>
    <w:rsid w:val="00952FA3"/>
    <w:rsid w:val="009611B4"/>
    <w:rsid w:val="0096223C"/>
    <w:rsid w:val="00967C20"/>
    <w:rsid w:val="009702F0"/>
    <w:rsid w:val="009745B3"/>
    <w:rsid w:val="00976274"/>
    <w:rsid w:val="00976A29"/>
    <w:rsid w:val="009823E5"/>
    <w:rsid w:val="0098287B"/>
    <w:rsid w:val="009901E7"/>
    <w:rsid w:val="0099565A"/>
    <w:rsid w:val="00996198"/>
    <w:rsid w:val="00996DDC"/>
    <w:rsid w:val="009B7F11"/>
    <w:rsid w:val="009C17CD"/>
    <w:rsid w:val="009C2DDA"/>
    <w:rsid w:val="009C49A3"/>
    <w:rsid w:val="009C5784"/>
    <w:rsid w:val="009C62DB"/>
    <w:rsid w:val="009D3AEE"/>
    <w:rsid w:val="009D63AD"/>
    <w:rsid w:val="009D66D1"/>
    <w:rsid w:val="009D77A3"/>
    <w:rsid w:val="009E0723"/>
    <w:rsid w:val="009E22DC"/>
    <w:rsid w:val="009E37CD"/>
    <w:rsid w:val="009E37D8"/>
    <w:rsid w:val="009E451C"/>
    <w:rsid w:val="009E66E2"/>
    <w:rsid w:val="009F1F49"/>
    <w:rsid w:val="009F3030"/>
    <w:rsid w:val="009F403E"/>
    <w:rsid w:val="00A0343E"/>
    <w:rsid w:val="00A03D9E"/>
    <w:rsid w:val="00A072B1"/>
    <w:rsid w:val="00A113B3"/>
    <w:rsid w:val="00A15355"/>
    <w:rsid w:val="00A1537B"/>
    <w:rsid w:val="00A1774B"/>
    <w:rsid w:val="00A17CC8"/>
    <w:rsid w:val="00A207A5"/>
    <w:rsid w:val="00A21805"/>
    <w:rsid w:val="00A237E8"/>
    <w:rsid w:val="00A23EE6"/>
    <w:rsid w:val="00A2576C"/>
    <w:rsid w:val="00A3295D"/>
    <w:rsid w:val="00A35441"/>
    <w:rsid w:val="00A36644"/>
    <w:rsid w:val="00A42CE0"/>
    <w:rsid w:val="00A44587"/>
    <w:rsid w:val="00A44871"/>
    <w:rsid w:val="00A51466"/>
    <w:rsid w:val="00A56118"/>
    <w:rsid w:val="00A5623E"/>
    <w:rsid w:val="00A56B3C"/>
    <w:rsid w:val="00A6204C"/>
    <w:rsid w:val="00A63BCF"/>
    <w:rsid w:val="00A64D5F"/>
    <w:rsid w:val="00A7088E"/>
    <w:rsid w:val="00A73B77"/>
    <w:rsid w:val="00A821D2"/>
    <w:rsid w:val="00A91D2B"/>
    <w:rsid w:val="00A92387"/>
    <w:rsid w:val="00A943E8"/>
    <w:rsid w:val="00A94D40"/>
    <w:rsid w:val="00A94DD0"/>
    <w:rsid w:val="00A963D2"/>
    <w:rsid w:val="00AA0A4D"/>
    <w:rsid w:val="00AA779C"/>
    <w:rsid w:val="00AA7CAD"/>
    <w:rsid w:val="00AB5C45"/>
    <w:rsid w:val="00AB7969"/>
    <w:rsid w:val="00AC090A"/>
    <w:rsid w:val="00AC1083"/>
    <w:rsid w:val="00AC4CF9"/>
    <w:rsid w:val="00AD4DD9"/>
    <w:rsid w:val="00AD4DF8"/>
    <w:rsid w:val="00AD65B3"/>
    <w:rsid w:val="00AD7060"/>
    <w:rsid w:val="00AE0431"/>
    <w:rsid w:val="00AE623A"/>
    <w:rsid w:val="00AF3D58"/>
    <w:rsid w:val="00AF4729"/>
    <w:rsid w:val="00AF5E17"/>
    <w:rsid w:val="00AF63AC"/>
    <w:rsid w:val="00B0544D"/>
    <w:rsid w:val="00B06F44"/>
    <w:rsid w:val="00B12177"/>
    <w:rsid w:val="00B2139E"/>
    <w:rsid w:val="00B252E4"/>
    <w:rsid w:val="00B35A65"/>
    <w:rsid w:val="00B419B4"/>
    <w:rsid w:val="00B43F5F"/>
    <w:rsid w:val="00B44A72"/>
    <w:rsid w:val="00B44D55"/>
    <w:rsid w:val="00B4569B"/>
    <w:rsid w:val="00B4614D"/>
    <w:rsid w:val="00B466C8"/>
    <w:rsid w:val="00B473AB"/>
    <w:rsid w:val="00B474D7"/>
    <w:rsid w:val="00B47808"/>
    <w:rsid w:val="00B504C4"/>
    <w:rsid w:val="00B50EAF"/>
    <w:rsid w:val="00B559BA"/>
    <w:rsid w:val="00B56E04"/>
    <w:rsid w:val="00B575E1"/>
    <w:rsid w:val="00B61B50"/>
    <w:rsid w:val="00B62A0F"/>
    <w:rsid w:val="00B66702"/>
    <w:rsid w:val="00B67E58"/>
    <w:rsid w:val="00B73737"/>
    <w:rsid w:val="00B73802"/>
    <w:rsid w:val="00B740E1"/>
    <w:rsid w:val="00B83670"/>
    <w:rsid w:val="00B83A2F"/>
    <w:rsid w:val="00B8743F"/>
    <w:rsid w:val="00B87894"/>
    <w:rsid w:val="00B969F3"/>
    <w:rsid w:val="00BA3C9C"/>
    <w:rsid w:val="00BA4996"/>
    <w:rsid w:val="00BA5E13"/>
    <w:rsid w:val="00BB70C9"/>
    <w:rsid w:val="00BC4BDC"/>
    <w:rsid w:val="00BD5846"/>
    <w:rsid w:val="00BD5CE2"/>
    <w:rsid w:val="00BD5FE2"/>
    <w:rsid w:val="00BE1807"/>
    <w:rsid w:val="00BE19DC"/>
    <w:rsid w:val="00BE74FA"/>
    <w:rsid w:val="00BF0128"/>
    <w:rsid w:val="00BF3639"/>
    <w:rsid w:val="00BF3973"/>
    <w:rsid w:val="00C00FA3"/>
    <w:rsid w:val="00C032BC"/>
    <w:rsid w:val="00C03993"/>
    <w:rsid w:val="00C101F3"/>
    <w:rsid w:val="00C10A11"/>
    <w:rsid w:val="00C10FCD"/>
    <w:rsid w:val="00C15937"/>
    <w:rsid w:val="00C15FED"/>
    <w:rsid w:val="00C17CEE"/>
    <w:rsid w:val="00C2561E"/>
    <w:rsid w:val="00C3112D"/>
    <w:rsid w:val="00C32783"/>
    <w:rsid w:val="00C35198"/>
    <w:rsid w:val="00C361B6"/>
    <w:rsid w:val="00C37C2A"/>
    <w:rsid w:val="00C407D9"/>
    <w:rsid w:val="00C40FE1"/>
    <w:rsid w:val="00C41B50"/>
    <w:rsid w:val="00C45258"/>
    <w:rsid w:val="00C45FCE"/>
    <w:rsid w:val="00C4669A"/>
    <w:rsid w:val="00C46CC2"/>
    <w:rsid w:val="00C56F64"/>
    <w:rsid w:val="00C62A35"/>
    <w:rsid w:val="00C62BA0"/>
    <w:rsid w:val="00C64656"/>
    <w:rsid w:val="00C6593E"/>
    <w:rsid w:val="00C65FFC"/>
    <w:rsid w:val="00C724BA"/>
    <w:rsid w:val="00C72BFF"/>
    <w:rsid w:val="00C746B3"/>
    <w:rsid w:val="00C7530F"/>
    <w:rsid w:val="00C754B4"/>
    <w:rsid w:val="00C7639A"/>
    <w:rsid w:val="00C763BA"/>
    <w:rsid w:val="00C8165D"/>
    <w:rsid w:val="00C84596"/>
    <w:rsid w:val="00C85CBD"/>
    <w:rsid w:val="00C91C8C"/>
    <w:rsid w:val="00C91EA5"/>
    <w:rsid w:val="00CA21D0"/>
    <w:rsid w:val="00CA2B57"/>
    <w:rsid w:val="00CA7C1D"/>
    <w:rsid w:val="00CB23B5"/>
    <w:rsid w:val="00CB4280"/>
    <w:rsid w:val="00CB56E4"/>
    <w:rsid w:val="00CB6C19"/>
    <w:rsid w:val="00CC482C"/>
    <w:rsid w:val="00CD28DD"/>
    <w:rsid w:val="00CD3156"/>
    <w:rsid w:val="00CD4A98"/>
    <w:rsid w:val="00CD61F3"/>
    <w:rsid w:val="00CE0BBA"/>
    <w:rsid w:val="00CE0BEA"/>
    <w:rsid w:val="00CE1A25"/>
    <w:rsid w:val="00CE2CD6"/>
    <w:rsid w:val="00CE57D4"/>
    <w:rsid w:val="00CE597E"/>
    <w:rsid w:val="00CE5E56"/>
    <w:rsid w:val="00CE664B"/>
    <w:rsid w:val="00CF4625"/>
    <w:rsid w:val="00D00DB1"/>
    <w:rsid w:val="00D0195B"/>
    <w:rsid w:val="00D0263A"/>
    <w:rsid w:val="00D074C6"/>
    <w:rsid w:val="00D2154C"/>
    <w:rsid w:val="00D21CD1"/>
    <w:rsid w:val="00D2214E"/>
    <w:rsid w:val="00D25060"/>
    <w:rsid w:val="00D27203"/>
    <w:rsid w:val="00D27501"/>
    <w:rsid w:val="00D40BC7"/>
    <w:rsid w:val="00D40FFF"/>
    <w:rsid w:val="00D41BAF"/>
    <w:rsid w:val="00D422F2"/>
    <w:rsid w:val="00D43D1A"/>
    <w:rsid w:val="00D44D31"/>
    <w:rsid w:val="00D45640"/>
    <w:rsid w:val="00D475F8"/>
    <w:rsid w:val="00D50A87"/>
    <w:rsid w:val="00D6353E"/>
    <w:rsid w:val="00D642B8"/>
    <w:rsid w:val="00D65182"/>
    <w:rsid w:val="00D65609"/>
    <w:rsid w:val="00D66373"/>
    <w:rsid w:val="00D73B5A"/>
    <w:rsid w:val="00D75733"/>
    <w:rsid w:val="00D75FD4"/>
    <w:rsid w:val="00D87487"/>
    <w:rsid w:val="00D91B69"/>
    <w:rsid w:val="00D91D37"/>
    <w:rsid w:val="00DA05CD"/>
    <w:rsid w:val="00DA0C88"/>
    <w:rsid w:val="00DA267B"/>
    <w:rsid w:val="00DA37DC"/>
    <w:rsid w:val="00DA561E"/>
    <w:rsid w:val="00DB27EE"/>
    <w:rsid w:val="00DB4E78"/>
    <w:rsid w:val="00DC43D9"/>
    <w:rsid w:val="00DC471B"/>
    <w:rsid w:val="00DC5128"/>
    <w:rsid w:val="00DC5A94"/>
    <w:rsid w:val="00DD0AEA"/>
    <w:rsid w:val="00DD56AD"/>
    <w:rsid w:val="00DD6443"/>
    <w:rsid w:val="00DD7174"/>
    <w:rsid w:val="00DE1403"/>
    <w:rsid w:val="00DE22A2"/>
    <w:rsid w:val="00DE32C3"/>
    <w:rsid w:val="00DE564E"/>
    <w:rsid w:val="00DE7B12"/>
    <w:rsid w:val="00DF3625"/>
    <w:rsid w:val="00DF5AC7"/>
    <w:rsid w:val="00DF6139"/>
    <w:rsid w:val="00DF7E58"/>
    <w:rsid w:val="00E03B47"/>
    <w:rsid w:val="00E0403B"/>
    <w:rsid w:val="00E0430B"/>
    <w:rsid w:val="00E105BB"/>
    <w:rsid w:val="00E11433"/>
    <w:rsid w:val="00E14E07"/>
    <w:rsid w:val="00E2031A"/>
    <w:rsid w:val="00E217DD"/>
    <w:rsid w:val="00E2320B"/>
    <w:rsid w:val="00E24A1D"/>
    <w:rsid w:val="00E2791A"/>
    <w:rsid w:val="00E3013B"/>
    <w:rsid w:val="00E3338B"/>
    <w:rsid w:val="00E40747"/>
    <w:rsid w:val="00E41694"/>
    <w:rsid w:val="00E4659B"/>
    <w:rsid w:val="00E47506"/>
    <w:rsid w:val="00E50DE1"/>
    <w:rsid w:val="00E5254D"/>
    <w:rsid w:val="00E53C94"/>
    <w:rsid w:val="00E56EAD"/>
    <w:rsid w:val="00E63319"/>
    <w:rsid w:val="00E649E5"/>
    <w:rsid w:val="00E739CE"/>
    <w:rsid w:val="00E751E1"/>
    <w:rsid w:val="00E7528C"/>
    <w:rsid w:val="00E80439"/>
    <w:rsid w:val="00E81C75"/>
    <w:rsid w:val="00E82A92"/>
    <w:rsid w:val="00E82FF7"/>
    <w:rsid w:val="00E84EC5"/>
    <w:rsid w:val="00E879D8"/>
    <w:rsid w:val="00E906B9"/>
    <w:rsid w:val="00E93F3D"/>
    <w:rsid w:val="00E93F58"/>
    <w:rsid w:val="00EA0ACD"/>
    <w:rsid w:val="00EB0DD7"/>
    <w:rsid w:val="00EB33F2"/>
    <w:rsid w:val="00EB57C5"/>
    <w:rsid w:val="00EC0170"/>
    <w:rsid w:val="00EC4597"/>
    <w:rsid w:val="00EC476C"/>
    <w:rsid w:val="00EC64BA"/>
    <w:rsid w:val="00ED3647"/>
    <w:rsid w:val="00ED6314"/>
    <w:rsid w:val="00ED6C02"/>
    <w:rsid w:val="00EE13AF"/>
    <w:rsid w:val="00EE2B33"/>
    <w:rsid w:val="00EF258C"/>
    <w:rsid w:val="00EF26F9"/>
    <w:rsid w:val="00EF3DE4"/>
    <w:rsid w:val="00EF4BCC"/>
    <w:rsid w:val="00EF684A"/>
    <w:rsid w:val="00EF68CE"/>
    <w:rsid w:val="00F0032D"/>
    <w:rsid w:val="00F06682"/>
    <w:rsid w:val="00F06DAA"/>
    <w:rsid w:val="00F07023"/>
    <w:rsid w:val="00F1088C"/>
    <w:rsid w:val="00F13921"/>
    <w:rsid w:val="00F148BE"/>
    <w:rsid w:val="00F14AFC"/>
    <w:rsid w:val="00F1578C"/>
    <w:rsid w:val="00F15F44"/>
    <w:rsid w:val="00F16D8E"/>
    <w:rsid w:val="00F20DDC"/>
    <w:rsid w:val="00F211A8"/>
    <w:rsid w:val="00F26199"/>
    <w:rsid w:val="00F272F3"/>
    <w:rsid w:val="00F31183"/>
    <w:rsid w:val="00F319AF"/>
    <w:rsid w:val="00F35A8B"/>
    <w:rsid w:val="00F36898"/>
    <w:rsid w:val="00F449D3"/>
    <w:rsid w:val="00F460A3"/>
    <w:rsid w:val="00F510BB"/>
    <w:rsid w:val="00F51AF9"/>
    <w:rsid w:val="00F522ED"/>
    <w:rsid w:val="00F569BA"/>
    <w:rsid w:val="00F57E70"/>
    <w:rsid w:val="00F60AD1"/>
    <w:rsid w:val="00F60C5B"/>
    <w:rsid w:val="00F664B7"/>
    <w:rsid w:val="00F679A2"/>
    <w:rsid w:val="00F70149"/>
    <w:rsid w:val="00F76139"/>
    <w:rsid w:val="00F77923"/>
    <w:rsid w:val="00F77F9D"/>
    <w:rsid w:val="00F8162D"/>
    <w:rsid w:val="00F81E31"/>
    <w:rsid w:val="00F8307C"/>
    <w:rsid w:val="00F8502D"/>
    <w:rsid w:val="00F85E96"/>
    <w:rsid w:val="00F90662"/>
    <w:rsid w:val="00F94171"/>
    <w:rsid w:val="00F947B4"/>
    <w:rsid w:val="00F95FF9"/>
    <w:rsid w:val="00F96681"/>
    <w:rsid w:val="00FA0713"/>
    <w:rsid w:val="00FA0914"/>
    <w:rsid w:val="00FA657F"/>
    <w:rsid w:val="00FA6B74"/>
    <w:rsid w:val="00FA7900"/>
    <w:rsid w:val="00FB1E13"/>
    <w:rsid w:val="00FB30AF"/>
    <w:rsid w:val="00FB38D4"/>
    <w:rsid w:val="00FB495E"/>
    <w:rsid w:val="00FB5627"/>
    <w:rsid w:val="00FC2BD1"/>
    <w:rsid w:val="00FC77EC"/>
    <w:rsid w:val="00FD67B7"/>
    <w:rsid w:val="00FD71D5"/>
    <w:rsid w:val="00FE1092"/>
    <w:rsid w:val="00FE1F77"/>
    <w:rsid w:val="00FE3394"/>
    <w:rsid w:val="00FE724D"/>
    <w:rsid w:val="00FF27F1"/>
    <w:rsid w:val="00FF53BC"/>
    <w:rsid w:val="0123584C"/>
    <w:rsid w:val="01453A14"/>
    <w:rsid w:val="015507BB"/>
    <w:rsid w:val="019C23B2"/>
    <w:rsid w:val="01A0715E"/>
    <w:rsid w:val="01AB130C"/>
    <w:rsid w:val="02C2601E"/>
    <w:rsid w:val="02CC4CA2"/>
    <w:rsid w:val="02EB239A"/>
    <w:rsid w:val="02F43BF8"/>
    <w:rsid w:val="034877EC"/>
    <w:rsid w:val="035E789D"/>
    <w:rsid w:val="03875A93"/>
    <w:rsid w:val="03F57550"/>
    <w:rsid w:val="0430275A"/>
    <w:rsid w:val="0449381C"/>
    <w:rsid w:val="047107B7"/>
    <w:rsid w:val="04EE4C10"/>
    <w:rsid w:val="053B5ED5"/>
    <w:rsid w:val="05A02329"/>
    <w:rsid w:val="05C15DDF"/>
    <w:rsid w:val="05C40203"/>
    <w:rsid w:val="062D53A6"/>
    <w:rsid w:val="06691F53"/>
    <w:rsid w:val="066D5959"/>
    <w:rsid w:val="06C70D2A"/>
    <w:rsid w:val="06E45A7E"/>
    <w:rsid w:val="07037865"/>
    <w:rsid w:val="073E6F3C"/>
    <w:rsid w:val="08236132"/>
    <w:rsid w:val="083B347B"/>
    <w:rsid w:val="085E7CDF"/>
    <w:rsid w:val="08614263"/>
    <w:rsid w:val="087526D9"/>
    <w:rsid w:val="087B5F6E"/>
    <w:rsid w:val="08AE6343"/>
    <w:rsid w:val="09300B06"/>
    <w:rsid w:val="094511A0"/>
    <w:rsid w:val="09630EDC"/>
    <w:rsid w:val="09C3197A"/>
    <w:rsid w:val="09C75909"/>
    <w:rsid w:val="09DB0338"/>
    <w:rsid w:val="0A0A68AF"/>
    <w:rsid w:val="0A397E8E"/>
    <w:rsid w:val="0AB063A2"/>
    <w:rsid w:val="0ABA2D7D"/>
    <w:rsid w:val="0AC81475"/>
    <w:rsid w:val="0B0F7AEF"/>
    <w:rsid w:val="0B102933"/>
    <w:rsid w:val="0B21104E"/>
    <w:rsid w:val="0B913733"/>
    <w:rsid w:val="0B9730BE"/>
    <w:rsid w:val="0BB124BD"/>
    <w:rsid w:val="0BBC2E0F"/>
    <w:rsid w:val="0C233289"/>
    <w:rsid w:val="0C4E7DBD"/>
    <w:rsid w:val="0CA77331"/>
    <w:rsid w:val="0CF74077"/>
    <w:rsid w:val="0D082F5C"/>
    <w:rsid w:val="0D096948"/>
    <w:rsid w:val="0D2F3D97"/>
    <w:rsid w:val="0D42138B"/>
    <w:rsid w:val="0D4E1EA3"/>
    <w:rsid w:val="0D7569B6"/>
    <w:rsid w:val="0D873F00"/>
    <w:rsid w:val="0E4D104F"/>
    <w:rsid w:val="0E6D7959"/>
    <w:rsid w:val="0E9022EA"/>
    <w:rsid w:val="0EA7186A"/>
    <w:rsid w:val="0EB43F87"/>
    <w:rsid w:val="0EDB32C2"/>
    <w:rsid w:val="0EF82781"/>
    <w:rsid w:val="0F274708"/>
    <w:rsid w:val="0F3B253B"/>
    <w:rsid w:val="0F5564ED"/>
    <w:rsid w:val="0F900551"/>
    <w:rsid w:val="0FA754FC"/>
    <w:rsid w:val="0FAD6052"/>
    <w:rsid w:val="0FF32896"/>
    <w:rsid w:val="1001144E"/>
    <w:rsid w:val="10401F77"/>
    <w:rsid w:val="10993435"/>
    <w:rsid w:val="10EF17B4"/>
    <w:rsid w:val="11036AF6"/>
    <w:rsid w:val="111A1021"/>
    <w:rsid w:val="11634D54"/>
    <w:rsid w:val="11910454"/>
    <w:rsid w:val="11FE5DEB"/>
    <w:rsid w:val="122B0854"/>
    <w:rsid w:val="126D6273"/>
    <w:rsid w:val="12C46AD7"/>
    <w:rsid w:val="13370A53"/>
    <w:rsid w:val="136775E5"/>
    <w:rsid w:val="13A7230D"/>
    <w:rsid w:val="13B363E0"/>
    <w:rsid w:val="14492156"/>
    <w:rsid w:val="14700951"/>
    <w:rsid w:val="14796BF3"/>
    <w:rsid w:val="15393438"/>
    <w:rsid w:val="156D1521"/>
    <w:rsid w:val="15915022"/>
    <w:rsid w:val="15B90678"/>
    <w:rsid w:val="15C96B44"/>
    <w:rsid w:val="160D003A"/>
    <w:rsid w:val="164107F7"/>
    <w:rsid w:val="166C0348"/>
    <w:rsid w:val="16AF05F0"/>
    <w:rsid w:val="16E85458"/>
    <w:rsid w:val="16FD3B68"/>
    <w:rsid w:val="174F484D"/>
    <w:rsid w:val="1788630F"/>
    <w:rsid w:val="178C595D"/>
    <w:rsid w:val="17FD699F"/>
    <w:rsid w:val="18025D64"/>
    <w:rsid w:val="18141FD9"/>
    <w:rsid w:val="182B350C"/>
    <w:rsid w:val="18340143"/>
    <w:rsid w:val="184B341B"/>
    <w:rsid w:val="188E61A5"/>
    <w:rsid w:val="189605A6"/>
    <w:rsid w:val="18AA4781"/>
    <w:rsid w:val="18D47700"/>
    <w:rsid w:val="19800165"/>
    <w:rsid w:val="19BA35FD"/>
    <w:rsid w:val="19D70E67"/>
    <w:rsid w:val="19E83C88"/>
    <w:rsid w:val="1A5F2FF9"/>
    <w:rsid w:val="1AE06906"/>
    <w:rsid w:val="1B5C39DD"/>
    <w:rsid w:val="1B754F67"/>
    <w:rsid w:val="1B9C57BC"/>
    <w:rsid w:val="1BE348D3"/>
    <w:rsid w:val="1BF54F7B"/>
    <w:rsid w:val="1C71170A"/>
    <w:rsid w:val="1CE05081"/>
    <w:rsid w:val="1D1327C1"/>
    <w:rsid w:val="1D4034D1"/>
    <w:rsid w:val="1D6E17A5"/>
    <w:rsid w:val="1D772D50"/>
    <w:rsid w:val="1D7F2BF3"/>
    <w:rsid w:val="1D8B67FB"/>
    <w:rsid w:val="1D8D4321"/>
    <w:rsid w:val="1D9B41AC"/>
    <w:rsid w:val="1DE63A32"/>
    <w:rsid w:val="1DFE6FCD"/>
    <w:rsid w:val="1E0E1285"/>
    <w:rsid w:val="1E6E5F01"/>
    <w:rsid w:val="1E761E86"/>
    <w:rsid w:val="1E9623BB"/>
    <w:rsid w:val="1E967206"/>
    <w:rsid w:val="1EE24A39"/>
    <w:rsid w:val="1F3F164B"/>
    <w:rsid w:val="1FEC2EBC"/>
    <w:rsid w:val="20146634"/>
    <w:rsid w:val="2020147D"/>
    <w:rsid w:val="20526477"/>
    <w:rsid w:val="20AD0744"/>
    <w:rsid w:val="20EC311B"/>
    <w:rsid w:val="20F138C3"/>
    <w:rsid w:val="212A3239"/>
    <w:rsid w:val="219F18CF"/>
    <w:rsid w:val="21DC7625"/>
    <w:rsid w:val="21FC4D19"/>
    <w:rsid w:val="22310768"/>
    <w:rsid w:val="22393EA1"/>
    <w:rsid w:val="224F7DF7"/>
    <w:rsid w:val="226F2247"/>
    <w:rsid w:val="22D46273"/>
    <w:rsid w:val="22ED32DA"/>
    <w:rsid w:val="2309444A"/>
    <w:rsid w:val="235B4D93"/>
    <w:rsid w:val="236E69A3"/>
    <w:rsid w:val="23DE3EE7"/>
    <w:rsid w:val="24116C3E"/>
    <w:rsid w:val="2417382E"/>
    <w:rsid w:val="24262DDA"/>
    <w:rsid w:val="24305BD0"/>
    <w:rsid w:val="245060A9"/>
    <w:rsid w:val="24523921"/>
    <w:rsid w:val="24D024BD"/>
    <w:rsid w:val="2504348F"/>
    <w:rsid w:val="25981AB5"/>
    <w:rsid w:val="26263565"/>
    <w:rsid w:val="26890FC2"/>
    <w:rsid w:val="26C451F2"/>
    <w:rsid w:val="27772DC6"/>
    <w:rsid w:val="279E2997"/>
    <w:rsid w:val="27D97FAC"/>
    <w:rsid w:val="28081174"/>
    <w:rsid w:val="28101D1E"/>
    <w:rsid w:val="28244B6B"/>
    <w:rsid w:val="282A31F1"/>
    <w:rsid w:val="288051AE"/>
    <w:rsid w:val="28EA3076"/>
    <w:rsid w:val="28F11C08"/>
    <w:rsid w:val="290F78EF"/>
    <w:rsid w:val="2976210D"/>
    <w:rsid w:val="299A214E"/>
    <w:rsid w:val="29D14827"/>
    <w:rsid w:val="29F224B1"/>
    <w:rsid w:val="2A043D7C"/>
    <w:rsid w:val="2A353007"/>
    <w:rsid w:val="2A850E52"/>
    <w:rsid w:val="2AA809EC"/>
    <w:rsid w:val="2AE82B97"/>
    <w:rsid w:val="2B4F09D4"/>
    <w:rsid w:val="2BF51A0F"/>
    <w:rsid w:val="2C1520B2"/>
    <w:rsid w:val="2C1A12E1"/>
    <w:rsid w:val="2C212804"/>
    <w:rsid w:val="2C530A3B"/>
    <w:rsid w:val="2C5310A4"/>
    <w:rsid w:val="2C7C5C8D"/>
    <w:rsid w:val="2C864344"/>
    <w:rsid w:val="2C8E59C0"/>
    <w:rsid w:val="2C9209A5"/>
    <w:rsid w:val="2CC85811"/>
    <w:rsid w:val="2CD94E8D"/>
    <w:rsid w:val="2CDC0FA6"/>
    <w:rsid w:val="2CF41CC7"/>
    <w:rsid w:val="2D564730"/>
    <w:rsid w:val="2D593DF3"/>
    <w:rsid w:val="2E6A5979"/>
    <w:rsid w:val="2E880E77"/>
    <w:rsid w:val="2EBD2EC5"/>
    <w:rsid w:val="2FBD5011"/>
    <w:rsid w:val="2FBE2156"/>
    <w:rsid w:val="2FD9510C"/>
    <w:rsid w:val="30002E29"/>
    <w:rsid w:val="30CB4729"/>
    <w:rsid w:val="318F411A"/>
    <w:rsid w:val="31FB190E"/>
    <w:rsid w:val="32886F74"/>
    <w:rsid w:val="32BC4E50"/>
    <w:rsid w:val="33174346"/>
    <w:rsid w:val="3321133C"/>
    <w:rsid w:val="33391BEB"/>
    <w:rsid w:val="334B6695"/>
    <w:rsid w:val="336D4581"/>
    <w:rsid w:val="33A33545"/>
    <w:rsid w:val="33A8545F"/>
    <w:rsid w:val="33F47CCB"/>
    <w:rsid w:val="34240C03"/>
    <w:rsid w:val="34480B4A"/>
    <w:rsid w:val="34762022"/>
    <w:rsid w:val="347E0244"/>
    <w:rsid w:val="34AF2298"/>
    <w:rsid w:val="350117F6"/>
    <w:rsid w:val="355E1C54"/>
    <w:rsid w:val="35DB62A8"/>
    <w:rsid w:val="368F28AB"/>
    <w:rsid w:val="36FF4675"/>
    <w:rsid w:val="37AD65A0"/>
    <w:rsid w:val="37D56B99"/>
    <w:rsid w:val="37F05781"/>
    <w:rsid w:val="37FB7C68"/>
    <w:rsid w:val="38184717"/>
    <w:rsid w:val="38303DCF"/>
    <w:rsid w:val="38415FDC"/>
    <w:rsid w:val="38674496"/>
    <w:rsid w:val="388353C4"/>
    <w:rsid w:val="389C6EEF"/>
    <w:rsid w:val="38BE13DB"/>
    <w:rsid w:val="38E47094"/>
    <w:rsid w:val="39162FC5"/>
    <w:rsid w:val="394D348F"/>
    <w:rsid w:val="39935037"/>
    <w:rsid w:val="39A551A2"/>
    <w:rsid w:val="3A013124"/>
    <w:rsid w:val="3A3F2C68"/>
    <w:rsid w:val="3A5307BE"/>
    <w:rsid w:val="3A7A5374"/>
    <w:rsid w:val="3B1F2605"/>
    <w:rsid w:val="3B9C66E6"/>
    <w:rsid w:val="3C0E0A94"/>
    <w:rsid w:val="3C0F6516"/>
    <w:rsid w:val="3C477FA0"/>
    <w:rsid w:val="3C917532"/>
    <w:rsid w:val="3CA803D8"/>
    <w:rsid w:val="3CFD6EE4"/>
    <w:rsid w:val="3D697A4C"/>
    <w:rsid w:val="3D9904B2"/>
    <w:rsid w:val="3DA82DB4"/>
    <w:rsid w:val="3DAA1B3A"/>
    <w:rsid w:val="3DE033C1"/>
    <w:rsid w:val="3E4203B8"/>
    <w:rsid w:val="3E444CAE"/>
    <w:rsid w:val="3E54402B"/>
    <w:rsid w:val="3E86299B"/>
    <w:rsid w:val="3E886713"/>
    <w:rsid w:val="3EF10E76"/>
    <w:rsid w:val="3FD11023"/>
    <w:rsid w:val="3FE060DB"/>
    <w:rsid w:val="3FF539E8"/>
    <w:rsid w:val="3FF81676"/>
    <w:rsid w:val="403F4FF6"/>
    <w:rsid w:val="404F6147"/>
    <w:rsid w:val="40632F94"/>
    <w:rsid w:val="406E28FB"/>
    <w:rsid w:val="40C8729B"/>
    <w:rsid w:val="40CE4185"/>
    <w:rsid w:val="41083B3B"/>
    <w:rsid w:val="41265D6F"/>
    <w:rsid w:val="41382CD2"/>
    <w:rsid w:val="41446E23"/>
    <w:rsid w:val="41455822"/>
    <w:rsid w:val="41542BF7"/>
    <w:rsid w:val="41826369"/>
    <w:rsid w:val="422306E8"/>
    <w:rsid w:val="429733C9"/>
    <w:rsid w:val="42983232"/>
    <w:rsid w:val="42C83C33"/>
    <w:rsid w:val="4300292E"/>
    <w:rsid w:val="43023801"/>
    <w:rsid w:val="43384C18"/>
    <w:rsid w:val="43C5363E"/>
    <w:rsid w:val="43F6411F"/>
    <w:rsid w:val="44411D91"/>
    <w:rsid w:val="44B74197"/>
    <w:rsid w:val="44BA6EB9"/>
    <w:rsid w:val="451C67E4"/>
    <w:rsid w:val="451C7BB5"/>
    <w:rsid w:val="453E57AF"/>
    <w:rsid w:val="45441531"/>
    <w:rsid w:val="455A248C"/>
    <w:rsid w:val="45E06E35"/>
    <w:rsid w:val="45F61354"/>
    <w:rsid w:val="46D467C4"/>
    <w:rsid w:val="476F277A"/>
    <w:rsid w:val="47827E53"/>
    <w:rsid w:val="479F3007"/>
    <w:rsid w:val="48147269"/>
    <w:rsid w:val="482360E6"/>
    <w:rsid w:val="48335942"/>
    <w:rsid w:val="48A159BF"/>
    <w:rsid w:val="48F25A48"/>
    <w:rsid w:val="492210AD"/>
    <w:rsid w:val="496322F6"/>
    <w:rsid w:val="497E2BEC"/>
    <w:rsid w:val="49935F6C"/>
    <w:rsid w:val="49BE123B"/>
    <w:rsid w:val="49D7054F"/>
    <w:rsid w:val="49E86A9E"/>
    <w:rsid w:val="4A8E3303"/>
    <w:rsid w:val="4AB30C91"/>
    <w:rsid w:val="4B267AD8"/>
    <w:rsid w:val="4B2C6678"/>
    <w:rsid w:val="4B5560B5"/>
    <w:rsid w:val="4B573A2A"/>
    <w:rsid w:val="4B5771CC"/>
    <w:rsid w:val="4B6068B8"/>
    <w:rsid w:val="4C157F44"/>
    <w:rsid w:val="4C503C62"/>
    <w:rsid w:val="4C5C4830"/>
    <w:rsid w:val="4C6B3ECB"/>
    <w:rsid w:val="4D137AF0"/>
    <w:rsid w:val="4E6A7BE3"/>
    <w:rsid w:val="4E9764FE"/>
    <w:rsid w:val="4EAD157E"/>
    <w:rsid w:val="4ED23851"/>
    <w:rsid w:val="4EEA5B05"/>
    <w:rsid w:val="507D77C9"/>
    <w:rsid w:val="50A15412"/>
    <w:rsid w:val="50CB6E8F"/>
    <w:rsid w:val="50CE26AB"/>
    <w:rsid w:val="50D13F4A"/>
    <w:rsid w:val="512C201F"/>
    <w:rsid w:val="5160707C"/>
    <w:rsid w:val="51980486"/>
    <w:rsid w:val="51B82A14"/>
    <w:rsid w:val="51C55131"/>
    <w:rsid w:val="51CC1440"/>
    <w:rsid w:val="521F5647"/>
    <w:rsid w:val="522C275E"/>
    <w:rsid w:val="524A4696"/>
    <w:rsid w:val="5253261E"/>
    <w:rsid w:val="525C7843"/>
    <w:rsid w:val="52911BE2"/>
    <w:rsid w:val="534E1882"/>
    <w:rsid w:val="539815F9"/>
    <w:rsid w:val="53A616BE"/>
    <w:rsid w:val="53D64F3E"/>
    <w:rsid w:val="547E562E"/>
    <w:rsid w:val="54964F68"/>
    <w:rsid w:val="554716F7"/>
    <w:rsid w:val="5563538C"/>
    <w:rsid w:val="55F06C20"/>
    <w:rsid w:val="56095E1D"/>
    <w:rsid w:val="56120D8F"/>
    <w:rsid w:val="569346D0"/>
    <w:rsid w:val="56A30136"/>
    <w:rsid w:val="56AF6ADB"/>
    <w:rsid w:val="56B45E9F"/>
    <w:rsid w:val="56B85264"/>
    <w:rsid w:val="56D51C18"/>
    <w:rsid w:val="572000DB"/>
    <w:rsid w:val="576C7E13"/>
    <w:rsid w:val="57776ECD"/>
    <w:rsid w:val="57A255B7"/>
    <w:rsid w:val="581F37ED"/>
    <w:rsid w:val="58A62893"/>
    <w:rsid w:val="58D20C25"/>
    <w:rsid w:val="58EB7C76"/>
    <w:rsid w:val="59547D64"/>
    <w:rsid w:val="597647B1"/>
    <w:rsid w:val="59926803"/>
    <w:rsid w:val="59C265B8"/>
    <w:rsid w:val="59CB3F35"/>
    <w:rsid w:val="5A802C08"/>
    <w:rsid w:val="5A8F2964"/>
    <w:rsid w:val="5AA55DD2"/>
    <w:rsid w:val="5B417F1E"/>
    <w:rsid w:val="5B6D2AC1"/>
    <w:rsid w:val="5BBF2BB4"/>
    <w:rsid w:val="5BE014E5"/>
    <w:rsid w:val="5BE57C3E"/>
    <w:rsid w:val="5C0E1115"/>
    <w:rsid w:val="5C734107"/>
    <w:rsid w:val="5CBC5AAE"/>
    <w:rsid w:val="5CD03F86"/>
    <w:rsid w:val="5D0354EB"/>
    <w:rsid w:val="5D041203"/>
    <w:rsid w:val="5D0E70DE"/>
    <w:rsid w:val="5D2E6FEF"/>
    <w:rsid w:val="5D6D694B"/>
    <w:rsid w:val="5DE74DAC"/>
    <w:rsid w:val="5E311DF6"/>
    <w:rsid w:val="5E901233"/>
    <w:rsid w:val="5ECA1FD8"/>
    <w:rsid w:val="5ED13367"/>
    <w:rsid w:val="5EF03290"/>
    <w:rsid w:val="5EFF6126"/>
    <w:rsid w:val="5F074FDA"/>
    <w:rsid w:val="5F1119B5"/>
    <w:rsid w:val="5F48707B"/>
    <w:rsid w:val="5F616DDA"/>
    <w:rsid w:val="5F72704C"/>
    <w:rsid w:val="5FB011CE"/>
    <w:rsid w:val="5FE77383"/>
    <w:rsid w:val="604701A3"/>
    <w:rsid w:val="605129B1"/>
    <w:rsid w:val="60591866"/>
    <w:rsid w:val="606049A2"/>
    <w:rsid w:val="60652484"/>
    <w:rsid w:val="606E3563"/>
    <w:rsid w:val="60A206C0"/>
    <w:rsid w:val="60B5389D"/>
    <w:rsid w:val="60C811BD"/>
    <w:rsid w:val="60E24E81"/>
    <w:rsid w:val="60E3123E"/>
    <w:rsid w:val="611A3963"/>
    <w:rsid w:val="61241E74"/>
    <w:rsid w:val="61490551"/>
    <w:rsid w:val="6200521E"/>
    <w:rsid w:val="62091C34"/>
    <w:rsid w:val="622838DF"/>
    <w:rsid w:val="622D2FAA"/>
    <w:rsid w:val="62432C56"/>
    <w:rsid w:val="62B1578C"/>
    <w:rsid w:val="62C236F2"/>
    <w:rsid w:val="630E06E5"/>
    <w:rsid w:val="633B5F5A"/>
    <w:rsid w:val="637649BB"/>
    <w:rsid w:val="638379D3"/>
    <w:rsid w:val="63B05C41"/>
    <w:rsid w:val="63B119F7"/>
    <w:rsid w:val="63D820CD"/>
    <w:rsid w:val="643A3D64"/>
    <w:rsid w:val="644C3BBB"/>
    <w:rsid w:val="64B82FFF"/>
    <w:rsid w:val="650E5F23"/>
    <w:rsid w:val="653A4DD6"/>
    <w:rsid w:val="65C545E4"/>
    <w:rsid w:val="664D3C1B"/>
    <w:rsid w:val="665E2C03"/>
    <w:rsid w:val="66BB1946"/>
    <w:rsid w:val="66BE3096"/>
    <w:rsid w:val="6737580D"/>
    <w:rsid w:val="6741178F"/>
    <w:rsid w:val="67513297"/>
    <w:rsid w:val="67A45ABC"/>
    <w:rsid w:val="67BA52E0"/>
    <w:rsid w:val="68572B2F"/>
    <w:rsid w:val="68DE7374"/>
    <w:rsid w:val="68EA1639"/>
    <w:rsid w:val="693115D2"/>
    <w:rsid w:val="6942558D"/>
    <w:rsid w:val="69E421A0"/>
    <w:rsid w:val="6A702CCD"/>
    <w:rsid w:val="6ACB15B2"/>
    <w:rsid w:val="6B6D0AD4"/>
    <w:rsid w:val="6BAA102D"/>
    <w:rsid w:val="6BFD39ED"/>
    <w:rsid w:val="6C1D6F2B"/>
    <w:rsid w:val="6C332DE8"/>
    <w:rsid w:val="6C4559DE"/>
    <w:rsid w:val="6C4B0513"/>
    <w:rsid w:val="6C72227A"/>
    <w:rsid w:val="6CAC45B3"/>
    <w:rsid w:val="6CAC5D33"/>
    <w:rsid w:val="6D441332"/>
    <w:rsid w:val="6D5533B5"/>
    <w:rsid w:val="6DDA57A8"/>
    <w:rsid w:val="6E3851B0"/>
    <w:rsid w:val="6E972360"/>
    <w:rsid w:val="6EEB623D"/>
    <w:rsid w:val="6EF727C3"/>
    <w:rsid w:val="6F21584E"/>
    <w:rsid w:val="6F2652F2"/>
    <w:rsid w:val="6F5E0C47"/>
    <w:rsid w:val="6FB72250"/>
    <w:rsid w:val="6FB73958"/>
    <w:rsid w:val="6FEC2144"/>
    <w:rsid w:val="700C3CDF"/>
    <w:rsid w:val="701557A9"/>
    <w:rsid w:val="704B4AC8"/>
    <w:rsid w:val="70BF320B"/>
    <w:rsid w:val="7121017E"/>
    <w:rsid w:val="715B3540"/>
    <w:rsid w:val="71810C1C"/>
    <w:rsid w:val="718F3339"/>
    <w:rsid w:val="71F73492"/>
    <w:rsid w:val="721538B8"/>
    <w:rsid w:val="72254CAF"/>
    <w:rsid w:val="72817F64"/>
    <w:rsid w:val="72972F57"/>
    <w:rsid w:val="729F171C"/>
    <w:rsid w:val="72BB0F00"/>
    <w:rsid w:val="72CA55A7"/>
    <w:rsid w:val="72FA159E"/>
    <w:rsid w:val="730447D1"/>
    <w:rsid w:val="737C5B3F"/>
    <w:rsid w:val="73E204CD"/>
    <w:rsid w:val="74281823"/>
    <w:rsid w:val="743074D6"/>
    <w:rsid w:val="749B0247"/>
    <w:rsid w:val="74AA048A"/>
    <w:rsid w:val="74CF795A"/>
    <w:rsid w:val="74E9381A"/>
    <w:rsid w:val="74EE2111"/>
    <w:rsid w:val="750C49FB"/>
    <w:rsid w:val="756E2AF9"/>
    <w:rsid w:val="768A40CF"/>
    <w:rsid w:val="769C5AF2"/>
    <w:rsid w:val="76E6521D"/>
    <w:rsid w:val="76EF02B4"/>
    <w:rsid w:val="773363F4"/>
    <w:rsid w:val="775E7EDD"/>
    <w:rsid w:val="778922AD"/>
    <w:rsid w:val="77B75398"/>
    <w:rsid w:val="77CB2E7D"/>
    <w:rsid w:val="78592EB5"/>
    <w:rsid w:val="78745037"/>
    <w:rsid w:val="78782D79"/>
    <w:rsid w:val="788F4CD8"/>
    <w:rsid w:val="78B418D7"/>
    <w:rsid w:val="790F0AA9"/>
    <w:rsid w:val="792132A4"/>
    <w:rsid w:val="7951412E"/>
    <w:rsid w:val="796565C2"/>
    <w:rsid w:val="797A20BA"/>
    <w:rsid w:val="797C0A1E"/>
    <w:rsid w:val="79A32037"/>
    <w:rsid w:val="79E30A34"/>
    <w:rsid w:val="7A3A405E"/>
    <w:rsid w:val="7A3F3A2F"/>
    <w:rsid w:val="7A550667"/>
    <w:rsid w:val="7A9760A5"/>
    <w:rsid w:val="7A9E2E9A"/>
    <w:rsid w:val="7AE510A1"/>
    <w:rsid w:val="7AF4245F"/>
    <w:rsid w:val="7B1D7C08"/>
    <w:rsid w:val="7B2F5245"/>
    <w:rsid w:val="7BEA5EEF"/>
    <w:rsid w:val="7BFA3AA5"/>
    <w:rsid w:val="7CAF2AE1"/>
    <w:rsid w:val="7CE7255D"/>
    <w:rsid w:val="7CF47890"/>
    <w:rsid w:val="7DA43CC8"/>
    <w:rsid w:val="7DB73FDB"/>
    <w:rsid w:val="7DBA7990"/>
    <w:rsid w:val="7DF439AA"/>
    <w:rsid w:val="7E132871"/>
    <w:rsid w:val="7E991353"/>
    <w:rsid w:val="7EC95773"/>
    <w:rsid w:val="7EEA7646"/>
    <w:rsid w:val="7F363046"/>
    <w:rsid w:val="7F64148E"/>
    <w:rsid w:val="FFFF2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8"/>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94"/>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9"/>
    <w:qFormat/>
    <w:uiPriority w:val="0"/>
    <w:pPr>
      <w:spacing w:line="360" w:lineRule="auto"/>
      <w:outlineLvl w:val="3"/>
    </w:pPr>
    <w:rPr>
      <w:rFonts w:ascii="宋体"/>
      <w:bCs/>
      <w:szCs w:val="21"/>
    </w:rPr>
  </w:style>
  <w:style w:type="paragraph" w:styleId="6">
    <w:name w:val="heading 5"/>
    <w:basedOn w:val="1"/>
    <w:next w:val="1"/>
    <w:link w:val="40"/>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0">
    <w:name w:val="Default Paragraph Font"/>
    <w:unhideWhenUsed/>
    <w:qFormat/>
    <w:uiPriority w:val="1"/>
  </w:style>
  <w:style w:type="table" w:default="1" w:styleId="28">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link w:val="47"/>
    <w:qFormat/>
    <w:uiPriority w:val="0"/>
    <w:pPr>
      <w:spacing w:line="360" w:lineRule="auto"/>
      <w:ind w:firstLine="420" w:firstLineChars="200"/>
    </w:pPr>
  </w:style>
  <w:style w:type="paragraph" w:styleId="12">
    <w:name w:val="Body Text"/>
    <w:basedOn w:val="1"/>
    <w:qFormat/>
    <w:uiPriority w:val="0"/>
    <w:pPr>
      <w:spacing w:after="120"/>
    </w:pPr>
  </w:style>
  <w:style w:type="paragraph" w:styleId="13">
    <w:name w:val="Document Map"/>
    <w:basedOn w:val="1"/>
    <w:semiHidden/>
    <w:qFormat/>
    <w:uiPriority w:val="0"/>
    <w:pPr>
      <w:shd w:val="clear" w:color="auto" w:fill="000080"/>
    </w:pPr>
  </w:style>
  <w:style w:type="paragraph" w:styleId="14">
    <w:name w:val="annotation text"/>
    <w:basedOn w:val="1"/>
    <w:semiHidden/>
    <w:qFormat/>
    <w:uiPriority w:val="0"/>
    <w:pPr>
      <w:jc w:val="left"/>
    </w:pPr>
  </w:style>
  <w:style w:type="paragraph" w:styleId="15">
    <w:name w:val="toc 3"/>
    <w:basedOn w:val="1"/>
    <w:next w:val="1"/>
    <w:semiHidden/>
    <w:qFormat/>
    <w:uiPriority w:val="0"/>
    <w:pPr>
      <w:tabs>
        <w:tab w:val="left" w:pos="1620"/>
        <w:tab w:val="right" w:leader="dot" w:pos="8296"/>
      </w:tabs>
    </w:pPr>
  </w:style>
  <w:style w:type="paragraph" w:styleId="16">
    <w:name w:val="Plain Text"/>
    <w:basedOn w:val="1"/>
    <w:link w:val="80"/>
    <w:qFormat/>
    <w:uiPriority w:val="0"/>
    <w:rPr>
      <w:rFonts w:ascii="宋体" w:hAnsi="Courier New"/>
    </w:r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52"/>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Body Text 2"/>
    <w:basedOn w:val="1"/>
    <w:qFormat/>
    <w:uiPriority w:val="0"/>
    <w:pPr>
      <w:spacing w:after="120" w:afterLines="0" w:afterAutospacing="0" w:line="480" w:lineRule="auto"/>
    </w:pPr>
    <w:rPr>
      <w:kern w:val="0"/>
      <w:sz w:val="20"/>
    </w:rPr>
  </w:style>
  <w:style w:type="paragraph" w:styleId="25">
    <w:name w:val="Normal (Web)"/>
    <w:basedOn w:val="1"/>
    <w:qFormat/>
    <w:uiPriority w:val="0"/>
    <w:rPr>
      <w:sz w:val="24"/>
    </w:rPr>
  </w:style>
  <w:style w:type="paragraph" w:styleId="26">
    <w:name w:val="Title"/>
    <w:basedOn w:val="1"/>
    <w:next w:val="1"/>
    <w:qFormat/>
    <w:uiPriority w:val="0"/>
    <w:pPr>
      <w:spacing w:before="240" w:after="60"/>
      <w:jc w:val="center"/>
      <w:outlineLvl w:val="0"/>
    </w:pPr>
    <w:rPr>
      <w:rFonts w:ascii="Arial" w:hAnsi="Arial" w:cs="Arial"/>
      <w:b/>
      <w:bCs/>
      <w:sz w:val="32"/>
      <w:szCs w:val="32"/>
    </w:rPr>
  </w:style>
  <w:style w:type="paragraph" w:styleId="27">
    <w:name w:val="annotation subject"/>
    <w:basedOn w:val="14"/>
    <w:next w:val="14"/>
    <w:semiHidden/>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qFormat/>
    <w:uiPriority w:val="0"/>
  </w:style>
  <w:style w:type="character" w:styleId="33">
    <w:name w:val="FollowedHyperlink"/>
    <w:qFormat/>
    <w:uiPriority w:val="0"/>
    <w:rPr>
      <w:color w:val="800080"/>
      <w:u w:val="single"/>
    </w:rPr>
  </w:style>
  <w:style w:type="character" w:styleId="34">
    <w:name w:val="Emphasis"/>
    <w:qFormat/>
    <w:uiPriority w:val="0"/>
    <w:rPr>
      <w:color w:val="CC0000"/>
    </w:rPr>
  </w:style>
  <w:style w:type="character" w:styleId="35">
    <w:name w:val="HTML Definition"/>
    <w:semiHidden/>
    <w:qFormat/>
    <w:uiPriority w:val="0"/>
    <w:rPr>
      <w:i/>
      <w:iCs/>
    </w:rPr>
  </w:style>
  <w:style w:type="character" w:styleId="36">
    <w:name w:val="Hyperlink"/>
    <w:qFormat/>
    <w:uiPriority w:val="99"/>
    <w:rPr>
      <w:color w:val="0000FF"/>
      <w:u w:val="single"/>
    </w:rPr>
  </w:style>
  <w:style w:type="character" w:styleId="37">
    <w:name w:val="annotation reference"/>
    <w:semiHidden/>
    <w:qFormat/>
    <w:uiPriority w:val="0"/>
    <w:rPr>
      <w:sz w:val="21"/>
      <w:szCs w:val="21"/>
    </w:rPr>
  </w:style>
  <w:style w:type="character" w:customStyle="1" w:styleId="38">
    <w:name w:val="标题 1 Char"/>
    <w:link w:val="2"/>
    <w:qFormat/>
    <w:uiPriority w:val="0"/>
    <w:rPr>
      <w:rFonts w:ascii="宋体"/>
      <w:b/>
      <w:bCs/>
      <w:kern w:val="44"/>
      <w:sz w:val="21"/>
      <w:szCs w:val="21"/>
    </w:rPr>
  </w:style>
  <w:style w:type="character" w:customStyle="1" w:styleId="39">
    <w:name w:val="标题 4 Char"/>
    <w:link w:val="5"/>
    <w:qFormat/>
    <w:uiPriority w:val="0"/>
    <w:rPr>
      <w:rFonts w:ascii="宋体" w:eastAsia="宋体"/>
      <w:bCs/>
      <w:kern w:val="2"/>
      <w:sz w:val="21"/>
      <w:szCs w:val="21"/>
      <w:lang w:val="en-US" w:eastAsia="zh-CN" w:bidi="ar-SA"/>
    </w:rPr>
  </w:style>
  <w:style w:type="character" w:customStyle="1" w:styleId="40">
    <w:name w:val="标题 5 Char"/>
    <w:link w:val="6"/>
    <w:qFormat/>
    <w:uiPriority w:val="0"/>
    <w:rPr>
      <w:rFonts w:cs="宋体"/>
      <w:bCs/>
      <w:sz w:val="21"/>
      <w:szCs w:val="21"/>
    </w:rPr>
  </w:style>
  <w:style w:type="character" w:customStyle="1" w:styleId="41">
    <w:name w:val="首行缩进 Char"/>
    <w:link w:val="42"/>
    <w:qFormat/>
    <w:uiPriority w:val="0"/>
    <w:rPr>
      <w:rFonts w:eastAsia="方正书宋简体" w:cs="宋体"/>
      <w:kern w:val="2"/>
      <w:sz w:val="21"/>
      <w:lang w:val="en-US" w:eastAsia="zh-CN" w:bidi="ar-SA"/>
    </w:rPr>
  </w:style>
  <w:style w:type="paragraph" w:customStyle="1" w:styleId="42">
    <w:name w:val="首行缩进"/>
    <w:basedOn w:val="1"/>
    <w:link w:val="41"/>
    <w:qFormat/>
    <w:uiPriority w:val="0"/>
    <w:pPr>
      <w:spacing w:line="300" w:lineRule="auto"/>
      <w:ind w:firstLine="420" w:firstLineChars="200"/>
    </w:pPr>
    <w:rPr>
      <w:rFonts w:eastAsia="方正书宋简体" w:cs="宋体"/>
      <w:szCs w:val="20"/>
    </w:rPr>
  </w:style>
  <w:style w:type="character" w:customStyle="1" w:styleId="43">
    <w:name w:val="表内居中小五 Char"/>
    <w:link w:val="44"/>
    <w:qFormat/>
    <w:uiPriority w:val="0"/>
    <w:rPr>
      <w:rFonts w:eastAsia="宋体" w:cs="宋体"/>
      <w:kern w:val="2"/>
      <w:sz w:val="18"/>
      <w:szCs w:val="18"/>
      <w:lang w:val="en-US" w:eastAsia="zh-CN" w:bidi="ar-SA"/>
    </w:rPr>
  </w:style>
  <w:style w:type="paragraph" w:customStyle="1" w:styleId="44">
    <w:name w:val="表内居中小五"/>
    <w:basedOn w:val="1"/>
    <w:link w:val="43"/>
    <w:qFormat/>
    <w:uiPriority w:val="0"/>
    <w:pPr>
      <w:jc w:val="center"/>
    </w:pPr>
    <w:rPr>
      <w:rFonts w:cs="宋体"/>
      <w:sz w:val="18"/>
      <w:szCs w:val="18"/>
    </w:rPr>
  </w:style>
  <w:style w:type="character" w:customStyle="1" w:styleId="45">
    <w:name w:val="表内居两端对齐 Char"/>
    <w:basedOn w:val="43"/>
    <w:link w:val="46"/>
    <w:qFormat/>
    <w:uiPriority w:val="0"/>
    <w:rPr>
      <w:rFonts w:eastAsia="宋体" w:cs="宋体"/>
      <w:kern w:val="2"/>
      <w:sz w:val="18"/>
      <w:szCs w:val="18"/>
      <w:lang w:val="en-US" w:eastAsia="zh-CN" w:bidi="ar-SA"/>
    </w:rPr>
  </w:style>
  <w:style w:type="paragraph" w:customStyle="1" w:styleId="46">
    <w:name w:val="表内居两端对齐"/>
    <w:basedOn w:val="44"/>
    <w:link w:val="45"/>
    <w:qFormat/>
    <w:uiPriority w:val="0"/>
    <w:pPr>
      <w:jc w:val="both"/>
    </w:pPr>
  </w:style>
  <w:style w:type="character" w:customStyle="1" w:styleId="47">
    <w:name w:val="正文缩进 Char"/>
    <w:link w:val="11"/>
    <w:qFormat/>
    <w:uiPriority w:val="0"/>
    <w:rPr>
      <w:rFonts w:eastAsia="宋体"/>
      <w:kern w:val="2"/>
      <w:sz w:val="21"/>
      <w:szCs w:val="24"/>
      <w:lang w:val="en-US" w:eastAsia="zh-CN" w:bidi="ar-SA"/>
    </w:rPr>
  </w:style>
  <w:style w:type="paragraph" w:customStyle="1" w:styleId="48">
    <w:name w:val="样式 标题 3 + 宋体"/>
    <w:basedOn w:val="4"/>
    <w:link w:val="49"/>
    <w:qFormat/>
    <w:uiPriority w:val="0"/>
    <w:rPr>
      <w:rFonts w:hAnsi="宋体"/>
      <w:bCs w:val="0"/>
    </w:rPr>
  </w:style>
  <w:style w:type="character" w:customStyle="1" w:styleId="49">
    <w:name w:val="样式 标题 3 + 宋体 Char"/>
    <w:link w:val="48"/>
    <w:qFormat/>
    <w:uiPriority w:val="0"/>
    <w:rPr>
      <w:rFonts w:ascii="宋体" w:hAnsi="宋体"/>
      <w:kern w:val="2"/>
      <w:sz w:val="21"/>
      <w:szCs w:val="21"/>
    </w:rPr>
  </w:style>
  <w:style w:type="paragraph" w:customStyle="1" w:styleId="50">
    <w:name w:val="样式 标题 4 + (符号) 宋体"/>
    <w:basedOn w:val="5"/>
    <w:link w:val="51"/>
    <w:qFormat/>
    <w:uiPriority w:val="0"/>
    <w:pPr>
      <w:adjustRightInd w:val="0"/>
      <w:snapToGrid w:val="0"/>
    </w:pPr>
    <w:rPr>
      <w:bCs w:val="0"/>
    </w:rPr>
  </w:style>
  <w:style w:type="character" w:customStyle="1" w:styleId="51">
    <w:name w:val="样式 标题 4 + (符号) 宋体 Char"/>
    <w:basedOn w:val="39"/>
    <w:link w:val="50"/>
    <w:qFormat/>
    <w:uiPriority w:val="0"/>
    <w:rPr>
      <w:rFonts w:ascii="宋体" w:eastAsia="宋体"/>
      <w:kern w:val="2"/>
      <w:sz w:val="21"/>
      <w:szCs w:val="21"/>
      <w:lang w:val="en-US" w:eastAsia="zh-CN" w:bidi="ar-SA"/>
    </w:rPr>
  </w:style>
  <w:style w:type="character" w:customStyle="1" w:styleId="52">
    <w:name w:val="页脚 Char"/>
    <w:link w:val="19"/>
    <w:qFormat/>
    <w:uiPriority w:val="0"/>
    <w:rPr>
      <w:rFonts w:eastAsia="宋体"/>
      <w:kern w:val="2"/>
      <w:sz w:val="18"/>
      <w:szCs w:val="18"/>
      <w:lang w:val="en-US" w:eastAsia="zh-CN" w:bidi="ar-SA"/>
    </w:rPr>
  </w:style>
  <w:style w:type="paragraph" w:customStyle="1" w:styleId="53">
    <w:name w:val="前言首行"/>
    <w:basedOn w:val="1"/>
    <w:qFormat/>
    <w:uiPriority w:val="0"/>
    <w:pPr>
      <w:spacing w:after="120"/>
      <w:jc w:val="center"/>
    </w:pPr>
    <w:rPr>
      <w:rFonts w:eastAsia="黑体" w:cs="宋体"/>
      <w:b/>
      <w:bCs/>
      <w:sz w:val="32"/>
      <w:szCs w:val="20"/>
    </w:rPr>
  </w:style>
  <w:style w:type="paragraph" w:customStyle="1" w:styleId="54">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6">
    <w:name w:val="样式1"/>
    <w:basedOn w:val="5"/>
    <w:qFormat/>
    <w:uiPriority w:val="0"/>
    <w:pPr>
      <w:numPr>
        <w:ilvl w:val="3"/>
        <w:numId w:val="1"/>
      </w:numPr>
      <w:tabs>
        <w:tab w:val="left" w:pos="360"/>
      </w:tabs>
    </w:pPr>
    <w:rPr>
      <w:rFonts w:hAnsi="宋体"/>
      <w:bCs w:val="0"/>
    </w:rPr>
  </w:style>
  <w:style w:type="paragraph" w:customStyle="1" w:styleId="57">
    <w:name w:val="样式 标题 5 + 右侧:  1 字符"/>
    <w:basedOn w:val="6"/>
    <w:qFormat/>
    <w:uiPriority w:val="0"/>
    <w:pPr>
      <w:ind w:right="210"/>
    </w:pPr>
    <w:rPr>
      <w:bCs w:val="0"/>
      <w:szCs w:val="20"/>
    </w:rPr>
  </w:style>
  <w:style w:type="paragraph" w:customStyle="1" w:styleId="58">
    <w:name w:val="Char"/>
    <w:basedOn w:val="1"/>
    <w:qFormat/>
    <w:uiPriority w:val="0"/>
    <w:pPr>
      <w:spacing w:line="360" w:lineRule="auto"/>
    </w:pPr>
    <w:rPr>
      <w:rFonts w:ascii="Tahoma" w:hAnsi="Tahoma"/>
      <w:sz w:val="24"/>
      <w:szCs w:val="20"/>
    </w:rPr>
  </w:style>
  <w:style w:type="paragraph" w:customStyle="1" w:styleId="59">
    <w:name w:val="Char Char Char Char Char Char Char Char Char Char Char Char"/>
    <w:basedOn w:val="1"/>
    <w:qFormat/>
    <w:uiPriority w:val="0"/>
    <w:pPr>
      <w:spacing w:line="360" w:lineRule="auto"/>
    </w:pPr>
    <w:rPr>
      <w:rFonts w:ascii="Tahoma" w:hAnsi="Tahoma"/>
      <w:sz w:val="24"/>
      <w:szCs w:val="20"/>
    </w:rPr>
  </w:style>
  <w:style w:type="paragraph" w:customStyle="1" w:styleId="60">
    <w:name w:val="章标题"/>
    <w:next w:val="54"/>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6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2">
    <w:name w:val="二级条标题"/>
    <w:basedOn w:val="1"/>
    <w:next w:val="54"/>
    <w:link w:val="63"/>
    <w:qFormat/>
    <w:uiPriority w:val="0"/>
    <w:pPr>
      <w:widowControl/>
      <w:outlineLvl w:val="3"/>
    </w:pPr>
    <w:rPr>
      <w:rFonts w:ascii="黑体" w:eastAsia="黑体"/>
      <w:kern w:val="0"/>
      <w:szCs w:val="20"/>
    </w:rPr>
  </w:style>
  <w:style w:type="character" w:customStyle="1" w:styleId="63">
    <w:name w:val="二级条标题 Char"/>
    <w:link w:val="62"/>
    <w:qFormat/>
    <w:uiPriority w:val="0"/>
    <w:rPr>
      <w:rFonts w:ascii="黑体" w:eastAsia="黑体"/>
      <w:sz w:val="21"/>
      <w:lang w:val="en-US" w:eastAsia="zh-CN" w:bidi="ar-SA"/>
    </w:rPr>
  </w:style>
  <w:style w:type="paragraph" w:customStyle="1" w:styleId="64">
    <w:name w:val="正文表标题"/>
    <w:next w:val="54"/>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65">
    <w:name w:val="一级条标题"/>
    <w:basedOn w:val="60"/>
    <w:next w:val="54"/>
    <w:link w:val="66"/>
    <w:qFormat/>
    <w:uiPriority w:val="0"/>
    <w:pPr>
      <w:spacing w:before="0" w:beforeLines="0" w:after="0" w:afterLines="0"/>
      <w:outlineLvl w:val="2"/>
    </w:pPr>
  </w:style>
  <w:style w:type="character" w:customStyle="1" w:styleId="66">
    <w:name w:val="一级条标题 Char"/>
    <w:link w:val="65"/>
    <w:qFormat/>
    <w:uiPriority w:val="0"/>
    <w:rPr>
      <w:rFonts w:ascii="黑体" w:eastAsia="黑体"/>
      <w:sz w:val="21"/>
      <w:lang w:val="en-US" w:eastAsia="zh-CN" w:bidi="ar-SA"/>
    </w:rPr>
  </w:style>
  <w:style w:type="paragraph" w:customStyle="1" w:styleId="67">
    <w:name w:val="三级条标题"/>
    <w:basedOn w:val="62"/>
    <w:next w:val="54"/>
    <w:qFormat/>
    <w:uiPriority w:val="0"/>
    <w:pPr>
      <w:numPr>
        <w:ilvl w:val="4"/>
        <w:numId w:val="4"/>
      </w:numPr>
      <w:tabs>
        <w:tab w:val="left" w:pos="360"/>
      </w:tabs>
      <w:outlineLvl w:val="4"/>
    </w:pPr>
  </w:style>
  <w:style w:type="paragraph" w:customStyle="1" w:styleId="68">
    <w:name w:val="五级条标题"/>
    <w:basedOn w:val="1"/>
    <w:next w:val="54"/>
    <w:qFormat/>
    <w:uiPriority w:val="0"/>
    <w:pPr>
      <w:widowControl/>
      <w:outlineLvl w:val="6"/>
    </w:pPr>
    <w:rPr>
      <w:rFonts w:ascii="黑体" w:eastAsia="黑体"/>
      <w:kern w:val="0"/>
      <w:szCs w:val="20"/>
    </w:rPr>
  </w:style>
  <w:style w:type="paragraph" w:customStyle="1" w:styleId="69">
    <w:name w:val="CM5"/>
    <w:basedOn w:val="55"/>
    <w:next w:val="55"/>
    <w:qFormat/>
    <w:uiPriority w:val="0"/>
    <w:pPr>
      <w:spacing w:line="471" w:lineRule="atLeast"/>
    </w:pPr>
    <w:rPr>
      <w:rFonts w:ascii="黑体" w:eastAsia="黑体" w:cs="Times New Roman"/>
      <w:color w:val="auto"/>
    </w:rPr>
  </w:style>
  <w:style w:type="paragraph" w:customStyle="1" w:styleId="70">
    <w:name w:val="CM3"/>
    <w:basedOn w:val="55"/>
    <w:next w:val="55"/>
    <w:qFormat/>
    <w:uiPriority w:val="0"/>
    <w:pPr>
      <w:spacing w:line="468" w:lineRule="atLeast"/>
    </w:pPr>
    <w:rPr>
      <w:rFonts w:ascii="黑体" w:eastAsia="黑体" w:cs="Times New Roman"/>
      <w:color w:val="auto"/>
    </w:rPr>
  </w:style>
  <w:style w:type="paragraph" w:customStyle="1" w:styleId="71">
    <w:name w:val="CM33"/>
    <w:basedOn w:val="55"/>
    <w:next w:val="55"/>
    <w:qFormat/>
    <w:uiPriority w:val="0"/>
    <w:pPr>
      <w:spacing w:after="205"/>
    </w:pPr>
    <w:rPr>
      <w:rFonts w:ascii="黑体" w:eastAsia="黑体" w:cs="Times New Roman"/>
      <w:color w:val="auto"/>
    </w:rPr>
  </w:style>
  <w:style w:type="paragraph" w:customStyle="1" w:styleId="72">
    <w:name w:val="CM9"/>
    <w:basedOn w:val="55"/>
    <w:next w:val="55"/>
    <w:qFormat/>
    <w:uiPriority w:val="0"/>
    <w:pPr>
      <w:spacing w:line="468" w:lineRule="atLeast"/>
    </w:pPr>
    <w:rPr>
      <w:rFonts w:ascii="黑体" w:eastAsia="黑体" w:cs="Times New Roman"/>
      <w:color w:val="auto"/>
    </w:rPr>
  </w:style>
  <w:style w:type="paragraph" w:customStyle="1" w:styleId="73">
    <w:name w:val="CM10"/>
    <w:basedOn w:val="55"/>
    <w:next w:val="55"/>
    <w:qFormat/>
    <w:uiPriority w:val="0"/>
    <w:pPr>
      <w:spacing w:line="468" w:lineRule="atLeast"/>
    </w:pPr>
    <w:rPr>
      <w:rFonts w:ascii="黑体" w:eastAsia="黑体" w:cs="Times New Roman"/>
      <w:color w:val="auto"/>
    </w:rPr>
  </w:style>
  <w:style w:type="paragraph" w:customStyle="1" w:styleId="74">
    <w:name w:val="CM22"/>
    <w:basedOn w:val="55"/>
    <w:next w:val="55"/>
    <w:qFormat/>
    <w:uiPriority w:val="0"/>
    <w:pPr>
      <w:spacing w:line="468" w:lineRule="atLeast"/>
    </w:pPr>
    <w:rPr>
      <w:rFonts w:ascii="黑体" w:eastAsia="黑体" w:cs="Times New Roman"/>
      <w:color w:val="auto"/>
    </w:rPr>
  </w:style>
  <w:style w:type="paragraph" w:customStyle="1" w:styleId="75">
    <w:name w:val="CM23"/>
    <w:basedOn w:val="55"/>
    <w:next w:val="55"/>
    <w:qFormat/>
    <w:uiPriority w:val="0"/>
    <w:pPr>
      <w:spacing w:line="468" w:lineRule="atLeast"/>
    </w:pPr>
    <w:rPr>
      <w:rFonts w:ascii="黑体" w:eastAsia="黑体" w:cs="Times New Roman"/>
      <w:color w:val="auto"/>
    </w:rPr>
  </w:style>
  <w:style w:type="paragraph" w:customStyle="1" w:styleId="76">
    <w:name w:val="CM17"/>
    <w:basedOn w:val="55"/>
    <w:next w:val="55"/>
    <w:qFormat/>
    <w:uiPriority w:val="0"/>
    <w:pPr>
      <w:spacing w:line="468" w:lineRule="atLeast"/>
    </w:pPr>
    <w:rPr>
      <w:rFonts w:ascii="黑体" w:eastAsia="黑体" w:cs="Times New Roman"/>
      <w:color w:val="auto"/>
    </w:rPr>
  </w:style>
  <w:style w:type="paragraph" w:customStyle="1" w:styleId="77">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78">
    <w:name w:val="前言、引言标题"/>
    <w:next w:val="1"/>
    <w:qFormat/>
    <w:uiPriority w:val="0"/>
    <w:pPr>
      <w:numPr>
        <w:ilvl w:val="0"/>
        <w:numId w:val="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四级条标题"/>
    <w:basedOn w:val="67"/>
    <w:next w:val="54"/>
    <w:qFormat/>
    <w:uiPriority w:val="0"/>
    <w:pPr>
      <w:numPr>
        <w:ilvl w:val="0"/>
        <w:numId w:val="0"/>
      </w:numPr>
      <w:outlineLvl w:val="5"/>
    </w:pPr>
  </w:style>
  <w:style w:type="character" w:customStyle="1" w:styleId="80">
    <w:name w:val="纯文本 Char"/>
    <w:link w:val="16"/>
    <w:qFormat/>
    <w:uiPriority w:val="0"/>
    <w:rPr>
      <w:rFonts w:ascii="宋体" w:hAnsi="Courier New" w:eastAsia="宋体"/>
      <w:kern w:val="2"/>
      <w:sz w:val="21"/>
      <w:szCs w:val="24"/>
      <w:lang w:val="en-US" w:eastAsia="zh-CN" w:bidi="ar-SA"/>
    </w:rPr>
  </w:style>
  <w:style w:type="paragraph" w:customStyle="1" w:styleId="81">
    <w:name w:val="标准书眉一"/>
    <w:qFormat/>
    <w:uiPriority w:val="0"/>
    <w:pPr>
      <w:jc w:val="both"/>
    </w:pPr>
    <w:rPr>
      <w:rFonts w:ascii="Times New Roman" w:hAnsi="Times New Roman" w:eastAsia="宋体" w:cs="Times New Roman"/>
      <w:lang w:val="en-US" w:eastAsia="zh-CN" w:bidi="ar-SA"/>
    </w:rPr>
  </w:style>
  <w:style w:type="paragraph" w:customStyle="1" w:styleId="82">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83">
    <w:name w:val="数字编号列项（二级）"/>
    <w:qFormat/>
    <w:uiPriority w:val="0"/>
    <w:pPr>
      <w:jc w:val="both"/>
    </w:pPr>
    <w:rPr>
      <w:rFonts w:ascii="宋体" w:hAnsi="Times New Roman" w:eastAsia="宋体" w:cs="Times New Roman"/>
      <w:sz w:val="21"/>
      <w:lang w:val="en-US" w:eastAsia="zh-CN" w:bidi="ar-SA"/>
    </w:rPr>
  </w:style>
  <w:style w:type="paragraph" w:customStyle="1" w:styleId="84">
    <w:name w:val="无标题条"/>
    <w:next w:val="54"/>
    <w:qFormat/>
    <w:uiPriority w:val="0"/>
    <w:pPr>
      <w:jc w:val="both"/>
    </w:pPr>
    <w:rPr>
      <w:rFonts w:ascii="Times New Roman" w:hAnsi="Times New Roman" w:eastAsia="宋体" w:cs="Times New Roman"/>
      <w:sz w:val="21"/>
      <w:lang w:val="en-US" w:eastAsia="zh-CN" w:bidi="ar-SA"/>
    </w:rPr>
  </w:style>
  <w:style w:type="paragraph" w:customStyle="1" w:styleId="8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6">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9">
    <w:name w:val="目次、标准名称标题"/>
    <w:basedOn w:val="78"/>
    <w:next w:val="54"/>
    <w:qFormat/>
    <w:uiPriority w:val="0"/>
    <w:pPr>
      <w:numPr>
        <w:numId w:val="0"/>
      </w:numPr>
      <w:tabs>
        <w:tab w:val="left" w:pos="1140"/>
      </w:tabs>
      <w:spacing w:line="460" w:lineRule="exact"/>
    </w:pPr>
  </w:style>
  <w:style w:type="paragraph" w:customStyle="1" w:styleId="90">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1">
    <w:name w:val="List Paragraph"/>
    <w:basedOn w:val="1"/>
    <w:qFormat/>
    <w:uiPriority w:val="34"/>
    <w:pPr>
      <w:ind w:firstLine="420" w:firstLineChars="200"/>
    </w:pPr>
  </w:style>
  <w:style w:type="paragraph" w:customStyle="1" w:styleId="92">
    <w:name w:val="标准1级标题"/>
    <w:basedOn w:val="1"/>
    <w:qFormat/>
    <w:uiPriority w:val="0"/>
    <w:pPr>
      <w:keepNext/>
      <w:keepLines/>
      <w:widowControl/>
      <w:spacing w:before="100" w:beforeLines="100" w:after="100" w:afterLines="100" w:line="416" w:lineRule="atLeast"/>
      <w:ind w:firstLine="0" w:firstLineChars="0"/>
      <w:jc w:val="left"/>
      <w:outlineLvl w:val="0"/>
    </w:pPr>
    <w:rPr>
      <w:rFonts w:ascii="Times New Roman" w:hAnsi="Times New Roman" w:eastAsia="黑体"/>
      <w:kern w:val="0"/>
      <w:szCs w:val="20"/>
    </w:rPr>
  </w:style>
  <w:style w:type="paragraph" w:customStyle="1" w:styleId="93">
    <w:name w:val="3z"/>
    <w:basedOn w:val="1"/>
    <w:qFormat/>
    <w:uiPriority w:val="0"/>
    <w:pPr>
      <w:topLinePunct/>
      <w:spacing w:line="312" w:lineRule="exact"/>
    </w:pPr>
    <w:rPr>
      <w:rFonts w:ascii="EU-F1" w:eastAsia="黑体"/>
      <w:kern w:val="0"/>
      <w:sz w:val="20"/>
    </w:rPr>
  </w:style>
  <w:style w:type="character" w:customStyle="1" w:styleId="94">
    <w:name w:val="标题 2 Char"/>
    <w:link w:val="3"/>
    <w:qFormat/>
    <w:uiPriority w:val="0"/>
    <w:rPr>
      <w:rFonts w:ascii="宋体"/>
      <w:bCs/>
      <w:szCs w:val="21"/>
    </w:rPr>
  </w:style>
  <w:style w:type="paragraph" w:customStyle="1" w:styleId="95">
    <w:name w:val="Table Contents"/>
    <w:basedOn w:val="12"/>
    <w:qFormat/>
    <w:uiPriority w:val="0"/>
  </w:style>
  <w:style w:type="table" w:customStyle="1" w:styleId="96">
    <w:name w:val="Table Normal"/>
    <w:semiHidden/>
    <w:unhideWhenUsed/>
    <w:qFormat/>
    <w:uiPriority w:val="0"/>
    <w:tblPr>
      <w:tblCellMar>
        <w:top w:w="0" w:type="dxa"/>
        <w:left w:w="0" w:type="dxa"/>
        <w:bottom w:w="0" w:type="dxa"/>
        <w:right w:w="0" w:type="dxa"/>
      </w:tblCellMar>
    </w:tblPr>
  </w:style>
  <w:style w:type="paragraph" w:customStyle="1" w:styleId="9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F76D7C-662A-45E7-94F6-1BEDFD6ED7ED}">
  <ds:schemaRefs/>
</ds:datastoreItem>
</file>

<file path=docProps/app.xml><?xml version="1.0" encoding="utf-8"?>
<Properties xmlns="http://schemas.openxmlformats.org/officeDocument/2006/extended-properties" xmlns:vt="http://schemas.openxmlformats.org/officeDocument/2006/docPropsVTypes">
  <Template>Normal.dotm</Template>
  <Company>dky</Company>
  <Pages>21</Pages>
  <Words>10468</Words>
  <Characters>11775</Characters>
  <Lines>65</Lines>
  <Paragraphs>18</Paragraphs>
  <TotalTime>0</TotalTime>
  <ScaleCrop>false</ScaleCrop>
  <LinksUpToDate>false</LinksUpToDate>
  <CharactersWithSpaces>12119</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2017-06-26T10:01:00Z</dcterms:created>
  <dc:creator>李富龙</dc:creator>
  <cp:lastModifiedBy>ehv_tgny_maochuan</cp:lastModifiedBy>
  <dcterms:modified xsi:type="dcterms:W3CDTF">2026-09-21T16:24:38Z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C1AFC22F3970433C86BD3C9F31E341BB</vt:lpwstr>
  </property>
  <property fmtid="{D5CDD505-2E9C-101B-9397-08002B2CF9AE}" pid="3" name="KSOProductBuildVer">
    <vt:lpwstr>2052-12.1.2.25882</vt:lpwstr>
  </property>
  <property fmtid="{D5CDD505-2E9C-101B-9397-08002B2CF9AE}" pid="4" name="状态">
    <vt:lpwstr>xxx</vt:lpwstr>
  </property>
  <property fmtid="{D5CDD505-2E9C-101B-9397-08002B2CF9AE}" pid="5" name="KSOTemplateDocerSaveRecord">
    <vt:lpwstr>eyJoZGlkIjoiMzc3ZjkxY2Q5ODVjMmQ3N2IzZmFlMDcxY2E4ZjVmZTAiLCJ1c2VySWQiOiIxMjExMDcxNTMwIn0=</vt:lpwstr>
  </property>
</Properties>
</file>