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011FE">
      <w:pPr>
        <w:rPr>
          <w:rFonts w:hint="eastAsia" w:ascii="黑体" w:hAnsi="黑体" w:eastAsia="黑体" w:cs="黑体"/>
          <w:color w:val="000000" w:themeColor="text1"/>
          <w:sz w:val="32"/>
          <w:szCs w:val="32"/>
          <w14:textFill>
            <w14:solidFill>
              <w14:schemeClr w14:val="tx1"/>
            </w14:solidFill>
          </w14:textFill>
        </w:rPr>
      </w:pPr>
      <w:bookmarkStart w:id="0" w:name="_Toc246216323"/>
      <w:r>
        <w:rPr>
          <w:color w:val="000000" w:themeColor="text1"/>
          <w:sz w:val="32"/>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-271780</wp:posOffset>
                </wp:positionH>
                <wp:positionV relativeFrom="paragraph">
                  <wp:posOffset>37465</wp:posOffset>
                </wp:positionV>
                <wp:extent cx="2402205" cy="405765"/>
                <wp:effectExtent l="0" t="0" r="0" b="0"/>
                <wp:wrapNone/>
                <wp:docPr id="1" name="文本框 1"/>
                <wp:cNvGraphicFramePr/>
                <a:graphic xmlns:a="http://schemas.openxmlformats.org/drawingml/2006/main">
                  <a:graphicData uri="http://schemas.microsoft.com/office/word/2010/wordprocessingShape">
                    <wps:wsp>
                      <wps:cNvSpPr txBox="1"/>
                      <wps:spPr>
                        <a:xfrm>
                          <a:off x="808355" y="758825"/>
                          <a:ext cx="2402205" cy="4057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6F072">
                            <w:pPr>
                              <w:rPr>
                                <w:rFonts w:hint="eastAsia" w:ascii="黑体" w:hAnsi="黑体" w:eastAsia="黑体" w:cs="黑体"/>
                                <w:sz w:val="32"/>
                                <w:szCs w:val="32"/>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pt;margin-top:2.95pt;height:31.95pt;width:189.15pt;z-index:251659264;mso-width-relative:page;mso-height-relative:page;" filled="f" stroked="f" coordsize="21600,21600" o:gfxdata="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h2n2qdsAAAAIAQAADwAAAAAAAAAB&#10;ACAAAAAiAAAAZHJzL2Rvd25yZXYueG1sUEsBAhQAFAAAAAgAh07iQMkSijpGAgAAcAQAAA4AAAAA&#10;AAAAAQAgAAAAKgEAAGRycy9lMm9Eb2MueG1sUEsFBgAAAAAGAAYAWQEAAOIFAAAAAA==&#10;">
                <v:fill on="f" focussize="0,0"/>
                <v:stroke on="f" weight="0.5pt"/>
                <v:imagedata o:title=""/>
                <o:lock v:ext="edit" aspectratio="f"/>
                <v:textbox>
                  <w:txbxContent>
                    <w:p w14:paraId="0BB6F072">
                      <w:pPr>
                        <w:rPr>
                          <w:rFonts w:hint="eastAsia" w:ascii="黑体" w:hAnsi="黑体" w:eastAsia="黑体" w:cs="黑体"/>
                          <w:sz w:val="32"/>
                          <w:szCs w:val="32"/>
                          <w:lang w:eastAsia="zh-CN"/>
                        </w:rPr>
                      </w:pPr>
                    </w:p>
                  </w:txbxContent>
                </v:textbox>
              </v:shape>
            </w:pict>
          </mc:Fallback>
        </mc:AlternateContent>
      </w:r>
      <w:r>
        <w:rPr>
          <w:rFonts w:hint="eastAsia" w:ascii="黑体" w:hAnsi="黑体" w:eastAsia="黑体" w:cs="黑体"/>
          <w:b w:val="0"/>
          <w:bCs w:val="0"/>
          <w:color w:val="auto"/>
          <w:sz w:val="32"/>
          <w:szCs w:val="32"/>
          <w:lang w:val="en-US" w:eastAsia="zh-CN"/>
        </w:rPr>
        <w:drawing>
          <wp:anchor distT="0" distB="0" distL="114300" distR="114300" simplePos="0" relativeHeight="251661312" behindDoc="1" locked="0" layoutInCell="1" allowOverlap="1">
            <wp:simplePos x="0" y="0"/>
            <wp:positionH relativeFrom="column">
              <wp:posOffset>-1258570</wp:posOffset>
            </wp:positionH>
            <wp:positionV relativeFrom="paragraph">
              <wp:posOffset>-896620</wp:posOffset>
            </wp:positionV>
            <wp:extent cx="7765415" cy="10979150"/>
            <wp:effectExtent l="0" t="0" r="6985" b="0"/>
            <wp:wrapNone/>
            <wp:docPr id="3"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6FC8EF0A">
      <w:pPr>
        <w:rPr>
          <w:color w:val="000000" w:themeColor="text1"/>
          <w14:textFill>
            <w14:solidFill>
              <w14:schemeClr w14:val="tx1"/>
            </w14:solidFill>
          </w14:textFill>
        </w:rPr>
      </w:pPr>
    </w:p>
    <w:p w14:paraId="454C26CC">
      <w:pPr>
        <w:jc w:val="center"/>
        <w:rPr>
          <w:rFonts w:hint="eastAsia" w:eastAsia="黑体"/>
          <w:b/>
          <w:color w:val="000000" w:themeColor="text1"/>
          <w:sz w:val="52"/>
          <w:lang w:val="en-US" w:eastAsia="zh-CN"/>
          <w14:textFill>
            <w14:solidFill>
              <w14:schemeClr w14:val="tx1"/>
            </w14:solidFill>
          </w14:textFill>
        </w:rPr>
      </w:pPr>
    </w:p>
    <w:p w14:paraId="5C007F67">
      <w:pPr>
        <w:jc w:val="center"/>
        <w:rPr>
          <w:rFonts w:hint="eastAsia" w:eastAsia="黑体"/>
          <w:b/>
          <w:color w:val="000000" w:themeColor="text1"/>
          <w:sz w:val="52"/>
          <w:lang w:val="en-US" w:eastAsia="zh-CN"/>
          <w14:textFill>
            <w14:solidFill>
              <w14:schemeClr w14:val="tx1"/>
            </w14:solidFill>
          </w14:textFill>
        </w:rPr>
      </w:pPr>
    </w:p>
    <w:p w14:paraId="38654FB6">
      <w:pPr>
        <w:jc w:val="center"/>
        <w:rPr>
          <w:rFonts w:hint="eastAsia" w:eastAsia="黑体"/>
          <w:b/>
          <w:color w:val="000000" w:themeColor="text1"/>
          <w:sz w:val="52"/>
          <w:lang w:val="en-US" w:eastAsia="zh-CN"/>
          <w14:textFill>
            <w14:solidFill>
              <w14:schemeClr w14:val="tx1"/>
            </w14:solidFill>
          </w14:textFill>
        </w:rPr>
      </w:pPr>
    </w:p>
    <w:p w14:paraId="32FD07DF">
      <w:pPr>
        <w:jc w:val="center"/>
        <w:rPr>
          <w:rFonts w:hint="eastAsia" w:eastAsia="黑体"/>
          <w:b/>
          <w:color w:val="000000" w:themeColor="text1"/>
          <w:sz w:val="52"/>
          <w:lang w:val="en-US" w:eastAsia="zh-CN"/>
          <w14:textFill>
            <w14:solidFill>
              <w14:schemeClr w14:val="tx1"/>
            </w14:solidFill>
          </w14:textFill>
        </w:rPr>
      </w:pPr>
    </w:p>
    <w:p w14:paraId="4EB2C99D">
      <w:pPr>
        <w:jc w:val="center"/>
        <w:rPr>
          <w:rFonts w:eastAsia="黑体"/>
          <w:b/>
          <w:color w:val="000000" w:themeColor="text1"/>
          <w:sz w:val="36"/>
          <w14:textFill>
            <w14:solidFill>
              <w14:schemeClr w14:val="tx1"/>
            </w14:solidFill>
          </w14:textFill>
        </w:rPr>
      </w:pPr>
      <w:r>
        <w:rPr>
          <w:rFonts w:hint="eastAsia" w:eastAsia="黑体"/>
          <w:b/>
          <w:color w:val="000000" w:themeColor="text1"/>
          <w:sz w:val="52"/>
          <w:lang w:val="en-US" w:eastAsia="zh-CN"/>
          <w14:textFill>
            <w14:solidFill>
              <w14:schemeClr w14:val="tx1"/>
            </w14:solidFill>
          </w14:textFill>
        </w:rPr>
        <w:t>广东天广能源科技发展有限公司架空地线多功能飞车2026—2028年生产代工框架采购项目</w:t>
      </w:r>
      <w:r>
        <w:rPr>
          <w:rFonts w:eastAsia="黑体"/>
          <w:b/>
          <w:color w:val="000000" w:themeColor="text1"/>
          <w:sz w:val="52"/>
          <w14:textFill>
            <w14:solidFill>
              <w14:schemeClr w14:val="tx1"/>
            </w14:solidFill>
          </w14:textFill>
        </w:rPr>
        <w:t>技术</w:t>
      </w:r>
      <w:r>
        <w:rPr>
          <w:rFonts w:hint="eastAsia" w:eastAsia="黑体"/>
          <w:b/>
          <w:color w:val="000000" w:themeColor="text1"/>
          <w:sz w:val="52"/>
          <w14:textFill>
            <w14:solidFill>
              <w14:schemeClr w14:val="tx1"/>
            </w14:solidFill>
          </w14:textFill>
        </w:rPr>
        <w:t>规范书</w:t>
      </w:r>
    </w:p>
    <w:p w14:paraId="53EA3466">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p>
    <w:p w14:paraId="1042B327">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t>批准：</w:t>
      </w:r>
    </w:p>
    <w:p w14:paraId="0B6FFC05">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t>审定：</w:t>
      </w:r>
    </w:p>
    <w:p w14:paraId="0283BA29">
      <w:pPr>
        <w:adjustRightInd w:val="0"/>
        <w:snapToGrid w:val="0"/>
        <w:spacing w:before="480" w:beforeLines="200"/>
        <w:ind w:firstLine="2873" w:firstLineChars="795"/>
        <w:rPr>
          <w:rFonts w:hint="eastAsia" w:eastAsia="黑体"/>
          <w:b/>
          <w:color w:val="000000" w:themeColor="text1"/>
          <w:sz w:val="36"/>
          <w14:textFill>
            <w14:solidFill>
              <w14:schemeClr w14:val="tx1"/>
            </w14:solidFill>
          </w14:textFill>
        </w:rPr>
      </w:pPr>
      <w:r>
        <w:rPr>
          <w:rFonts w:hint="eastAsia" w:eastAsia="黑体"/>
          <w:b/>
          <w:color w:val="000000" w:themeColor="text1"/>
          <w:sz w:val="36"/>
          <w14:textFill>
            <w14:solidFill>
              <w14:schemeClr w14:val="tx1"/>
            </w14:solidFill>
          </w14:textFill>
        </w:rPr>
        <w:t>审核：</w:t>
      </w:r>
    </w:p>
    <w:p w14:paraId="08ECB73C">
      <w:pPr>
        <w:adjustRightInd w:val="0"/>
        <w:snapToGrid w:val="0"/>
        <w:spacing w:before="480" w:beforeLines="200"/>
        <w:ind w:firstLine="2873" w:firstLineChars="795"/>
        <w:rPr>
          <w:rFonts w:eastAsia="黑体"/>
          <w:b/>
          <w:color w:val="000000" w:themeColor="text1"/>
          <w:spacing w:val="20"/>
          <w:w w:val="135"/>
          <w:sz w:val="30"/>
          <w14:textFill>
            <w14:solidFill>
              <w14:schemeClr w14:val="tx1"/>
            </w14:solidFill>
          </w14:textFill>
        </w:rPr>
      </w:pPr>
      <w:r>
        <w:rPr>
          <w:rFonts w:hint="eastAsia" w:eastAsia="黑体"/>
          <w:b/>
          <w:color w:val="000000" w:themeColor="text1"/>
          <w:sz w:val="36"/>
          <w14:textFill>
            <w14:solidFill>
              <w14:schemeClr w14:val="tx1"/>
            </w14:solidFill>
          </w14:textFill>
        </w:rPr>
        <w:t>编写：</w:t>
      </w:r>
    </w:p>
    <w:p w14:paraId="030475B5">
      <w:pPr>
        <w:spacing w:before="480" w:beforeLines="200"/>
        <w:jc w:val="center"/>
        <w:rPr>
          <w:rFonts w:eastAsia="黑体"/>
          <w:b/>
          <w:color w:val="000000" w:themeColor="text1"/>
          <w:spacing w:val="20"/>
          <w:w w:val="135"/>
          <w:sz w:val="30"/>
          <w14:textFill>
            <w14:solidFill>
              <w14:schemeClr w14:val="tx1"/>
            </w14:solidFill>
          </w14:textFill>
        </w:rPr>
      </w:pPr>
    </w:p>
    <w:p w14:paraId="3FEE8C97">
      <w:pPr>
        <w:spacing w:before="480" w:beforeLines="200"/>
        <w:jc w:val="center"/>
        <w:rPr>
          <w:rFonts w:hint="eastAsia" w:eastAsia="黑体"/>
          <w:b/>
          <w:color w:val="000000" w:themeColor="text1"/>
          <w:spacing w:val="20"/>
          <w:w w:val="135"/>
          <w:sz w:val="30"/>
          <w:lang w:eastAsia="zh-CN"/>
          <w14:textFill>
            <w14:solidFill>
              <w14:schemeClr w14:val="tx1"/>
            </w14:solidFill>
          </w14:textFill>
        </w:rPr>
      </w:pPr>
    </w:p>
    <w:p w14:paraId="2D82ED43">
      <w:pPr>
        <w:spacing w:before="480" w:beforeLines="200"/>
        <w:jc w:val="center"/>
        <w:rPr>
          <w:rFonts w:hint="eastAsia" w:eastAsia="黑体"/>
          <w:b/>
          <w:color w:val="000000" w:themeColor="text1"/>
          <w:spacing w:val="20"/>
          <w:w w:val="135"/>
          <w:sz w:val="30"/>
          <w:lang w:eastAsia="zh-CN"/>
          <w14:textFill>
            <w14:solidFill>
              <w14:schemeClr w14:val="tx1"/>
            </w14:solidFill>
          </w14:textFill>
        </w:rPr>
      </w:pPr>
      <w:r>
        <w:rPr>
          <w:rFonts w:hint="eastAsia" w:eastAsia="黑体"/>
          <w:b/>
          <w:color w:val="000000" w:themeColor="text1"/>
          <w:spacing w:val="20"/>
          <w:w w:val="135"/>
          <w:sz w:val="30"/>
          <w:lang w:eastAsia="zh-CN"/>
          <w14:textFill>
            <w14:solidFill>
              <w14:schemeClr w14:val="tx1"/>
            </w14:solidFill>
          </w14:textFill>
        </w:rPr>
        <w:t>广东天广能源科技发展有限公司</w:t>
      </w:r>
    </w:p>
    <w:p w14:paraId="686CEF88">
      <w:pPr>
        <w:spacing w:before="480" w:beforeLines="200"/>
        <w:jc w:val="center"/>
        <w:rPr>
          <w:rFonts w:eastAsia="黑体"/>
          <w:b/>
          <w:color w:val="000000" w:themeColor="text1"/>
          <w:spacing w:val="20"/>
          <w:w w:val="135"/>
          <w:sz w:val="30"/>
          <w14:textFill>
            <w14:solidFill>
              <w14:schemeClr w14:val="tx1"/>
            </w14:solidFill>
          </w14:textFill>
        </w:rPr>
      </w:pPr>
      <w:r>
        <w:rPr>
          <w:rFonts w:eastAsia="黑体"/>
          <w:b/>
          <w:color w:val="000000" w:themeColor="text1"/>
          <w:spacing w:val="20"/>
          <w:w w:val="135"/>
          <w:sz w:val="30"/>
          <w14:textFill>
            <w14:solidFill>
              <w14:schemeClr w14:val="tx1"/>
            </w14:solidFill>
          </w14:textFill>
        </w:rPr>
        <w:t>20</w:t>
      </w:r>
      <w:r>
        <w:rPr>
          <w:rFonts w:hint="eastAsia" w:eastAsia="黑体"/>
          <w:b/>
          <w:color w:val="000000" w:themeColor="text1"/>
          <w:spacing w:val="20"/>
          <w:w w:val="135"/>
          <w:sz w:val="30"/>
          <w:lang w:val="en-US" w:eastAsia="zh-CN"/>
          <w14:textFill>
            <w14:solidFill>
              <w14:schemeClr w14:val="tx1"/>
            </w14:solidFill>
          </w14:textFill>
        </w:rPr>
        <w:t>26</w:t>
      </w:r>
      <w:r>
        <w:rPr>
          <w:rFonts w:eastAsia="黑体"/>
          <w:b/>
          <w:color w:val="000000" w:themeColor="text1"/>
          <w:spacing w:val="20"/>
          <w:w w:val="135"/>
          <w:sz w:val="30"/>
          <w14:textFill>
            <w14:solidFill>
              <w14:schemeClr w14:val="tx1"/>
            </w14:solidFill>
          </w14:textFill>
        </w:rPr>
        <w:t>年</w:t>
      </w:r>
      <w:r>
        <w:rPr>
          <w:rFonts w:hint="eastAsia" w:eastAsia="黑体"/>
          <w:b/>
          <w:color w:val="000000" w:themeColor="text1"/>
          <w:spacing w:val="20"/>
          <w:w w:val="135"/>
          <w:sz w:val="30"/>
          <w:lang w:val="en-US" w:eastAsia="zh-CN"/>
          <w14:textFill>
            <w14:solidFill>
              <w14:schemeClr w14:val="tx1"/>
            </w14:solidFill>
          </w14:textFill>
        </w:rPr>
        <w:t>0</w:t>
      </w:r>
      <w:r>
        <w:rPr>
          <w:rFonts w:hint="default" w:eastAsia="黑体"/>
          <w:b/>
          <w:color w:val="000000" w:themeColor="text1"/>
          <w:spacing w:val="20"/>
          <w:w w:val="135"/>
          <w:sz w:val="30"/>
          <w:lang w:val="en-US" w:eastAsia="zh-CN"/>
          <w14:textFill>
            <w14:solidFill>
              <w14:schemeClr w14:val="tx1"/>
            </w14:solidFill>
          </w14:textFill>
        </w:rPr>
        <w:t>9</w:t>
      </w:r>
      <w:r>
        <w:rPr>
          <w:rFonts w:eastAsia="黑体"/>
          <w:b/>
          <w:color w:val="000000" w:themeColor="text1"/>
          <w:spacing w:val="20"/>
          <w:w w:val="135"/>
          <w:sz w:val="30"/>
          <w14:textFill>
            <w14:solidFill>
              <w14:schemeClr w14:val="tx1"/>
            </w14:solidFill>
          </w14:textFill>
        </w:rPr>
        <w:t>月</w:t>
      </w:r>
    </w:p>
    <w:p w14:paraId="7367586B">
      <w:pPr>
        <w:rPr>
          <w:rFonts w:eastAsia="黑体"/>
          <w:b/>
          <w:color w:val="000000" w:themeColor="text1"/>
          <w:spacing w:val="20"/>
          <w:w w:val="135"/>
          <w:sz w:val="30"/>
          <w14:textFill>
            <w14:solidFill>
              <w14:schemeClr w14:val="tx1"/>
            </w14:solidFill>
          </w14:textFill>
        </w:rPr>
      </w:pPr>
      <w:r>
        <w:rPr>
          <w:rFonts w:eastAsia="黑体"/>
          <w:b/>
          <w:color w:val="000000" w:themeColor="text1"/>
          <w:spacing w:val="20"/>
          <w:w w:val="135"/>
          <w:sz w:val="30"/>
          <w14:textFill>
            <w14:solidFill>
              <w14:schemeClr w14:val="tx1"/>
            </w14:solidFill>
          </w14:textFill>
        </w:rPr>
        <w:br w:type="page"/>
      </w:r>
    </w:p>
    <w:p w14:paraId="56664AD7">
      <w:pPr>
        <w:spacing w:before="480" w:beforeLines="200"/>
        <w:jc w:val="center"/>
        <w:rPr>
          <w:rFonts w:eastAsia="黑体"/>
          <w:b/>
          <w:color w:val="000000" w:themeColor="text1"/>
          <w:spacing w:val="20"/>
          <w:w w:val="135"/>
          <w:sz w:val="30"/>
          <w14:textFill>
            <w14:solidFill>
              <w14:schemeClr w14:val="tx1"/>
            </w14:solidFill>
          </w14:textFill>
        </w:rPr>
        <w:sectPr>
          <w:headerReference r:id="rId3" w:type="default"/>
          <w:footerReference r:id="rId4" w:type="default"/>
          <w:footerReference r:id="rId5" w:type="even"/>
          <w:pgSz w:w="11907" w:h="16839"/>
          <w:pgMar w:top="1440" w:right="1701" w:bottom="1440" w:left="1701" w:header="964" w:footer="737" w:gutter="0"/>
          <w:pgBorders>
            <w:top w:val="none" w:sz="0" w:space="0"/>
            <w:left w:val="none" w:sz="0" w:space="0"/>
            <w:bottom w:val="none" w:sz="0" w:space="0"/>
            <w:right w:val="none" w:sz="0" w:space="0"/>
          </w:pgBorders>
          <w:pgNumType w:start="1"/>
          <w:cols w:space="425" w:num="1"/>
          <w:titlePg/>
          <w:docGrid w:linePitch="312" w:charSpace="0"/>
        </w:sectPr>
      </w:pPr>
    </w:p>
    <w:p w14:paraId="6AB569B9">
      <w:pPr>
        <w:spacing w:before="480" w:beforeLines="200"/>
        <w:jc w:val="center"/>
        <w:rPr>
          <w:rFonts w:eastAsia="黑体"/>
          <w:b/>
          <w:color w:val="000000" w:themeColor="text1"/>
          <w:spacing w:val="20"/>
          <w:w w:val="135"/>
          <w:sz w:val="30"/>
          <w14:textFill>
            <w14:solidFill>
              <w14:schemeClr w14:val="tx1"/>
            </w14:solidFill>
          </w14:textFill>
        </w:rPr>
        <w:sectPr>
          <w:pgSz w:w="11907" w:h="16839"/>
          <w:pgMar w:top="1440" w:right="1701" w:bottom="1440" w:left="1701" w:header="964" w:footer="737" w:gutter="0"/>
          <w:pgBorders>
            <w:top w:val="none" w:sz="0" w:space="0"/>
            <w:left w:val="none" w:sz="0" w:space="0"/>
            <w:bottom w:val="none" w:sz="0" w:space="0"/>
            <w:right w:val="none" w:sz="0" w:space="0"/>
          </w:pgBorders>
          <w:pgNumType w:start="1"/>
          <w:cols w:space="425" w:num="1"/>
          <w:titlePg/>
          <w:docGrid w:linePitch="312" w:charSpace="0"/>
        </w:sectPr>
      </w:pPr>
      <w:bookmarkStart w:id="68" w:name="_GoBack"/>
      <w:bookmarkEnd w:id="68"/>
    </w:p>
    <w:sdt>
      <w:sdtPr>
        <w:rPr>
          <w:rFonts w:ascii="宋体" w:hAnsi="宋体" w:eastAsia="宋体" w:cs="Times New Roman"/>
          <w:color w:val="000000" w:themeColor="text1"/>
          <w:kern w:val="2"/>
          <w:sz w:val="21"/>
          <w:szCs w:val="24"/>
          <w:lang w:val="en-US" w:eastAsia="zh-CN" w:bidi="ar-SA"/>
          <w14:textFill>
            <w14:solidFill>
              <w14:schemeClr w14:val="tx1"/>
            </w14:solidFill>
          </w14:textFill>
        </w:rPr>
        <w:id w:val="147458825"/>
        <w15:color w:val="DBDBDB"/>
        <w:docPartObj>
          <w:docPartGallery w:val="Table of Contents"/>
          <w:docPartUnique/>
        </w:docPartObj>
      </w:sdtPr>
      <w:sdtEndPr>
        <w:rPr>
          <w:rFonts w:ascii="宋体" w:hAnsi="宋体" w:eastAsia="宋体" w:cs="Times New Roman"/>
          <w:color w:val="000000" w:themeColor="text1"/>
          <w:kern w:val="2"/>
          <w:sz w:val="21"/>
          <w:szCs w:val="24"/>
          <w:lang w:val="en-US" w:eastAsia="zh-CN" w:bidi="ar-SA"/>
          <w14:textFill>
            <w14:solidFill>
              <w14:schemeClr w14:val="tx1"/>
            </w14:solidFill>
          </w14:textFill>
        </w:rPr>
      </w:sdtEndPr>
      <w:sdtContent>
        <w:p w14:paraId="680D6F4C">
          <w:pPr>
            <w:spacing w:before="0" w:beforeLines="0" w:after="0" w:afterLines="0" w:line="240" w:lineRule="auto"/>
            <w:ind w:left="0" w:leftChars="0" w:right="0" w:rightChars="0" w:firstLine="0" w:firstLineChars="0"/>
            <w:jc w:val="center"/>
            <w:rPr>
              <w:color w:val="000000" w:themeColor="text1"/>
              <w14:textFill>
                <w14:solidFill>
                  <w14:schemeClr w14:val="tx1"/>
                </w14:solidFill>
              </w14:textFill>
            </w:rPr>
          </w:pPr>
          <w:bookmarkStart w:id="1" w:name="_Toc229476473"/>
          <w:bookmarkEnd w:id="1"/>
          <w:bookmarkStart w:id="2" w:name="_Toc229476588"/>
          <w:bookmarkEnd w:id="2"/>
          <w:bookmarkStart w:id="3" w:name="_Toc229476507"/>
          <w:bookmarkEnd w:id="3"/>
          <w:bookmarkStart w:id="4" w:name="_Toc229476378"/>
          <w:bookmarkEnd w:id="4"/>
          <w:bookmarkStart w:id="5" w:name="_Toc112756677"/>
          <w:r>
            <w:rPr>
              <w:rFonts w:ascii="宋体" w:hAnsi="宋体" w:eastAsia="宋体"/>
              <w:color w:val="000000" w:themeColor="text1"/>
              <w:sz w:val="21"/>
              <w14:textFill>
                <w14:solidFill>
                  <w14:schemeClr w14:val="tx1"/>
                </w14:solidFill>
              </w14:textFill>
            </w:rPr>
            <w:t>目录</w:t>
          </w:r>
        </w:p>
        <w:p w14:paraId="062DE302">
          <w:pPr>
            <w:pStyle w:val="21"/>
            <w:tabs>
              <w:tab w:val="right" w:leader="dot" w:pos="8312"/>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"1-2" \h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_Toc355 </w:instrText>
          </w:r>
          <w:r>
            <w:fldChar w:fldCharType="separate"/>
          </w:r>
          <w:r>
            <w:rPr>
              <w:rFonts w:hint="eastAsia"/>
              <w:szCs w:val="24"/>
            </w:rPr>
            <w:t>前 言</w:t>
          </w:r>
          <w:r>
            <w:tab/>
          </w:r>
          <w:r>
            <w:fldChar w:fldCharType="begin"/>
          </w:r>
          <w:r>
            <w:instrText xml:space="preserve"> PAGEREF _Toc355 \h </w:instrText>
          </w:r>
          <w:r>
            <w:fldChar w:fldCharType="separate"/>
          </w:r>
          <w:r>
            <w:t>1</w:t>
          </w:r>
          <w:r>
            <w:fldChar w:fldCharType="end"/>
          </w:r>
          <w:r>
            <w:rPr>
              <w:color w:val="000000" w:themeColor="text1"/>
              <w14:textFill>
                <w14:solidFill>
                  <w14:schemeClr w14:val="tx1"/>
                </w14:solidFill>
              </w14:textFill>
            </w:rPr>
            <w:fldChar w:fldCharType="end"/>
          </w:r>
        </w:p>
        <w:p w14:paraId="0E8C2F79">
          <w:pPr>
            <w:pStyle w:val="21"/>
            <w:tabs>
              <w:tab w:val="right" w:leader="dot" w:pos="8312"/>
            </w:tabs>
          </w:pPr>
          <w:r>
            <w:rPr>
              <w:color w:val="000000" w:themeColor="text1"/>
              <w14:textFill>
                <w14:solidFill>
                  <w14:schemeClr w14:val="tx1"/>
                </w14:solidFill>
              </w14:textFill>
            </w:rPr>
            <w:fldChar w:fldCharType="begin"/>
          </w:r>
          <w:r>
            <w:instrText xml:space="preserve"> HYPERLINK \l _Toc28908 </w:instrText>
          </w:r>
          <w:r>
            <w:fldChar w:fldCharType="separate"/>
          </w:r>
          <w:r>
            <w:rPr>
              <w:rFonts w:hint="default" w:ascii="Times New Roman" w:hAnsi="Times New Roman" w:cs="Times New Roman"/>
              <w:lang w:val="en-US" w:eastAsia="zh-CN"/>
            </w:rPr>
            <w:t>1</w:t>
          </w:r>
          <w:r>
            <w:rPr>
              <w:szCs w:val="24"/>
            </w:rPr>
            <w:t>总则</w:t>
          </w:r>
          <w:r>
            <w:tab/>
          </w:r>
          <w:r>
            <w:fldChar w:fldCharType="begin"/>
          </w:r>
          <w:r>
            <w:instrText xml:space="preserve"> PAGEREF _Toc28908 \h </w:instrText>
          </w:r>
          <w:r>
            <w:fldChar w:fldCharType="separate"/>
          </w:r>
          <w:r>
            <w:t>2</w:t>
          </w:r>
          <w:r>
            <w:fldChar w:fldCharType="end"/>
          </w:r>
          <w:r>
            <w:rPr>
              <w:color w:val="000000" w:themeColor="text1"/>
              <w14:textFill>
                <w14:solidFill>
                  <w14:schemeClr w14:val="tx1"/>
                </w14:solidFill>
              </w14:textFill>
            </w:rPr>
            <w:fldChar w:fldCharType="end"/>
          </w:r>
        </w:p>
        <w:p w14:paraId="6847C1A0">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_Toc20228 </w:instrText>
          </w:r>
          <w:r>
            <w:fldChar w:fldCharType="separate"/>
          </w:r>
          <w:r>
            <w:rPr>
              <w:rFonts w:hint="default" w:ascii="Times New Roman" w:hAnsi="Times New Roman" w:cs="Times New Roman"/>
              <w:bCs/>
            </w:rPr>
            <w:t xml:space="preserve">1.1. </w:t>
          </w:r>
          <w:r>
            <w:rPr>
              <w:rFonts w:hint="eastAsia" w:ascii="黑体" w:hAnsi="黑体" w:eastAsia="黑体" w:cs="黑体"/>
              <w:bCs/>
              <w:szCs w:val="24"/>
            </w:rPr>
            <w:t>适用范围</w:t>
          </w:r>
          <w:r>
            <w:tab/>
          </w:r>
          <w:r>
            <w:fldChar w:fldCharType="begin"/>
          </w:r>
          <w:r>
            <w:instrText xml:space="preserve"> PAGEREF _Toc20228 \h </w:instrText>
          </w:r>
          <w:r>
            <w:fldChar w:fldCharType="separate"/>
          </w:r>
          <w:r>
            <w:t>2</w:t>
          </w:r>
          <w:r>
            <w:fldChar w:fldCharType="end"/>
          </w:r>
          <w:r>
            <w:rPr>
              <w:color w:val="000000" w:themeColor="text1"/>
              <w14:textFill>
                <w14:solidFill>
                  <w14:schemeClr w14:val="tx1"/>
                </w14:solidFill>
              </w14:textFill>
            </w:rPr>
            <w:fldChar w:fldCharType="end"/>
          </w:r>
        </w:p>
        <w:p w14:paraId="6E57A175">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_Toc4309 </w:instrText>
          </w:r>
          <w:r>
            <w:fldChar w:fldCharType="separate"/>
          </w:r>
          <w:r>
            <w:rPr>
              <w:rFonts w:hint="default" w:ascii="Times New Roman" w:hAnsi="Times New Roman" w:eastAsia="黑体" w:cs="Times New Roman"/>
              <w:bCs/>
              <w:szCs w:val="24"/>
            </w:rPr>
            <w:t xml:space="preserve">1.2. </w:t>
          </w:r>
          <w:r>
            <w:rPr>
              <w:rFonts w:hint="eastAsia" w:ascii="黑体" w:hAnsi="黑体" w:eastAsia="黑体" w:cs="黑体"/>
              <w:bCs/>
              <w:szCs w:val="24"/>
            </w:rPr>
            <w:t>规范性引用文件</w:t>
          </w:r>
          <w:r>
            <w:tab/>
          </w:r>
          <w:r>
            <w:fldChar w:fldCharType="begin"/>
          </w:r>
          <w:r>
            <w:instrText xml:space="preserve"> PAGEREF _Toc4309 \h </w:instrText>
          </w:r>
          <w:r>
            <w:fldChar w:fldCharType="separate"/>
          </w:r>
          <w:r>
            <w:t>2</w:t>
          </w:r>
          <w:r>
            <w:fldChar w:fldCharType="end"/>
          </w:r>
          <w:r>
            <w:rPr>
              <w:color w:val="000000" w:themeColor="text1"/>
              <w14:textFill>
                <w14:solidFill>
                  <w14:schemeClr w14:val="tx1"/>
                </w14:solidFill>
              </w14:textFill>
            </w:rPr>
            <w:fldChar w:fldCharType="end"/>
          </w:r>
        </w:p>
        <w:p w14:paraId="36D893AA">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_Toc20619 </w:instrText>
          </w:r>
          <w:r>
            <w:fldChar w:fldCharType="separate"/>
          </w:r>
          <w:r>
            <w:rPr>
              <w:rFonts w:hint="default" w:ascii="Times New Roman" w:hAnsi="Times New Roman" w:eastAsia="黑体" w:cs="Times New Roman"/>
              <w:bCs/>
              <w:szCs w:val="24"/>
            </w:rPr>
            <w:t xml:space="preserve">1.3. </w:t>
          </w:r>
          <w:r>
            <w:rPr>
              <w:rFonts w:hint="eastAsia" w:ascii="黑体" w:hAnsi="黑体" w:eastAsia="黑体" w:cs="黑体"/>
              <w:bCs/>
              <w:szCs w:val="24"/>
            </w:rPr>
            <w:t>术语和定义</w:t>
          </w:r>
          <w:r>
            <w:tab/>
          </w:r>
          <w:r>
            <w:fldChar w:fldCharType="begin"/>
          </w:r>
          <w:r>
            <w:instrText xml:space="preserve"> PAGEREF _Toc20619 \h </w:instrText>
          </w:r>
          <w:r>
            <w:fldChar w:fldCharType="separate"/>
          </w:r>
          <w:r>
            <w:t>3</w:t>
          </w:r>
          <w:r>
            <w:fldChar w:fldCharType="end"/>
          </w:r>
          <w:r>
            <w:rPr>
              <w:color w:val="000000" w:themeColor="text1"/>
              <w14:textFill>
                <w14:solidFill>
                  <w14:schemeClr w14:val="tx1"/>
                </w14:solidFill>
              </w14:textFill>
            </w:rPr>
            <w:fldChar w:fldCharType="end"/>
          </w:r>
        </w:p>
        <w:p w14:paraId="357CB4D1">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_Toc30109 </w:instrText>
          </w:r>
          <w:r>
            <w:fldChar w:fldCharType="separate"/>
          </w:r>
          <w:r>
            <w:rPr>
              <w:rFonts w:hint="default" w:ascii="Times New Roman" w:hAnsi="Times New Roman" w:eastAsia="黑体" w:cs="Times New Roman"/>
              <w:bCs/>
              <w:szCs w:val="24"/>
            </w:rPr>
            <w:t xml:space="preserve">1.4. </w:t>
          </w:r>
          <w:r>
            <w:rPr>
              <w:rFonts w:hint="eastAsia" w:ascii="黑体" w:hAnsi="黑体" w:eastAsia="黑体" w:cs="黑体"/>
              <w:bCs/>
              <w:szCs w:val="24"/>
            </w:rPr>
            <w:t>总体技术原则</w:t>
          </w:r>
          <w:r>
            <w:tab/>
          </w:r>
          <w:r>
            <w:fldChar w:fldCharType="begin"/>
          </w:r>
          <w:r>
            <w:instrText xml:space="preserve"> PAGEREF _Toc30109 \h </w:instrText>
          </w:r>
          <w:r>
            <w:fldChar w:fldCharType="separate"/>
          </w:r>
          <w:r>
            <w:t>3</w:t>
          </w:r>
          <w:r>
            <w:fldChar w:fldCharType="end"/>
          </w:r>
          <w:r>
            <w:rPr>
              <w:color w:val="000000" w:themeColor="text1"/>
              <w14:textFill>
                <w14:solidFill>
                  <w14:schemeClr w14:val="tx1"/>
                </w14:solidFill>
              </w14:textFill>
            </w:rPr>
            <w:fldChar w:fldCharType="end"/>
          </w:r>
        </w:p>
        <w:p w14:paraId="407108CF">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_Toc16057 </w:instrText>
          </w:r>
          <w:r>
            <w:fldChar w:fldCharType="separate"/>
          </w:r>
          <w:r>
            <w:rPr>
              <w:rFonts w:hint="default" w:ascii="Times New Roman" w:hAnsi="Times New Roman" w:eastAsia="黑体" w:cs="Times New Roman"/>
              <w:bCs/>
              <w:szCs w:val="24"/>
            </w:rPr>
            <w:t xml:space="preserve">1.5. </w:t>
          </w:r>
          <w:r>
            <w:rPr>
              <w:rFonts w:hint="eastAsia" w:ascii="黑体" w:hAnsi="黑体" w:eastAsia="黑体" w:cs="黑体"/>
              <w:bCs/>
              <w:szCs w:val="24"/>
            </w:rPr>
            <w:t>框架采购约定</w:t>
          </w:r>
          <w:r>
            <w:tab/>
          </w:r>
          <w:r>
            <w:fldChar w:fldCharType="begin"/>
          </w:r>
          <w:r>
            <w:instrText xml:space="preserve"> PAGEREF _Toc16057 \h </w:instrText>
          </w:r>
          <w:r>
            <w:fldChar w:fldCharType="separate"/>
          </w:r>
          <w:r>
            <w:t>3</w:t>
          </w:r>
          <w:r>
            <w:fldChar w:fldCharType="end"/>
          </w:r>
          <w:r>
            <w:rPr>
              <w:color w:val="000000" w:themeColor="text1"/>
              <w14:textFill>
                <w14:solidFill>
                  <w14:schemeClr w14:val="tx1"/>
                </w14:solidFill>
              </w14:textFill>
            </w:rPr>
            <w:fldChar w:fldCharType="end"/>
          </w:r>
        </w:p>
        <w:p w14:paraId="2096B452">
          <w:pPr>
            <w:pStyle w:val="21"/>
            <w:tabs>
              <w:tab w:val="right" w:leader="dot" w:pos="8312"/>
            </w:tabs>
          </w:pPr>
          <w:r>
            <w:rPr>
              <w:color w:val="000000" w:themeColor="text1"/>
              <w14:textFill>
                <w14:solidFill>
                  <w14:schemeClr w14:val="tx1"/>
                </w14:solidFill>
              </w14:textFill>
            </w:rPr>
            <w:fldChar w:fldCharType="begin"/>
          </w:r>
          <w:r>
            <w:instrText xml:space="preserve"> HYPERLINK \l _Toc19356 </w:instrText>
          </w:r>
          <w:r>
            <w:fldChar w:fldCharType="separate"/>
          </w:r>
          <w:r>
            <w:rPr>
              <w:rFonts w:hint="default" w:ascii="Times New Roman" w:hAnsi="Times New Roman" w:cs="Times New Roman"/>
              <w:szCs w:val="24"/>
              <w:lang w:val="en-US" w:eastAsia="zh-CN"/>
            </w:rPr>
            <w:t>2</w:t>
          </w:r>
          <w:r>
            <w:rPr>
              <w:rFonts w:hint="eastAsia" w:ascii="宋体" w:hAnsi="宋体" w:eastAsia="宋体" w:cs="宋体"/>
              <w:szCs w:val="24"/>
            </w:rPr>
            <w:t>项目概况及代加工要求</w:t>
          </w:r>
          <w:r>
            <w:tab/>
          </w:r>
          <w:r>
            <w:fldChar w:fldCharType="begin"/>
          </w:r>
          <w:r>
            <w:instrText xml:space="preserve"> PAGEREF _Toc19356 \h </w:instrText>
          </w:r>
          <w:r>
            <w:fldChar w:fldCharType="separate"/>
          </w:r>
          <w:r>
            <w:t>4</w:t>
          </w:r>
          <w:r>
            <w:fldChar w:fldCharType="end"/>
          </w:r>
          <w:r>
            <w:rPr>
              <w:color w:val="000000" w:themeColor="text1"/>
              <w14:textFill>
                <w14:solidFill>
                  <w14:schemeClr w14:val="tx1"/>
                </w14:solidFill>
              </w14:textFill>
            </w:rPr>
            <w:fldChar w:fldCharType="end"/>
          </w:r>
        </w:p>
        <w:p w14:paraId="038E9688">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_Toc30907 </w:instrText>
          </w:r>
          <w:r>
            <w:fldChar w:fldCharType="separate"/>
          </w:r>
          <w:r>
            <w:rPr>
              <w:rFonts w:hint="default" w:ascii="Times New Roman" w:hAnsi="Times New Roman" w:eastAsia="黑体" w:cs="Times New Roman"/>
              <w:szCs w:val="24"/>
            </w:rPr>
            <w:t xml:space="preserve">2.1. </w:t>
          </w:r>
          <w:r>
            <w:rPr>
              <w:rFonts w:hint="eastAsia" w:ascii="黑体" w:hAnsi="黑体" w:eastAsia="黑体" w:cs="黑体"/>
              <w:szCs w:val="24"/>
            </w:rPr>
            <w:t>项目概况</w:t>
          </w:r>
          <w:r>
            <w:tab/>
          </w:r>
          <w:r>
            <w:fldChar w:fldCharType="begin"/>
          </w:r>
          <w:r>
            <w:instrText xml:space="preserve"> PAGEREF _Toc30907 \h </w:instrText>
          </w:r>
          <w:r>
            <w:fldChar w:fldCharType="separate"/>
          </w:r>
          <w:r>
            <w:t>4</w:t>
          </w:r>
          <w:r>
            <w:fldChar w:fldCharType="end"/>
          </w:r>
          <w:r>
            <w:rPr>
              <w:color w:val="000000" w:themeColor="text1"/>
              <w14:textFill>
                <w14:solidFill>
                  <w14:schemeClr w14:val="tx1"/>
                </w14:solidFill>
              </w14:textFill>
            </w:rPr>
            <w:fldChar w:fldCharType="end"/>
          </w:r>
        </w:p>
        <w:p w14:paraId="7CAA1789">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_Toc4281 </w:instrText>
          </w:r>
          <w:r>
            <w:fldChar w:fldCharType="separate"/>
          </w:r>
          <w:r>
            <w:rPr>
              <w:rFonts w:hint="default" w:ascii="Times New Roman" w:hAnsi="Times New Roman" w:eastAsia="黑体" w:cs="Times New Roman"/>
              <w:szCs w:val="24"/>
            </w:rPr>
            <w:t xml:space="preserve">2.2. </w:t>
          </w:r>
          <w:r>
            <w:rPr>
              <w:rFonts w:hint="eastAsia" w:ascii="黑体" w:hAnsi="黑体" w:eastAsia="黑体" w:cs="黑体"/>
              <w:szCs w:val="24"/>
            </w:rPr>
            <w:t>代加工核心要求</w:t>
          </w:r>
          <w:r>
            <w:tab/>
          </w:r>
          <w:r>
            <w:fldChar w:fldCharType="begin"/>
          </w:r>
          <w:r>
            <w:instrText xml:space="preserve"> PAGEREF _Toc4281 \h </w:instrText>
          </w:r>
          <w:r>
            <w:fldChar w:fldCharType="separate"/>
          </w:r>
          <w:r>
            <w:t>4</w:t>
          </w:r>
          <w:r>
            <w:fldChar w:fldCharType="end"/>
          </w:r>
          <w:r>
            <w:rPr>
              <w:color w:val="000000" w:themeColor="text1"/>
              <w14:textFill>
                <w14:solidFill>
                  <w14:schemeClr w14:val="tx1"/>
                </w14:solidFill>
              </w14:textFill>
            </w:rPr>
            <w:fldChar w:fldCharType="end"/>
          </w:r>
        </w:p>
        <w:p w14:paraId="19B6A500">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_Toc23199 </w:instrText>
          </w:r>
          <w:r>
            <w:fldChar w:fldCharType="separate"/>
          </w:r>
          <w:r>
            <w:rPr>
              <w:rFonts w:hint="default" w:ascii="Times New Roman" w:hAnsi="Times New Roman" w:eastAsia="黑体" w:cs="Times New Roman"/>
              <w:szCs w:val="24"/>
            </w:rPr>
            <w:t xml:space="preserve">2.3. </w:t>
          </w:r>
          <w:r>
            <w:rPr>
              <w:rFonts w:hint="eastAsia" w:ascii="黑体" w:hAnsi="黑体" w:eastAsia="黑体" w:cs="黑体"/>
              <w:szCs w:val="24"/>
            </w:rPr>
            <w:t>现场及生产环境要求</w:t>
          </w:r>
          <w:r>
            <w:tab/>
          </w:r>
          <w:r>
            <w:fldChar w:fldCharType="begin"/>
          </w:r>
          <w:r>
            <w:instrText xml:space="preserve"> PAGEREF _Toc23199 \h </w:instrText>
          </w:r>
          <w:r>
            <w:fldChar w:fldCharType="separate"/>
          </w:r>
          <w:r>
            <w:t>4</w:t>
          </w:r>
          <w:r>
            <w:fldChar w:fldCharType="end"/>
          </w:r>
          <w:r>
            <w:rPr>
              <w:color w:val="000000" w:themeColor="text1"/>
              <w14:textFill>
                <w14:solidFill>
                  <w14:schemeClr w14:val="tx1"/>
                </w14:solidFill>
              </w14:textFill>
            </w:rPr>
            <w:fldChar w:fldCharType="end"/>
          </w:r>
        </w:p>
        <w:p w14:paraId="0F50B9FC">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_Toc14210 </w:instrText>
          </w:r>
          <w:r>
            <w:fldChar w:fldCharType="separate"/>
          </w:r>
          <w:r>
            <w:rPr>
              <w:rFonts w:hint="default" w:ascii="Times New Roman" w:hAnsi="Times New Roman" w:eastAsia="黑体" w:cs="Times New Roman"/>
              <w:szCs w:val="24"/>
            </w:rPr>
            <w:t xml:space="preserve">2.4. </w:t>
          </w:r>
          <w:r>
            <w:rPr>
              <w:rFonts w:hint="eastAsia" w:ascii="黑体" w:hAnsi="黑体" w:eastAsia="黑体" w:cs="黑体"/>
              <w:szCs w:val="24"/>
              <w:highlight w:val="none"/>
              <w:lang w:val="en-US" w:eastAsia="zh-CN"/>
            </w:rPr>
            <w:t>供货范围一览表</w:t>
          </w:r>
          <w:r>
            <w:tab/>
          </w:r>
          <w:r>
            <w:fldChar w:fldCharType="begin"/>
          </w:r>
          <w:r>
            <w:instrText xml:space="preserve"> PAGEREF _Toc14210 \h </w:instrText>
          </w:r>
          <w:r>
            <w:fldChar w:fldCharType="separate"/>
          </w:r>
          <w:r>
            <w:t>5</w:t>
          </w:r>
          <w:r>
            <w:fldChar w:fldCharType="end"/>
          </w:r>
          <w:r>
            <w:rPr>
              <w:color w:val="000000" w:themeColor="text1"/>
              <w14:textFill>
                <w14:solidFill>
                  <w14:schemeClr w14:val="tx1"/>
                </w14:solidFill>
              </w14:textFill>
            </w:rPr>
            <w:fldChar w:fldCharType="end"/>
          </w:r>
        </w:p>
        <w:p w14:paraId="0A6B4F9F">
          <w:pPr>
            <w:pStyle w:val="21"/>
            <w:tabs>
              <w:tab w:val="right" w:leader="dot" w:pos="8312"/>
            </w:tabs>
          </w:pPr>
          <w:r>
            <w:rPr>
              <w:color w:val="000000" w:themeColor="text1"/>
              <w14:textFill>
                <w14:solidFill>
                  <w14:schemeClr w14:val="tx1"/>
                </w14:solidFill>
              </w14:textFill>
            </w:rPr>
            <w:fldChar w:fldCharType="begin"/>
          </w:r>
          <w:r>
            <w:instrText xml:space="preserve"> HYPERLINK \l _Toc24713 </w:instrText>
          </w:r>
          <w:r>
            <w:fldChar w:fldCharType="separate"/>
          </w:r>
          <w:r>
            <w:rPr>
              <w:rFonts w:hint="default" w:ascii="Times New Roman" w:hAnsi="Times New Roman" w:cs="Times New Roman"/>
              <w:szCs w:val="24"/>
              <w:lang w:val="en-US" w:eastAsia="zh-CN"/>
            </w:rPr>
            <w:t>3</w:t>
          </w:r>
          <w:r>
            <w:rPr>
              <w:rFonts w:hint="eastAsia" w:ascii="宋体" w:hAnsi="宋体" w:eastAsia="宋体" w:cs="宋体"/>
              <w:szCs w:val="24"/>
            </w:rPr>
            <w:t>代加工范围及内容</w:t>
          </w:r>
          <w:r>
            <w:tab/>
          </w:r>
          <w:r>
            <w:fldChar w:fldCharType="begin"/>
          </w:r>
          <w:r>
            <w:instrText xml:space="preserve"> PAGEREF _Toc24713 \h </w:instrText>
          </w:r>
          <w:r>
            <w:fldChar w:fldCharType="separate"/>
          </w:r>
          <w:r>
            <w:t>5</w:t>
          </w:r>
          <w:r>
            <w:fldChar w:fldCharType="end"/>
          </w:r>
          <w:r>
            <w:rPr>
              <w:color w:val="000000" w:themeColor="text1"/>
              <w14:textFill>
                <w14:solidFill>
                  <w14:schemeClr w14:val="tx1"/>
                </w14:solidFill>
              </w14:textFill>
            </w:rPr>
            <w:fldChar w:fldCharType="end"/>
          </w:r>
        </w:p>
        <w:p w14:paraId="6C0C2236">
          <w:pPr>
            <w:pStyle w:val="21"/>
            <w:tabs>
              <w:tab w:val="right" w:leader="dot" w:pos="8312"/>
            </w:tabs>
          </w:pPr>
          <w:r>
            <w:rPr>
              <w:color w:val="000000" w:themeColor="text1"/>
              <w14:textFill>
                <w14:solidFill>
                  <w14:schemeClr w14:val="tx1"/>
                </w14:solidFill>
              </w14:textFill>
            </w:rPr>
            <w:fldChar w:fldCharType="begin"/>
          </w:r>
          <w:r>
            <w:instrText xml:space="preserve"> HYPERLINK \l _Toc6160 </w:instrText>
          </w:r>
          <w:r>
            <w:fldChar w:fldCharType="separate"/>
          </w:r>
          <w:r>
            <w:rPr>
              <w:rFonts w:hint="default" w:ascii="Times New Roman" w:hAnsi="Times New Roman" w:cs="Times New Roman"/>
              <w:szCs w:val="24"/>
              <w:lang w:val="en-US" w:eastAsia="zh-CN"/>
            </w:rPr>
            <w:t>4</w:t>
          </w:r>
          <w:r>
            <w:rPr>
              <w:rFonts w:hint="eastAsia" w:ascii="宋体" w:hAnsi="宋体" w:eastAsia="宋体" w:cs="宋体"/>
              <w:szCs w:val="24"/>
            </w:rPr>
            <w:t>详细技术及代加工要求</w:t>
          </w:r>
          <w:r>
            <w:tab/>
          </w:r>
          <w:r>
            <w:fldChar w:fldCharType="begin"/>
          </w:r>
          <w:r>
            <w:instrText xml:space="preserve"> PAGEREF _Toc6160 \h </w:instrText>
          </w:r>
          <w:r>
            <w:fldChar w:fldCharType="separate"/>
          </w:r>
          <w:r>
            <w:t>6</w:t>
          </w:r>
          <w:r>
            <w:fldChar w:fldCharType="end"/>
          </w:r>
          <w:r>
            <w:rPr>
              <w:color w:val="000000" w:themeColor="text1"/>
              <w14:textFill>
                <w14:solidFill>
                  <w14:schemeClr w14:val="tx1"/>
                </w14:solidFill>
              </w14:textFill>
            </w:rPr>
            <w:fldChar w:fldCharType="end"/>
          </w:r>
        </w:p>
        <w:p w14:paraId="02A883B1">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_Toc17554 </w:instrText>
          </w:r>
          <w:r>
            <w:fldChar w:fldCharType="separate"/>
          </w:r>
          <w:r>
            <w:rPr>
              <w:rFonts w:hint="default" w:ascii="Times New Roman" w:hAnsi="Times New Roman" w:eastAsia="黑体" w:cs="Times New Roman"/>
              <w:szCs w:val="24"/>
            </w:rPr>
            <w:t xml:space="preserve">4.1 </w:t>
          </w:r>
          <w:r>
            <w:rPr>
              <w:rFonts w:hint="eastAsia" w:ascii="黑体" w:hAnsi="黑体" w:eastAsia="黑体" w:cs="黑体"/>
              <w:szCs w:val="24"/>
            </w:rPr>
            <w:t>代加工生产能力要求</w:t>
          </w:r>
          <w:r>
            <w:tab/>
          </w:r>
          <w:r>
            <w:fldChar w:fldCharType="begin"/>
          </w:r>
          <w:r>
            <w:instrText xml:space="preserve"> PAGEREF _Toc17554 \h </w:instrText>
          </w:r>
          <w:r>
            <w:fldChar w:fldCharType="separate"/>
          </w:r>
          <w:r>
            <w:t>6</w:t>
          </w:r>
          <w:r>
            <w:fldChar w:fldCharType="end"/>
          </w:r>
          <w:r>
            <w:rPr>
              <w:color w:val="000000" w:themeColor="text1"/>
              <w14:textFill>
                <w14:solidFill>
                  <w14:schemeClr w14:val="tx1"/>
                </w14:solidFill>
              </w14:textFill>
            </w:rPr>
            <w:fldChar w:fldCharType="end"/>
          </w:r>
        </w:p>
        <w:p w14:paraId="1B1F26D4">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_Toc17659 </w:instrText>
          </w:r>
          <w:r>
            <w:fldChar w:fldCharType="separate"/>
          </w:r>
          <w:r>
            <w:rPr>
              <w:rFonts w:hint="default" w:ascii="Times New Roman" w:hAnsi="Times New Roman" w:eastAsia="黑体" w:cs="Times New Roman"/>
              <w:szCs w:val="24"/>
              <w:lang w:val="en-US" w:eastAsia="zh-CN"/>
            </w:rPr>
            <w:t>4.2</w:t>
          </w:r>
          <w:r>
            <w:rPr>
              <w:rFonts w:hint="eastAsia" w:ascii="黑体" w:hAnsi="黑体" w:eastAsia="黑体" w:cs="黑体"/>
              <w:szCs w:val="24"/>
            </w:rPr>
            <w:t>原材料采购及管控要求</w:t>
          </w:r>
          <w:r>
            <w:tab/>
          </w:r>
          <w:r>
            <w:fldChar w:fldCharType="begin"/>
          </w:r>
          <w:r>
            <w:instrText xml:space="preserve"> PAGEREF _Toc17659 \h </w:instrText>
          </w:r>
          <w:r>
            <w:fldChar w:fldCharType="separate"/>
          </w:r>
          <w:r>
            <w:t>6</w:t>
          </w:r>
          <w:r>
            <w:fldChar w:fldCharType="end"/>
          </w:r>
          <w:r>
            <w:rPr>
              <w:color w:val="000000" w:themeColor="text1"/>
              <w14:textFill>
                <w14:solidFill>
                  <w14:schemeClr w14:val="tx1"/>
                </w14:solidFill>
              </w14:textFill>
            </w:rPr>
            <w:fldChar w:fldCharType="end"/>
          </w:r>
        </w:p>
        <w:p w14:paraId="5928B7D1">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_Toc29798 </w:instrText>
          </w:r>
          <w:r>
            <w:fldChar w:fldCharType="separate"/>
          </w:r>
          <w:r>
            <w:rPr>
              <w:rFonts w:hint="eastAsia" w:ascii="Times New Roman" w:eastAsia="黑体" w:cs="Times New Roman"/>
              <w:szCs w:val="24"/>
              <w:lang w:val="en-US" w:eastAsia="zh-CN"/>
            </w:rPr>
            <w:t>4.3</w:t>
          </w:r>
          <w:r>
            <w:rPr>
              <w:rFonts w:hint="eastAsia" w:ascii="Times New Roman" w:hAnsi="Times New Roman" w:eastAsia="黑体" w:cs="Times New Roman"/>
              <w:szCs w:val="24"/>
              <w:lang w:val="en-US" w:eastAsia="zh-CN"/>
            </w:rPr>
            <w:t>生产工艺及加工要求</w:t>
          </w:r>
          <w:r>
            <w:tab/>
          </w:r>
          <w:r>
            <w:fldChar w:fldCharType="begin"/>
          </w:r>
          <w:r>
            <w:instrText xml:space="preserve"> PAGEREF _Toc29798 \h </w:instrText>
          </w:r>
          <w:r>
            <w:fldChar w:fldCharType="separate"/>
          </w:r>
          <w:r>
            <w:t>7</w:t>
          </w:r>
          <w:r>
            <w:fldChar w:fldCharType="end"/>
          </w:r>
          <w:r>
            <w:rPr>
              <w:color w:val="000000" w:themeColor="text1"/>
              <w14:textFill>
                <w14:solidFill>
                  <w14:schemeClr w14:val="tx1"/>
                </w14:solidFill>
              </w14:textFill>
            </w:rPr>
            <w:fldChar w:fldCharType="end"/>
          </w:r>
        </w:p>
        <w:p w14:paraId="229AAE73">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_Toc19682 </w:instrText>
          </w:r>
          <w:r>
            <w:fldChar w:fldCharType="separate"/>
          </w:r>
          <w:r>
            <w:rPr>
              <w:rFonts w:hint="eastAsia" w:ascii="Times New Roman" w:eastAsia="黑体" w:cs="Times New Roman"/>
              <w:szCs w:val="24"/>
              <w:lang w:val="en-US" w:eastAsia="zh-CN"/>
            </w:rPr>
            <w:t>4.4 产品技术参数要求</w:t>
          </w:r>
          <w:r>
            <w:tab/>
          </w:r>
          <w:r>
            <w:fldChar w:fldCharType="begin"/>
          </w:r>
          <w:r>
            <w:instrText xml:space="preserve"> PAGEREF _Toc19682 \h </w:instrText>
          </w:r>
          <w:r>
            <w:fldChar w:fldCharType="separate"/>
          </w:r>
          <w:r>
            <w:t>7</w:t>
          </w:r>
          <w:r>
            <w:fldChar w:fldCharType="end"/>
          </w:r>
          <w:r>
            <w:rPr>
              <w:color w:val="000000" w:themeColor="text1"/>
              <w14:textFill>
                <w14:solidFill>
                  <w14:schemeClr w14:val="tx1"/>
                </w14:solidFill>
              </w14:textFill>
            </w:rPr>
            <w:fldChar w:fldCharType="end"/>
          </w:r>
        </w:p>
        <w:p w14:paraId="1815D162">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_Toc25894 </w:instrText>
          </w:r>
          <w:r>
            <w:fldChar w:fldCharType="separate"/>
          </w:r>
          <w:r>
            <w:rPr>
              <w:rFonts w:hint="eastAsia" w:ascii="Times New Roman" w:eastAsia="黑体" w:cs="Times New Roman"/>
              <w:szCs w:val="24"/>
              <w:lang w:val="en-US" w:eastAsia="zh-CN"/>
            </w:rPr>
            <w:t>4.5 图纸</w:t>
          </w:r>
          <w:r>
            <w:tab/>
          </w:r>
          <w:r>
            <w:fldChar w:fldCharType="begin"/>
          </w:r>
          <w:r>
            <w:instrText xml:space="preserve"> PAGEREF _Toc25894 \h </w:instrText>
          </w:r>
          <w:r>
            <w:fldChar w:fldCharType="separate"/>
          </w:r>
          <w:r>
            <w:t>8</w:t>
          </w:r>
          <w:r>
            <w:fldChar w:fldCharType="end"/>
          </w:r>
          <w:r>
            <w:rPr>
              <w:color w:val="000000" w:themeColor="text1"/>
              <w14:textFill>
                <w14:solidFill>
                  <w14:schemeClr w14:val="tx1"/>
                </w14:solidFill>
              </w14:textFill>
            </w:rPr>
            <w:fldChar w:fldCharType="end"/>
          </w:r>
        </w:p>
        <w:p w14:paraId="4FA0C21F">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_Toc30045 </w:instrText>
          </w:r>
          <w:r>
            <w:fldChar w:fldCharType="separate"/>
          </w:r>
          <w:r>
            <w:rPr>
              <w:rFonts w:hint="eastAsia" w:ascii="Times New Roman" w:eastAsia="黑体" w:cs="Times New Roman"/>
              <w:szCs w:val="24"/>
              <w:lang w:val="en-US" w:eastAsia="zh-CN"/>
            </w:rPr>
            <w:t>4.6 质量管控及检验要求</w:t>
          </w:r>
          <w:r>
            <w:tab/>
          </w:r>
          <w:r>
            <w:fldChar w:fldCharType="begin"/>
          </w:r>
          <w:r>
            <w:instrText xml:space="preserve"> PAGEREF _Toc30045 \h </w:instrText>
          </w:r>
          <w:r>
            <w:fldChar w:fldCharType="separate"/>
          </w:r>
          <w:r>
            <w:t>9</w:t>
          </w:r>
          <w:r>
            <w:fldChar w:fldCharType="end"/>
          </w:r>
          <w:r>
            <w:rPr>
              <w:color w:val="000000" w:themeColor="text1"/>
              <w14:textFill>
                <w14:solidFill>
                  <w14:schemeClr w14:val="tx1"/>
                </w14:solidFill>
              </w14:textFill>
            </w:rPr>
            <w:fldChar w:fldCharType="end"/>
          </w:r>
        </w:p>
        <w:p w14:paraId="5EB9B72A">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_Toc16160 </w:instrText>
          </w:r>
          <w:r>
            <w:fldChar w:fldCharType="separate"/>
          </w:r>
          <w:r>
            <w:rPr>
              <w:rFonts w:hint="eastAsia" w:ascii="Times New Roman" w:eastAsia="黑体" w:cs="Times New Roman"/>
              <w:szCs w:val="24"/>
              <w:lang w:val="en-US" w:eastAsia="zh-CN"/>
            </w:rPr>
            <w:t>4.7企业VI标识</w:t>
          </w:r>
          <w:r>
            <w:tab/>
          </w:r>
          <w:r>
            <w:fldChar w:fldCharType="begin"/>
          </w:r>
          <w:r>
            <w:instrText xml:space="preserve"> PAGEREF _Toc16160 \h </w:instrText>
          </w:r>
          <w:r>
            <w:fldChar w:fldCharType="separate"/>
          </w:r>
          <w:r>
            <w:t>10</w:t>
          </w:r>
          <w:r>
            <w:fldChar w:fldCharType="end"/>
          </w:r>
          <w:r>
            <w:rPr>
              <w:color w:val="000000" w:themeColor="text1"/>
              <w14:textFill>
                <w14:solidFill>
                  <w14:schemeClr w14:val="tx1"/>
                </w14:solidFill>
              </w14:textFill>
            </w:rPr>
            <w:fldChar w:fldCharType="end"/>
          </w:r>
        </w:p>
        <w:p w14:paraId="16E3D063">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_Toc8784 </w:instrText>
          </w:r>
          <w:r>
            <w:fldChar w:fldCharType="separate"/>
          </w:r>
          <w:r>
            <w:rPr>
              <w:rFonts w:hint="eastAsia" w:ascii="Times New Roman" w:eastAsia="黑体" w:cs="Times New Roman"/>
              <w:szCs w:val="24"/>
              <w:lang w:val="en-US" w:eastAsia="zh-CN"/>
            </w:rPr>
            <w:t>4.8包装、标识及交付要求</w:t>
          </w:r>
          <w:r>
            <w:tab/>
          </w:r>
          <w:r>
            <w:fldChar w:fldCharType="begin"/>
          </w:r>
          <w:r>
            <w:instrText xml:space="preserve"> PAGEREF _Toc8784 \h </w:instrText>
          </w:r>
          <w:r>
            <w:fldChar w:fldCharType="separate"/>
          </w:r>
          <w:r>
            <w:t>10</w:t>
          </w:r>
          <w:r>
            <w:fldChar w:fldCharType="end"/>
          </w:r>
          <w:r>
            <w:rPr>
              <w:color w:val="000000" w:themeColor="text1"/>
              <w14:textFill>
                <w14:solidFill>
                  <w14:schemeClr w14:val="tx1"/>
                </w14:solidFill>
              </w14:textFill>
            </w:rPr>
            <w:fldChar w:fldCharType="end"/>
          </w:r>
        </w:p>
        <w:p w14:paraId="14DF83BB">
          <w:pPr>
            <w:pStyle w:val="21"/>
            <w:tabs>
              <w:tab w:val="right" w:leader="dot" w:pos="8312"/>
            </w:tabs>
          </w:pPr>
          <w:r>
            <w:rPr>
              <w:color w:val="000000" w:themeColor="text1"/>
              <w14:textFill>
                <w14:solidFill>
                  <w14:schemeClr w14:val="tx1"/>
                </w14:solidFill>
              </w14:textFill>
            </w:rPr>
            <w:fldChar w:fldCharType="begin"/>
          </w:r>
          <w:r>
            <w:instrText xml:space="preserve"> HYPERLINK \l _Toc26697 </w:instrText>
          </w:r>
          <w:r>
            <w:fldChar w:fldCharType="separate"/>
          </w:r>
          <w:r>
            <w:rPr>
              <w:rFonts w:hint="default" w:ascii="Times New Roman" w:hAnsi="Times New Roman" w:cs="Times New Roman"/>
              <w:szCs w:val="24"/>
              <w:lang w:val="en-US" w:eastAsia="zh-CN"/>
            </w:rPr>
            <w:t>5</w:t>
          </w:r>
          <w:r>
            <w:rPr>
              <w:rFonts w:hint="eastAsia"/>
              <w:szCs w:val="24"/>
              <w:lang w:val="en-US" w:eastAsia="zh-CN"/>
            </w:rPr>
            <w:t>试验与检测要求</w:t>
          </w:r>
          <w:r>
            <w:tab/>
          </w:r>
          <w:r>
            <w:fldChar w:fldCharType="begin"/>
          </w:r>
          <w:r>
            <w:instrText xml:space="preserve"> PAGEREF _Toc26697 \h </w:instrText>
          </w:r>
          <w:r>
            <w:fldChar w:fldCharType="separate"/>
          </w:r>
          <w:r>
            <w:t>10</w:t>
          </w:r>
          <w:r>
            <w:fldChar w:fldCharType="end"/>
          </w:r>
          <w:r>
            <w:rPr>
              <w:color w:val="000000" w:themeColor="text1"/>
              <w14:textFill>
                <w14:solidFill>
                  <w14:schemeClr w14:val="tx1"/>
                </w14:solidFill>
              </w14:textFill>
            </w:rPr>
            <w:fldChar w:fldCharType="end"/>
          </w:r>
        </w:p>
        <w:p w14:paraId="4161A73C">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_Toc29939 </w:instrText>
          </w:r>
          <w:r>
            <w:fldChar w:fldCharType="separate"/>
          </w:r>
          <w:r>
            <w:rPr>
              <w:rFonts w:hint="eastAsia" w:ascii="Times New Roman" w:eastAsia="黑体" w:cs="Times New Roman"/>
              <w:szCs w:val="24"/>
              <w:lang w:val="en-US" w:eastAsia="zh-CN"/>
            </w:rPr>
            <w:t>5.1 原材料检验</w:t>
          </w:r>
          <w:r>
            <w:tab/>
          </w:r>
          <w:r>
            <w:fldChar w:fldCharType="begin"/>
          </w:r>
          <w:r>
            <w:instrText xml:space="preserve"> PAGEREF _Toc29939 \h </w:instrText>
          </w:r>
          <w:r>
            <w:fldChar w:fldCharType="separate"/>
          </w:r>
          <w:r>
            <w:t>10</w:t>
          </w:r>
          <w:r>
            <w:fldChar w:fldCharType="end"/>
          </w:r>
          <w:r>
            <w:rPr>
              <w:color w:val="000000" w:themeColor="text1"/>
              <w14:textFill>
                <w14:solidFill>
                  <w14:schemeClr w14:val="tx1"/>
                </w14:solidFill>
              </w14:textFill>
            </w:rPr>
            <w:fldChar w:fldCharType="end"/>
          </w:r>
        </w:p>
        <w:p w14:paraId="7B0AE720">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_Toc27563 </w:instrText>
          </w:r>
          <w:r>
            <w:fldChar w:fldCharType="separate"/>
          </w:r>
          <w:r>
            <w:rPr>
              <w:rFonts w:hint="eastAsia" w:ascii="Times New Roman" w:eastAsia="黑体" w:cs="Times New Roman"/>
              <w:szCs w:val="24"/>
              <w:lang w:val="en-US" w:eastAsia="zh-CN"/>
            </w:rPr>
            <w:t>5.2 过程检验</w:t>
          </w:r>
          <w:r>
            <w:tab/>
          </w:r>
          <w:r>
            <w:fldChar w:fldCharType="begin"/>
          </w:r>
          <w:r>
            <w:instrText xml:space="preserve"> PAGEREF _Toc27563 \h </w:instrText>
          </w:r>
          <w:r>
            <w:fldChar w:fldCharType="separate"/>
          </w:r>
          <w:r>
            <w:t>10</w:t>
          </w:r>
          <w:r>
            <w:fldChar w:fldCharType="end"/>
          </w:r>
          <w:r>
            <w:rPr>
              <w:color w:val="000000" w:themeColor="text1"/>
              <w14:textFill>
                <w14:solidFill>
                  <w14:schemeClr w14:val="tx1"/>
                </w14:solidFill>
              </w14:textFill>
            </w:rPr>
            <w:fldChar w:fldCharType="end"/>
          </w:r>
        </w:p>
        <w:p w14:paraId="5BA05657">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_Toc18449 </w:instrText>
          </w:r>
          <w:r>
            <w:fldChar w:fldCharType="separate"/>
          </w:r>
          <w:r>
            <w:rPr>
              <w:rFonts w:hint="eastAsia" w:ascii="Times New Roman" w:eastAsia="黑体" w:cs="Times New Roman"/>
              <w:szCs w:val="24"/>
              <w:lang w:val="en-US" w:eastAsia="zh-CN"/>
            </w:rPr>
            <w:t>5.3 出厂试验</w:t>
          </w:r>
          <w:r>
            <w:tab/>
          </w:r>
          <w:r>
            <w:fldChar w:fldCharType="begin"/>
          </w:r>
          <w:r>
            <w:instrText xml:space="preserve"> PAGEREF _Toc18449 \h </w:instrText>
          </w:r>
          <w:r>
            <w:fldChar w:fldCharType="separate"/>
          </w:r>
          <w:r>
            <w:t>11</w:t>
          </w:r>
          <w:r>
            <w:fldChar w:fldCharType="end"/>
          </w:r>
          <w:r>
            <w:rPr>
              <w:color w:val="000000" w:themeColor="text1"/>
              <w14:textFill>
                <w14:solidFill>
                  <w14:schemeClr w14:val="tx1"/>
                </w14:solidFill>
              </w14:textFill>
            </w:rPr>
            <w:fldChar w:fldCharType="end"/>
          </w:r>
        </w:p>
        <w:p w14:paraId="020B2A9E">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_Toc27939 </w:instrText>
          </w:r>
          <w:r>
            <w:fldChar w:fldCharType="separate"/>
          </w:r>
          <w:r>
            <w:rPr>
              <w:rFonts w:hint="eastAsia" w:ascii="Times New Roman" w:eastAsia="黑体" w:cs="Times New Roman"/>
              <w:szCs w:val="24"/>
              <w:lang w:val="en-US" w:eastAsia="zh-CN"/>
            </w:rPr>
            <w:t>5.4 型式试验</w:t>
          </w:r>
          <w:r>
            <w:tab/>
          </w:r>
          <w:r>
            <w:fldChar w:fldCharType="begin"/>
          </w:r>
          <w:r>
            <w:instrText xml:space="preserve"> PAGEREF _Toc27939 \h </w:instrText>
          </w:r>
          <w:r>
            <w:fldChar w:fldCharType="separate"/>
          </w:r>
          <w:r>
            <w:t>11</w:t>
          </w:r>
          <w:r>
            <w:fldChar w:fldCharType="end"/>
          </w:r>
          <w:r>
            <w:rPr>
              <w:color w:val="000000" w:themeColor="text1"/>
              <w14:textFill>
                <w14:solidFill>
                  <w14:schemeClr w14:val="tx1"/>
                </w14:solidFill>
              </w14:textFill>
            </w:rPr>
            <w:fldChar w:fldCharType="end"/>
          </w:r>
        </w:p>
        <w:p w14:paraId="140DF8B5">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_Toc6988 </w:instrText>
          </w:r>
          <w:r>
            <w:fldChar w:fldCharType="separate"/>
          </w:r>
          <w:r>
            <w:rPr>
              <w:rFonts w:hint="eastAsia" w:ascii="Times New Roman" w:eastAsia="黑体" w:cs="Times New Roman"/>
              <w:szCs w:val="24"/>
              <w:lang w:val="en-US" w:eastAsia="zh-CN"/>
            </w:rPr>
            <w:t>5.5 到货验收试验</w:t>
          </w:r>
          <w:r>
            <w:tab/>
          </w:r>
          <w:r>
            <w:fldChar w:fldCharType="begin"/>
          </w:r>
          <w:r>
            <w:instrText xml:space="preserve"> PAGEREF _Toc6988 \h </w:instrText>
          </w:r>
          <w:r>
            <w:fldChar w:fldCharType="separate"/>
          </w:r>
          <w:r>
            <w:t>11</w:t>
          </w:r>
          <w:r>
            <w:fldChar w:fldCharType="end"/>
          </w:r>
          <w:r>
            <w:rPr>
              <w:color w:val="000000" w:themeColor="text1"/>
              <w14:textFill>
                <w14:solidFill>
                  <w14:schemeClr w14:val="tx1"/>
                </w14:solidFill>
              </w14:textFill>
            </w:rPr>
            <w:fldChar w:fldCharType="end"/>
          </w:r>
        </w:p>
        <w:p w14:paraId="501320F7">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_Toc5152 </w:instrText>
          </w:r>
          <w:r>
            <w:fldChar w:fldCharType="separate"/>
          </w:r>
          <w:r>
            <w:rPr>
              <w:rFonts w:hint="eastAsia" w:ascii="Times New Roman" w:eastAsia="黑体" w:cs="Times New Roman"/>
              <w:szCs w:val="24"/>
              <w:lang w:val="en-US" w:eastAsia="zh-CN"/>
            </w:rPr>
            <w:t>5.6 合格判定标准</w:t>
          </w:r>
          <w:r>
            <w:tab/>
          </w:r>
          <w:r>
            <w:fldChar w:fldCharType="begin"/>
          </w:r>
          <w:r>
            <w:instrText xml:space="preserve"> PAGEREF _Toc5152 \h </w:instrText>
          </w:r>
          <w:r>
            <w:fldChar w:fldCharType="separate"/>
          </w:r>
          <w:r>
            <w:t>12</w:t>
          </w:r>
          <w:r>
            <w:fldChar w:fldCharType="end"/>
          </w:r>
          <w:r>
            <w:rPr>
              <w:color w:val="000000" w:themeColor="text1"/>
              <w14:textFill>
                <w14:solidFill>
                  <w14:schemeClr w14:val="tx1"/>
                </w14:solidFill>
              </w14:textFill>
            </w:rPr>
            <w:fldChar w:fldCharType="end"/>
          </w:r>
        </w:p>
        <w:p w14:paraId="24229141">
          <w:pPr>
            <w:pStyle w:val="21"/>
            <w:tabs>
              <w:tab w:val="right" w:leader="dot" w:pos="8312"/>
            </w:tabs>
          </w:pPr>
          <w:r>
            <w:rPr>
              <w:color w:val="000000" w:themeColor="text1"/>
              <w14:textFill>
                <w14:solidFill>
                  <w14:schemeClr w14:val="tx1"/>
                </w14:solidFill>
              </w14:textFill>
            </w:rPr>
            <w:fldChar w:fldCharType="begin"/>
          </w:r>
          <w:r>
            <w:instrText xml:space="preserve"> HYPERLINK \l _Toc19814 </w:instrText>
          </w:r>
          <w:r>
            <w:fldChar w:fldCharType="separate"/>
          </w:r>
          <w:r>
            <w:rPr>
              <w:rFonts w:hint="default" w:ascii="Times New Roman" w:hAnsi="Times New Roman" w:cs="Times New Roman"/>
              <w:szCs w:val="24"/>
              <w:lang w:val="en-US" w:eastAsia="zh-CN"/>
            </w:rPr>
            <w:t xml:space="preserve">6 </w:t>
          </w:r>
          <w:r>
            <w:rPr>
              <w:rFonts w:hint="eastAsia"/>
              <w:szCs w:val="24"/>
              <w:lang w:val="en-US" w:eastAsia="zh-CN"/>
            </w:rPr>
            <w:t>质量保证要求</w:t>
          </w:r>
          <w:r>
            <w:tab/>
          </w:r>
          <w:r>
            <w:fldChar w:fldCharType="begin"/>
          </w:r>
          <w:r>
            <w:instrText xml:space="preserve"> PAGEREF _Toc19814 \h </w:instrText>
          </w:r>
          <w:r>
            <w:fldChar w:fldCharType="separate"/>
          </w:r>
          <w:r>
            <w:t>12</w:t>
          </w:r>
          <w:r>
            <w:fldChar w:fldCharType="end"/>
          </w:r>
          <w:r>
            <w:rPr>
              <w:color w:val="000000" w:themeColor="text1"/>
              <w14:textFill>
                <w14:solidFill>
                  <w14:schemeClr w14:val="tx1"/>
                </w14:solidFill>
              </w14:textFill>
            </w:rPr>
            <w:fldChar w:fldCharType="end"/>
          </w:r>
        </w:p>
        <w:p w14:paraId="239446CE">
          <w:pPr>
            <w:pStyle w:val="21"/>
            <w:tabs>
              <w:tab w:val="right" w:leader="dot" w:pos="8312"/>
            </w:tabs>
          </w:pPr>
          <w:r>
            <w:rPr>
              <w:color w:val="000000" w:themeColor="text1"/>
              <w14:textFill>
                <w14:solidFill>
                  <w14:schemeClr w14:val="tx1"/>
                </w14:solidFill>
              </w14:textFill>
            </w:rPr>
            <w:fldChar w:fldCharType="begin"/>
          </w:r>
          <w:r>
            <w:instrText xml:space="preserve"> HYPERLINK \l _Toc27969 </w:instrText>
          </w:r>
          <w:r>
            <w:fldChar w:fldCharType="separate"/>
          </w:r>
          <w:r>
            <w:rPr>
              <w:rFonts w:hint="default" w:ascii="Times New Roman" w:hAnsi="Times New Roman" w:cs="Times New Roman"/>
              <w:szCs w:val="24"/>
              <w:lang w:val="en-US" w:eastAsia="zh-CN"/>
            </w:rPr>
            <w:t>7</w:t>
          </w:r>
          <w:r>
            <w:rPr>
              <w:rFonts w:hint="eastAsia"/>
              <w:szCs w:val="24"/>
              <w:lang w:val="en-US" w:eastAsia="zh-CN"/>
            </w:rPr>
            <w:t xml:space="preserve"> 包装、运输及储存要求</w:t>
          </w:r>
          <w:r>
            <w:tab/>
          </w:r>
          <w:r>
            <w:fldChar w:fldCharType="begin"/>
          </w:r>
          <w:r>
            <w:instrText xml:space="preserve"> PAGEREF _Toc27969 \h </w:instrText>
          </w:r>
          <w:r>
            <w:fldChar w:fldCharType="separate"/>
          </w:r>
          <w:r>
            <w:t>12</w:t>
          </w:r>
          <w:r>
            <w:fldChar w:fldCharType="end"/>
          </w:r>
          <w:r>
            <w:rPr>
              <w:color w:val="000000" w:themeColor="text1"/>
              <w14:textFill>
                <w14:solidFill>
                  <w14:schemeClr w14:val="tx1"/>
                </w14:solidFill>
              </w14:textFill>
            </w:rPr>
            <w:fldChar w:fldCharType="end"/>
          </w:r>
        </w:p>
        <w:p w14:paraId="59FEA780">
          <w:pPr>
            <w:pStyle w:val="21"/>
            <w:tabs>
              <w:tab w:val="right" w:leader="dot" w:pos="8312"/>
            </w:tabs>
          </w:pPr>
          <w:r>
            <w:rPr>
              <w:color w:val="000000" w:themeColor="text1"/>
              <w14:textFill>
                <w14:solidFill>
                  <w14:schemeClr w14:val="tx1"/>
                </w14:solidFill>
              </w14:textFill>
            </w:rPr>
            <w:fldChar w:fldCharType="begin"/>
          </w:r>
          <w:r>
            <w:instrText xml:space="preserve"> HYPERLINK \l _Toc17881 </w:instrText>
          </w:r>
          <w:r>
            <w:fldChar w:fldCharType="separate"/>
          </w:r>
          <w:r>
            <w:rPr>
              <w:rFonts w:hint="default" w:ascii="Times New Roman" w:hAnsi="Times New Roman" w:cs="Times New Roman"/>
              <w:szCs w:val="24"/>
              <w:lang w:val="en-US" w:eastAsia="zh-CN"/>
            </w:rPr>
            <w:t>8</w:t>
          </w:r>
          <w:r>
            <w:rPr>
              <w:rFonts w:hint="eastAsia"/>
              <w:szCs w:val="24"/>
              <w:lang w:val="en-US" w:eastAsia="zh-CN"/>
            </w:rPr>
            <w:t xml:space="preserve"> 安装、调试及技术支持要求</w:t>
          </w:r>
          <w:r>
            <w:tab/>
          </w:r>
          <w:r>
            <w:fldChar w:fldCharType="begin"/>
          </w:r>
          <w:r>
            <w:instrText xml:space="preserve"> PAGEREF _Toc17881 \h </w:instrText>
          </w:r>
          <w:r>
            <w:fldChar w:fldCharType="separate"/>
          </w:r>
          <w:r>
            <w:t>13</w:t>
          </w:r>
          <w:r>
            <w:fldChar w:fldCharType="end"/>
          </w:r>
          <w:r>
            <w:rPr>
              <w:color w:val="000000" w:themeColor="text1"/>
              <w14:textFill>
                <w14:solidFill>
                  <w14:schemeClr w14:val="tx1"/>
                </w14:solidFill>
              </w14:textFill>
            </w:rPr>
            <w:fldChar w:fldCharType="end"/>
          </w:r>
        </w:p>
        <w:p w14:paraId="6012F8EA">
          <w:pPr>
            <w:pStyle w:val="21"/>
            <w:tabs>
              <w:tab w:val="right" w:leader="dot" w:pos="8312"/>
            </w:tabs>
          </w:pPr>
          <w:r>
            <w:rPr>
              <w:color w:val="000000" w:themeColor="text1"/>
              <w14:textFill>
                <w14:solidFill>
                  <w14:schemeClr w14:val="tx1"/>
                </w14:solidFill>
              </w14:textFill>
            </w:rPr>
            <w:fldChar w:fldCharType="begin"/>
          </w:r>
          <w:r>
            <w:instrText xml:space="preserve"> HYPERLINK \l _Toc518 </w:instrText>
          </w:r>
          <w:r>
            <w:fldChar w:fldCharType="separate"/>
          </w:r>
          <w:r>
            <w:rPr>
              <w:rFonts w:hint="default" w:ascii="Times New Roman" w:hAnsi="Times New Roman" w:cs="Times New Roman"/>
              <w:szCs w:val="24"/>
              <w:lang w:val="en-US" w:eastAsia="zh-CN"/>
            </w:rPr>
            <w:t>9</w:t>
          </w:r>
          <w:r>
            <w:rPr>
              <w:rFonts w:hint="eastAsia"/>
              <w:szCs w:val="24"/>
              <w:lang w:val="en-US" w:eastAsia="zh-CN"/>
            </w:rPr>
            <w:t xml:space="preserve"> 交付技术资料要求</w:t>
          </w:r>
          <w:r>
            <w:tab/>
          </w:r>
          <w:r>
            <w:fldChar w:fldCharType="begin"/>
          </w:r>
          <w:r>
            <w:instrText xml:space="preserve"> PAGEREF _Toc518 \h </w:instrText>
          </w:r>
          <w:r>
            <w:fldChar w:fldCharType="separate"/>
          </w:r>
          <w:r>
            <w:t>13</w:t>
          </w:r>
          <w:r>
            <w:fldChar w:fldCharType="end"/>
          </w:r>
          <w:r>
            <w:rPr>
              <w:color w:val="000000" w:themeColor="text1"/>
              <w14:textFill>
                <w14:solidFill>
                  <w14:schemeClr w14:val="tx1"/>
                </w14:solidFill>
              </w14:textFill>
            </w:rPr>
            <w:fldChar w:fldCharType="end"/>
          </w:r>
        </w:p>
        <w:p w14:paraId="25BE419E">
          <w:pPr>
            <w:pStyle w:val="21"/>
            <w:tabs>
              <w:tab w:val="right" w:leader="dot" w:pos="8312"/>
            </w:tabs>
          </w:pPr>
          <w:r>
            <w:rPr>
              <w:color w:val="000000" w:themeColor="text1"/>
              <w14:textFill>
                <w14:solidFill>
                  <w14:schemeClr w14:val="tx1"/>
                </w14:solidFill>
              </w14:textFill>
            </w:rPr>
            <w:fldChar w:fldCharType="begin"/>
          </w:r>
          <w:r>
            <w:instrText xml:space="preserve"> HYPERLINK \l _Toc28752 </w:instrText>
          </w:r>
          <w:r>
            <w:fldChar w:fldCharType="separate"/>
          </w:r>
          <w:r>
            <w:rPr>
              <w:rFonts w:hint="default" w:ascii="Times New Roman" w:hAnsi="Times New Roman" w:cs="Times New Roman"/>
              <w:szCs w:val="24"/>
              <w:lang w:val="en-US" w:eastAsia="zh-CN"/>
            </w:rPr>
            <w:t>10</w:t>
          </w:r>
          <w:r>
            <w:rPr>
              <w:rFonts w:hint="eastAsia"/>
              <w:szCs w:val="24"/>
              <w:lang w:val="en-US" w:eastAsia="zh-CN"/>
            </w:rPr>
            <w:t xml:space="preserve"> 验收标准及验收流程</w:t>
          </w:r>
          <w:r>
            <w:tab/>
          </w:r>
          <w:r>
            <w:fldChar w:fldCharType="begin"/>
          </w:r>
          <w:r>
            <w:instrText xml:space="preserve"> PAGEREF _Toc28752 \h </w:instrText>
          </w:r>
          <w:r>
            <w:fldChar w:fldCharType="separate"/>
          </w:r>
          <w:r>
            <w:t>13</w:t>
          </w:r>
          <w:r>
            <w:fldChar w:fldCharType="end"/>
          </w:r>
          <w:r>
            <w:rPr>
              <w:color w:val="000000" w:themeColor="text1"/>
              <w14:textFill>
                <w14:solidFill>
                  <w14:schemeClr w14:val="tx1"/>
                </w14:solidFill>
              </w14:textFill>
            </w:rPr>
            <w:fldChar w:fldCharType="end"/>
          </w:r>
        </w:p>
        <w:p w14:paraId="6D587F7E">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_Toc7923 </w:instrText>
          </w:r>
          <w:r>
            <w:fldChar w:fldCharType="separate"/>
          </w:r>
          <w:r>
            <w:rPr>
              <w:rFonts w:hint="eastAsia" w:ascii="Times New Roman" w:eastAsia="黑体" w:cs="Times New Roman"/>
              <w:szCs w:val="24"/>
              <w:lang w:val="en-US" w:eastAsia="zh-CN"/>
            </w:rPr>
            <w:t>10.1 验收依据</w:t>
          </w:r>
          <w:r>
            <w:tab/>
          </w:r>
          <w:r>
            <w:fldChar w:fldCharType="begin"/>
          </w:r>
          <w:r>
            <w:instrText xml:space="preserve"> PAGEREF _Toc7923 \h </w:instrText>
          </w:r>
          <w:r>
            <w:fldChar w:fldCharType="separate"/>
          </w:r>
          <w:r>
            <w:t>13</w:t>
          </w:r>
          <w:r>
            <w:fldChar w:fldCharType="end"/>
          </w:r>
          <w:r>
            <w:rPr>
              <w:color w:val="000000" w:themeColor="text1"/>
              <w14:textFill>
                <w14:solidFill>
                  <w14:schemeClr w14:val="tx1"/>
                </w14:solidFill>
              </w14:textFill>
            </w:rPr>
            <w:fldChar w:fldCharType="end"/>
          </w:r>
        </w:p>
        <w:p w14:paraId="2275EB63">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_Toc16568 </w:instrText>
          </w:r>
          <w:r>
            <w:fldChar w:fldCharType="separate"/>
          </w:r>
          <w:r>
            <w:rPr>
              <w:rFonts w:hint="eastAsia" w:ascii="Times New Roman" w:eastAsia="黑体" w:cs="Times New Roman"/>
              <w:szCs w:val="24"/>
              <w:lang w:val="en-US" w:eastAsia="zh-CN"/>
            </w:rPr>
            <w:t>10.2 验收阶段</w:t>
          </w:r>
          <w:r>
            <w:tab/>
          </w:r>
          <w:r>
            <w:fldChar w:fldCharType="begin"/>
          </w:r>
          <w:r>
            <w:instrText xml:space="preserve"> PAGEREF _Toc16568 \h </w:instrText>
          </w:r>
          <w:r>
            <w:fldChar w:fldCharType="separate"/>
          </w:r>
          <w:r>
            <w:t>13</w:t>
          </w:r>
          <w:r>
            <w:fldChar w:fldCharType="end"/>
          </w:r>
          <w:r>
            <w:rPr>
              <w:color w:val="000000" w:themeColor="text1"/>
              <w14:textFill>
                <w14:solidFill>
                  <w14:schemeClr w14:val="tx1"/>
                </w14:solidFill>
              </w14:textFill>
            </w:rPr>
            <w:fldChar w:fldCharType="end"/>
          </w:r>
        </w:p>
        <w:p w14:paraId="5FC36FA4">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_Toc17361 </w:instrText>
          </w:r>
          <w:r>
            <w:fldChar w:fldCharType="separate"/>
          </w:r>
          <w:r>
            <w:rPr>
              <w:rFonts w:hint="eastAsia" w:ascii="Times New Roman" w:eastAsia="黑体" w:cs="Times New Roman"/>
              <w:szCs w:val="24"/>
              <w:lang w:val="en-US" w:eastAsia="zh-CN"/>
            </w:rPr>
            <w:t>10.3 验收合格判定</w:t>
          </w:r>
          <w:r>
            <w:tab/>
          </w:r>
          <w:r>
            <w:fldChar w:fldCharType="begin"/>
          </w:r>
          <w:r>
            <w:instrText xml:space="preserve"> PAGEREF _Toc17361 \h </w:instrText>
          </w:r>
          <w:r>
            <w:fldChar w:fldCharType="separate"/>
          </w:r>
          <w:r>
            <w:t>14</w:t>
          </w:r>
          <w:r>
            <w:fldChar w:fldCharType="end"/>
          </w:r>
          <w:r>
            <w:rPr>
              <w:color w:val="000000" w:themeColor="text1"/>
              <w14:textFill>
                <w14:solidFill>
                  <w14:schemeClr w14:val="tx1"/>
                </w14:solidFill>
              </w14:textFill>
            </w:rPr>
            <w:fldChar w:fldCharType="end"/>
          </w:r>
        </w:p>
        <w:p w14:paraId="0395D819">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_Toc27904 </w:instrText>
          </w:r>
          <w:r>
            <w:fldChar w:fldCharType="separate"/>
          </w:r>
          <w:r>
            <w:rPr>
              <w:rFonts w:hint="eastAsia" w:ascii="Times New Roman" w:eastAsia="黑体" w:cs="Times New Roman"/>
              <w:szCs w:val="24"/>
              <w:lang w:val="en-US" w:eastAsia="zh-CN"/>
            </w:rPr>
            <w:t>10.4 不合格处理</w:t>
          </w:r>
          <w:r>
            <w:tab/>
          </w:r>
          <w:r>
            <w:fldChar w:fldCharType="begin"/>
          </w:r>
          <w:r>
            <w:instrText xml:space="preserve"> PAGEREF _Toc27904 \h </w:instrText>
          </w:r>
          <w:r>
            <w:fldChar w:fldCharType="separate"/>
          </w:r>
          <w:r>
            <w:t>14</w:t>
          </w:r>
          <w:r>
            <w:fldChar w:fldCharType="end"/>
          </w:r>
          <w:r>
            <w:rPr>
              <w:color w:val="000000" w:themeColor="text1"/>
              <w14:textFill>
                <w14:solidFill>
                  <w14:schemeClr w14:val="tx1"/>
                </w14:solidFill>
              </w14:textFill>
            </w:rPr>
            <w:fldChar w:fldCharType="end"/>
          </w:r>
        </w:p>
        <w:p w14:paraId="64BCBE54">
          <w:pPr>
            <w:pStyle w:val="21"/>
            <w:tabs>
              <w:tab w:val="right" w:leader="dot" w:pos="8312"/>
            </w:tabs>
          </w:pPr>
          <w:r>
            <w:rPr>
              <w:color w:val="000000" w:themeColor="text1"/>
              <w14:textFill>
                <w14:solidFill>
                  <w14:schemeClr w14:val="tx1"/>
                </w14:solidFill>
              </w14:textFill>
            </w:rPr>
            <w:fldChar w:fldCharType="begin"/>
          </w:r>
          <w:r>
            <w:instrText xml:space="preserve"> HYPERLINK \l _Toc22258 </w:instrText>
          </w:r>
          <w:r>
            <w:fldChar w:fldCharType="separate"/>
          </w:r>
          <w:r>
            <w:rPr>
              <w:rFonts w:hint="eastAsia"/>
              <w:szCs w:val="24"/>
              <w:lang w:val="en-US" w:eastAsia="zh-CN"/>
            </w:rPr>
            <w:t>11 框架采购专项要求</w:t>
          </w:r>
          <w:r>
            <w:tab/>
          </w:r>
          <w:r>
            <w:fldChar w:fldCharType="begin"/>
          </w:r>
          <w:r>
            <w:instrText xml:space="preserve"> PAGEREF _Toc22258 \h </w:instrText>
          </w:r>
          <w:r>
            <w:fldChar w:fldCharType="separate"/>
          </w:r>
          <w:r>
            <w:t>14</w:t>
          </w:r>
          <w:r>
            <w:fldChar w:fldCharType="end"/>
          </w:r>
          <w:r>
            <w:rPr>
              <w:color w:val="000000" w:themeColor="text1"/>
              <w14:textFill>
                <w14:solidFill>
                  <w14:schemeClr w14:val="tx1"/>
                </w14:solidFill>
              </w14:textFill>
            </w:rPr>
            <w:fldChar w:fldCharType="end"/>
          </w:r>
        </w:p>
        <w:p w14:paraId="3F7AA8D8">
          <w:pPr>
            <w:pStyle w:val="21"/>
            <w:tabs>
              <w:tab w:val="right" w:leader="dot" w:pos="8312"/>
            </w:tabs>
          </w:pPr>
          <w:r>
            <w:rPr>
              <w:color w:val="000000" w:themeColor="text1"/>
              <w14:textFill>
                <w14:solidFill>
                  <w14:schemeClr w14:val="tx1"/>
                </w14:solidFill>
              </w14:textFill>
            </w:rPr>
            <w:fldChar w:fldCharType="begin"/>
          </w:r>
          <w:r>
            <w:instrText xml:space="preserve"> HYPERLINK \l _Toc12746 </w:instrText>
          </w:r>
          <w:r>
            <w:fldChar w:fldCharType="separate"/>
          </w:r>
          <w:r>
            <w:rPr>
              <w:rFonts w:hint="eastAsia"/>
              <w:szCs w:val="24"/>
              <w:lang w:val="en-US" w:eastAsia="zh-CN"/>
            </w:rPr>
            <w:t>12 其他要求</w:t>
          </w:r>
          <w:r>
            <w:tab/>
          </w:r>
          <w:r>
            <w:fldChar w:fldCharType="begin"/>
          </w:r>
          <w:r>
            <w:instrText xml:space="preserve"> PAGEREF _Toc12746 \h </w:instrText>
          </w:r>
          <w:r>
            <w:fldChar w:fldCharType="separate"/>
          </w:r>
          <w:r>
            <w:t>15</w:t>
          </w:r>
          <w:r>
            <w:fldChar w:fldCharType="end"/>
          </w:r>
          <w:r>
            <w:rPr>
              <w:color w:val="000000" w:themeColor="text1"/>
              <w14:textFill>
                <w14:solidFill>
                  <w14:schemeClr w14:val="tx1"/>
                </w14:solidFill>
              </w14:textFill>
            </w:rPr>
            <w:fldChar w:fldCharType="end"/>
          </w:r>
        </w:p>
        <w:p w14:paraId="72DDF427">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_Toc15272 </w:instrText>
          </w:r>
          <w:r>
            <w:fldChar w:fldCharType="separate"/>
          </w:r>
          <w:r>
            <w:rPr>
              <w:rFonts w:hint="eastAsia" w:ascii="Times New Roman" w:eastAsia="黑体" w:cs="Times New Roman"/>
              <w:szCs w:val="24"/>
              <w:lang w:val="en-US" w:eastAsia="zh-CN"/>
            </w:rPr>
            <w:t>12.1 知识产权</w:t>
          </w:r>
          <w:r>
            <w:tab/>
          </w:r>
          <w:r>
            <w:fldChar w:fldCharType="begin"/>
          </w:r>
          <w:r>
            <w:instrText xml:space="preserve"> PAGEREF _Toc15272 \h </w:instrText>
          </w:r>
          <w:r>
            <w:fldChar w:fldCharType="separate"/>
          </w:r>
          <w:r>
            <w:t>15</w:t>
          </w:r>
          <w:r>
            <w:fldChar w:fldCharType="end"/>
          </w:r>
          <w:r>
            <w:rPr>
              <w:color w:val="000000" w:themeColor="text1"/>
              <w14:textFill>
                <w14:solidFill>
                  <w14:schemeClr w14:val="tx1"/>
                </w14:solidFill>
              </w14:textFill>
            </w:rPr>
            <w:fldChar w:fldCharType="end"/>
          </w:r>
        </w:p>
        <w:p w14:paraId="2EBAC1DF">
          <w:pPr>
            <w:pStyle w:val="23"/>
            <w:tabs>
              <w:tab w:val="right" w:leader="dot" w:pos="8312"/>
              <w:tab w:val="clear" w:pos="900"/>
              <w:tab w:val="clear" w:pos="8296"/>
            </w:tabs>
          </w:pPr>
          <w:r>
            <w:rPr>
              <w:color w:val="000000" w:themeColor="text1"/>
              <w14:textFill>
                <w14:solidFill>
                  <w14:schemeClr w14:val="tx1"/>
                </w14:solidFill>
              </w14:textFill>
            </w:rPr>
            <w:fldChar w:fldCharType="begin"/>
          </w:r>
          <w:r>
            <w:instrText xml:space="preserve"> HYPERLINK \l _Toc24975 </w:instrText>
          </w:r>
          <w:r>
            <w:fldChar w:fldCharType="separate"/>
          </w:r>
          <w:r>
            <w:rPr>
              <w:rFonts w:hint="eastAsia" w:ascii="Times New Roman" w:eastAsia="黑体" w:cs="Times New Roman"/>
              <w:szCs w:val="24"/>
              <w:lang w:val="en-US" w:eastAsia="zh-CN"/>
            </w:rPr>
            <w:t>12.2 保密要求</w:t>
          </w:r>
          <w:r>
            <w:tab/>
          </w:r>
          <w:r>
            <w:fldChar w:fldCharType="begin"/>
          </w:r>
          <w:r>
            <w:instrText xml:space="preserve"> PAGEREF _Toc24975 \h </w:instrText>
          </w:r>
          <w:r>
            <w:fldChar w:fldCharType="separate"/>
          </w:r>
          <w:r>
            <w:t>15</w:t>
          </w:r>
          <w:r>
            <w:fldChar w:fldCharType="end"/>
          </w:r>
          <w:r>
            <w:rPr>
              <w:color w:val="000000" w:themeColor="text1"/>
              <w14:textFill>
                <w14:solidFill>
                  <w14:schemeClr w14:val="tx1"/>
                </w14:solidFill>
              </w14:textFill>
            </w:rPr>
            <w:fldChar w:fldCharType="end"/>
          </w:r>
        </w:p>
        <w:p w14:paraId="1C1259FF">
          <w:pPr>
            <w:pStyle w:val="21"/>
            <w:tabs>
              <w:tab w:val="right" w:leader="dot" w:pos="8312"/>
            </w:tabs>
          </w:pPr>
          <w:r>
            <w:rPr>
              <w:color w:val="000000" w:themeColor="text1"/>
              <w14:textFill>
                <w14:solidFill>
                  <w14:schemeClr w14:val="tx1"/>
                </w14:solidFill>
              </w14:textFill>
            </w:rPr>
            <w:fldChar w:fldCharType="begin"/>
          </w:r>
          <w:r>
            <w:instrText xml:space="preserve"> HYPERLINK \l _Toc11590 </w:instrText>
          </w:r>
          <w:r>
            <w:fldChar w:fldCharType="separate"/>
          </w:r>
          <w:r>
            <w:rPr>
              <w:rFonts w:hint="default" w:ascii="Times New Roman" w:hAnsi="Times New Roman" w:cs="Times New Roman"/>
              <w:szCs w:val="24"/>
              <w:lang w:val="en-US" w:eastAsia="zh-CN"/>
            </w:rPr>
            <w:t>1</w:t>
          </w:r>
          <w:r>
            <w:rPr>
              <w:rFonts w:hint="eastAsia" w:ascii="Times New Roman" w:cs="Times New Roman"/>
              <w:szCs w:val="24"/>
              <w:lang w:val="en-US" w:eastAsia="zh-CN"/>
            </w:rPr>
            <w:t>3</w:t>
          </w:r>
          <w:r>
            <w:rPr>
              <w:rFonts w:hint="eastAsia"/>
              <w:szCs w:val="24"/>
              <w:lang w:val="en-US" w:eastAsia="zh-CN"/>
            </w:rPr>
            <w:t>设备技术参数和性能要求响应表</w:t>
          </w:r>
          <w:r>
            <w:tab/>
          </w:r>
          <w:r>
            <w:fldChar w:fldCharType="begin"/>
          </w:r>
          <w:r>
            <w:instrText xml:space="preserve"> PAGEREF _Toc11590 \h </w:instrText>
          </w:r>
          <w:r>
            <w:fldChar w:fldCharType="separate"/>
          </w:r>
          <w:r>
            <w:t>15</w:t>
          </w:r>
          <w:r>
            <w:fldChar w:fldCharType="end"/>
          </w:r>
          <w:r>
            <w:rPr>
              <w:color w:val="000000" w:themeColor="text1"/>
              <w14:textFill>
                <w14:solidFill>
                  <w14:schemeClr w14:val="tx1"/>
                </w14:solidFill>
              </w14:textFill>
            </w:rPr>
            <w:fldChar w:fldCharType="end"/>
          </w:r>
        </w:p>
        <w:p w14:paraId="45D1D17B">
          <w:pPr>
            <w:pStyle w:val="21"/>
            <w:tabs>
              <w:tab w:val="right" w:leader="dot" w:pos="8312"/>
            </w:tabs>
          </w:pPr>
          <w:r>
            <w:rPr>
              <w:color w:val="000000" w:themeColor="text1"/>
              <w14:textFill>
                <w14:solidFill>
                  <w14:schemeClr w14:val="tx1"/>
                </w14:solidFill>
              </w14:textFill>
            </w:rPr>
            <w:fldChar w:fldCharType="begin"/>
          </w:r>
          <w:r>
            <w:instrText xml:space="preserve"> HYPERLINK \l _Toc14859 </w:instrText>
          </w:r>
          <w:r>
            <w:fldChar w:fldCharType="separate"/>
          </w:r>
          <w:r>
            <w:rPr>
              <w:rFonts w:hint="default" w:ascii="Times New Roman" w:hAnsi="Times New Roman" w:eastAsia="宋体" w:cs="Times New Roman"/>
              <w:bCs w:val="0"/>
              <w:i w:val="0"/>
              <w:kern w:val="44"/>
              <w:szCs w:val="24"/>
              <w:lang w:val="en-US" w:eastAsia="zh-CN" w:bidi="ar-SA"/>
            </w:rPr>
            <w:t>1</w:t>
          </w:r>
          <w:r>
            <w:rPr>
              <w:rFonts w:hint="eastAsia" w:ascii="Times New Roman" w:cs="Times New Roman"/>
              <w:bCs w:val="0"/>
              <w:i w:val="0"/>
              <w:kern w:val="44"/>
              <w:szCs w:val="24"/>
              <w:lang w:val="en-US" w:eastAsia="zh-CN" w:bidi="ar-SA"/>
            </w:rPr>
            <w:t>4</w:t>
          </w:r>
          <w:r>
            <w:rPr>
              <w:rFonts w:hint="eastAsia" w:ascii="Times New Roman" w:hAnsi="Times New Roman" w:eastAsia="宋体" w:cs="Times New Roman"/>
              <w:bCs/>
              <w:i w:val="0"/>
              <w:kern w:val="44"/>
              <w:szCs w:val="24"/>
              <w:lang w:val="en-US" w:eastAsia="zh-CN" w:bidi="ar-SA"/>
            </w:rPr>
            <w:t xml:space="preserve"> 技术差异表</w:t>
          </w:r>
          <w:r>
            <w:tab/>
          </w:r>
          <w:r>
            <w:fldChar w:fldCharType="begin"/>
          </w:r>
          <w:r>
            <w:instrText xml:space="preserve"> PAGEREF _Toc14859 \h </w:instrText>
          </w:r>
          <w:r>
            <w:fldChar w:fldCharType="separate"/>
          </w:r>
          <w:r>
            <w:t>16</w:t>
          </w:r>
          <w:r>
            <w:fldChar w:fldCharType="end"/>
          </w:r>
          <w:r>
            <w:rPr>
              <w:color w:val="000000" w:themeColor="text1"/>
              <w14:textFill>
                <w14:solidFill>
                  <w14:schemeClr w14:val="tx1"/>
                </w14:solidFill>
              </w14:textFill>
            </w:rPr>
            <w:fldChar w:fldCharType="end"/>
          </w:r>
        </w:p>
        <w:p w14:paraId="448D381F">
          <w:pPr>
            <w:pStyle w:val="21"/>
            <w:tabs>
              <w:tab w:val="right" w:leader="dot" w:pos="8312"/>
            </w:tabs>
          </w:pPr>
          <w:r>
            <w:rPr>
              <w:color w:val="000000" w:themeColor="text1"/>
              <w14:textFill>
                <w14:solidFill>
                  <w14:schemeClr w14:val="tx1"/>
                </w14:solidFill>
              </w14:textFill>
            </w:rPr>
            <w:fldChar w:fldCharType="begin"/>
          </w:r>
          <w:r>
            <w:instrText xml:space="preserve"> HYPERLINK \l _Toc2923 </w:instrText>
          </w:r>
          <w:r>
            <w:fldChar w:fldCharType="separate"/>
          </w:r>
          <w:r>
            <w:rPr>
              <w:rFonts w:hint="eastAsia" w:ascii="Times New Roman" w:hAnsi="Times New Roman" w:cs="Times New Roman"/>
              <w:bCs w:val="0"/>
              <w:i w:val="0"/>
              <w:kern w:val="44"/>
              <w:szCs w:val="24"/>
              <w:lang w:val="en-US" w:eastAsia="zh-CN" w:bidi="ar-SA"/>
            </w:rPr>
            <w:t>1</w:t>
          </w:r>
          <w:r>
            <w:rPr>
              <w:rFonts w:hint="eastAsia" w:ascii="Times New Roman" w:cs="Times New Roman"/>
              <w:bCs w:val="0"/>
              <w:i w:val="0"/>
              <w:kern w:val="44"/>
              <w:szCs w:val="24"/>
              <w:lang w:val="en-US" w:eastAsia="zh-CN" w:bidi="ar-SA"/>
            </w:rPr>
            <w:t>5</w:t>
          </w:r>
          <w:r>
            <w:rPr>
              <w:rFonts w:hint="default" w:ascii="Times New Roman" w:hAnsi="Times New Roman" w:eastAsia="宋体" w:cs="Times New Roman"/>
              <w:bCs w:val="0"/>
              <w:szCs w:val="24"/>
            </w:rPr>
            <w:t xml:space="preserve"> </w:t>
          </w:r>
          <w:r>
            <w:rPr>
              <w:rFonts w:hint="eastAsia" w:ascii="宋体" w:hAnsi="宋体" w:eastAsia="宋体" w:cs="宋体"/>
              <w:szCs w:val="24"/>
            </w:rPr>
            <w:t>投标方需说明的其他问题</w:t>
          </w:r>
          <w:r>
            <w:tab/>
          </w:r>
          <w:r>
            <w:fldChar w:fldCharType="begin"/>
          </w:r>
          <w:r>
            <w:instrText xml:space="preserve"> PAGEREF _Toc2923 \h </w:instrText>
          </w:r>
          <w:r>
            <w:fldChar w:fldCharType="separate"/>
          </w:r>
          <w:r>
            <w:t>17</w:t>
          </w:r>
          <w:r>
            <w:fldChar w:fldCharType="end"/>
          </w:r>
          <w:r>
            <w:rPr>
              <w:color w:val="000000" w:themeColor="text1"/>
              <w14:textFill>
                <w14:solidFill>
                  <w14:schemeClr w14:val="tx1"/>
                </w14:solidFill>
              </w14:textFill>
            </w:rPr>
            <w:fldChar w:fldCharType="end"/>
          </w:r>
        </w:p>
        <w:p w14:paraId="096BD1A6">
          <w:pPr>
            <w:rPr>
              <w:color w:val="000000" w:themeColor="text1"/>
              <w14:textFill>
                <w14:solidFill>
                  <w14:schemeClr w14:val="tx1"/>
                </w14:solidFill>
              </w14:textFill>
            </w:rPr>
            <w:sectPr>
              <w:headerReference r:id="rId6" w:type="default"/>
              <w:footerReference r:id="rId7"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color w:val="000000" w:themeColor="text1"/>
              <w14:textFill>
                <w14:solidFill>
                  <w14:schemeClr w14:val="tx1"/>
                </w14:solidFill>
              </w14:textFill>
            </w:rPr>
            <w:fldChar w:fldCharType="end"/>
          </w:r>
        </w:p>
      </w:sdtContent>
    </w:sdt>
    <w:p w14:paraId="692EF503">
      <w:pPr>
        <w:rPr>
          <w:color w:val="000000" w:themeColor="text1"/>
          <w14:textFill>
            <w14:solidFill>
              <w14:schemeClr w14:val="tx1"/>
            </w14:solidFill>
          </w14:textFill>
        </w:rPr>
      </w:pPr>
    </w:p>
    <w:p w14:paraId="60B764A1">
      <w:pPr>
        <w:pStyle w:val="2"/>
        <w:numPr>
          <w:ilvl w:val="0"/>
          <w:numId w:val="0"/>
        </w:numPr>
        <w:bidi w:val="0"/>
        <w:ind w:leftChars="0"/>
        <w:rPr>
          <w:rFonts w:hint="eastAsia"/>
          <w:color w:val="000000" w:themeColor="text1"/>
          <w:sz w:val="24"/>
          <w:szCs w:val="24"/>
          <w14:textFill>
            <w14:solidFill>
              <w14:schemeClr w14:val="tx1"/>
            </w14:solidFill>
          </w14:textFill>
        </w:rPr>
      </w:pPr>
      <w:bookmarkStart w:id="6" w:name="_Toc355"/>
      <w:r>
        <w:rPr>
          <w:rFonts w:hint="eastAsia"/>
          <w:color w:val="000000" w:themeColor="text1"/>
          <w:sz w:val="24"/>
          <w:szCs w:val="24"/>
          <w14:textFill>
            <w14:solidFill>
              <w14:schemeClr w14:val="tx1"/>
            </w14:solidFill>
          </w14:textFill>
        </w:rPr>
        <w:t>前 言</w:t>
      </w:r>
      <w:bookmarkEnd w:id="6"/>
    </w:p>
    <w:p w14:paraId="49D860E3">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本技术规范书针对广东天广能源科技发展有限公司</w:t>
      </w:r>
      <w:r>
        <w:rPr>
          <w:rFonts w:hint="eastAsia" w:ascii="宋体" w:hAnsi="宋体" w:cs="宋体"/>
          <w:color w:val="000000" w:themeColor="text1"/>
          <w:sz w:val="24"/>
          <w:szCs w:val="24"/>
          <w:lang w:eastAsia="zh-CN"/>
          <w14:textFill>
            <w14:solidFill>
              <w14:schemeClr w14:val="tx1"/>
            </w14:solidFill>
          </w14:textFill>
        </w:rPr>
        <w:t>架空地线多功能飞车</w:t>
      </w:r>
      <w:r>
        <w:rPr>
          <w:rFonts w:hint="eastAsia" w:ascii="宋体" w:hAnsi="宋体" w:eastAsia="宋体" w:cs="宋体"/>
          <w:color w:val="000000" w:themeColor="text1"/>
          <w:sz w:val="24"/>
          <w:szCs w:val="24"/>
          <w14:textFill>
            <w14:solidFill>
              <w14:schemeClr w14:val="tx1"/>
            </w14:solidFill>
          </w14:textFill>
        </w:rPr>
        <w:t>2026—2028年生产代工框架采购项目技术规范书编制，为招标最低技术及代加工要求，投标人（</w:t>
      </w:r>
      <w:r>
        <w:rPr>
          <w:rFonts w:hint="eastAsia" w:ascii="宋体" w:hAnsi="宋体" w:cs="宋体"/>
          <w:color w:val="000000" w:themeColor="text1"/>
          <w:sz w:val="24"/>
          <w:szCs w:val="24"/>
          <w:lang w:eastAsia="zh-CN"/>
          <w14:textFill>
            <w14:solidFill>
              <w14:schemeClr w14:val="tx1"/>
            </w14:solidFill>
          </w14:textFill>
        </w:rPr>
        <w:t>投标方</w:t>
      </w:r>
      <w:r>
        <w:rPr>
          <w:rFonts w:hint="eastAsia" w:ascii="宋体" w:hAnsi="宋体" w:eastAsia="宋体" w:cs="宋体"/>
          <w:color w:val="000000" w:themeColor="text1"/>
          <w:sz w:val="24"/>
          <w:szCs w:val="24"/>
          <w14:textFill>
            <w14:solidFill>
              <w14:schemeClr w14:val="tx1"/>
            </w14:solidFill>
          </w14:textFill>
        </w:rPr>
        <w:t>）所提供的代加工服务、生产的产品，所有性能参数、加工质量、服务标准不得低于本规范要求，优于本规范要求可做正偏离响应。</w:t>
      </w:r>
    </w:p>
    <w:p w14:paraId="44E8FD68">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.本技术规范书为本次框架采购合同不可分割的技术附件，与合同正文、框架合作协议具有同等法律效力，约束框架合作期间（自合同生效至期限届满）的全部代加工业务。</w:t>
      </w:r>
    </w:p>
    <w:p w14:paraId="43B60BDA">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.本规范所有引用标准均执行现行最新有效版本，新旧标准冲突时以最新版本为准；代加工过程须严格遵循国家、电力行业相关标准及招标人技术要求。</w:t>
      </w:r>
    </w:p>
    <w:p w14:paraId="331A9F26">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w:t>
      </w:r>
      <w:r>
        <w:rPr>
          <w:rFonts w:hint="eastAsia" w:ascii="Times New Roman" w:hAnsi="Times New Roman" w:eastAsia="宋体" w:cs="Times New Roman"/>
          <w:color w:val="000000" w:themeColor="text1"/>
          <w:sz w:val="24"/>
          <w:szCs w:val="24"/>
          <w14:textFill>
            <w14:solidFill>
              <w14:schemeClr w14:val="tx1"/>
            </w14:solidFill>
          </w14:textFill>
        </w:rPr>
        <w:t>.本次采购为框架采购，招标人根据实际需求，在框架协议有效期内，向中标人下达分批代加工订单，中标人须按订单要求、本规范要求，完成原材料采购、生产加工、质量检验、包装交付、售后保障等全部工作。</w:t>
      </w:r>
    </w:p>
    <w:p w14:paraId="611CFF67">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.未尽事宜按照国家、电力行业现行相关标准、招标人相关管理规定及框架合作协议约定执行。</w:t>
      </w:r>
    </w:p>
    <w:p w14:paraId="5A20ED54">
      <w:pPr>
        <w:pStyle w:val="2"/>
        <w:numPr>
          <w:ilvl w:val="0"/>
          <w:numId w:val="0"/>
        </w:numPr>
        <w:bidi w:val="0"/>
        <w:ind w:leftChars="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End w:id="0"/>
      <w:bookmarkEnd w:id="5"/>
      <w:bookmarkStart w:id="7" w:name="_Toc28908"/>
      <w:r>
        <w:rPr>
          <w:rFonts w:hint="default" w:ascii="Times New Roman" w:hAnsi="Times New Roman" w:cs="Times New Roman"/>
          <w:color w:val="000000" w:themeColor="text1"/>
          <w:lang w:val="en-US" w:eastAsia="zh-CN"/>
          <w14:textFill>
            <w14:solidFill>
              <w14:schemeClr w14:val="tx1"/>
            </w14:solidFill>
          </w14:textFill>
        </w:rPr>
        <w:t>1</w:t>
      </w:r>
      <w:r>
        <w:rPr>
          <w:color w:val="000000" w:themeColor="text1"/>
          <w:sz w:val="24"/>
          <w:szCs w:val="24"/>
          <w14:textFill>
            <w14:solidFill>
              <w14:schemeClr w14:val="tx1"/>
            </w14:solidFill>
          </w14:textFill>
        </w:rPr>
        <w:t>总则</w:t>
      </w:r>
      <w:bookmarkEnd w:id="7"/>
    </w:p>
    <w:p w14:paraId="3F2C0801">
      <w:pPr>
        <w:numPr>
          <w:ilvl w:val="1"/>
          <w:numId w:val="6"/>
        </w:numPr>
        <w:spacing w:before="120" w:after="120" w:line="288" w:lineRule="auto"/>
        <w:ind w:left="567" w:leftChars="0" w:hanging="567" w:firstLineChars="0"/>
        <w:jc w:val="left"/>
        <w:rPr>
          <w:rStyle w:val="92"/>
          <w:rFonts w:hint="eastAsia"/>
          <w:b w:val="0"/>
          <w:bCs/>
          <w:color w:val="000000" w:themeColor="text1"/>
          <w14:textFill>
            <w14:solidFill>
              <w14:schemeClr w14:val="tx1"/>
            </w14:solidFill>
          </w14:textFill>
        </w:rPr>
      </w:pPr>
      <w:bookmarkStart w:id="8" w:name="_Toc20228"/>
      <w:r>
        <w:rPr>
          <w:rStyle w:val="92"/>
          <w:rFonts w:hint="eastAsia" w:ascii="黑体" w:hAnsi="黑体" w:eastAsia="黑体" w:cs="黑体"/>
          <w:b w:val="0"/>
          <w:bCs/>
          <w:color w:val="000000" w:themeColor="text1"/>
          <w:sz w:val="24"/>
          <w:szCs w:val="24"/>
          <w14:textFill>
            <w14:solidFill>
              <w14:schemeClr w14:val="tx1"/>
            </w14:solidFill>
          </w14:textFill>
        </w:rPr>
        <w:t>适用范围</w:t>
      </w:r>
    </w:p>
    <w:bookmarkEnd w:id="8"/>
    <w:p w14:paraId="2D3176D4">
      <w:pPr>
        <w:pStyle w:val="40"/>
        <w:bidi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本规范适用于广东天广能源科技发展有限公司</w:t>
      </w:r>
      <w:r>
        <w:rPr>
          <w:rFonts w:hint="eastAsia" w:ascii="宋体" w:hAnsi="宋体" w:eastAsia="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2026—2028年生产代工框架采购项目的全部工作，包括但不限于：原材料采购与管控、生产加工、质量检验、试验检测、包装、运输、交付、安装调试、技术服务、人员培训、售后保障，以及框架合作期间的订单响应、产能保障、质量追溯等全部代加工相关工作。</w:t>
      </w:r>
    </w:p>
    <w:p w14:paraId="29F3C596">
      <w:pPr>
        <w:pStyle w:val="40"/>
        <w:bidi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本规范同时适用于框架协议有效期内，招标人下达的所有分批代加工订单，</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须严格按本规范及订单要求执行。</w:t>
      </w:r>
    </w:p>
    <w:p w14:paraId="3E6415DD">
      <w:pPr>
        <w:numPr>
          <w:ilvl w:val="1"/>
          <w:numId w:val="6"/>
        </w:numPr>
        <w:spacing w:before="120" w:after="120" w:line="288" w:lineRule="auto"/>
        <w:ind w:left="567" w:leftChars="0" w:hanging="567" w:firstLineChars="0"/>
        <w:jc w:val="left"/>
        <w:rPr>
          <w:rStyle w:val="92"/>
          <w:rFonts w:hint="eastAsia" w:ascii="黑体" w:hAnsi="黑体" w:eastAsia="黑体" w:cs="黑体"/>
          <w:b w:val="0"/>
          <w:bCs/>
          <w:color w:val="000000" w:themeColor="text1"/>
          <w:sz w:val="24"/>
          <w:szCs w:val="24"/>
          <w14:textFill>
            <w14:solidFill>
              <w14:schemeClr w14:val="tx1"/>
            </w14:solidFill>
          </w14:textFill>
        </w:rPr>
      </w:pPr>
      <w:bookmarkStart w:id="9" w:name="_Toc4309"/>
      <w:r>
        <w:rPr>
          <w:rStyle w:val="92"/>
          <w:rFonts w:hint="eastAsia" w:ascii="黑体" w:hAnsi="黑体" w:eastAsia="黑体" w:cs="黑体"/>
          <w:b w:val="0"/>
          <w:bCs/>
          <w:color w:val="000000" w:themeColor="text1"/>
          <w:sz w:val="24"/>
          <w:szCs w:val="24"/>
          <w14:textFill>
            <w14:solidFill>
              <w14:schemeClr w14:val="tx1"/>
            </w14:solidFill>
          </w14:textFill>
        </w:rPr>
        <w:t>规范性引用文件</w:t>
      </w:r>
    </w:p>
    <w:bookmarkEnd w:id="9"/>
    <w:p w14:paraId="7552A650">
      <w:pPr>
        <w:pStyle w:val="40"/>
        <w:bidi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除本技术规范书特殊规定外，投标方所提供的设备均按规定的标准和规程的最新版本进行原材料采购与管控、生产加工、质量检验、试验检测、包装、运输、交付、安装调试</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售后保障</w:t>
      </w:r>
      <w:r>
        <w:rPr>
          <w:rFonts w:hint="eastAsia" w:ascii="宋体" w:hAnsi="宋体" w:eastAsia="宋体" w:cs="宋体"/>
          <w:color w:val="000000" w:themeColor="text1"/>
          <w:sz w:val="21"/>
          <w:szCs w:val="21"/>
          <w:lang w:val="en-US" w:eastAsia="zh-CN"/>
          <w14:textFill>
            <w14:solidFill>
              <w14:schemeClr w14:val="tx1"/>
            </w14:solidFill>
          </w14:textFill>
        </w:rPr>
        <w:t>等工作</w:t>
      </w:r>
      <w:r>
        <w:rPr>
          <w:rFonts w:hint="eastAsia" w:ascii="宋体" w:hAnsi="宋体" w:eastAsia="宋体" w:cs="宋体"/>
          <w:color w:val="000000" w:themeColor="text1"/>
          <w:sz w:val="21"/>
          <w:szCs w:val="21"/>
          <w14:textFill>
            <w14:solidFill>
              <w14:schemeClr w14:val="tx1"/>
            </w14:solidFill>
          </w14:textFill>
        </w:rPr>
        <w:t>。如果这些标准内容有矛盾时，应按最高标准的条款执行或按双方商定的标准执行。如果投标方选用本标书规定以外的标准时，则需提交这种替换标准供审查和分析</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待</w:t>
      </w:r>
      <w:r>
        <w:rPr>
          <w:rFonts w:hint="eastAsia" w:ascii="宋体" w:hAnsi="宋体" w:eastAsia="宋体" w:cs="宋体"/>
          <w:color w:val="000000" w:themeColor="text1"/>
          <w:sz w:val="21"/>
          <w:szCs w:val="21"/>
          <w14:textFill>
            <w14:solidFill>
              <w14:schemeClr w14:val="tx1"/>
            </w14:solidFill>
          </w14:textFill>
        </w:rPr>
        <w:t>从招标方处获得书面的认可才能使用。提交供审查的标准应为中文版本。主要引用标准如下：</w:t>
      </w:r>
    </w:p>
    <w:p w14:paraId="010B564F">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DLT 636-2017</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color w:val="000000" w:themeColor="text1"/>
          <w:sz w:val="21"/>
          <w:szCs w:val="21"/>
          <w:highlight w:val="none"/>
          <w14:textFill>
            <w14:solidFill>
              <w14:schemeClr w14:val="tx1"/>
            </w14:solidFill>
          </w14:textFill>
        </w:rPr>
        <w:t>《DLT636-2017带电作业用导线飞车》</w:t>
      </w:r>
    </w:p>
    <w:p w14:paraId="16B3B644">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GB/T 14286-2008</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color w:val="000000" w:themeColor="text1"/>
          <w:sz w:val="21"/>
          <w:szCs w:val="21"/>
          <w:highlight w:val="none"/>
          <w14:textFill>
            <w14:solidFill>
              <w14:schemeClr w14:val="tx1"/>
            </w14:solidFill>
          </w14:textFill>
        </w:rPr>
        <w:t>《带电作业工具设备术语》</w:t>
      </w:r>
    </w:p>
    <w:p w14:paraId="48259B69">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GB/T 18037-2008</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color w:val="000000" w:themeColor="text1"/>
          <w:sz w:val="21"/>
          <w:szCs w:val="21"/>
          <w:highlight w:val="none"/>
          <w14:textFill>
            <w14:solidFill>
              <w14:schemeClr w14:val="tx1"/>
            </w14:solidFill>
          </w14:textFill>
        </w:rPr>
        <w:t>《带电作业工具基本技术要求与设计导则》</w:t>
      </w:r>
    </w:p>
    <w:p w14:paraId="19C4CC50">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DL/T 972-2005</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《带电作业工具、装置和设备的质量保证导则》</w:t>
      </w:r>
    </w:p>
    <w:p w14:paraId="5303974B">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DL/T 877-2004</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《带电作业工具、装置和设备使用的一般要求》</w:t>
      </w:r>
    </w:p>
    <w:p w14:paraId="1ED91CC5">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GB/T3608</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《高空作业分级》</w:t>
      </w:r>
    </w:p>
    <w:p w14:paraId="20A3546F">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GB26859-2011</w:t>
      </w:r>
      <w:r>
        <w:rPr>
          <w:rFonts w:hint="eastAsia" w:ascii="黑体" w:hAnsi="黑体" w:eastAsia="黑体" w:cs="黑体"/>
          <w:color w:val="000000" w:themeColor="text1"/>
          <w:sz w:val="21"/>
          <w:szCs w:val="21"/>
          <w:highlight w:val="none"/>
          <w:lang w:val="en-US" w:eastAsia="zh-CN"/>
          <w14:textFill>
            <w14:solidFill>
              <w14:schemeClr w14:val="tx1"/>
            </w14:solidFill>
          </w14:textFill>
        </w:rPr>
        <w:t xml:space="preserve"> 《电力安全工作规程电力线路部分》</w:t>
      </w:r>
    </w:p>
    <w:p w14:paraId="6F6CE860">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lang w:val="en-US" w:eastAsia="zh-CN"/>
          <w14:textFill>
            <w14:solidFill>
              <w14:schemeClr w14:val="tx1"/>
            </w14:solidFill>
          </w14:textFill>
        </w:rPr>
        <w:t>DL/T741-2010 《架空输电线路运行规程》</w:t>
      </w:r>
    </w:p>
    <w:p w14:paraId="6BF6F840">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lang w:val="en-US" w:eastAsia="zh-CN"/>
          <w14:textFill>
            <w14:solidFill>
              <w14:schemeClr w14:val="tx1"/>
            </w14:solidFill>
          </w14:textFill>
        </w:rPr>
        <w:t>Q/CSG510001-2015 《中国南方电网有限责任公司电力安全工作规程》</w:t>
      </w:r>
    </w:p>
    <w:p w14:paraId="1757E0C6">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lang w:val="en-US" w:eastAsia="zh-CN"/>
          <w14:textFill>
            <w14:solidFill>
              <w14:schemeClr w14:val="tx1"/>
            </w14:solidFill>
          </w14:textFill>
        </w:rPr>
        <w:t>DL/T 875 架空输电线路施工机具基本技术要求</w:t>
      </w:r>
    </w:p>
    <w:p w14:paraId="031F696D">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lang w:val="en-US" w:eastAsia="zh-CN"/>
          <w14:textFill>
            <w14:solidFill>
              <w14:schemeClr w14:val="tx1"/>
            </w14:solidFill>
          </w14:textFill>
        </w:rPr>
        <w:t>GB/T 3077合金结构钢</w:t>
      </w:r>
    </w:p>
    <w:p w14:paraId="19DC80AE">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lang w:val="en-US" w:eastAsia="zh-CN"/>
          <w14:textFill>
            <w14:solidFill>
              <w14:schemeClr w14:val="tx1"/>
            </w14:solidFill>
          </w14:textFill>
        </w:rPr>
        <w:t>GB/T 4437铝及铝合金挤压管</w:t>
      </w:r>
    </w:p>
    <w:p w14:paraId="6D72F023">
      <w:pPr>
        <w:spacing w:line="360" w:lineRule="auto"/>
        <w:ind w:left="6" w:leftChars="3" w:firstLine="420" w:firstLineChars="200"/>
        <w:rPr>
          <w:rFonts w:hint="eastAsia" w:ascii="黑体" w:hAnsi="黑体" w:eastAsia="黑体" w:cs="黑体"/>
          <w:color w:val="000000" w:themeColor="text1"/>
          <w:sz w:val="21"/>
          <w:szCs w:val="21"/>
          <w:highlight w:val="none"/>
          <w:lang w:val="en-US" w:eastAsia="zh-CN"/>
          <w14:textFill>
            <w14:solidFill>
              <w14:schemeClr w14:val="tx1"/>
            </w14:solidFill>
          </w14:textFill>
        </w:rPr>
      </w:pPr>
      <w:r>
        <w:rPr>
          <w:rFonts w:hint="eastAsia" w:ascii="黑体" w:hAnsi="黑体" w:eastAsia="黑体" w:cs="黑体"/>
          <w:color w:val="000000" w:themeColor="text1"/>
          <w:sz w:val="21"/>
          <w:szCs w:val="21"/>
          <w:highlight w:val="none"/>
          <w:lang w:val="en-US" w:eastAsia="zh-CN"/>
          <w14:textFill>
            <w14:solidFill>
              <w14:schemeClr w14:val="tx1"/>
            </w14:solidFill>
          </w14:textFill>
        </w:rPr>
        <w:t>GB/T 6893工业用铝合金拉(轧)制管</w:t>
      </w:r>
    </w:p>
    <w:p w14:paraId="1C5264FA">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GB/T 13306标牌</w:t>
      </w:r>
    </w:p>
    <w:p w14:paraId="05EF32AD">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GB/T 13384机电产品包装通用技术条件</w:t>
      </w:r>
    </w:p>
    <w:p w14:paraId="01C1B3F5">
      <w:pPr>
        <w:spacing w:line="360" w:lineRule="auto"/>
        <w:ind w:left="6" w:leftChars="3" w:firstLine="420" w:firstLineChars="200"/>
        <w:rPr>
          <w:rFonts w:hint="eastAsia" w:ascii="黑体" w:hAnsi="黑体" w:eastAsia="黑体" w:cs="黑体"/>
          <w:color w:val="000000" w:themeColor="text1"/>
          <w:sz w:val="21"/>
          <w:szCs w:val="21"/>
          <w:highlight w:val="none"/>
          <w14:textFill>
            <w14:solidFill>
              <w14:schemeClr w14:val="tx1"/>
            </w14:solidFill>
          </w14:textFill>
        </w:rPr>
      </w:pPr>
      <w:r>
        <w:rPr>
          <w:rFonts w:hint="eastAsia" w:ascii="黑体" w:hAnsi="黑体" w:eastAsia="黑体" w:cs="黑体"/>
          <w:color w:val="000000" w:themeColor="text1"/>
          <w:sz w:val="21"/>
          <w:szCs w:val="21"/>
          <w:highlight w:val="none"/>
          <w14:textFill>
            <w14:solidFill>
              <w14:schemeClr w14:val="tx1"/>
            </w14:solidFill>
          </w14:textFill>
        </w:rPr>
        <w:t>GB 26859电力安全工作规程 电力线路部分</w:t>
      </w:r>
    </w:p>
    <w:p w14:paraId="4183049D">
      <w:pPr>
        <w:numPr>
          <w:ilvl w:val="1"/>
          <w:numId w:val="6"/>
        </w:numPr>
        <w:spacing w:before="120" w:after="120" w:line="288" w:lineRule="auto"/>
        <w:ind w:left="567" w:leftChars="0" w:hanging="567" w:firstLineChars="0"/>
        <w:jc w:val="left"/>
        <w:rPr>
          <w:rStyle w:val="92"/>
          <w:rFonts w:hint="eastAsia" w:ascii="黑体" w:hAnsi="黑体" w:eastAsia="黑体" w:cs="黑体"/>
          <w:b w:val="0"/>
          <w:bCs/>
          <w:color w:val="000000" w:themeColor="text1"/>
          <w:sz w:val="24"/>
          <w:szCs w:val="24"/>
          <w14:textFill>
            <w14:solidFill>
              <w14:schemeClr w14:val="tx1"/>
            </w14:solidFill>
          </w14:textFill>
        </w:rPr>
      </w:pPr>
      <w:bookmarkStart w:id="10" w:name="_Toc20619"/>
      <w:r>
        <w:rPr>
          <w:rStyle w:val="92"/>
          <w:rFonts w:hint="eastAsia" w:ascii="黑体" w:hAnsi="黑体" w:eastAsia="黑体" w:cs="黑体"/>
          <w:b w:val="0"/>
          <w:bCs/>
          <w:color w:val="000000" w:themeColor="text1"/>
          <w:sz w:val="24"/>
          <w:szCs w:val="24"/>
          <w14:textFill>
            <w14:solidFill>
              <w14:schemeClr w14:val="tx1"/>
            </w14:solidFill>
          </w14:textFill>
        </w:rPr>
        <w:t>术语和定义</w:t>
      </w:r>
    </w:p>
    <w:bookmarkEnd w:id="10"/>
    <w:p w14:paraId="7E47ADFE">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 </w:t>
      </w:r>
      <w:r>
        <w:rPr>
          <w:rFonts w:hint="eastAsia" w:ascii="宋体" w:hAnsi="宋体" w:cs="宋体"/>
          <w:color w:val="000000" w:themeColor="text1"/>
          <w:sz w:val="21"/>
          <w:szCs w:val="21"/>
          <w:highlight w:val="none"/>
          <w:lang w:eastAsia="zh-CN"/>
          <w14:textFill>
            <w14:solidFill>
              <w14:schemeClr w14:val="tx1"/>
            </w14:solidFill>
          </w14:textFill>
        </w:rPr>
        <w:t>架空地线多功能飞车</w:t>
      </w:r>
      <w:r>
        <w:rPr>
          <w:rFonts w:hint="eastAsia" w:ascii="宋体" w:hAnsi="宋体" w:eastAsia="宋体" w:cs="宋体"/>
          <w:color w:val="000000" w:themeColor="text1"/>
          <w:sz w:val="21"/>
          <w:szCs w:val="21"/>
          <w:highlight w:val="none"/>
          <w14:textFill>
            <w14:solidFill>
              <w14:schemeClr w14:val="tx1"/>
            </w14:solidFill>
          </w14:textFill>
        </w:rPr>
        <w:t>：悬挂于输电线路地线上，</w:t>
      </w:r>
      <w:r>
        <w:rPr>
          <w:rFonts w:hint="eastAsia" w:ascii="宋体" w:hAnsi="宋体" w:cs="宋体"/>
          <w:color w:val="000000" w:themeColor="text1"/>
          <w:sz w:val="21"/>
          <w:szCs w:val="21"/>
          <w:highlight w:val="none"/>
          <w:lang w:val="en-US" w:eastAsia="zh-CN"/>
          <w14:textFill>
            <w14:solidFill>
              <w14:schemeClr w14:val="tx1"/>
            </w14:solidFill>
          </w14:textFill>
        </w:rPr>
        <w:t>可供</w:t>
      </w:r>
      <w:r>
        <w:rPr>
          <w:rFonts w:hint="eastAsia" w:ascii="宋体" w:hAnsi="宋体" w:eastAsia="宋体" w:cs="宋体"/>
          <w:color w:val="000000" w:themeColor="text1"/>
          <w:sz w:val="21"/>
          <w:szCs w:val="21"/>
          <w:highlight w:val="none"/>
          <w14:textFill>
            <w14:solidFill>
              <w14:schemeClr w14:val="tx1"/>
            </w14:solidFill>
          </w14:textFill>
        </w:rPr>
        <w:t>人员乘坐、作业人员通过坐姿拽拉地线驱动滚轮沿地线双向移动、</w:t>
      </w:r>
      <w:r>
        <w:rPr>
          <w:rFonts w:hint="eastAsia" w:ascii="宋体" w:hAnsi="宋体" w:cs="宋体"/>
          <w:color w:val="000000" w:themeColor="text1"/>
          <w:sz w:val="21"/>
          <w:szCs w:val="21"/>
          <w:highlight w:val="none"/>
          <w:lang w:val="en-US" w:eastAsia="zh-CN"/>
          <w14:textFill>
            <w14:solidFill>
              <w14:schemeClr w14:val="tx1"/>
            </w14:solidFill>
          </w14:textFill>
        </w:rPr>
        <w:t>可</w:t>
      </w:r>
      <w:r>
        <w:rPr>
          <w:rFonts w:hint="eastAsia" w:ascii="宋体" w:hAnsi="宋体" w:eastAsia="宋体" w:cs="宋体"/>
          <w:color w:val="000000" w:themeColor="text1"/>
          <w:sz w:val="21"/>
          <w:szCs w:val="21"/>
          <w:highlight w:val="none"/>
          <w14:textFill>
            <w14:solidFill>
              <w14:schemeClr w14:val="tx1"/>
            </w14:solidFill>
          </w14:textFill>
        </w:rPr>
        <w:t>跨越间隔棒等障碍物、</w:t>
      </w:r>
      <w:r>
        <w:rPr>
          <w:rFonts w:hint="eastAsia" w:ascii="宋体" w:hAnsi="宋体" w:cs="宋体"/>
          <w:color w:val="000000" w:themeColor="text1"/>
          <w:sz w:val="21"/>
          <w:szCs w:val="21"/>
          <w:highlight w:val="none"/>
          <w:lang w:val="en-US" w:eastAsia="zh-CN"/>
          <w14:textFill>
            <w14:solidFill>
              <w14:schemeClr w14:val="tx1"/>
            </w14:solidFill>
          </w14:textFill>
        </w:rPr>
        <w:t>坐凳</w:t>
      </w:r>
      <w:r>
        <w:rPr>
          <w:rFonts w:hint="eastAsia" w:ascii="宋体" w:hAnsi="宋体" w:eastAsia="宋体" w:cs="宋体"/>
          <w:color w:val="000000" w:themeColor="text1"/>
          <w:sz w:val="21"/>
          <w:szCs w:val="21"/>
          <w:highlight w:val="none"/>
          <w14:textFill>
            <w14:solidFill>
              <w14:schemeClr w14:val="tx1"/>
            </w14:solidFill>
          </w14:textFill>
        </w:rPr>
        <w:t>可折叠收纳、配备多重安全防护，用于地线高空检修作业的专用无动力高空作业机具。</w:t>
      </w:r>
    </w:p>
    <w:p w14:paraId="7D92D00B">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 代加工：中标人（</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）按照招标人提供的技术图纸、参数要求、质量标准，自行采购符合要求的原材料，完成</w:t>
      </w:r>
      <w:r>
        <w:rPr>
          <w:rFonts w:hint="eastAsia" w:ascii="宋体" w:hAnsi="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的生产、加工、组装、检验、包装</w:t>
      </w:r>
      <w:r>
        <w:rPr>
          <w:rFonts w:hint="eastAsia" w:ascii="宋体" w:hAnsi="宋体" w:eastAsia="宋体" w:cs="宋体"/>
          <w:color w:val="000000" w:themeColor="text1"/>
          <w:sz w:val="21"/>
          <w:szCs w:val="21"/>
          <w:lang w:val="en-US" w:eastAsia="zh-CN"/>
          <w14:textFill>
            <w14:solidFill>
              <w14:schemeClr w14:val="tx1"/>
            </w14:solidFill>
          </w14:textFill>
        </w:rPr>
        <w:t>等</w:t>
      </w:r>
      <w:r>
        <w:rPr>
          <w:rFonts w:hint="eastAsia" w:ascii="宋体" w:hAnsi="宋体" w:eastAsia="宋体" w:cs="宋体"/>
          <w:color w:val="000000" w:themeColor="text1"/>
          <w:sz w:val="21"/>
          <w:szCs w:val="21"/>
          <w14:textFill>
            <w14:solidFill>
              <w14:schemeClr w14:val="tx1"/>
            </w14:solidFill>
          </w14:textFill>
        </w:rPr>
        <w:t>，并按订单要求交付招标人的全部过程。</w:t>
      </w:r>
    </w:p>
    <w:p w14:paraId="7409AB9E">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1.3.3 框架采购：招标人通过招标确定中标人，签订框架合作协议，约定合作期限、产品标准、价格原则、订单流程、质量要求等核心条款，在协议有效期内，招标人根据实际需求下达分批代加工订单，中标人按订单执行的采购模式。</w:t>
      </w:r>
    </w:p>
    <w:p w14:paraId="15D6AF84">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1.3.4质量追溯：</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建立完善的质量追溯体系，实现原材料采购、生产加工、检验检测、交付等全流程可追溯，确保出现质量问题时可快速定位、排查原因。</w:t>
      </w:r>
    </w:p>
    <w:p w14:paraId="41F84D59">
      <w:pPr>
        <w:numPr>
          <w:ilvl w:val="1"/>
          <w:numId w:val="6"/>
        </w:numPr>
        <w:spacing w:before="120" w:after="120" w:line="288" w:lineRule="auto"/>
        <w:ind w:left="567" w:leftChars="0" w:hanging="567" w:firstLineChars="0"/>
        <w:jc w:val="left"/>
        <w:rPr>
          <w:rStyle w:val="92"/>
          <w:rFonts w:hint="eastAsia" w:ascii="黑体" w:hAnsi="黑体" w:eastAsia="黑体" w:cs="黑体"/>
          <w:b w:val="0"/>
          <w:bCs/>
          <w:color w:val="000000" w:themeColor="text1"/>
          <w:sz w:val="24"/>
          <w:szCs w:val="24"/>
          <w14:textFill>
            <w14:solidFill>
              <w14:schemeClr w14:val="tx1"/>
            </w14:solidFill>
          </w14:textFill>
        </w:rPr>
      </w:pPr>
      <w:bookmarkStart w:id="11" w:name="_Toc30109"/>
      <w:r>
        <w:rPr>
          <w:rStyle w:val="92"/>
          <w:rFonts w:hint="eastAsia" w:ascii="黑体" w:hAnsi="黑体" w:eastAsia="黑体" w:cs="黑体"/>
          <w:b w:val="0"/>
          <w:bCs/>
          <w:color w:val="000000" w:themeColor="text1"/>
          <w:sz w:val="24"/>
          <w:szCs w:val="24"/>
          <w14:textFill>
            <w14:solidFill>
              <w14:schemeClr w14:val="tx1"/>
            </w14:solidFill>
          </w14:textFill>
        </w:rPr>
        <w:t>总体技术原则</w:t>
      </w:r>
    </w:p>
    <w:bookmarkEnd w:id="11"/>
    <w:p w14:paraId="5B3516CF">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1.4.1 </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须具备完善的生产体系和质量管控体系，能够独立完成本规范约定的全部代加工工作，无违法违规经营记录。</w:t>
      </w:r>
    </w:p>
    <w:p w14:paraId="0193E6B0">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1.4.2 代加工产品须为全新、合格产品，无翻新、无二手、无返修部件，所有原材料、零部件均符合国家相关标准及本规范要求，严禁使用不合格原材料、劣质零部件。</w:t>
      </w:r>
    </w:p>
    <w:p w14:paraId="1AF8169A">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1.4.3 代加工过程须严格遵循招标人提供的技术图纸、加工工艺要求，确保产品结构、尺寸、性能、外观等全部符合标准，机械强度裕度充足，安全可靠。</w:t>
      </w:r>
    </w:p>
    <w:p w14:paraId="68342DC4">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1.4.4 </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须具备充足的生产产能，能够快速响应招标人的分批订单需求，确保订单交付及时，无逾期交付情况。</w:t>
      </w:r>
    </w:p>
    <w:p w14:paraId="377ACEAF">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1.4.5 </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须建立完善的质量追溯体系和售后服务体系，确保产品质量可追溯、售后响应及时，能够妥善处理产品质量问题。</w:t>
      </w:r>
    </w:p>
    <w:p w14:paraId="689193A7">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1.4.6 所有代加工工作须符合国家安全生产、环保要求，生产过程无安全隐患、无环境污染。</w:t>
      </w:r>
    </w:p>
    <w:p w14:paraId="70BD8F73">
      <w:pPr>
        <w:numPr>
          <w:ilvl w:val="1"/>
          <w:numId w:val="6"/>
        </w:numPr>
        <w:spacing w:before="120" w:after="120" w:line="288" w:lineRule="auto"/>
        <w:ind w:left="567" w:leftChars="0" w:hanging="567" w:firstLineChars="0"/>
        <w:jc w:val="left"/>
        <w:rPr>
          <w:rStyle w:val="92"/>
          <w:rFonts w:hint="eastAsia" w:ascii="黑体" w:hAnsi="黑体" w:eastAsia="黑体" w:cs="黑体"/>
          <w:b w:val="0"/>
          <w:bCs/>
          <w:color w:val="000000" w:themeColor="text1"/>
          <w:sz w:val="24"/>
          <w:szCs w:val="24"/>
          <w14:textFill>
            <w14:solidFill>
              <w14:schemeClr w14:val="tx1"/>
            </w14:solidFill>
          </w14:textFill>
        </w:rPr>
      </w:pPr>
      <w:bookmarkStart w:id="12" w:name="_Toc16057"/>
      <w:r>
        <w:rPr>
          <w:rStyle w:val="92"/>
          <w:rFonts w:hint="eastAsia" w:ascii="黑体" w:hAnsi="黑体" w:eastAsia="黑体" w:cs="黑体"/>
          <w:b w:val="0"/>
          <w:bCs/>
          <w:color w:val="000000" w:themeColor="text1"/>
          <w:sz w:val="24"/>
          <w:szCs w:val="24"/>
          <w14:textFill>
            <w14:solidFill>
              <w14:schemeClr w14:val="tx1"/>
            </w14:solidFill>
          </w14:textFill>
        </w:rPr>
        <w:t>框架采购约定</w:t>
      </w:r>
    </w:p>
    <w:bookmarkEnd w:id="12"/>
    <w:p w14:paraId="65924A2C">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1.5.1 框架合作期限：自框架协议签订生效之日起</w:t>
      </w:r>
      <w:r>
        <w:rPr>
          <w:rFonts w:hint="eastAsia" w:ascii="宋体" w:hAnsi="宋体" w:cs="宋体"/>
          <w:color w:val="000000" w:themeColor="text1"/>
          <w:sz w:val="21"/>
          <w:szCs w:val="21"/>
          <w:u w:val="single"/>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年，期满后可根据双方合作情况，</w:t>
      </w:r>
      <w:r>
        <w:rPr>
          <w:rFonts w:hint="eastAsia" w:ascii="宋体" w:hAnsi="宋体" w:cs="宋体"/>
          <w:color w:val="000000" w:themeColor="text1"/>
          <w:sz w:val="21"/>
          <w:szCs w:val="21"/>
          <w:lang w:val="en-US" w:eastAsia="zh-CN"/>
          <w14:textFill>
            <w14:solidFill>
              <w14:schemeClr w14:val="tx1"/>
            </w14:solidFill>
          </w14:textFill>
        </w:rPr>
        <w:t>由招标方决定续签合同或重新招标</w:t>
      </w:r>
      <w:r>
        <w:rPr>
          <w:rFonts w:hint="eastAsia" w:ascii="宋体" w:hAnsi="宋体" w:eastAsia="宋体" w:cs="宋体"/>
          <w:color w:val="000000" w:themeColor="text1"/>
          <w:sz w:val="21"/>
          <w:szCs w:val="21"/>
          <w14:textFill>
            <w14:solidFill>
              <w14:schemeClr w14:val="tx1"/>
            </w14:solidFill>
          </w14:textFill>
        </w:rPr>
        <w:t>。</w:t>
      </w:r>
    </w:p>
    <w:p w14:paraId="3E0C0502">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1.5.2 订单下达：招标人根据实际需求</w:t>
      </w:r>
      <w:r>
        <w:rPr>
          <w:rFonts w:hint="eastAsia" w:ascii="宋体" w:hAnsi="宋体" w:cs="宋体"/>
          <w:color w:val="000000" w:themeColor="text1"/>
          <w:sz w:val="21"/>
          <w:szCs w:val="21"/>
          <w:lang w:val="en-US" w:eastAsia="zh-CN"/>
          <w14:textFill>
            <w14:solidFill>
              <w14:schemeClr w14:val="tx1"/>
            </w14:solidFill>
          </w14:textFill>
        </w:rPr>
        <w:t>通知</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，明确产品数量、交付时间、交付地点、特殊要求等内容。</w:t>
      </w:r>
    </w:p>
    <w:p w14:paraId="25CAF773">
      <w:pPr>
        <w:spacing w:before="120" w:after="120" w:line="288" w:lineRule="auto"/>
        <w:ind w:left="0"/>
        <w:jc w:val="left"/>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1.5.3 订单响应：</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收到</w:t>
      </w:r>
      <w:r>
        <w:rPr>
          <w:rFonts w:hint="eastAsia" w:ascii="宋体" w:hAnsi="宋体" w:cs="宋体"/>
          <w:color w:val="000000" w:themeColor="text1"/>
          <w:sz w:val="21"/>
          <w:szCs w:val="21"/>
          <w:lang w:val="en-US" w:eastAsia="zh-CN"/>
          <w14:textFill>
            <w14:solidFill>
              <w14:schemeClr w14:val="tx1"/>
            </w14:solidFill>
          </w14:textFill>
        </w:rPr>
        <w:t>通知</w:t>
      </w:r>
      <w:r>
        <w:rPr>
          <w:rFonts w:hint="eastAsia" w:ascii="宋体" w:hAnsi="宋体" w:eastAsia="宋体" w:cs="宋体"/>
          <w:color w:val="000000" w:themeColor="text1"/>
          <w:sz w:val="21"/>
          <w:szCs w:val="21"/>
          <w14:textFill>
            <w14:solidFill>
              <w14:schemeClr w14:val="tx1"/>
            </w14:solidFill>
          </w14:textFill>
        </w:rPr>
        <w:t>后，须在</w:t>
      </w:r>
      <w:r>
        <w:rPr>
          <w:rFonts w:hint="eastAsia" w:ascii="宋体" w:hAnsi="宋体" w:cs="宋体"/>
          <w:color w:val="000000" w:themeColor="text1"/>
          <w:sz w:val="21"/>
          <w:szCs w:val="21"/>
          <w:u w:val="single"/>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个</w:t>
      </w:r>
      <w:r>
        <w:rPr>
          <w:rFonts w:hint="eastAsia" w:ascii="宋体" w:hAnsi="宋体" w:cs="宋体"/>
          <w:color w:val="000000" w:themeColor="text1"/>
          <w:sz w:val="21"/>
          <w:szCs w:val="21"/>
          <w:lang w:val="en-US" w:eastAsia="zh-CN"/>
          <w14:textFill>
            <w14:solidFill>
              <w14:schemeClr w14:val="tx1"/>
            </w14:solidFill>
          </w14:textFill>
        </w:rPr>
        <w:t>自然</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cs="宋体"/>
          <w:color w:val="000000" w:themeColor="text1"/>
          <w:sz w:val="21"/>
          <w:szCs w:val="21"/>
          <w:lang w:val="en-US" w:eastAsia="zh-CN"/>
          <w14:textFill>
            <w14:solidFill>
              <w14:schemeClr w14:val="tx1"/>
            </w14:solidFill>
          </w14:textFill>
        </w:rPr>
        <w:t>完成生产并交付。</w:t>
      </w:r>
    </w:p>
    <w:p w14:paraId="6A3DBE46">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 xml:space="preserve"> 产能保障：</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须保障框架合作期间，具备满足招标人订单需求的产能，若招标人有紧急订单，</w:t>
      </w:r>
      <w:r>
        <w:rPr>
          <w:rFonts w:hint="eastAsia" w:ascii="宋体" w:hAnsi="宋体" w:eastAsia="宋体" w:cs="宋体"/>
          <w:color w:val="000000" w:themeColor="text1"/>
          <w:sz w:val="21"/>
          <w:szCs w:val="21"/>
          <w:lang w:eastAsia="zh-CN"/>
          <w14:textFill>
            <w14:solidFill>
              <w14:schemeClr w14:val="tx1"/>
            </w14:solidFill>
          </w14:textFill>
        </w:rPr>
        <w:t>投标方</w:t>
      </w:r>
      <w:r>
        <w:rPr>
          <w:rFonts w:hint="eastAsia" w:ascii="宋体" w:hAnsi="宋体" w:eastAsia="宋体" w:cs="宋体"/>
          <w:color w:val="000000" w:themeColor="text1"/>
          <w:sz w:val="21"/>
          <w:szCs w:val="21"/>
          <w14:textFill>
            <w14:solidFill>
              <w14:schemeClr w14:val="tx1"/>
            </w14:solidFill>
          </w14:textFill>
        </w:rPr>
        <w:t>须优先安排生产，确保按时交付。</w:t>
      </w:r>
    </w:p>
    <w:p w14:paraId="421A3969">
      <w:pPr>
        <w:spacing w:before="120" w:after="120" w:line="288" w:lineRule="auto"/>
        <w:ind w:lef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1.5.5 合同签订之后，中标方根据招标方提供的技术资料在20个自然日内试制一台样机，如样机不能满足技术规范书的要求，招标方有权终止合同，且制造样机的成本由中标方自行承担。</w:t>
      </w:r>
    </w:p>
    <w:p w14:paraId="21A7902C">
      <w:pPr>
        <w:pStyle w:val="2"/>
        <w:numPr>
          <w:ilvl w:val="0"/>
          <w:numId w:val="0"/>
        </w:numPr>
        <w:bidi w:val="0"/>
        <w:ind w:leftChars="0"/>
        <w:rPr>
          <w:rFonts w:hint="eastAsia" w:ascii="宋体" w:hAnsi="宋体" w:eastAsia="宋体" w:cs="宋体"/>
          <w:color w:val="000000" w:themeColor="text1"/>
          <w:sz w:val="24"/>
          <w:szCs w:val="24"/>
          <w14:textFill>
            <w14:solidFill>
              <w14:schemeClr w14:val="tx1"/>
            </w14:solidFill>
          </w14:textFill>
        </w:rPr>
      </w:pPr>
      <w:bookmarkStart w:id="13" w:name="_Toc19356"/>
      <w:r>
        <w:rPr>
          <w:rFonts w:hint="default" w:ascii="Times New Roman" w:hAnsi="Times New Roman" w:cs="Times New Roman"/>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项目概况及代加工要求</w:t>
      </w:r>
      <w:bookmarkEnd w:id="13"/>
    </w:p>
    <w:p w14:paraId="6866AA21">
      <w:pPr>
        <w:pStyle w:val="3"/>
        <w:numPr>
          <w:ilvl w:val="1"/>
          <w:numId w:val="7"/>
        </w:numPr>
        <w:bidi w:val="0"/>
        <w:ind w:left="567" w:leftChars="0" w:hanging="567" w:firstLineChars="0"/>
        <w:rPr>
          <w:rFonts w:hint="eastAsia" w:ascii="黑体" w:hAnsi="黑体" w:eastAsia="黑体" w:cs="黑体"/>
          <w:color w:val="000000" w:themeColor="text1"/>
          <w:sz w:val="24"/>
          <w:szCs w:val="24"/>
          <w14:textFill>
            <w14:solidFill>
              <w14:schemeClr w14:val="tx1"/>
            </w14:solidFill>
          </w14:textFill>
        </w:rPr>
      </w:pPr>
      <w:bookmarkStart w:id="14" w:name="_Toc30907"/>
      <w:r>
        <w:rPr>
          <w:rFonts w:hint="eastAsia" w:ascii="黑体" w:hAnsi="黑体" w:eastAsia="黑体" w:cs="黑体"/>
          <w:color w:val="000000" w:themeColor="text1"/>
          <w:sz w:val="24"/>
          <w:szCs w:val="24"/>
          <w14:textFill>
            <w14:solidFill>
              <w14:schemeClr w14:val="tx1"/>
            </w14:solidFill>
          </w14:textFill>
        </w:rPr>
        <w:t>项目概况</w:t>
      </w:r>
      <w:bookmarkEnd w:id="14"/>
    </w:p>
    <w:p w14:paraId="31ABEC1F">
      <w:pPr>
        <w:keepNext w:val="0"/>
        <w:keepLines w:val="0"/>
        <w:pageBreakBefore w:val="0"/>
        <w:widowControl w:val="0"/>
        <w:kinsoku/>
        <w:wordWrap/>
        <w:overflowPunct/>
        <w:topLinePunct w:val="0"/>
        <w:autoSpaceDE/>
        <w:autoSpaceDN/>
        <w:bidi w:val="0"/>
        <w:adjustRightInd/>
        <w:snapToGrid/>
        <w:spacing w:before="120" w:after="120" w:line="288" w:lineRule="auto"/>
        <w:ind w:lef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本项目为广东天广能源科技发展有限公司</w:t>
      </w:r>
      <w:r>
        <w:rPr>
          <w:rFonts w:hint="eastAsia" w:ascii="宋体" w:hAnsi="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2026—2028年生产代工框架采购，招标人通过招标确定合格代加工方，建立长期框架合作关系，用于满足招标人输电线路运维检修所需</w:t>
      </w:r>
      <w:r>
        <w:rPr>
          <w:rFonts w:hint="eastAsia" w:ascii="宋体" w:hAnsi="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的批量代加工需求。代加工产品主要用于</w:t>
      </w:r>
      <w:r>
        <w:rPr>
          <w:rFonts w:hint="eastAsia" w:ascii="宋体" w:hAnsi="宋体" w:cs="宋体"/>
          <w:strike w:val="0"/>
          <w:color w:val="000000" w:themeColor="text1"/>
          <w:sz w:val="21"/>
          <w:szCs w:val="21"/>
          <w:lang w:val="en-US" w:eastAsia="zh-CN"/>
          <w14:textFill>
            <w14:solidFill>
              <w14:schemeClr w14:val="tx1"/>
            </w14:solidFill>
          </w14:textFill>
        </w:rPr>
        <w:t>110kV及以上</w:t>
      </w:r>
      <w:r>
        <w:rPr>
          <w:rFonts w:hint="eastAsia" w:ascii="宋体" w:hAnsi="宋体" w:eastAsia="宋体" w:cs="宋体"/>
          <w:color w:val="000000" w:themeColor="text1"/>
          <w:sz w:val="21"/>
          <w:szCs w:val="21"/>
          <w14:textFill>
            <w14:solidFill>
              <w14:schemeClr w14:val="tx1"/>
            </w14:solidFill>
          </w14:textFill>
        </w:rPr>
        <w:t>电压等级架空线路地线日常检修、</w:t>
      </w:r>
      <w:r>
        <w:rPr>
          <w:rFonts w:hint="eastAsia" w:ascii="宋体" w:hAnsi="宋体" w:cs="宋体"/>
          <w:color w:val="000000" w:themeColor="text1"/>
          <w:sz w:val="21"/>
          <w:szCs w:val="21"/>
          <w:lang w:val="en-US" w:eastAsia="zh-CN"/>
          <w14:textFill>
            <w14:solidFill>
              <w14:schemeClr w14:val="tx1"/>
            </w14:solidFill>
          </w14:textFill>
        </w:rPr>
        <w:t>消缺</w:t>
      </w:r>
      <w:r>
        <w:rPr>
          <w:rFonts w:hint="eastAsia" w:ascii="宋体" w:hAnsi="宋体" w:eastAsia="宋体" w:cs="宋体"/>
          <w:color w:val="000000" w:themeColor="text1"/>
          <w:sz w:val="21"/>
          <w:szCs w:val="21"/>
          <w14:textFill>
            <w14:solidFill>
              <w14:schemeClr w14:val="tx1"/>
            </w14:solidFill>
          </w14:textFill>
        </w:rPr>
        <w:t>等高空作业场景，适配山区、大跨距、多障碍物线路复杂工况作业。</w:t>
      </w:r>
    </w:p>
    <w:p w14:paraId="63326BB6">
      <w:pPr>
        <w:pStyle w:val="3"/>
        <w:numPr>
          <w:ilvl w:val="1"/>
          <w:numId w:val="7"/>
        </w:numPr>
        <w:bidi w:val="0"/>
        <w:ind w:left="567" w:leftChars="0" w:hanging="567" w:firstLineChars="0"/>
        <w:rPr>
          <w:rFonts w:hint="eastAsia" w:ascii="黑体" w:hAnsi="黑体" w:eastAsia="黑体" w:cs="黑体"/>
          <w:color w:val="000000" w:themeColor="text1"/>
          <w:sz w:val="24"/>
          <w:szCs w:val="24"/>
          <w14:textFill>
            <w14:solidFill>
              <w14:schemeClr w14:val="tx1"/>
            </w14:solidFill>
          </w14:textFill>
        </w:rPr>
      </w:pPr>
      <w:bookmarkStart w:id="15" w:name="_Toc4281"/>
      <w:r>
        <w:rPr>
          <w:rFonts w:hint="eastAsia" w:ascii="黑体" w:hAnsi="黑体" w:eastAsia="黑体" w:cs="黑体"/>
          <w:color w:val="000000" w:themeColor="text1"/>
          <w:sz w:val="24"/>
          <w:szCs w:val="24"/>
          <w14:textFill>
            <w14:solidFill>
              <w14:schemeClr w14:val="tx1"/>
            </w14:solidFill>
          </w14:textFill>
        </w:rPr>
        <w:t>代加工核心要求</w:t>
      </w:r>
      <w:bookmarkEnd w:id="15"/>
    </w:p>
    <w:p w14:paraId="36A2F80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2.2.1 代加工方须严格按照招标人提供的技术图纸、参数标准、加工工艺要求进行生产加工，不得擅自修改产品结构、尺寸、材质及加工工艺，若需调整，须提前书面报备招标人，经招标人书面同意后方可实施。</w:t>
      </w:r>
    </w:p>
    <w:p w14:paraId="3A7770B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2.2.2 代加工方负责原材料的采购、检验、储存，所有原材料须符合国家相关标准及本规范要求，且须提供原材料合格证明、检验报告等相关资料，接受招标人的抽查。</w:t>
      </w:r>
    </w:p>
    <w:p w14:paraId="5C37049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2.2.3 代加工方须建立完善的生产过程管控体系，对生产加工的每一道工序进行严格检验，确保产品质量符合标准，杜绝不合格产品出厂。</w:t>
      </w:r>
    </w:p>
    <w:p w14:paraId="135214B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2.2.4 框架合作期间，代加工方须配合招标人完成产品质量抽查、工艺核查、产能验证等工作，提供必要的生产记录、检验报告等相关资料。</w:t>
      </w:r>
    </w:p>
    <w:p w14:paraId="5D25E1B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2.2.5 代加工方须严格遵守框架合作协议约定，履行订单交付、售后保障等义务。</w:t>
      </w:r>
    </w:p>
    <w:p w14:paraId="0E9927EF">
      <w:pPr>
        <w:pStyle w:val="3"/>
        <w:numPr>
          <w:ilvl w:val="1"/>
          <w:numId w:val="7"/>
        </w:numPr>
        <w:bidi w:val="0"/>
        <w:ind w:left="567" w:leftChars="0" w:hanging="567" w:firstLineChars="0"/>
        <w:rPr>
          <w:rFonts w:hint="eastAsia" w:ascii="黑体" w:hAnsi="黑体" w:eastAsia="黑体" w:cs="黑体"/>
          <w:color w:val="000000" w:themeColor="text1"/>
          <w:sz w:val="24"/>
          <w:szCs w:val="24"/>
          <w14:textFill>
            <w14:solidFill>
              <w14:schemeClr w14:val="tx1"/>
            </w14:solidFill>
          </w14:textFill>
        </w:rPr>
      </w:pPr>
      <w:bookmarkStart w:id="16" w:name="_Toc23199"/>
      <w:r>
        <w:rPr>
          <w:rFonts w:hint="eastAsia" w:ascii="黑体" w:hAnsi="黑体" w:eastAsia="黑体" w:cs="黑体"/>
          <w:color w:val="000000" w:themeColor="text1"/>
          <w:sz w:val="24"/>
          <w:szCs w:val="24"/>
          <w14:textFill>
            <w14:solidFill>
              <w14:schemeClr w14:val="tx1"/>
            </w14:solidFill>
          </w14:textFill>
        </w:rPr>
        <w:t>现场及生产环境要求</w:t>
      </w:r>
      <w:bookmarkEnd w:id="16"/>
    </w:p>
    <w:p w14:paraId="3CE48DD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2.3.1 代加工方的生产车间须具备良好的生产环境，整洁、通风、干燥，无粉尘、油污污染，符合安全生产、环保要求。</w:t>
      </w:r>
    </w:p>
    <w:p w14:paraId="0F588E1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2.3.2 生产车间须配备必要的防尘、防潮、防腐蚀设施，确保原材料、零部件及成品不受损坏，保证产品质量。</w:t>
      </w:r>
    </w:p>
    <w:p w14:paraId="2407DD4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2.3.3 生产设备须定期维护、校准，确保设备运行正常，加工精度满足要求，无设备故障导致的产品质量问题。</w:t>
      </w:r>
    </w:p>
    <w:p w14:paraId="08F25C6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2.3.4 产品储存环境须干燥、通风、防潮、防腐蚀、防重压，避免产品结构变形、零部件损坏、表面氧化。</w:t>
      </w:r>
    </w:p>
    <w:p w14:paraId="1913EB8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2.3.5 生产现场须建立完善的安全生产管理制度，配备必要的安全防护设施，作业人员须持证上岗，杜绝安全生产事故。</w:t>
      </w:r>
    </w:p>
    <w:p w14:paraId="0221CC3C">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17" w:name="_Toc14210"/>
      <w:bookmarkStart w:id="18" w:name="_Toc15800"/>
      <w:bookmarkStart w:id="19" w:name="_Toc19199"/>
      <w:r>
        <w:rPr>
          <w:rFonts w:hint="eastAsia" w:ascii="黑体" w:hAnsi="黑体" w:eastAsia="黑体" w:cs="黑体"/>
          <w:color w:val="000000" w:themeColor="text1"/>
          <w:sz w:val="24"/>
          <w:szCs w:val="24"/>
          <w:highlight w:val="none"/>
          <w:lang w:val="en-US" w:eastAsia="zh-CN"/>
          <w14:textFill>
            <w14:solidFill>
              <w14:schemeClr w14:val="tx1"/>
            </w14:solidFill>
          </w14:textFill>
        </w:rPr>
        <w:t>供货范围一览表</w:t>
      </w:r>
      <w:bookmarkEnd w:id="17"/>
      <w:bookmarkEnd w:id="18"/>
      <w:bookmarkEnd w:id="19"/>
    </w:p>
    <w:p w14:paraId="42E42010">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投标方提供的</w:t>
      </w:r>
      <w:r>
        <w:rPr>
          <w:rFonts w:hint="eastAsia" w:ascii="宋体" w:hAnsi="宋体" w:cs="宋体"/>
          <w:color w:val="000000" w:themeColor="text1"/>
          <w:sz w:val="21"/>
          <w:szCs w:val="21"/>
          <w:highlight w:val="none"/>
          <w:lang w:val="en-US" w:eastAsia="zh-CN"/>
          <w14:textFill>
            <w14:solidFill>
              <w14:schemeClr w14:val="tx1"/>
            </w14:solidFill>
          </w14:textFill>
        </w:rPr>
        <w:t>货物为</w:t>
      </w:r>
      <w:r>
        <w:rPr>
          <w:rFonts w:hint="eastAsia"/>
          <w:color w:val="000000" w:themeColor="text1"/>
          <w:lang w:val="en-US" w:eastAsia="zh-CN"/>
          <w14:textFill>
            <w14:solidFill>
              <w14:schemeClr w14:val="tx1"/>
            </w14:solidFill>
          </w14:textFill>
        </w:rPr>
        <w:t>架空地线多功能飞车</w:t>
      </w:r>
      <w:r>
        <w:rPr>
          <w:rFonts w:hint="eastAsia" w:ascii="宋体" w:hAnsi="宋体" w:cs="宋体"/>
          <w:color w:val="000000" w:themeColor="text1"/>
          <w:sz w:val="21"/>
          <w:szCs w:val="21"/>
          <w:highlight w:val="none"/>
          <w:lang w:val="en-US" w:eastAsia="zh-CN"/>
          <w14:textFill>
            <w14:solidFill>
              <w14:schemeClr w14:val="tx1"/>
            </w14:solidFill>
          </w14:textFill>
        </w:rPr>
        <w:t>成品，主要原材料以及规格参数见表2.1：</w:t>
      </w:r>
    </w:p>
    <w:p w14:paraId="273A9008">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p>
    <w:p w14:paraId="535733AD">
      <w:pPr>
        <w:keepNext w:val="0"/>
        <w:keepLines w:val="0"/>
        <w:pageBreakBefore w:val="0"/>
        <w:widowControl w:val="0"/>
        <w:kinsoku/>
        <w:wordWrap/>
        <w:overflowPunct/>
        <w:topLinePunct w:val="0"/>
        <w:autoSpaceDE/>
        <w:autoSpaceDN/>
        <w:bidi w:val="0"/>
        <w:adjustRightInd/>
        <w:snapToGrid/>
        <w:spacing w:before="120" w:after="120" w:line="288" w:lineRule="auto"/>
        <w:ind w:firstLine="422" w:firstLineChars="200"/>
        <w:jc w:val="center"/>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表2.1架空地线多功能飞车供货一览表</w:t>
      </w:r>
    </w:p>
    <w:tbl>
      <w:tblPr>
        <w:tblStyle w:val="27"/>
        <w:tblW w:w="0" w:type="auto"/>
        <w:jc w:val="center"/>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Layout w:type="autofit"/>
        <w:tblCellMar>
          <w:top w:w="0" w:type="dxa"/>
          <w:left w:w="108" w:type="dxa"/>
          <w:bottom w:w="0" w:type="dxa"/>
          <w:right w:w="108" w:type="dxa"/>
        </w:tblCellMar>
      </w:tblPr>
      <w:tblGrid>
        <w:gridCol w:w="396"/>
        <w:gridCol w:w="1531"/>
        <w:gridCol w:w="650"/>
        <w:gridCol w:w="2152"/>
        <w:gridCol w:w="706"/>
        <w:gridCol w:w="2025"/>
        <w:gridCol w:w="624"/>
      </w:tblGrid>
      <w:tr w14:paraId="0C05FF52">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vMerge w:val="restart"/>
            <w:tcBorders>
              <w:top w:val="single" w:color="auto" w:sz="8" w:space="0"/>
              <w:left w:val="single" w:color="auto" w:sz="8" w:space="0"/>
              <w:right w:val="single" w:color="auto" w:sz="4" w:space="0"/>
            </w:tcBorders>
            <w:vAlign w:val="center"/>
          </w:tcPr>
          <w:p w14:paraId="3F6F872B">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序号</w:t>
            </w:r>
          </w:p>
        </w:tc>
        <w:tc>
          <w:tcPr>
            <w:tcW w:w="1531" w:type="dxa"/>
            <w:vMerge w:val="restart"/>
            <w:tcBorders>
              <w:top w:val="single" w:color="auto" w:sz="8" w:space="0"/>
              <w:left w:val="single" w:color="auto" w:sz="4" w:space="0"/>
              <w:right w:val="single" w:color="auto" w:sz="4" w:space="0"/>
            </w:tcBorders>
            <w:vAlign w:val="center"/>
          </w:tcPr>
          <w:p w14:paraId="6846D58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名称</w:t>
            </w:r>
          </w:p>
        </w:tc>
        <w:tc>
          <w:tcPr>
            <w:tcW w:w="650" w:type="dxa"/>
            <w:vMerge w:val="restart"/>
            <w:tcBorders>
              <w:top w:val="single" w:color="auto" w:sz="8" w:space="0"/>
              <w:left w:val="single" w:color="auto" w:sz="4" w:space="0"/>
              <w:right w:val="single" w:color="auto" w:sz="4" w:space="0"/>
            </w:tcBorders>
            <w:vAlign w:val="center"/>
          </w:tcPr>
          <w:p w14:paraId="02424C7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3"/>
                <w:sz w:val="18"/>
                <w:szCs w:val="18"/>
              </w:rPr>
            </w:pPr>
            <w:r>
              <w:rPr>
                <w:spacing w:val="-5"/>
                <w:sz w:val="18"/>
                <w:szCs w:val="18"/>
              </w:rPr>
              <w:t>单位</w:t>
            </w:r>
          </w:p>
        </w:tc>
        <w:tc>
          <w:tcPr>
            <w:tcW w:w="2858" w:type="dxa"/>
            <w:gridSpan w:val="2"/>
            <w:tcBorders>
              <w:top w:val="single" w:color="auto" w:sz="8" w:space="0"/>
              <w:left w:val="single" w:color="auto" w:sz="4" w:space="0"/>
              <w:bottom w:val="single" w:color="auto" w:sz="4" w:space="0"/>
              <w:right w:val="single" w:color="auto" w:sz="8" w:space="0"/>
            </w:tcBorders>
            <w:vAlign w:val="center"/>
          </w:tcPr>
          <w:p w14:paraId="2A83E293">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default" w:ascii="宋体" w:hAnsi="宋体" w:eastAsia="宋体" w:cs="宋体"/>
                <w:color w:val="000000" w:themeColor="text1"/>
                <w:sz w:val="18"/>
                <w:szCs w:val="18"/>
                <w:highlight w:val="none"/>
                <w:vertAlign w:val="baseline"/>
                <w14:textFill>
                  <w14:solidFill>
                    <w14:schemeClr w14:val="tx1"/>
                  </w14:solidFill>
                </w14:textFill>
              </w:rPr>
            </w:pPr>
            <w:r>
              <w:rPr>
                <w:rFonts w:hint="eastAsia"/>
                <w:spacing w:val="-3"/>
                <w:sz w:val="18"/>
                <w:szCs w:val="18"/>
                <w:lang w:val="en-US" w:eastAsia="zh-CN"/>
              </w:rPr>
              <w:t>项目要求</w:t>
            </w:r>
          </w:p>
        </w:tc>
        <w:tc>
          <w:tcPr>
            <w:tcW w:w="2649" w:type="dxa"/>
            <w:gridSpan w:val="2"/>
            <w:tcBorders>
              <w:top w:val="single" w:color="auto" w:sz="8" w:space="0"/>
              <w:left w:val="single" w:color="auto" w:sz="4" w:space="0"/>
              <w:bottom w:val="single" w:color="auto" w:sz="4" w:space="0"/>
              <w:right w:val="single" w:color="auto" w:sz="8" w:space="0"/>
            </w:tcBorders>
            <w:vAlign w:val="center"/>
          </w:tcPr>
          <w:p w14:paraId="798BB4A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rFonts w:hint="eastAsia" w:ascii="宋体" w:hAnsi="宋体"/>
                <w:sz w:val="18"/>
                <w:szCs w:val="18"/>
              </w:rPr>
              <w:t>投标方保证</w:t>
            </w:r>
          </w:p>
        </w:tc>
      </w:tr>
      <w:tr w14:paraId="282E85FF">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vMerge w:val="continue"/>
            <w:tcBorders>
              <w:left w:val="single" w:color="auto" w:sz="8" w:space="0"/>
              <w:bottom w:val="single" w:color="auto" w:sz="4" w:space="0"/>
              <w:right w:val="single" w:color="auto" w:sz="4" w:space="0"/>
            </w:tcBorders>
            <w:vAlign w:val="center"/>
          </w:tcPr>
          <w:p w14:paraId="66476B63">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20" w:after="120" w:line="288" w:lineRule="auto"/>
              <w:ind w:leftChars="0"/>
              <w:jc w:val="both"/>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531" w:type="dxa"/>
            <w:vMerge w:val="continue"/>
            <w:tcBorders>
              <w:left w:val="single" w:color="auto" w:sz="4" w:space="0"/>
              <w:bottom w:val="single" w:color="auto" w:sz="4" w:space="0"/>
              <w:right w:val="single" w:color="auto" w:sz="4" w:space="0"/>
            </w:tcBorders>
            <w:shd w:val="clear" w:color="auto" w:fill="auto"/>
            <w:vAlign w:val="center"/>
          </w:tcPr>
          <w:p w14:paraId="7CE0F6B1">
            <w:pPr>
              <w:widowControl w:val="0"/>
              <w:spacing w:before="72" w:line="220" w:lineRule="auto"/>
              <w:ind w:left="0" w:leftChars="0"/>
              <w:jc w:val="both"/>
              <w:rPr>
                <w:rFonts w:hint="eastAsia" w:ascii="宋体" w:hAnsi="宋体" w:eastAsia="宋体" w:cs="宋体"/>
                <w:kern w:val="2"/>
                <w:sz w:val="18"/>
                <w:szCs w:val="18"/>
                <w:lang w:val="en-US" w:eastAsia="en-US" w:bidi="ar-SA"/>
              </w:rPr>
            </w:pPr>
          </w:p>
        </w:tc>
        <w:tc>
          <w:tcPr>
            <w:tcW w:w="650" w:type="dxa"/>
            <w:vMerge w:val="continue"/>
            <w:tcBorders>
              <w:left w:val="single" w:color="auto" w:sz="4" w:space="0"/>
              <w:bottom w:val="single" w:color="auto" w:sz="4" w:space="0"/>
              <w:right w:val="single" w:color="auto" w:sz="4" w:space="0"/>
            </w:tcBorders>
            <w:shd w:val="clear" w:color="auto" w:fill="auto"/>
            <w:vAlign w:val="center"/>
          </w:tcPr>
          <w:p w14:paraId="02A3CED6">
            <w:pPr>
              <w:widowControl w:val="0"/>
              <w:spacing w:before="72" w:line="220" w:lineRule="auto"/>
              <w:ind w:left="0" w:leftChars="0"/>
              <w:jc w:val="center"/>
              <w:rPr>
                <w:rFonts w:hint="eastAsia" w:ascii="宋体" w:hAnsi="宋体" w:eastAsia="宋体" w:cs="宋体"/>
                <w:kern w:val="2"/>
                <w:sz w:val="18"/>
                <w:szCs w:val="18"/>
                <w:lang w:val="en-US" w:eastAsia="en-US" w:bidi="ar-SA"/>
              </w:rPr>
            </w:pP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10F040F3">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spacing w:val="-3"/>
                <w:sz w:val="18"/>
                <w:szCs w:val="18"/>
              </w:rPr>
              <w:t>规格型号</w:t>
            </w:r>
          </w:p>
        </w:tc>
        <w:tc>
          <w:tcPr>
            <w:tcW w:w="706" w:type="dxa"/>
            <w:tcBorders>
              <w:top w:val="single" w:color="auto" w:sz="4" w:space="0"/>
              <w:left w:val="single" w:color="auto" w:sz="4" w:space="0"/>
              <w:bottom w:val="single" w:color="auto" w:sz="4" w:space="0"/>
              <w:right w:val="single" w:color="auto" w:sz="8" w:space="0"/>
            </w:tcBorders>
            <w:vAlign w:val="center"/>
          </w:tcPr>
          <w:p w14:paraId="529D2722">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5"/>
                <w:sz w:val="18"/>
                <w:szCs w:val="18"/>
              </w:rPr>
              <w:t>数量</w:t>
            </w:r>
          </w:p>
        </w:tc>
        <w:tc>
          <w:tcPr>
            <w:tcW w:w="2025" w:type="dxa"/>
            <w:tcBorders>
              <w:top w:val="single" w:color="auto" w:sz="4" w:space="0"/>
              <w:left w:val="single" w:color="auto" w:sz="4" w:space="0"/>
              <w:bottom w:val="single" w:color="auto" w:sz="4" w:space="0"/>
              <w:right w:val="single" w:color="auto" w:sz="8" w:space="0"/>
            </w:tcBorders>
            <w:vAlign w:val="center"/>
          </w:tcPr>
          <w:p w14:paraId="42D20605">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3"/>
                <w:sz w:val="18"/>
                <w:szCs w:val="18"/>
              </w:rPr>
              <w:t>规格型号</w:t>
            </w:r>
          </w:p>
        </w:tc>
        <w:tc>
          <w:tcPr>
            <w:tcW w:w="624" w:type="dxa"/>
            <w:tcBorders>
              <w:top w:val="single" w:color="auto" w:sz="4" w:space="0"/>
              <w:left w:val="single" w:color="auto" w:sz="4" w:space="0"/>
              <w:bottom w:val="single" w:color="auto" w:sz="4" w:space="0"/>
              <w:right w:val="single" w:color="auto" w:sz="8" w:space="0"/>
            </w:tcBorders>
            <w:vAlign w:val="center"/>
          </w:tcPr>
          <w:p w14:paraId="3C9EE3D9">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5"/>
                <w:sz w:val="18"/>
                <w:szCs w:val="18"/>
              </w:rPr>
              <w:t>数量</w:t>
            </w:r>
          </w:p>
        </w:tc>
      </w:tr>
      <w:tr w14:paraId="6C54978D">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686D8089">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7B81149">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主体支架、V型滚 轮、制动机构、闭锁机构、封闭</w:t>
            </w:r>
          </w:p>
          <w:p w14:paraId="7F972A13">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式翼 板结构</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6D56DA59">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cs="宋体"/>
                <w:sz w:val="18"/>
                <w:szCs w:val="18"/>
                <w:lang w:val="en-US" w:eastAsia="zh-CN"/>
              </w:rP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08F1138D">
            <w:pPr>
              <w:widowControl w:val="0"/>
              <w:spacing w:before="64" w:line="225" w:lineRule="auto"/>
              <w:ind w:left="122" w:leftChars="0"/>
              <w:jc w:val="left"/>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高强度航空铝合金，牌号≥6061-T6，抗拉强度≥310MPa，屈服强度≥276MPa，伸长率≥8%</w:t>
            </w:r>
          </w:p>
        </w:tc>
        <w:tc>
          <w:tcPr>
            <w:tcW w:w="706" w:type="dxa"/>
            <w:tcBorders>
              <w:top w:val="single" w:color="auto" w:sz="4" w:space="0"/>
              <w:left w:val="single" w:color="auto" w:sz="4" w:space="0"/>
              <w:bottom w:val="single" w:color="auto" w:sz="4" w:space="0"/>
              <w:right w:val="single" w:color="auto" w:sz="8" w:space="0"/>
            </w:tcBorders>
            <w:vAlign w:val="center"/>
          </w:tcPr>
          <w:p w14:paraId="7EC6C045">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73FE6380">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7C4904E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1E55BB81">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24E5D7B4">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B24E9E8">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可折叠座椅</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450C2BBD">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cs="宋体"/>
                <w:sz w:val="18"/>
                <w:szCs w:val="18"/>
                <w:lang w:val="en-US" w:eastAsia="zh-CN"/>
              </w:rP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71754B3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座椅结构为折叠式设计，采用“前倾+腰背部支撑”的人体工学结构，使人体重心与飞车结构重心垂直对齐</w:t>
            </w:r>
          </w:p>
        </w:tc>
        <w:tc>
          <w:tcPr>
            <w:tcW w:w="706" w:type="dxa"/>
            <w:tcBorders>
              <w:top w:val="single" w:color="auto" w:sz="4" w:space="0"/>
              <w:left w:val="single" w:color="auto" w:sz="4" w:space="0"/>
              <w:bottom w:val="single" w:color="auto" w:sz="4" w:space="0"/>
              <w:right w:val="single" w:color="auto" w:sz="8" w:space="0"/>
            </w:tcBorders>
            <w:vAlign w:val="center"/>
          </w:tcPr>
          <w:p w14:paraId="205F128A">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1ACD9069">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2E1AF379">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00645A34">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03EB9B1B">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7660EF6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不锈钢棒材</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047DE58F">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1AC2E41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采用304不锈钢材质，防腐蚀、防生锈、耐户外长期使用</w:t>
            </w:r>
          </w:p>
        </w:tc>
        <w:tc>
          <w:tcPr>
            <w:tcW w:w="706" w:type="dxa"/>
            <w:tcBorders>
              <w:top w:val="single" w:color="auto" w:sz="4" w:space="0"/>
              <w:left w:val="single" w:color="auto" w:sz="4" w:space="0"/>
              <w:bottom w:val="single" w:color="auto" w:sz="4" w:space="0"/>
              <w:right w:val="single" w:color="auto" w:sz="8" w:space="0"/>
            </w:tcBorders>
            <w:vAlign w:val="center"/>
          </w:tcPr>
          <w:p w14:paraId="69CF5680">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1E636291">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62342FD0">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579E1CA6">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08D033AB">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FB2C98B">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spacing w:val="-4"/>
              </w:rPr>
              <w:t>行走轮</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5ACA5135">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27D61BB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铝合金轮 ，轮体材质为高强度铝合金，耐磨、不损伤地线外层镀锌层</w:t>
            </w:r>
          </w:p>
        </w:tc>
        <w:tc>
          <w:tcPr>
            <w:tcW w:w="706" w:type="dxa"/>
            <w:tcBorders>
              <w:top w:val="single" w:color="auto" w:sz="4" w:space="0"/>
              <w:left w:val="single" w:color="auto" w:sz="4" w:space="0"/>
              <w:bottom w:val="single" w:color="auto" w:sz="4" w:space="0"/>
              <w:right w:val="single" w:color="auto" w:sz="8" w:space="0"/>
            </w:tcBorders>
            <w:vAlign w:val="center"/>
          </w:tcPr>
          <w:p w14:paraId="5A7A1C7F">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57CB450F">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32F2F9A4">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6598E912">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37446C58">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4E98BC09">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轴承</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226389DD">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5F2D482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NSK603/NSK690 6ZZ</w:t>
            </w:r>
          </w:p>
        </w:tc>
        <w:tc>
          <w:tcPr>
            <w:tcW w:w="706" w:type="dxa"/>
            <w:tcBorders>
              <w:top w:val="single" w:color="auto" w:sz="4" w:space="0"/>
              <w:left w:val="single" w:color="auto" w:sz="4" w:space="0"/>
              <w:bottom w:val="single" w:color="auto" w:sz="4" w:space="0"/>
              <w:right w:val="single" w:color="auto" w:sz="8" w:space="0"/>
            </w:tcBorders>
            <w:vAlign w:val="center"/>
          </w:tcPr>
          <w:p w14:paraId="5E938604">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32749B0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202DC0A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6E766D92">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4C0749C1">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A20F145">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紧固件及连接件</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2114A608">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cs="宋体"/>
                <w:sz w:val="18"/>
                <w:szCs w:val="18"/>
                <w:lang w:val="en-US" w:eastAsia="zh-CN"/>
              </w:rP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40750E6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kern w:val="2"/>
                <w:sz w:val="18"/>
                <w:szCs w:val="18"/>
                <w:highlight w:val="none"/>
                <w:vertAlign w:val="baseline"/>
                <w:lang w:val="en-US" w:eastAsia="en-US" w:bidi="ar-SA"/>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丝杆螺母T10*2mm</w:t>
            </w:r>
          </w:p>
        </w:tc>
        <w:tc>
          <w:tcPr>
            <w:tcW w:w="706" w:type="dxa"/>
            <w:tcBorders>
              <w:top w:val="single" w:color="auto" w:sz="4" w:space="0"/>
              <w:left w:val="single" w:color="auto" w:sz="4" w:space="0"/>
              <w:bottom w:val="single" w:color="auto" w:sz="4" w:space="0"/>
              <w:right w:val="single" w:color="auto" w:sz="8" w:space="0"/>
            </w:tcBorders>
            <w:vAlign w:val="center"/>
          </w:tcPr>
          <w:p w14:paraId="271355AD">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510325A9">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129962B7">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bl>
    <w:p w14:paraId="246A2B9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p>
    <w:p w14:paraId="3B05DF22">
      <w:pPr>
        <w:pStyle w:val="2"/>
        <w:numPr>
          <w:ilvl w:val="0"/>
          <w:numId w:val="0"/>
        </w:numPr>
        <w:bidi w:val="0"/>
        <w:ind w:leftChars="0"/>
        <w:rPr>
          <w:rFonts w:hint="eastAsia" w:ascii="宋体" w:hAnsi="宋体" w:eastAsia="宋体" w:cs="宋体"/>
          <w:color w:val="000000" w:themeColor="text1"/>
          <w:sz w:val="24"/>
          <w:szCs w:val="24"/>
          <w14:textFill>
            <w14:solidFill>
              <w14:schemeClr w14:val="tx1"/>
            </w14:solidFill>
          </w14:textFill>
        </w:rPr>
      </w:pPr>
      <w:bookmarkStart w:id="20" w:name="_Toc24713"/>
      <w:r>
        <w:rPr>
          <w:rFonts w:hint="default" w:ascii="Times New Roman" w:hAnsi="Times New Roman" w:cs="Times New Roman"/>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代加工范围及内容</w:t>
      </w:r>
      <w:bookmarkEnd w:id="20"/>
    </w:p>
    <w:p w14:paraId="2ADFC9CF">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本次框架采购代加工范围涵盖</w:t>
      </w:r>
      <w:r>
        <w:rPr>
          <w:rFonts w:hint="eastAsia" w:ascii="宋体" w:hAnsi="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的全部生产加工及相关配套服务，具体内容如下：</w:t>
      </w:r>
    </w:p>
    <w:p w14:paraId="4341637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 原材料采购：代加工方负责采购</w:t>
      </w:r>
      <w:r>
        <w:rPr>
          <w:rFonts w:hint="eastAsia" w:ascii="宋体" w:hAnsi="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生产所需的全部原材料、零部件，包括但不限于：铝合金型材、</w:t>
      </w:r>
      <w:r>
        <w:rPr>
          <w:rFonts w:hint="eastAsia" w:ascii="宋体" w:hAnsi="宋体" w:cs="宋体"/>
          <w:color w:val="000000" w:themeColor="text1"/>
          <w:sz w:val="21"/>
          <w:szCs w:val="21"/>
          <w:lang w:val="en-US" w:eastAsia="zh-CN"/>
          <w14:textFill>
            <w14:solidFill>
              <w14:schemeClr w14:val="tx1"/>
            </w14:solidFill>
          </w14:textFill>
        </w:rPr>
        <w:t>不锈钢棒材、</w:t>
      </w:r>
      <w:r>
        <w:rPr>
          <w:rFonts w:hint="eastAsia" w:ascii="宋体" w:hAnsi="宋体" w:cs="宋体"/>
          <w:strike w:val="0"/>
          <w:color w:val="000000" w:themeColor="text1"/>
          <w:sz w:val="21"/>
          <w:szCs w:val="21"/>
          <w:lang w:val="en-US" w:eastAsia="zh-CN"/>
          <w14:textFill>
            <w14:solidFill>
              <w14:schemeClr w14:val="tx1"/>
            </w14:solidFill>
          </w14:textFill>
        </w:rPr>
        <w:t>铝合金轮</w:t>
      </w:r>
      <w:r>
        <w:rPr>
          <w:rFonts w:hint="eastAsia" w:ascii="宋体" w:hAnsi="宋体" w:eastAsia="宋体" w:cs="宋体"/>
          <w:color w:val="000000" w:themeColor="text1"/>
          <w:sz w:val="21"/>
          <w:szCs w:val="21"/>
          <w14:textFill>
            <w14:solidFill>
              <w14:schemeClr w14:val="tx1"/>
            </w14:solidFill>
          </w14:textFill>
        </w:rPr>
        <w:t>、链条、座椅皮革、防护胶套、轴承</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防滑脚踏板等，所有原材料须符合本规范及招标人要求。</w:t>
      </w:r>
    </w:p>
    <w:p w14:paraId="6D681B7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 生产加工：按照招标人提供的技术图纸、加工工艺要求，完成</w:t>
      </w:r>
      <w:r>
        <w:rPr>
          <w:rFonts w:hint="eastAsia" w:ascii="宋体" w:hAnsi="宋体" w:cs="宋体"/>
          <w:color w:val="000000" w:themeColor="text1"/>
          <w:sz w:val="21"/>
          <w:szCs w:val="21"/>
          <w:lang w:eastAsia="zh-CN"/>
          <w14:textFill>
            <w14:solidFill>
              <w14:schemeClr w14:val="tx1"/>
            </w14:solidFill>
          </w14:textFill>
        </w:rPr>
        <w:t>架空地线多功能飞车</w:t>
      </w:r>
      <w:r>
        <w:rPr>
          <w:rFonts w:hint="eastAsia" w:ascii="宋体" w:hAnsi="宋体" w:eastAsia="宋体" w:cs="宋体"/>
          <w:color w:val="000000" w:themeColor="text1"/>
          <w:sz w:val="21"/>
          <w:szCs w:val="21"/>
          <w14:textFill>
            <w14:solidFill>
              <w14:schemeClr w14:val="tx1"/>
            </w14:solidFill>
          </w14:textFill>
        </w:rPr>
        <w:t>的切割、</w:t>
      </w:r>
      <w:r>
        <w:rPr>
          <w:rFonts w:hint="eastAsia" w:ascii="宋体" w:hAnsi="宋体" w:eastAsia="宋体" w:cs="宋体"/>
          <w:strike w:val="0"/>
          <w:color w:val="000000" w:themeColor="text1"/>
          <w:sz w:val="21"/>
          <w:szCs w:val="21"/>
          <w14:textFill>
            <w14:solidFill>
              <w14:schemeClr w14:val="tx1"/>
            </w14:solidFill>
          </w14:textFill>
        </w:rPr>
        <w:t>焊接</w:t>
      </w:r>
      <w:r>
        <w:rPr>
          <w:rFonts w:hint="eastAsia" w:ascii="宋体" w:hAnsi="宋体" w:eastAsia="宋体" w:cs="宋体"/>
          <w:color w:val="000000" w:themeColor="text1"/>
          <w:sz w:val="21"/>
          <w:szCs w:val="21"/>
          <w14:textFill>
            <w14:solidFill>
              <w14:schemeClr w14:val="tx1"/>
            </w14:solidFill>
          </w14:textFill>
        </w:rPr>
        <w:t>、机加工、组装、表面处理（阳极氧化、热镀锌、喷塑等）等全部生产加工工序。</w:t>
      </w:r>
    </w:p>
    <w:p w14:paraId="20B9F35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 质量检验：负责原材料检验、过程检验、出厂检验</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型式试验</w:t>
      </w:r>
      <w:r>
        <w:rPr>
          <w:rFonts w:hint="eastAsia" w:ascii="宋体" w:hAnsi="宋体" w:eastAsia="宋体" w:cs="宋体"/>
          <w:color w:val="000000" w:themeColor="text1"/>
          <w:sz w:val="21"/>
          <w:szCs w:val="21"/>
          <w14:textFill>
            <w14:solidFill>
              <w14:schemeClr w14:val="tx1"/>
            </w14:solidFill>
          </w14:textFill>
        </w:rPr>
        <w:t>等全流程检验工作，出具检验报告，确保产品质量符合标准。</w:t>
      </w:r>
    </w:p>
    <w:p w14:paraId="79523A4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 包装交付：按照本规范要求，完成产品的包装、标识，按订单要求将产品运输至招标人指定地点，承担全部运输、装卸费用及风险。</w:t>
      </w:r>
    </w:p>
    <w:p w14:paraId="5831FE0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 技术资料交付：随货交付产品出厂合格证、检验报告、使用说明书、零部件清单、质保卡等全套技术资料，满足招标人验收及使用需求。</w:t>
      </w:r>
    </w:p>
    <w:p w14:paraId="0A73D37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3.6 技术服务及培训：提供操作培训、售后技术支持、故障处理等服务，配合招标人完成产品验收工作。</w:t>
      </w:r>
    </w:p>
    <w:p w14:paraId="3F5D155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3.7 售后保障：按照本规范及框架协议约定，提供产品质保、维修、配件供应等售后保障服务。</w:t>
      </w:r>
    </w:p>
    <w:p w14:paraId="19B1558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3.8 框架合作配合：配合招标人完成订单下达、质量抽查、产能验证、工艺核查等工作，提供必要的生产记录、检验报告等资料。</w:t>
      </w:r>
    </w:p>
    <w:p w14:paraId="39F31B16">
      <w:pPr>
        <w:pStyle w:val="2"/>
        <w:numPr>
          <w:ilvl w:val="0"/>
          <w:numId w:val="0"/>
        </w:numPr>
        <w:bidi w:val="0"/>
        <w:ind w:leftChars="0"/>
        <w:rPr>
          <w:rFonts w:hint="eastAsia" w:ascii="宋体" w:hAnsi="宋体" w:eastAsia="宋体" w:cs="宋体"/>
          <w:color w:val="000000" w:themeColor="text1"/>
          <w:sz w:val="24"/>
          <w:szCs w:val="24"/>
          <w14:textFill>
            <w14:solidFill>
              <w14:schemeClr w14:val="tx1"/>
            </w14:solidFill>
          </w14:textFill>
        </w:rPr>
      </w:pPr>
      <w:bookmarkStart w:id="21" w:name="_Toc6160"/>
      <w:r>
        <w:rPr>
          <w:rFonts w:hint="default" w:ascii="Times New Roman" w:hAnsi="Times New Roman" w:cs="Times New Roman"/>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详细技术及代加工要求</w:t>
      </w:r>
      <w:bookmarkEnd w:id="21"/>
    </w:p>
    <w:p w14:paraId="19A577B8">
      <w:pPr>
        <w:pStyle w:val="3"/>
        <w:numPr>
          <w:ilvl w:val="1"/>
          <w:numId w:val="0"/>
        </w:numPr>
        <w:bidi w:val="0"/>
        <w:ind w:leftChars="0"/>
        <w:rPr>
          <w:rFonts w:hint="eastAsia" w:ascii="黑体" w:hAnsi="黑体" w:eastAsia="黑体" w:cs="黑体"/>
          <w:color w:val="000000" w:themeColor="text1"/>
          <w:sz w:val="24"/>
          <w:szCs w:val="24"/>
          <w14:textFill>
            <w14:solidFill>
              <w14:schemeClr w14:val="tx1"/>
            </w14:solidFill>
          </w14:textFill>
        </w:rPr>
      </w:pPr>
      <w:bookmarkStart w:id="22" w:name="_Toc17554"/>
      <w:r>
        <w:rPr>
          <w:rFonts w:hint="default" w:ascii="Times New Roman" w:hAnsi="Times New Roman" w:eastAsia="黑体" w:cs="Times New Roman"/>
          <w:color w:val="000000" w:themeColor="text1"/>
          <w:sz w:val="24"/>
          <w:szCs w:val="24"/>
          <w14:textFill>
            <w14:solidFill>
              <w14:schemeClr w14:val="tx1"/>
            </w14:solidFill>
          </w14:textFill>
        </w:rPr>
        <w:t xml:space="preserve">4.1 </w:t>
      </w:r>
      <w:r>
        <w:rPr>
          <w:rFonts w:hint="eastAsia" w:ascii="黑体" w:hAnsi="黑体" w:eastAsia="黑体" w:cs="黑体"/>
          <w:color w:val="000000" w:themeColor="text1"/>
          <w:sz w:val="24"/>
          <w:szCs w:val="24"/>
          <w14:textFill>
            <w14:solidFill>
              <w14:schemeClr w14:val="tx1"/>
            </w14:solidFill>
          </w14:textFill>
        </w:rPr>
        <w:t>代加工生产能力要求</w:t>
      </w:r>
      <w:bookmarkEnd w:id="22"/>
    </w:p>
    <w:p w14:paraId="6673F73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4.1.1 代加工方须具备</w:t>
      </w:r>
      <w:r>
        <w:rPr>
          <w:rFonts w:hint="eastAsia" w:ascii="宋体" w:hAnsi="宋体" w:cs="宋体"/>
          <w:color w:val="000000" w:themeColor="text1"/>
          <w:sz w:val="21"/>
          <w:szCs w:val="21"/>
          <w:lang w:val="en-US" w:eastAsia="zh-CN"/>
          <w14:textFill>
            <w14:solidFill>
              <w14:schemeClr w14:val="tx1"/>
            </w14:solidFill>
          </w14:textFill>
        </w:rPr>
        <w:t>以下设备</w:t>
      </w:r>
      <w:r>
        <w:rPr>
          <w:rFonts w:hint="eastAsia" w:ascii="宋体" w:hAnsi="宋体" w:eastAsia="宋体" w:cs="宋体"/>
          <w:color w:val="000000" w:themeColor="text1"/>
          <w:sz w:val="21"/>
          <w:szCs w:val="21"/>
          <w14:textFill>
            <w14:solidFill>
              <w14:schemeClr w14:val="tx1"/>
            </w14:solidFill>
          </w14:textFill>
        </w:rPr>
        <w:t>：切割设备≥1台、焊接设备≥1台、机加工设备≥1台、表面处理设备≥1台、硬度试验机≥1台、盐雾试验机≥1台。</w:t>
      </w:r>
    </w:p>
    <w:p w14:paraId="563C474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代加工方须</w:t>
      </w:r>
      <w:r>
        <w:rPr>
          <w:rFonts w:hint="eastAsia" w:ascii="宋体" w:hAnsi="宋体" w:cs="宋体"/>
          <w:color w:val="000000" w:themeColor="text1"/>
          <w:sz w:val="21"/>
          <w:szCs w:val="21"/>
          <w:highlight w:val="none"/>
          <w:lang w:val="en-US" w:eastAsia="zh-CN"/>
          <w14:textFill>
            <w14:solidFill>
              <w14:schemeClr w14:val="tx1"/>
            </w14:solidFill>
          </w14:textFill>
        </w:rPr>
        <w:t>为本项目</w:t>
      </w:r>
      <w:r>
        <w:rPr>
          <w:rFonts w:hint="eastAsia" w:ascii="宋体" w:hAnsi="宋体" w:eastAsia="宋体" w:cs="宋体"/>
          <w:color w:val="000000" w:themeColor="text1"/>
          <w:sz w:val="21"/>
          <w:szCs w:val="21"/>
          <w:highlight w:val="none"/>
          <w14:textFill>
            <w14:solidFill>
              <w14:schemeClr w14:val="tx1"/>
            </w14:solidFill>
          </w14:textFill>
        </w:rPr>
        <w:t>配备</w:t>
      </w:r>
      <w:r>
        <w:rPr>
          <w:rFonts w:hint="eastAsia" w:ascii="宋体" w:hAnsi="宋体" w:cs="宋体"/>
          <w:color w:val="000000" w:themeColor="text1"/>
          <w:sz w:val="21"/>
          <w:szCs w:val="21"/>
          <w:highlight w:val="none"/>
          <w:lang w:val="en-US" w:eastAsia="zh-CN"/>
          <w14:textFill>
            <w14:solidFill>
              <w14:schemeClr w14:val="tx1"/>
            </w14:solidFill>
          </w14:textFill>
        </w:rPr>
        <w:t>不少于12人的生产</w:t>
      </w:r>
      <w:r>
        <w:rPr>
          <w:rFonts w:hint="eastAsia" w:ascii="宋体" w:hAnsi="宋体" w:eastAsia="宋体" w:cs="宋体"/>
          <w:color w:val="000000" w:themeColor="text1"/>
          <w:sz w:val="21"/>
          <w:szCs w:val="21"/>
          <w:highlight w:val="none"/>
          <w14:textFill>
            <w14:solidFill>
              <w14:schemeClr w14:val="tx1"/>
            </w14:solidFill>
          </w14:textFill>
        </w:rPr>
        <w:t>团队，</w:t>
      </w:r>
      <w:r>
        <w:rPr>
          <w:rFonts w:hint="eastAsia" w:ascii="宋体" w:hAnsi="宋体" w:cs="宋体"/>
          <w:color w:val="000000" w:themeColor="text1"/>
          <w:sz w:val="21"/>
          <w:szCs w:val="21"/>
          <w:highlight w:val="none"/>
          <w:lang w:val="en-US" w:eastAsia="zh-CN"/>
          <w14:textFill>
            <w14:solidFill>
              <w14:schemeClr w14:val="tx1"/>
            </w14:solidFill>
          </w14:textFill>
        </w:rPr>
        <w:t>并</w:t>
      </w:r>
      <w:r>
        <w:rPr>
          <w:rFonts w:hint="eastAsia" w:ascii="宋体" w:hAnsi="宋体" w:eastAsia="宋体" w:cs="宋体"/>
          <w:color w:val="000000" w:themeColor="text1"/>
          <w:sz w:val="21"/>
          <w:szCs w:val="21"/>
          <w:highlight w:val="none"/>
          <w14:textFill>
            <w14:solidFill>
              <w14:schemeClr w14:val="tx1"/>
            </w14:solidFill>
          </w14:textFill>
        </w:rPr>
        <w:t>熟练掌握生产加工工艺。</w:t>
      </w:r>
    </w:p>
    <w:p w14:paraId="44792E3F">
      <w:pPr>
        <w:pStyle w:val="3"/>
        <w:numPr>
          <w:ilvl w:val="1"/>
          <w:numId w:val="0"/>
        </w:numPr>
        <w:bidi w:val="0"/>
        <w:ind w:leftChars="0"/>
        <w:rPr>
          <w:rFonts w:hint="eastAsia" w:ascii="黑体" w:hAnsi="黑体" w:eastAsia="黑体" w:cs="黑体"/>
          <w:color w:val="000000" w:themeColor="text1"/>
          <w:sz w:val="24"/>
          <w:szCs w:val="24"/>
          <w14:textFill>
            <w14:solidFill>
              <w14:schemeClr w14:val="tx1"/>
            </w14:solidFill>
          </w14:textFill>
        </w:rPr>
      </w:pPr>
      <w:bookmarkStart w:id="23" w:name="_Toc17659"/>
      <w:r>
        <w:rPr>
          <w:rFonts w:hint="default" w:ascii="Times New Roman" w:hAnsi="Times New Roman" w:eastAsia="黑体" w:cs="Times New Roman"/>
          <w:color w:val="000000" w:themeColor="text1"/>
          <w:sz w:val="24"/>
          <w:szCs w:val="24"/>
          <w:lang w:val="en-US" w:eastAsia="zh-CN"/>
          <w14:textFill>
            <w14:solidFill>
              <w14:schemeClr w14:val="tx1"/>
            </w14:solidFill>
          </w14:textFill>
        </w:rPr>
        <w:t>4.2</w:t>
      </w:r>
      <w:r>
        <w:rPr>
          <w:rFonts w:hint="eastAsia" w:ascii="黑体" w:hAnsi="黑体" w:eastAsia="黑体" w:cs="黑体"/>
          <w:color w:val="000000" w:themeColor="text1"/>
          <w:sz w:val="24"/>
          <w:szCs w:val="24"/>
          <w14:textFill>
            <w14:solidFill>
              <w14:schemeClr w14:val="tx1"/>
            </w14:solidFill>
          </w14:textFill>
        </w:rPr>
        <w:t>原材料采购及管控要求</w:t>
      </w:r>
      <w:bookmarkEnd w:id="23"/>
    </w:p>
    <w:p w14:paraId="6EC5988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4.2.1 代加工方采购的所有原材料须符合国家相关标准及本规范要求，优先选用行业知名品牌原材料，</w:t>
      </w:r>
      <w:r>
        <w:rPr>
          <w:rFonts w:hint="eastAsia" w:ascii="宋体" w:hAnsi="宋体" w:cs="宋体"/>
          <w:color w:val="000000" w:themeColor="text1"/>
          <w:sz w:val="21"/>
          <w:szCs w:val="21"/>
          <w:lang w:val="en-US" w:eastAsia="zh-CN"/>
          <w14:textFill>
            <w14:solidFill>
              <w14:schemeClr w14:val="tx1"/>
            </w14:solidFill>
          </w14:textFill>
        </w:rPr>
        <w:t>招标方不定期抽查原材料是否满足要求</w:t>
      </w:r>
      <w:r>
        <w:rPr>
          <w:rFonts w:hint="eastAsia" w:ascii="宋体" w:hAnsi="宋体" w:eastAsia="宋体" w:cs="宋体"/>
          <w:color w:val="000000" w:themeColor="text1"/>
          <w:sz w:val="21"/>
          <w:szCs w:val="21"/>
          <w14:textFill>
            <w14:solidFill>
              <w14:schemeClr w14:val="tx1"/>
            </w14:solidFill>
          </w14:textFill>
        </w:rPr>
        <w:t>。</w:t>
      </w:r>
    </w:p>
    <w:p w14:paraId="14903FF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4.2.2 主体框架铝合金型材：采用高强度航空铝合金，牌号≥6061-T6，抗拉强度≥310MPa，屈服强度≥276MPa，伸长率≥8%，须提供原材料合格证明。</w:t>
      </w:r>
    </w:p>
    <w:p w14:paraId="6B44893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4.2.3 不锈钢</w:t>
      </w:r>
      <w:r>
        <w:rPr>
          <w:rFonts w:hint="eastAsia" w:ascii="宋体" w:hAnsi="宋体" w:cs="宋体"/>
          <w:color w:val="000000" w:themeColor="text1"/>
          <w:sz w:val="21"/>
          <w:szCs w:val="21"/>
          <w:lang w:val="en-US" w:eastAsia="zh-CN"/>
          <w14:textFill>
            <w14:solidFill>
              <w14:schemeClr w14:val="tx1"/>
            </w14:solidFill>
          </w14:textFill>
        </w:rPr>
        <w:t>棒材</w:t>
      </w:r>
      <w:r>
        <w:rPr>
          <w:rFonts w:hint="eastAsia" w:ascii="宋体" w:hAnsi="宋体" w:eastAsia="宋体" w:cs="宋体"/>
          <w:color w:val="000000" w:themeColor="text1"/>
          <w:sz w:val="21"/>
          <w:szCs w:val="21"/>
          <w14:textFill>
            <w14:solidFill>
              <w14:schemeClr w14:val="tx1"/>
            </w14:solidFill>
          </w14:textFill>
        </w:rPr>
        <w:t>：采用304不锈钢材质，防腐蚀、防生锈、耐户外长期使用，符合GB/T 1231标准要求，须提供原材料合格证明。</w:t>
      </w:r>
    </w:p>
    <w:p w14:paraId="128D2E2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4.2.4 行走轮：铝合金轮，轮体材质为高强度铝合金，耐磨、不损伤地线外层镀锌层，须提供原材料合格证明。</w:t>
      </w:r>
    </w:p>
    <w:p w14:paraId="238154F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en-US" w:eastAsia="zh-CN"/>
          <w14:textFill>
            <w14:solidFill>
              <w14:schemeClr w14:val="tx1"/>
            </w14:solidFill>
          </w14:textFill>
        </w:rPr>
        <w:t>可折叠</w:t>
      </w:r>
      <w:r>
        <w:rPr>
          <w:rFonts w:hint="eastAsia" w:ascii="宋体" w:hAnsi="宋体" w:eastAsia="宋体" w:cs="宋体"/>
          <w:color w:val="000000" w:themeColor="text1"/>
          <w:kern w:val="2"/>
          <w:sz w:val="21"/>
          <w:szCs w:val="21"/>
          <w:lang w:val="en-US" w:eastAsia="zh-CN" w:bidi="ar-SA"/>
          <w14:textFill>
            <w14:solidFill>
              <w14:schemeClr w14:val="tx1"/>
            </w14:solidFill>
          </w14:textFill>
        </w:rPr>
        <w:t>座椅</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eastAsia="zh-CN" w:bidi="ar-SA"/>
          <w14:textFill>
            <w14:solidFill>
              <w14:schemeClr w14:val="tx1"/>
            </w14:solidFill>
          </w14:textFill>
        </w:rPr>
        <w:t>座椅</w:t>
      </w:r>
      <w:r>
        <w:rPr>
          <w:rFonts w:hint="eastAsia" w:ascii="宋体" w:hAnsi="宋体" w:cs="宋体"/>
          <w:color w:val="000000" w:themeColor="text1"/>
          <w:kern w:val="2"/>
          <w:sz w:val="21"/>
          <w:szCs w:val="21"/>
          <w:lang w:val="en-US" w:eastAsia="zh-CN" w:bidi="ar-SA"/>
          <w14:textFill>
            <w14:solidFill>
              <w14:schemeClr w14:val="tx1"/>
            </w14:solidFill>
          </w14:textFill>
        </w:rPr>
        <w:t>结构</w:t>
      </w:r>
      <w:r>
        <w:rPr>
          <w:rFonts w:hint="eastAsia" w:ascii="宋体" w:hAnsi="宋体" w:eastAsia="宋体" w:cs="宋体"/>
          <w:color w:val="000000" w:themeColor="text1"/>
          <w:kern w:val="2"/>
          <w:sz w:val="21"/>
          <w:szCs w:val="21"/>
          <w:lang w:val="en-US" w:eastAsia="zh-CN" w:bidi="ar-SA"/>
          <w14:textFill>
            <w14:solidFill>
              <w14:schemeClr w14:val="tx1"/>
            </w14:solidFill>
          </w14:textFill>
        </w:rPr>
        <w:t>为折叠式设计，采用“前倾+腰背部支撑”的人体工学结构，使人体重心与飞车结构重心垂直对齐，提升作业稳定性与舒适性</w:t>
      </w:r>
      <w:r>
        <w:rPr>
          <w:rFonts w:hint="eastAsia" w:ascii="宋体" w:hAnsi="宋体" w:eastAsia="宋体" w:cs="宋体"/>
          <w:color w:val="000000" w:themeColor="text1"/>
          <w:sz w:val="21"/>
          <w:szCs w:val="21"/>
          <w14:textFill>
            <w14:solidFill>
              <w14:schemeClr w14:val="tx1"/>
            </w14:solidFill>
          </w14:textFill>
        </w:rPr>
        <w:t>，须提供原材料合格证明。</w:t>
      </w:r>
    </w:p>
    <w:p w14:paraId="2CEF731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r>
        <w:rPr>
          <w:rFonts w:hint="eastAsia" w:ascii="宋体" w:hAnsi="宋体" w:cs="宋体"/>
          <w:color w:val="000000" w:themeColor="text1"/>
          <w:sz w:val="21"/>
          <w:szCs w:val="21"/>
          <w:lang w:val="en-US" w:eastAsia="zh-CN"/>
          <w14:textFill>
            <w14:solidFill>
              <w14:schemeClr w14:val="tx1"/>
            </w14:solidFill>
          </w14:textFill>
        </w:rPr>
        <w:t>6 轴承:型号：NSK603/NSK6906ZZ。</w:t>
      </w:r>
    </w:p>
    <w:p w14:paraId="0C89053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4.2.7紧固件及连接件：包含丝杆螺母、铆钉等部件，要求材质、性能符合国家标准。</w:t>
      </w:r>
    </w:p>
    <w:p w14:paraId="30DE595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4.2.8</w:t>
      </w:r>
      <w:r>
        <w:rPr>
          <w:rFonts w:hint="eastAsia" w:ascii="宋体" w:hAnsi="宋体" w:eastAsia="宋体" w:cs="宋体"/>
          <w:color w:val="000000" w:themeColor="text1"/>
          <w:sz w:val="21"/>
          <w:szCs w:val="21"/>
          <w14:textFill>
            <w14:solidFill>
              <w14:schemeClr w14:val="tx1"/>
            </w14:solidFill>
          </w14:textFill>
        </w:rPr>
        <w:t xml:space="preserve"> 代加工方须建立原材料采购台账和检验台账，对每一批次原材料进行检验，检验合格后方可投入生产，检验记录须完整、可追溯，接受招标人抽查。</w:t>
      </w:r>
    </w:p>
    <w:p w14:paraId="3E96BD6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14:textFill>
            <w14:solidFill>
              <w14:schemeClr w14:val="tx1"/>
            </w14:solidFill>
          </w14:textFill>
        </w:rPr>
        <w:t xml:space="preserve"> 原材料储存须分类存放，做好标识，采取防潮、防腐蚀、防损坏措施，确保原材料质量不受影响。</w:t>
      </w:r>
    </w:p>
    <w:p w14:paraId="239BDE37">
      <w:pPr>
        <w:pStyle w:val="3"/>
        <w:numPr>
          <w:ilvl w:val="1"/>
          <w:numId w:val="0"/>
        </w:numPr>
        <w:bidi w:val="0"/>
        <w:ind w:leftChars="0"/>
        <w:rPr>
          <w:rFonts w:hint="eastAsia" w:ascii="Times New Roman" w:hAnsi="Times New Roman" w:eastAsia="黑体" w:cs="Times New Roman"/>
          <w:color w:val="000000" w:themeColor="text1"/>
          <w:sz w:val="24"/>
          <w:szCs w:val="24"/>
          <w:lang w:val="en-US" w:eastAsia="zh-CN"/>
          <w14:textFill>
            <w14:solidFill>
              <w14:schemeClr w14:val="tx1"/>
            </w14:solidFill>
          </w14:textFill>
        </w:rPr>
      </w:pPr>
      <w:bookmarkStart w:id="24" w:name="_Toc29798"/>
      <w:r>
        <w:rPr>
          <w:rFonts w:hint="eastAsia" w:ascii="Times New Roman" w:eastAsia="黑体" w:cs="Times New Roman"/>
          <w:color w:val="000000" w:themeColor="text1"/>
          <w:sz w:val="24"/>
          <w:szCs w:val="24"/>
          <w:lang w:val="en-US" w:eastAsia="zh-CN"/>
          <w14:textFill>
            <w14:solidFill>
              <w14:schemeClr w14:val="tx1"/>
            </w14:solidFill>
          </w14:textFill>
        </w:rPr>
        <w:t>4.3</w:t>
      </w:r>
      <w:r>
        <w:rPr>
          <w:rFonts w:hint="eastAsia" w:ascii="Times New Roman" w:hAnsi="Times New Roman" w:eastAsia="黑体" w:cs="Times New Roman"/>
          <w:color w:val="000000" w:themeColor="text1"/>
          <w:sz w:val="24"/>
          <w:szCs w:val="24"/>
          <w:lang w:val="en-US" w:eastAsia="zh-CN"/>
          <w14:textFill>
            <w14:solidFill>
              <w14:schemeClr w14:val="tx1"/>
            </w14:solidFill>
          </w14:textFill>
        </w:rPr>
        <w:t>生产工艺及加工要求</w:t>
      </w:r>
      <w:bookmarkEnd w:id="24"/>
    </w:p>
    <w:p w14:paraId="1AD06ED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4.3.1 代加工方须严格按照招标人提供的技术图纸、加工工艺文件进行生产加工，加工精度须符合图纸要求，不得擅自修改工艺参数。</w:t>
      </w:r>
    </w:p>
    <w:p w14:paraId="78C65B4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4.3.2 切割工艺：采用切割设备，切割面平整、光滑，无毛刺、无裂纹、无变形，切割尺寸误差≤±0.3mm。</w:t>
      </w:r>
    </w:p>
    <w:p w14:paraId="676EBE8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4.3.3 焊接工艺：采用氩弧焊焊接，焊接处饱满、平滑，无焊渣、无气孔、无裂纹，焊接强度不低于原材料强度，焊接后须进行打磨、钝化处理，确保外观平整。</w:t>
      </w:r>
    </w:p>
    <w:p w14:paraId="6CD6E5D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4.3.4 机加工工艺：机加工表面光滑，无划痕、无毛刺，尺寸精度符合图纸要求，螺纹加工清晰、无滑丝，配合间隙合理。</w:t>
      </w:r>
    </w:p>
    <w:p w14:paraId="3BE869B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4.3.5 表面处理工艺：铝合金部件采用阳极氧化处理，氧化层厚度≥15μm，表面均匀、光滑，无氧化斑点、无脱落；钢结构部件采用热镀锌或喷塑处理，镀锌层厚度≥80μm，喷塑层厚度≥60μm，耐腐蚀性强，户外长期使用无氧化、无脱落。</w:t>
      </w:r>
    </w:p>
    <w:p w14:paraId="2B489AD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4.3.6 组装工艺：组装过程规范，零部件安装牢固，无松动、无卡滞，行走轮转动灵活，传动系统顺畅，制动装置可靠，折叠机构操作便捷。</w:t>
      </w:r>
    </w:p>
    <w:p w14:paraId="2C1EE70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4.3.7 代加工方须建立生产过程管控台账，对每一道工序进行记录，包括加工人员、加工时间、工艺参数、检验结果等，确保生产过程可追溯。</w:t>
      </w:r>
    </w:p>
    <w:p w14:paraId="57B563F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4.3.8 生产过程中发现不合格品，须立即隔离、标识，严禁流入下一道工序，不合格品处理记录须完整，接受招标人核查。</w:t>
      </w:r>
    </w:p>
    <w:p w14:paraId="1E830763">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5" w:name="_Toc19682"/>
      <w:r>
        <w:rPr>
          <w:rFonts w:hint="eastAsia" w:ascii="Times New Roman" w:eastAsia="黑体" w:cs="Times New Roman"/>
          <w:color w:val="000000" w:themeColor="text1"/>
          <w:sz w:val="24"/>
          <w:szCs w:val="24"/>
          <w:lang w:val="en-US" w:eastAsia="zh-CN"/>
          <w14:textFill>
            <w14:solidFill>
              <w14:schemeClr w14:val="tx1"/>
            </w14:solidFill>
          </w14:textFill>
        </w:rPr>
        <w:t>4.4 产品技术参数要求</w:t>
      </w:r>
      <w:bookmarkEnd w:id="25"/>
    </w:p>
    <w:p w14:paraId="54031E50">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4.4.1 整体结构：采用框架式铝合金一体化结构，包含上</w:t>
      </w:r>
      <w:r>
        <w:rPr>
          <w:rFonts w:hint="eastAsia" w:ascii="宋体" w:hAnsi="宋体" w:cs="宋体"/>
          <w:strike w:val="0"/>
          <w:color w:val="000000" w:themeColor="text1"/>
          <w:sz w:val="21"/>
          <w:szCs w:val="21"/>
          <w:lang w:val="en-US" w:eastAsia="zh-CN"/>
          <w14:textFill>
            <w14:solidFill>
              <w14:schemeClr w14:val="tx1"/>
            </w14:solidFill>
          </w14:textFill>
        </w:rPr>
        <w:t>滚轮装置</w:t>
      </w:r>
      <w:r>
        <w:rPr>
          <w:rFonts w:hint="eastAsia" w:ascii="宋体" w:hAnsi="宋体" w:eastAsia="宋体" w:cs="宋体"/>
          <w:color w:val="000000" w:themeColor="text1"/>
          <w:sz w:val="21"/>
          <w:szCs w:val="21"/>
          <w:lang w:val="en-US" w:eastAsia="zh-CN"/>
          <w14:textFill>
            <w14:solidFill>
              <w14:schemeClr w14:val="tx1"/>
            </w14:solidFill>
          </w14:textFill>
        </w:rPr>
        <w:t>、主体</w:t>
      </w:r>
      <w:r>
        <w:rPr>
          <w:rFonts w:hint="eastAsia" w:ascii="宋体" w:hAnsi="宋体" w:cs="宋体"/>
          <w:strike w:val="0"/>
          <w:color w:val="000000" w:themeColor="text1"/>
          <w:sz w:val="21"/>
          <w:szCs w:val="21"/>
          <w:lang w:val="en-US" w:eastAsia="zh-CN"/>
          <w14:textFill>
            <w14:solidFill>
              <w14:schemeClr w14:val="tx1"/>
            </w14:solidFill>
          </w14:textFill>
        </w:rPr>
        <w:t>框</w:t>
      </w:r>
      <w:r>
        <w:rPr>
          <w:rFonts w:hint="eastAsia" w:ascii="宋体" w:hAnsi="宋体" w:eastAsia="宋体" w:cs="宋体"/>
          <w:color w:val="000000" w:themeColor="text1"/>
          <w:sz w:val="21"/>
          <w:szCs w:val="21"/>
          <w:lang w:val="en-US" w:eastAsia="zh-CN"/>
          <w14:textFill>
            <w14:solidFill>
              <w14:schemeClr w14:val="tx1"/>
            </w14:solidFill>
          </w14:textFill>
        </w:rPr>
        <w:t>架、可折叠座椅、</w:t>
      </w:r>
      <w:r>
        <w:rPr>
          <w:rFonts w:hint="eastAsia" w:ascii="宋体" w:hAnsi="宋体" w:cs="宋体"/>
          <w:color w:val="000000" w:themeColor="text1"/>
          <w:sz w:val="21"/>
          <w:szCs w:val="21"/>
          <w:lang w:val="en-US" w:eastAsia="zh-CN"/>
          <w14:textFill>
            <w14:solidFill>
              <w14:schemeClr w14:val="tx1"/>
            </w14:solidFill>
          </w14:textFill>
        </w:rPr>
        <w:t>制动机构、</w:t>
      </w:r>
      <w:r>
        <w:rPr>
          <w:rFonts w:hint="eastAsia" w:ascii="宋体" w:hAnsi="宋体" w:eastAsia="宋体" w:cs="宋体"/>
          <w:color w:val="000000" w:themeColor="text1"/>
          <w:sz w:val="21"/>
          <w:szCs w:val="21"/>
          <w:lang w:val="en-US" w:eastAsia="zh-CN"/>
          <w14:textFill>
            <w14:solidFill>
              <w14:schemeClr w14:val="tx1"/>
            </w14:solidFill>
          </w14:textFill>
        </w:rPr>
        <w:t>越障机构、</w:t>
      </w:r>
      <w:r>
        <w:rPr>
          <w:rFonts w:hint="eastAsia" w:ascii="宋体" w:hAnsi="宋体" w:cs="宋体"/>
          <w:color w:val="000000" w:themeColor="text1"/>
          <w:sz w:val="21"/>
          <w:szCs w:val="21"/>
          <w:lang w:val="en-US" w:eastAsia="zh-CN"/>
          <w14:textFill>
            <w14:solidFill>
              <w14:schemeClr w14:val="tx1"/>
            </w14:solidFill>
          </w14:textFill>
        </w:rPr>
        <w:t>安全闭锁机构</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多功能接口</w:t>
      </w:r>
      <w:r>
        <w:rPr>
          <w:rFonts w:hint="eastAsia" w:ascii="宋体" w:hAnsi="宋体" w:eastAsia="宋体" w:cs="宋体"/>
          <w:color w:val="000000" w:themeColor="text1"/>
          <w:sz w:val="21"/>
          <w:szCs w:val="21"/>
          <w:lang w:val="en-US" w:eastAsia="zh-CN"/>
          <w14:textFill>
            <w14:solidFill>
              <w14:schemeClr w14:val="tx1"/>
            </w14:solidFill>
          </w14:textFill>
        </w:rPr>
        <w:t>，结构完整、无缺项。</w:t>
      </w:r>
    </w:p>
    <w:p w14:paraId="4BBFAB5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lang w:val="en-US" w:eastAsia="zh-CN"/>
          <w14:textFill>
            <w14:solidFill>
              <w14:schemeClr w14:val="tx1"/>
            </w14:solidFill>
          </w14:textFill>
        </w:rPr>
        <w:t>4.4.2 额定作业载荷：≥1.21kN（额定载人重量≥120kg），满足作业人员+随身工具总重量需求。</w:t>
      </w:r>
    </w:p>
    <w:p w14:paraId="55D8351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lang w:val="en-US" w:eastAsia="zh-CN"/>
          <w14:textFill>
            <w14:solidFill>
              <w14:schemeClr w14:val="tx1"/>
            </w14:solidFill>
          </w14:textFill>
        </w:rPr>
        <w:t>4.4.3 整机自重：≤</w:t>
      </w:r>
      <w:r>
        <w:rPr>
          <w:rFonts w:hint="eastAsia" w:ascii="宋体" w:hAnsi="宋体" w:cs="宋体"/>
          <w:color w:val="000000" w:themeColor="text1"/>
          <w:sz w:val="21"/>
          <w:szCs w:val="21"/>
          <w:lang w:val="en-US" w:eastAsia="zh-CN"/>
          <w14:textFill>
            <w14:solidFill>
              <w14:schemeClr w14:val="tx1"/>
            </w14:solidFill>
          </w14:textFill>
        </w:rPr>
        <w:t>12</w:t>
      </w:r>
      <w:r>
        <w:rPr>
          <w:rFonts w:hint="eastAsia" w:ascii="宋体" w:hAnsi="宋体" w:eastAsia="宋体" w:cs="宋体"/>
          <w:color w:val="000000" w:themeColor="text1"/>
          <w:sz w:val="21"/>
          <w:szCs w:val="21"/>
          <w:lang w:val="en-US" w:eastAsia="zh-CN"/>
          <w14:textFill>
            <w14:solidFill>
              <w14:schemeClr w14:val="tx1"/>
            </w14:solidFill>
          </w14:textFill>
        </w:rPr>
        <w:t>kg，轻量化设计，便于杆塔传递、人工搬运。</w:t>
      </w:r>
    </w:p>
    <w:p w14:paraId="1C7EA7A9">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4.4.4 适配地线直径：Φ11.0mm～Φ</w:t>
      </w:r>
      <w:r>
        <w:rPr>
          <w:rFonts w:hint="eastAsia" w:ascii="宋体" w:hAnsi="宋体" w:cs="宋体"/>
          <w:color w:val="000000" w:themeColor="text1"/>
          <w:sz w:val="21"/>
          <w:szCs w:val="21"/>
          <w:lang w:val="en-US" w:eastAsia="zh-CN"/>
          <w14:textFill>
            <w14:solidFill>
              <w14:schemeClr w14:val="tx1"/>
            </w14:solidFill>
          </w14:textFill>
        </w:rPr>
        <w:t>45.0</w:t>
      </w:r>
      <w:r>
        <w:rPr>
          <w:rFonts w:hint="eastAsia" w:ascii="宋体" w:hAnsi="宋体" w:eastAsia="宋体" w:cs="宋体"/>
          <w:color w:val="000000" w:themeColor="text1"/>
          <w:sz w:val="21"/>
          <w:szCs w:val="21"/>
          <w:lang w:val="en-US" w:eastAsia="zh-CN"/>
          <w14:textFill>
            <w14:solidFill>
              <w14:schemeClr w14:val="tx1"/>
            </w14:solidFill>
          </w14:textFill>
        </w:rPr>
        <w:t>mm 钢绞线地线。</w:t>
      </w:r>
    </w:p>
    <w:p w14:paraId="09D3D18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lang w:val="en-US" w:eastAsia="zh-CN"/>
          <w14:textFill>
            <w14:solidFill>
              <w14:schemeClr w14:val="tx1"/>
            </w14:solidFill>
          </w14:textFill>
        </w:rPr>
        <w:t>4.4.5 最大行走爬坡角度：≥15°。</w:t>
      </w:r>
    </w:p>
    <w:p w14:paraId="15A1B1F9">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4.4.6 行走</w:t>
      </w:r>
      <w:r>
        <w:rPr>
          <w:rFonts w:hint="eastAsia" w:ascii="宋体" w:hAnsi="宋体" w:cs="宋体"/>
          <w:color w:val="000000" w:themeColor="text1"/>
          <w:sz w:val="21"/>
          <w:szCs w:val="21"/>
          <w:lang w:val="en-US" w:eastAsia="zh-CN"/>
          <w14:textFill>
            <w14:solidFill>
              <w14:schemeClr w14:val="tx1"/>
            </w14:solidFill>
          </w14:textFill>
        </w:rPr>
        <w:t>能力</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设备</w:t>
      </w:r>
      <w:r>
        <w:rPr>
          <w:rFonts w:hint="eastAsia" w:ascii="宋体" w:hAnsi="宋体" w:eastAsia="宋体" w:cs="宋体"/>
          <w:color w:val="000000" w:themeColor="text1"/>
          <w:sz w:val="21"/>
          <w:szCs w:val="21"/>
          <w:lang w:val="en-US" w:eastAsia="zh-CN"/>
          <w14:textFill>
            <w14:solidFill>
              <w14:schemeClr w14:val="tx1"/>
            </w14:solidFill>
          </w14:textFill>
        </w:rPr>
        <w:t>在负荷1.21kN下行驶正常，并能顺利通过防振锤</w:t>
      </w:r>
      <w:r>
        <w:rPr>
          <w:rFonts w:hint="eastAsia" w:ascii="宋体" w:hAnsi="宋体" w:eastAsia="宋体" w:cs="宋体"/>
          <w:strike/>
          <w:color w:val="000000" w:themeColor="text1"/>
          <w:sz w:val="21"/>
          <w:szCs w:val="21"/>
          <w:lang w:val="en-US" w:eastAsia="zh-CN"/>
          <w14:textFill>
            <w14:solidFill>
              <w14:schemeClr w14:val="tx1"/>
            </w14:solidFill>
          </w14:textFill>
        </w:rPr>
        <w:t>。</w:t>
      </w:r>
    </w:p>
    <w:p w14:paraId="604F1DEA">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w:t>
      </w: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val="en-US" w:eastAsia="zh-CN"/>
          <w14:textFill>
            <w14:solidFill>
              <w14:schemeClr w14:val="tx1"/>
            </w14:solidFill>
          </w14:textFill>
        </w:rPr>
        <w:t xml:space="preserve"> 越障功能：可自主跨越线路常规间隔棒、防振锤、悬垂线夹、接续金具等障碍物，越障过程无需人工辅助下线拆解，越障平稳无卡顿、无脱线风险。</w:t>
      </w:r>
    </w:p>
    <w:p w14:paraId="061AD4D5">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 xml:space="preserve"> 安全防护：具备双重防脱线安全机构（上轮机械锁紧卡扣+侧边防护挡轮），极端工况下整机不脱离地线；配备独立安全带专用挂点，挂点承重≥</w:t>
      </w:r>
      <w:r>
        <w:rPr>
          <w:rFonts w:hint="eastAsia" w:ascii="宋体" w:hAnsi="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lang w:val="en-US" w:eastAsia="zh-CN"/>
          <w14:textFill>
            <w14:solidFill>
              <w14:schemeClr w14:val="tx1"/>
            </w14:solidFill>
          </w14:textFill>
        </w:rPr>
        <w:t>kN，与车身主体刚性连接；座椅配备靠背防护栏</w:t>
      </w:r>
      <w:r>
        <w:rPr>
          <w:rFonts w:hint="eastAsia" w:ascii="宋体" w:hAnsi="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所有连接紧固件采用高强度防松螺栓、防松螺母，所有棱角做圆角钝化处理。</w:t>
      </w:r>
    </w:p>
    <w:p w14:paraId="505B2220">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 xml:space="preserve"> 折叠功能：整机可全折叠收纳，折叠后体积大幅缩小，单人可快速完成折叠/展开操作，无需额外工具，拆装时间≤1min，便于塔上传递、库房存放、车载运输。</w:t>
      </w:r>
    </w:p>
    <w:p w14:paraId="2FBDE858">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 xml:space="preserve"> 整机设计使用寿命：≥8年，正常使用无结构疲劳变形。</w:t>
      </w:r>
    </w:p>
    <w:p w14:paraId="7904D1BB">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6" w:name="_Toc25894"/>
      <w:r>
        <w:rPr>
          <w:rFonts w:hint="eastAsia" w:ascii="Times New Roman" w:eastAsia="黑体" w:cs="Times New Roman"/>
          <w:color w:val="000000" w:themeColor="text1"/>
          <w:sz w:val="24"/>
          <w:szCs w:val="24"/>
          <w:lang w:val="en-US" w:eastAsia="zh-CN"/>
          <w14:textFill>
            <w14:solidFill>
              <w14:schemeClr w14:val="tx1"/>
            </w14:solidFill>
          </w14:textFill>
        </w:rPr>
        <w:t>4.5 图纸</w:t>
      </w:r>
      <w:bookmarkEnd w:id="26"/>
    </w:p>
    <w:p w14:paraId="6F7E5EC2">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Times New Roman" w:eastAsia="宋体" w:cs="Times New Roman"/>
          <w:color w:val="000000" w:themeColor="text1"/>
          <w:sz w:val="21"/>
          <w:szCs w:val="24"/>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以下图纸供参考，详细图纸待</w:t>
      </w:r>
      <w:r>
        <w:rPr>
          <w:rFonts w:hint="eastAsia" w:ascii="宋体" w:hAnsi="宋体" w:eastAsia="宋体" w:cs="宋体"/>
          <w:color w:val="000000" w:themeColor="text1"/>
          <w:sz w:val="21"/>
          <w:szCs w:val="21"/>
          <w:lang w:val="en-US" w:eastAsia="zh-CN"/>
          <w14:textFill>
            <w14:solidFill>
              <w14:schemeClr w14:val="tx1"/>
            </w14:solidFill>
          </w14:textFill>
        </w:rPr>
        <w:t>中标</w:t>
      </w:r>
      <w:r>
        <w:rPr>
          <w:rFonts w:hint="eastAsia" w:ascii="宋体" w:hAnsi="宋体" w:cs="宋体"/>
          <w:color w:val="000000" w:themeColor="text1"/>
          <w:sz w:val="21"/>
          <w:szCs w:val="21"/>
          <w:lang w:val="en-US" w:eastAsia="zh-CN"/>
          <w14:textFill>
            <w14:solidFill>
              <w14:schemeClr w14:val="tx1"/>
            </w14:solidFill>
          </w14:textFill>
        </w:rPr>
        <w:t>单位确认并</w:t>
      </w:r>
      <w:r>
        <w:rPr>
          <w:rFonts w:hint="eastAsia" w:ascii="宋体" w:hAnsi="宋体" w:eastAsia="宋体" w:cs="宋体"/>
          <w:color w:val="000000" w:themeColor="text1"/>
          <w:sz w:val="21"/>
          <w:szCs w:val="21"/>
          <w:lang w:val="en-US" w:eastAsia="zh-CN"/>
          <w14:textFill>
            <w14:solidFill>
              <w14:schemeClr w14:val="tx1"/>
            </w14:solidFill>
          </w14:textFill>
        </w:rPr>
        <w:t>签署保密协议后</w:t>
      </w:r>
      <w:r>
        <w:rPr>
          <w:rFonts w:hint="eastAsia" w:ascii="宋体" w:hAnsi="宋体" w:cs="宋体"/>
          <w:color w:val="000000" w:themeColor="text1"/>
          <w:sz w:val="21"/>
          <w:szCs w:val="21"/>
          <w:lang w:val="en-US" w:eastAsia="zh-CN"/>
          <w14:textFill>
            <w14:solidFill>
              <w14:schemeClr w14:val="tx1"/>
            </w14:solidFill>
          </w14:textFill>
        </w:rPr>
        <w:t>由招标方提供给中标单位</w:t>
      </w:r>
      <w:r>
        <w:rPr>
          <w:rFonts w:hint="eastAsia" w:ascii="宋体" w:hAnsi="宋体" w:eastAsia="宋体" w:cs="宋体"/>
          <w:color w:val="000000" w:themeColor="text1"/>
          <w:sz w:val="21"/>
          <w:szCs w:val="21"/>
          <w:lang w:val="en-US" w:eastAsia="zh-CN"/>
          <w14:textFill>
            <w14:solidFill>
              <w14:schemeClr w14:val="tx1"/>
            </w14:solidFill>
          </w14:textFill>
        </w:rPr>
        <w:t>。</w:t>
      </w:r>
    </w:p>
    <w:p w14:paraId="212AABF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drawing>
          <wp:inline distT="0" distB="0" distL="114300" distR="114300">
            <wp:extent cx="5300980" cy="4654550"/>
            <wp:effectExtent l="0" t="0" r="2540" b="8890"/>
            <wp:docPr id="2" name="图片 2" descr="209bb5409fff677297558e50194a0734_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9bb5409fff677297558e50194a0734_origin"/>
                    <pic:cNvPicPr>
                      <a:picLocks noChangeAspect="1"/>
                    </pic:cNvPicPr>
                  </pic:nvPicPr>
                  <pic:blipFill>
                    <a:blip r:embed="rId10"/>
                    <a:stretch>
                      <a:fillRect/>
                    </a:stretch>
                  </pic:blipFill>
                  <pic:spPr>
                    <a:xfrm>
                      <a:off x="0" y="0"/>
                      <a:ext cx="5300980" cy="4654550"/>
                    </a:xfrm>
                    <a:prstGeom prst="rect">
                      <a:avLst/>
                    </a:prstGeom>
                  </pic:spPr>
                </pic:pic>
              </a:graphicData>
            </a:graphic>
          </wp:inline>
        </w:drawing>
      </w:r>
    </w:p>
    <w:p w14:paraId="1BC88A7A">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7" w:name="_Toc30045"/>
      <w:r>
        <w:rPr>
          <w:rFonts w:hint="eastAsia" w:ascii="Times New Roman" w:eastAsia="黑体" w:cs="Times New Roman"/>
          <w:color w:val="000000" w:themeColor="text1"/>
          <w:sz w:val="24"/>
          <w:szCs w:val="24"/>
          <w:lang w:val="en-US" w:eastAsia="zh-CN"/>
          <w14:textFill>
            <w14:solidFill>
              <w14:schemeClr w14:val="tx1"/>
            </w14:solidFill>
          </w14:textFill>
        </w:rPr>
        <w:t>4.6 质量管控及检验要求</w:t>
      </w:r>
      <w:bookmarkEnd w:id="27"/>
    </w:p>
    <w:p w14:paraId="72CA8A3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.1 代加工方须建立完善的质量管控体系，覆盖原材料采购、生产加工、检验检测、包装交付等全流程，制定详细的质量管控细则和检验标准，确保产品质量符合本规范要求。</w:t>
      </w:r>
    </w:p>
    <w:p w14:paraId="316109B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.2 原材料检验：每一批次原材料进场后，须进行全项检验，检验项目包括材质、尺寸、性能等，检验合格后方可投入生产，检验记录须完整，留存检验报告及合格证明。</w:t>
      </w:r>
    </w:p>
    <w:p w14:paraId="44F9499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.3 过程检验：对生产加工的每一道工序进行检验，包括切割、焊接、机加工、表面处理、组装等，检验合格后方可进入下一道工序，过程检验记录须完整、可追溯。</w:t>
      </w:r>
    </w:p>
    <w:p w14:paraId="1933BC6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.4 出厂检验：每台产品出厂前，须进行全项出厂检验，检验项目包括外观、结构、尺寸、性能、安全防护、行走功能、越障功能、制动功能等，检验合格后出具出厂合格证及检验报告，不合格产品严禁出厂。</w:t>
      </w:r>
    </w:p>
    <w:p w14:paraId="1104BF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.5 检验设备：代加工方配备的检验设备须定期校准，校准周期不超过1年，确保检验精度达标，提供检验设备校准报告。</w:t>
      </w:r>
    </w:p>
    <w:p w14:paraId="73BB50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.6 质量追溯：建立产品质量追溯体系，每台产品配备唯一追溯码，追溯码包含产品编号、生产批次、原材料信息、加工人员、检验结果等内容，确保产品质量可追溯。</w:t>
      </w:r>
    </w:p>
    <w:p w14:paraId="0C8E409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4.6</w:t>
      </w:r>
      <w:r>
        <w:rPr>
          <w:rFonts w:hint="eastAsia" w:ascii="宋体" w:hAnsi="宋体" w:eastAsia="宋体" w:cs="宋体"/>
          <w:color w:val="000000" w:themeColor="text1"/>
          <w:sz w:val="21"/>
          <w:szCs w:val="21"/>
          <w:lang w:val="en-US" w:eastAsia="zh-CN"/>
          <w14:textFill>
            <w14:solidFill>
              <w14:schemeClr w14:val="tx1"/>
            </w14:solidFill>
          </w14:textFill>
        </w:rPr>
        <w:t>.7 框架合作期间，招标人有权对代加工方的生产过程、质量管控、检验检测等工作进行抽查，代加工方须积极配合，提供必要的生产记录、检验报告等资料。</w:t>
      </w:r>
    </w:p>
    <w:p w14:paraId="3E0CC2AF">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28" w:name="_Toc16160"/>
      <w:r>
        <w:rPr>
          <w:rFonts w:hint="eastAsia" w:ascii="Times New Roman" w:eastAsia="黑体" w:cs="Times New Roman"/>
          <w:color w:val="000000" w:themeColor="text1"/>
          <w:sz w:val="24"/>
          <w:szCs w:val="24"/>
          <w:lang w:val="en-US" w:eastAsia="zh-CN"/>
          <w14:textFill>
            <w14:solidFill>
              <w14:schemeClr w14:val="tx1"/>
            </w14:solidFill>
          </w14:textFill>
        </w:rPr>
        <w:t>4.</w:t>
      </w:r>
      <w:bookmarkStart w:id="29" w:name="_Toc25447"/>
      <w:bookmarkStart w:id="30" w:name="_Toc20004"/>
      <w:r>
        <w:rPr>
          <w:rFonts w:hint="eastAsia" w:ascii="Times New Roman" w:eastAsia="黑体" w:cs="Times New Roman"/>
          <w:color w:val="000000" w:themeColor="text1"/>
          <w:sz w:val="24"/>
          <w:szCs w:val="24"/>
          <w:lang w:val="en-US" w:eastAsia="zh-CN"/>
          <w14:textFill>
            <w14:solidFill>
              <w14:schemeClr w14:val="tx1"/>
            </w14:solidFill>
          </w14:textFill>
        </w:rPr>
        <w:t>7企业VI标识</w:t>
      </w:r>
      <w:bookmarkEnd w:id="28"/>
      <w:bookmarkEnd w:id="29"/>
      <w:bookmarkEnd w:id="30"/>
    </w:p>
    <w:p w14:paraId="3E378D55">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bookmarkStart w:id="31" w:name="_Toc277686859"/>
      <w:bookmarkStart w:id="32" w:name="_Toc277255901"/>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设备外立面上应有统一的中国南方电网有限责任公司企业VI标识，并符合《中国南方电网视觉识别系统管理手册》的要求。</w:t>
      </w:r>
      <w:bookmarkEnd w:id="31"/>
      <w:bookmarkEnd w:id="32"/>
    </w:p>
    <w:p w14:paraId="0C6E9F65">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33" w:name="_Toc8784"/>
      <w:r>
        <w:rPr>
          <w:rFonts w:hint="eastAsia" w:ascii="Times New Roman" w:eastAsia="黑体" w:cs="Times New Roman"/>
          <w:color w:val="000000" w:themeColor="text1"/>
          <w:sz w:val="24"/>
          <w:szCs w:val="24"/>
          <w:lang w:val="en-US" w:eastAsia="zh-CN"/>
          <w14:textFill>
            <w14:solidFill>
              <w14:schemeClr w14:val="tx1"/>
            </w14:solidFill>
          </w14:textFill>
        </w:rPr>
        <w:t>4.8包装、标识及交付要求</w:t>
      </w:r>
      <w:bookmarkEnd w:id="33"/>
    </w:p>
    <w:p w14:paraId="1208215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.1 包装：采用专用防震防潮硬质包装箱独立包装，每台产品单独包装，内部采用柔性缓冲材料（泡沫、珍珠棉等）防护，防止运输过程中磕碰、变形、零部件损坏；包装箱材质坚固，能够承受运输过程中的挤压、震动。</w:t>
      </w:r>
    </w:p>
    <w:p w14:paraId="3E45DDD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.2 标识：包装箱外须清晰标注产品名称、型号、数量、生产批次、生产日期、招标人名称、交付地点、“易碎”“向上”“防潮”“小心轻放”等储运图示标志，标识清晰、牢固，不易脱落。</w:t>
      </w:r>
    </w:p>
    <w:p w14:paraId="1473AEE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.3 交付：代加工方须按订单要求的时间、地点，将产品及配套技术资料交付招标人，承担全部运输、装卸费用及风险；交付时须提供产品出厂合格证、检验报告、技术资料等相关文件，配合招标人完成验收。</w:t>
      </w:r>
    </w:p>
    <w:p w14:paraId="5EF0B19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4.8</w:t>
      </w:r>
      <w:r>
        <w:rPr>
          <w:rFonts w:hint="eastAsia" w:ascii="宋体" w:hAnsi="宋体" w:eastAsia="宋体" w:cs="宋体"/>
          <w:color w:val="000000" w:themeColor="text1"/>
          <w:sz w:val="21"/>
          <w:szCs w:val="21"/>
          <w:lang w:val="en-US" w:eastAsia="zh-CN"/>
          <w14:textFill>
            <w14:solidFill>
              <w14:schemeClr w14:val="tx1"/>
            </w14:solidFill>
          </w14:textFill>
        </w:rPr>
        <w:t>.4 备品备件：每批订单须随货提供易损备品备件（</w:t>
      </w:r>
      <w:r>
        <w:rPr>
          <w:rFonts w:hint="eastAsia" w:ascii="宋体" w:hAnsi="宋体" w:cs="宋体"/>
          <w:color w:val="000000" w:themeColor="text1"/>
          <w:sz w:val="21"/>
          <w:szCs w:val="21"/>
          <w:lang w:val="en-US" w:eastAsia="zh-CN"/>
          <w14:textFill>
            <w14:solidFill>
              <w14:schemeClr w14:val="tx1"/>
            </w14:solidFill>
          </w14:textFill>
        </w:rPr>
        <w:t>如</w:t>
      </w:r>
      <w:r>
        <w:rPr>
          <w:rFonts w:hint="eastAsia" w:ascii="宋体" w:hAnsi="宋体" w:eastAsia="宋体" w:cs="宋体"/>
          <w:color w:val="000000" w:themeColor="text1"/>
          <w:sz w:val="21"/>
          <w:szCs w:val="21"/>
          <w:lang w:val="en-US" w:eastAsia="zh-CN"/>
          <w14:textFill>
            <w14:solidFill>
              <w14:schemeClr w14:val="tx1"/>
            </w14:solidFill>
          </w14:textFill>
        </w:rPr>
        <w:t>紧固件等），且须单独包装、标识，附带合格证明。</w:t>
      </w:r>
    </w:p>
    <w:p w14:paraId="39A45A67">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34" w:name="_Toc26697"/>
      <w:r>
        <w:rPr>
          <w:rFonts w:hint="default" w:ascii="Times New Roman" w:hAnsi="Times New Roman" w:cs="Times New Roman"/>
          <w:color w:val="000000" w:themeColor="text1"/>
          <w:sz w:val="24"/>
          <w:szCs w:val="24"/>
          <w:lang w:val="en-US" w:eastAsia="zh-CN"/>
          <w14:textFill>
            <w14:solidFill>
              <w14:schemeClr w14:val="tx1"/>
            </w14:solidFill>
          </w14:textFill>
        </w:rPr>
        <w:t>5</w:t>
      </w:r>
      <w:r>
        <w:rPr>
          <w:rFonts w:hint="eastAsia"/>
          <w:color w:val="000000" w:themeColor="text1"/>
          <w:sz w:val="24"/>
          <w:szCs w:val="24"/>
          <w:lang w:val="en-US" w:eastAsia="zh-CN"/>
          <w14:textFill>
            <w14:solidFill>
              <w14:schemeClr w14:val="tx1"/>
            </w14:solidFill>
          </w14:textFill>
        </w:rPr>
        <w:t>试验与检测要求</w:t>
      </w:r>
      <w:bookmarkEnd w:id="34"/>
    </w:p>
    <w:p w14:paraId="0F20242D">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35" w:name="_Toc29939"/>
      <w:r>
        <w:rPr>
          <w:rFonts w:hint="eastAsia" w:ascii="Times New Roman" w:eastAsia="黑体" w:cs="Times New Roman"/>
          <w:color w:val="000000" w:themeColor="text1"/>
          <w:sz w:val="24"/>
          <w:szCs w:val="24"/>
          <w:lang w:val="en-US" w:eastAsia="zh-CN"/>
          <w14:textFill>
            <w14:solidFill>
              <w14:schemeClr w14:val="tx1"/>
            </w14:solidFill>
          </w14:textFill>
        </w:rPr>
        <w:t>5.1 原材料检验</w:t>
      </w:r>
      <w:bookmarkEnd w:id="35"/>
    </w:p>
    <w:p w14:paraId="52533BC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5.1.1 铝合金型材：检验材质、抗拉强度、屈服强度、伸长率、尺寸公差等，符合GB/T 6892标准及本规范要求，出具材质检验报告。</w:t>
      </w:r>
    </w:p>
    <w:p w14:paraId="529C7EA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5.1.2 不锈钢紧固件：检验材质、尺寸、强度、防腐蚀性能等，符合GB/T 1231标准及本规范要求，出具检验报告。</w:t>
      </w:r>
    </w:p>
    <w:p w14:paraId="206F909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5.1.</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 xml:space="preserve"> 其他原材料：按相关标准及本规范要求进行对应项目检验，确保合格。</w:t>
      </w:r>
    </w:p>
    <w:p w14:paraId="03DBB064">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36" w:name="_Toc27563"/>
      <w:r>
        <w:rPr>
          <w:rFonts w:hint="eastAsia" w:ascii="Times New Roman" w:eastAsia="黑体" w:cs="Times New Roman"/>
          <w:color w:val="000000" w:themeColor="text1"/>
          <w:sz w:val="24"/>
          <w:szCs w:val="24"/>
          <w:lang w:val="en-US" w:eastAsia="zh-CN"/>
          <w14:textFill>
            <w14:solidFill>
              <w14:schemeClr w14:val="tx1"/>
            </w14:solidFill>
          </w14:textFill>
        </w:rPr>
        <w:t>5.2 过程检验</w:t>
      </w:r>
      <w:bookmarkEnd w:id="36"/>
    </w:p>
    <w:p w14:paraId="42F8850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5.2.1 切割检验：检验切割尺寸、切割面平整度、无毛刺、无裂纹等，符合加工工艺要求。</w:t>
      </w:r>
    </w:p>
    <w:p w14:paraId="43B82AD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5.2.2 焊接检验：检验焊接外观、焊接强度、无焊渣、无气孔、无裂纹等，采用无损检测方法（如超声波检测）对关键焊接部位进行检测，确保焊接质量。</w:t>
      </w:r>
    </w:p>
    <w:p w14:paraId="27102BC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5.2.3 机加工检验：检验机加工尺寸、精度、表面光滑度、螺纹质量等，符合图纸要求。</w:t>
      </w:r>
    </w:p>
    <w:p w14:paraId="47C549A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5.2.4 表面处理检验：检验氧化层、镀锌层、喷塑层厚度、均匀度、附着力等，符合本规范要求。</w:t>
      </w:r>
    </w:p>
    <w:p w14:paraId="4A96133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5.2.5 组装检验：检验零部件安装牢固度、行走轮转动灵活性、制动装置可靠性、折叠机构操作便捷性等，符合本规范要求。</w:t>
      </w:r>
    </w:p>
    <w:p w14:paraId="6D8BEB7B">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37" w:name="_Toc18449"/>
      <w:r>
        <w:rPr>
          <w:rFonts w:hint="eastAsia" w:ascii="Times New Roman" w:eastAsia="黑体" w:cs="Times New Roman"/>
          <w:color w:val="000000" w:themeColor="text1"/>
          <w:sz w:val="24"/>
          <w:szCs w:val="24"/>
          <w:lang w:val="en-US" w:eastAsia="zh-CN"/>
          <w14:textFill>
            <w14:solidFill>
              <w14:schemeClr w14:val="tx1"/>
            </w14:solidFill>
          </w14:textFill>
        </w:rPr>
        <w:t>5.3 出厂试验</w:t>
      </w:r>
      <w:bookmarkEnd w:id="37"/>
    </w:p>
    <w:p w14:paraId="42940AE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每台设备出厂前均完成全项出厂试验，试验项目及要求如下：</w:t>
      </w:r>
    </w:p>
    <w:p w14:paraId="645E04F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5.3.1 静载荷试验：施加1.5倍额定作业载荷，保持30min，整机无结构变形、无零部件损坏，卸载后无残余变形。</w:t>
      </w:r>
    </w:p>
    <w:p w14:paraId="72D72C2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5.3.2 动载荷行走试验：施加额定作业载荷，在模拟地线（适配规格）上行走平稳、无卡滞，传动系统正常，制动可靠。</w:t>
      </w:r>
    </w:p>
    <w:p w14:paraId="40F9A67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5.3.3 制动性能试验：在15°坡度的模拟地线上，施加额定作业载荷，制动后无溜车、无滑移，制动可靠。</w:t>
      </w:r>
    </w:p>
    <w:p w14:paraId="1DB70FE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5.3.4 双向行走试验：测试前后双向行走功能，换向顺畅、无卡顿，行走速度符合要求。</w:t>
      </w:r>
    </w:p>
    <w:p w14:paraId="200A05F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5.3.5 越障功能试验：模拟线路常规障碍物（间隔棒、防振锤等），测试越障功能，越障平稳、无脱线，</w:t>
      </w:r>
      <w:r>
        <w:rPr>
          <w:rFonts w:hint="eastAsia" w:ascii="宋体" w:hAnsi="宋体" w:eastAsia="宋体" w:cs="宋体"/>
          <w:color w:val="000000" w:themeColor="text1"/>
          <w:kern w:val="2"/>
          <w:sz w:val="21"/>
          <w:szCs w:val="21"/>
          <w:lang w:val="en-US" w:eastAsia="zh-CN" w:bidi="ar-SA"/>
          <w14:textFill>
            <w14:solidFill>
              <w14:schemeClr w14:val="tx1"/>
            </w14:solidFill>
          </w14:textFill>
        </w:rPr>
        <w:t>无需人员下车辅助通过</w:t>
      </w:r>
      <w:r>
        <w:rPr>
          <w:rFonts w:hint="eastAsia" w:ascii="宋体" w:hAnsi="宋体" w:eastAsia="宋体" w:cs="宋体"/>
          <w:color w:val="000000" w:themeColor="text1"/>
          <w:sz w:val="21"/>
          <w:szCs w:val="21"/>
          <w:lang w:val="en-US" w:eastAsia="zh-CN"/>
          <w14:textFill>
            <w14:solidFill>
              <w14:schemeClr w14:val="tx1"/>
            </w14:solidFill>
          </w14:textFill>
        </w:rPr>
        <w:t>。</w:t>
      </w:r>
    </w:p>
    <w:p w14:paraId="6600E73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5.3.6 防脱安全机构试验：模拟极端工况（如单侧轮脱线），测试防脱安全机构，确保整机不脱离地线，安全可靠。</w:t>
      </w:r>
    </w:p>
    <w:p w14:paraId="3D41B64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5.3.7 结构强度试验：对主体框架、悬挂轮组、安全挂点等关键部位进行强度测试，强度符合本规范要求。</w:t>
      </w:r>
    </w:p>
    <w:p w14:paraId="59B5992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5.3.8 外观及尺寸检验：外观平整、无毛刺、无裂纹、无氧化斑点，尺寸符合图纸要求。</w:t>
      </w:r>
    </w:p>
    <w:p w14:paraId="1CED593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所有出厂试验项目全部合格后方可出厂，并附带出厂试验报告。</w:t>
      </w:r>
    </w:p>
    <w:p w14:paraId="052B5875">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38" w:name="_Toc27939"/>
      <w:r>
        <w:rPr>
          <w:rFonts w:hint="eastAsia" w:ascii="Times New Roman" w:eastAsia="黑体" w:cs="Times New Roman"/>
          <w:color w:val="000000" w:themeColor="text1"/>
          <w:sz w:val="24"/>
          <w:szCs w:val="24"/>
          <w:lang w:val="en-US" w:eastAsia="zh-CN"/>
          <w14:textFill>
            <w14:solidFill>
              <w14:schemeClr w14:val="tx1"/>
            </w14:solidFill>
          </w14:textFill>
        </w:rPr>
        <w:t>5.4 型式试验</w:t>
      </w:r>
      <w:bookmarkEnd w:id="38"/>
    </w:p>
    <w:p w14:paraId="08C16AC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5.4.1 代加工方须提供第三方权威检测机构依据DL/T 636-2017及本规范要求完成的全项型式试验报告，报告真实有效、可核查，型式试验项目覆盖产品全部技术参数及安全性能指标。</w:t>
      </w:r>
    </w:p>
    <w:p w14:paraId="0CB39A9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5.4.2 框架合作期间，若产品结构、材质、工艺等发生重大变更，代加工方须重新进行型式试验，提供新的型式试验报告，经招标人确认后方可继续生产。</w:t>
      </w:r>
    </w:p>
    <w:p w14:paraId="6CB5D7AB">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39" w:name="_Toc6988"/>
      <w:r>
        <w:rPr>
          <w:rFonts w:hint="eastAsia" w:ascii="Times New Roman" w:eastAsia="黑体" w:cs="Times New Roman"/>
          <w:color w:val="000000" w:themeColor="text1"/>
          <w:sz w:val="24"/>
          <w:szCs w:val="24"/>
          <w:lang w:val="en-US" w:eastAsia="zh-CN"/>
          <w14:textFill>
            <w14:solidFill>
              <w14:schemeClr w14:val="tx1"/>
            </w14:solidFill>
          </w14:textFill>
        </w:rPr>
        <w:t>5.5 到货验收试验</w:t>
      </w:r>
      <w:bookmarkEnd w:id="39"/>
    </w:p>
    <w:p w14:paraId="4475C89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设备到货后，招标人现场开展验收试验，代加工方须配合，试验项目如下：</w:t>
      </w:r>
    </w:p>
    <w:p w14:paraId="1EFB0D9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5.5.1 外观、结构、配置完整性核查：检查产品外观、结构是否完整，零部件、备品备件是否齐全，无缺项、无损坏。</w:t>
      </w:r>
    </w:p>
    <w:p w14:paraId="18F0C25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5.5.2 尺寸、重量参数核查：实测产品尺寸、整机自重，符合本规范要求。</w:t>
      </w:r>
    </w:p>
    <w:p w14:paraId="54E93E0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5.5.3 功能测试：测试双向行走、制动、越障、折叠等功能，符合本规范要求。</w:t>
      </w:r>
    </w:p>
    <w:p w14:paraId="55330BE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5.5.4 安全防护测试：测试防脱安全机构、安全带挂点等安全防护装置，安全可靠。</w:t>
      </w:r>
    </w:p>
    <w:p w14:paraId="7056084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5.5.5 技术资料核查：检查出厂合格证、检验报告、使用说明书等技术资料是否完整、规范。</w:t>
      </w:r>
    </w:p>
    <w:p w14:paraId="0986E637">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40" w:name="_Toc5152"/>
      <w:r>
        <w:rPr>
          <w:rFonts w:hint="eastAsia" w:ascii="Times New Roman" w:eastAsia="黑体" w:cs="Times New Roman"/>
          <w:color w:val="000000" w:themeColor="text1"/>
          <w:sz w:val="24"/>
          <w:szCs w:val="24"/>
          <w:lang w:val="en-US" w:eastAsia="zh-CN"/>
          <w14:textFill>
            <w14:solidFill>
              <w14:schemeClr w14:val="tx1"/>
            </w14:solidFill>
          </w14:textFill>
        </w:rPr>
        <w:t>5.6 合格判定标准</w:t>
      </w:r>
      <w:bookmarkEnd w:id="40"/>
    </w:p>
    <w:p w14:paraId="4C6FC0D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5.6.1 原材料检验、过程检验、出厂试验、型式试验、到货验收试验所有项目，全部满足本规范及行业标准要求，无不合格项，方可判定合格。</w:t>
      </w:r>
    </w:p>
    <w:p w14:paraId="3C8D46A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5.6.2 若任意一项试验项目不合格，代加工方须在招标人规定的期限内整改，重新进行检验试验，直至合格；若整改后仍不合格，招标人有权拒收该批次产品，解除订单，并追究代加工方的违约责任。</w:t>
      </w:r>
    </w:p>
    <w:p w14:paraId="210D01F5">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41" w:name="_Toc19814"/>
      <w:r>
        <w:rPr>
          <w:rFonts w:hint="default" w:ascii="Times New Roman" w:hAnsi="Times New Roman" w:cs="Times New Roman"/>
          <w:color w:val="000000" w:themeColor="text1"/>
          <w:sz w:val="24"/>
          <w:szCs w:val="24"/>
          <w:lang w:val="en-US" w:eastAsia="zh-CN"/>
          <w14:textFill>
            <w14:solidFill>
              <w14:schemeClr w14:val="tx1"/>
            </w14:solidFill>
          </w14:textFill>
        </w:rPr>
        <w:t xml:space="preserve">6 </w:t>
      </w:r>
      <w:r>
        <w:rPr>
          <w:rFonts w:hint="eastAsia"/>
          <w:color w:val="000000" w:themeColor="text1"/>
          <w:sz w:val="24"/>
          <w:szCs w:val="24"/>
          <w:lang w:val="en-US" w:eastAsia="zh-CN"/>
          <w14:textFill>
            <w14:solidFill>
              <w14:schemeClr w14:val="tx1"/>
            </w14:solidFill>
          </w14:textFill>
        </w:rPr>
        <w:t>质量保证要求</w:t>
      </w:r>
      <w:bookmarkEnd w:id="41"/>
    </w:p>
    <w:p w14:paraId="3B35FB2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6.1 代加工方须保证所生产的产品符合本规范、国家及行业相关标准，质量合格、性能可靠，无材料缺陷、焊接缺陷、结构疲劳隐患，满足长期高频次高空作业使用。</w:t>
      </w:r>
    </w:p>
    <w:p w14:paraId="7DAB107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6.2 整机质保期：≥24个月，自设备到货验收合格之日起计算；质保期内，若产品出现非人为损坏的质量问题（包括原材料质量、加工质量、零部件质量等），代加工方须免费维修、免费更换整机及配件，无偿上门处理，承担全部维修、更换费用及运输费用。</w:t>
      </w:r>
    </w:p>
    <w:p w14:paraId="2148CDF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6.3 质保期内，产品出现质量缺陷，代加工方须在48小时内响应，72小时内完成现场处理；若无法现场处理，须提供临时替代产品，确保招标人正常使用，待故障产品修复后更换。</w:t>
      </w:r>
    </w:p>
    <w:p w14:paraId="400DEDB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6.4 若因代加工方原材料质量、加工工艺等问题，导致产品出现重大质量事故，代加工方须承担全部责任，赔偿招标人因此造成的全部损失，招标人有权终止框架合作协议。</w:t>
      </w:r>
    </w:p>
    <w:p w14:paraId="21819ED7">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42" w:name="_Toc27969"/>
      <w:r>
        <w:rPr>
          <w:rFonts w:hint="default" w:ascii="Times New Roman" w:hAnsi="Times New Roman" w:cs="Times New Roman"/>
          <w:color w:val="000000" w:themeColor="text1"/>
          <w:sz w:val="24"/>
          <w:szCs w:val="24"/>
          <w:lang w:val="en-US" w:eastAsia="zh-CN"/>
          <w14:textFill>
            <w14:solidFill>
              <w14:schemeClr w14:val="tx1"/>
            </w14:solidFill>
          </w14:textFill>
        </w:rPr>
        <w:t>7</w:t>
      </w:r>
      <w:r>
        <w:rPr>
          <w:rFonts w:hint="eastAsia"/>
          <w:color w:val="000000" w:themeColor="text1"/>
          <w:sz w:val="24"/>
          <w:szCs w:val="24"/>
          <w:lang w:val="en-US" w:eastAsia="zh-CN"/>
          <w14:textFill>
            <w14:solidFill>
              <w14:schemeClr w14:val="tx1"/>
            </w14:solidFill>
          </w14:textFill>
        </w:rPr>
        <w:t xml:space="preserve"> 包装、运输及储存要求</w:t>
      </w:r>
      <w:bookmarkEnd w:id="42"/>
    </w:p>
    <w:p w14:paraId="6032BC6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7.1 包装：严格按照本规范4.</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.1条要求执行，确保产品在运输过程中不受损坏；包装材料须符合环保要求，可回收利用。</w:t>
      </w:r>
    </w:p>
    <w:p w14:paraId="06129C2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 运输：代加工方选择合适的运输方式（如物流、快递），确保产品按时、安全交付；运输过程中须采取防震、防潮、防挤压、防碰撞措施，避免产品结构变形、零部件损坏；运输费用、装卸费用、运输风险全部由代加工方承担。</w:t>
      </w:r>
    </w:p>
    <w:p w14:paraId="4B9BA51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7.3 储存：代加工方的产品储存环境须干燥、通风、防潮、防腐蚀、防重压、防阳光直射，产品摆放整齐，做好标识；长期储存的产品，须定期检查、维护，确保产品质量不受影响。</w:t>
      </w:r>
    </w:p>
    <w:p w14:paraId="78C72D5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7.4 包装箱须具备重复收纳功能，便于招标人库房存放、重复使用。</w:t>
      </w:r>
    </w:p>
    <w:p w14:paraId="20A16FB9">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43" w:name="_Toc17881"/>
      <w:r>
        <w:rPr>
          <w:rFonts w:hint="default" w:ascii="Times New Roman" w:hAnsi="Times New Roman" w:cs="Times New Roman"/>
          <w:color w:val="000000" w:themeColor="text1"/>
          <w:sz w:val="24"/>
          <w:szCs w:val="24"/>
          <w:lang w:val="en-US" w:eastAsia="zh-CN"/>
          <w14:textFill>
            <w14:solidFill>
              <w14:schemeClr w14:val="tx1"/>
            </w14:solidFill>
          </w14:textFill>
        </w:rPr>
        <w:t>8</w:t>
      </w:r>
      <w:r>
        <w:rPr>
          <w:rFonts w:hint="eastAsia"/>
          <w:color w:val="000000" w:themeColor="text1"/>
          <w:sz w:val="24"/>
          <w:szCs w:val="24"/>
          <w:lang w:val="en-US" w:eastAsia="zh-CN"/>
          <w14:textFill>
            <w14:solidFill>
              <w14:schemeClr w14:val="tx1"/>
            </w14:solidFill>
          </w14:textFill>
        </w:rPr>
        <w:t xml:space="preserve"> 安装、调试及技术支持要求</w:t>
      </w:r>
      <w:bookmarkEnd w:id="43"/>
    </w:p>
    <w:p w14:paraId="05CC4F0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8.1 代加工方</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提供产品安装、调试指导服务，</w:t>
      </w:r>
      <w:r>
        <w:rPr>
          <w:rFonts w:hint="eastAsia" w:ascii="宋体" w:hAnsi="宋体" w:cs="宋体"/>
          <w:color w:val="000000" w:themeColor="text1"/>
          <w:sz w:val="21"/>
          <w:szCs w:val="21"/>
          <w:lang w:val="en-US" w:eastAsia="zh-CN"/>
          <w14:textFill>
            <w14:solidFill>
              <w14:schemeClr w14:val="tx1"/>
            </w14:solidFill>
          </w14:textFill>
        </w:rPr>
        <w:t>如有必要需</w:t>
      </w:r>
      <w:r>
        <w:rPr>
          <w:rFonts w:hint="eastAsia" w:ascii="宋体" w:hAnsi="宋体" w:eastAsia="宋体" w:cs="宋体"/>
          <w:color w:val="000000" w:themeColor="text1"/>
          <w:sz w:val="21"/>
          <w:szCs w:val="21"/>
          <w:lang w:val="en-US" w:eastAsia="zh-CN"/>
          <w14:textFill>
            <w14:solidFill>
              <w14:schemeClr w14:val="tx1"/>
            </w14:solidFill>
          </w14:textFill>
        </w:rPr>
        <w:t>派遣专业技术人员现场指导招标人进行产品悬挂安装、展开调试，确保产品安装规范、调试合格，能够正常使用。</w:t>
      </w:r>
    </w:p>
    <w:p w14:paraId="6111DD8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8.2 安装、调试过程中，代加工方技术人员</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向招标人操作、运维人员讲解产品结构、安装要点、操作方法、注意事项等，确保相关人员掌握基本操作技能。</w:t>
      </w:r>
    </w:p>
    <w:p w14:paraId="1D4F3F2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8.3 框架合作期间，代加工方须提供24小时远程技术支持服务，及时解答招标人产品使用、维护、故障处理等方面的疑问；若出现无法远程解决的故障，</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派遣技术人员现场处理。</w:t>
      </w:r>
    </w:p>
    <w:p w14:paraId="3FAF27C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8.4 代加工方</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提供产品维护保养指导，指导招标人做好产品日常维护保养工作，延长产品使用寿命。</w:t>
      </w:r>
    </w:p>
    <w:p w14:paraId="66971910">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44" w:name="_Toc518"/>
      <w:r>
        <w:rPr>
          <w:rFonts w:hint="default" w:ascii="Times New Roman" w:hAnsi="Times New Roman" w:cs="Times New Roman"/>
          <w:color w:val="000000" w:themeColor="text1"/>
          <w:sz w:val="24"/>
          <w:szCs w:val="24"/>
          <w:lang w:val="en-US" w:eastAsia="zh-CN"/>
          <w14:textFill>
            <w14:solidFill>
              <w14:schemeClr w14:val="tx1"/>
            </w14:solidFill>
          </w14:textFill>
        </w:rPr>
        <w:t>9</w:t>
      </w:r>
      <w:r>
        <w:rPr>
          <w:rFonts w:hint="eastAsia"/>
          <w:color w:val="000000" w:themeColor="text1"/>
          <w:sz w:val="24"/>
          <w:szCs w:val="24"/>
          <w:lang w:val="en-US" w:eastAsia="zh-CN"/>
          <w14:textFill>
            <w14:solidFill>
              <w14:schemeClr w14:val="tx1"/>
            </w14:solidFill>
          </w14:textFill>
        </w:rPr>
        <w:t xml:space="preserve"> 交付技术资料要求</w:t>
      </w:r>
      <w:bookmarkEnd w:id="44"/>
    </w:p>
    <w:p w14:paraId="0DB3795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代加工方须随每批订单产品，交付完整的技术资料，资料须完整、规范、清晰，具体如下：</w:t>
      </w:r>
    </w:p>
    <w:p w14:paraId="0FA7D20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9.1 产品出厂合格证（每台产品1份，加盖代加工方公章）；</w:t>
      </w:r>
    </w:p>
    <w:p w14:paraId="019C23E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9.2 全项出厂试验检测报告（每批订单1份，加盖代加工方公章）；</w:t>
      </w:r>
    </w:p>
    <w:p w14:paraId="43C7BBE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9.3 第三方型式试验报告复印件（加盖代加工方公章，每批订单1份）；</w:t>
      </w:r>
    </w:p>
    <w:p w14:paraId="7BF7900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9.4 详细产品使用维护说明书（含结构图纸、操作步骤、保养规范、故障排查方法）；</w:t>
      </w:r>
    </w:p>
    <w:p w14:paraId="394C70B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9.5 产品质保卡、零部件清单；</w:t>
      </w:r>
    </w:p>
    <w:p w14:paraId="74E4176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9.6 设备安装示意图</w:t>
      </w:r>
      <w:r>
        <w:rPr>
          <w:rFonts w:hint="eastAsia" w:ascii="宋体" w:hAnsi="宋体" w:cs="宋体"/>
          <w:color w:val="000000" w:themeColor="text1"/>
          <w:sz w:val="21"/>
          <w:szCs w:val="21"/>
          <w:lang w:val="en-US" w:eastAsia="zh-CN"/>
          <w14:textFill>
            <w14:solidFill>
              <w14:schemeClr w14:val="tx1"/>
            </w14:solidFill>
          </w14:textFill>
        </w:rPr>
        <w:t>。</w:t>
      </w:r>
    </w:p>
    <w:p w14:paraId="03502D4D">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45" w:name="_Toc28752"/>
      <w:r>
        <w:rPr>
          <w:rFonts w:hint="default" w:ascii="Times New Roman" w:hAnsi="Times New Roman" w:cs="Times New Roman"/>
          <w:color w:val="000000" w:themeColor="text1"/>
          <w:sz w:val="24"/>
          <w:szCs w:val="24"/>
          <w:lang w:val="en-US" w:eastAsia="zh-CN"/>
          <w14:textFill>
            <w14:solidFill>
              <w14:schemeClr w14:val="tx1"/>
            </w14:solidFill>
          </w14:textFill>
        </w:rPr>
        <w:t>10</w:t>
      </w:r>
      <w:r>
        <w:rPr>
          <w:rFonts w:hint="eastAsia"/>
          <w:color w:val="000000" w:themeColor="text1"/>
          <w:sz w:val="24"/>
          <w:szCs w:val="24"/>
          <w:lang w:val="en-US" w:eastAsia="zh-CN"/>
          <w14:textFill>
            <w14:solidFill>
              <w14:schemeClr w14:val="tx1"/>
            </w14:solidFill>
          </w14:textFill>
        </w:rPr>
        <w:t xml:space="preserve"> 验收标准及验收流程</w:t>
      </w:r>
      <w:bookmarkEnd w:id="45"/>
    </w:p>
    <w:p w14:paraId="2F19227F">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46" w:name="_Toc7923"/>
      <w:r>
        <w:rPr>
          <w:rFonts w:hint="eastAsia" w:ascii="Times New Roman" w:eastAsia="黑体" w:cs="Times New Roman"/>
          <w:color w:val="000000" w:themeColor="text1"/>
          <w:sz w:val="24"/>
          <w:szCs w:val="24"/>
          <w:lang w:val="en-US" w:eastAsia="zh-CN"/>
          <w14:textFill>
            <w14:solidFill>
              <w14:schemeClr w14:val="tx1"/>
            </w14:solidFill>
          </w14:textFill>
        </w:rPr>
        <w:t>10.1 验收依据</w:t>
      </w:r>
      <w:bookmarkEnd w:id="46"/>
    </w:p>
    <w:p w14:paraId="4858710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本技术规范书、国家及电力行业现行标准、DL/T 636-2017、招标人提供的技术图纸、加工工艺文件、投标承诺参数、框架合作协议、代加工订单约定条款。</w:t>
      </w:r>
    </w:p>
    <w:p w14:paraId="3D39DB84">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47" w:name="_Toc16568"/>
      <w:r>
        <w:rPr>
          <w:rFonts w:hint="eastAsia" w:ascii="Times New Roman" w:eastAsia="黑体" w:cs="Times New Roman"/>
          <w:color w:val="000000" w:themeColor="text1"/>
          <w:sz w:val="24"/>
          <w:szCs w:val="24"/>
          <w:lang w:val="en-US" w:eastAsia="zh-CN"/>
          <w14:textFill>
            <w14:solidFill>
              <w14:schemeClr w14:val="tx1"/>
            </w14:solidFill>
          </w14:textFill>
        </w:rPr>
        <w:t>10.2 验收阶段</w:t>
      </w:r>
      <w:bookmarkEnd w:id="47"/>
    </w:p>
    <w:p w14:paraId="73711B4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.2.1 到货验收：产品到货后，招标人组织相关人员，对产品外观、结构、配置完整性、技术资料完整性进行核查，代加工方须配合。</w:t>
      </w:r>
    </w:p>
    <w:p w14:paraId="414331A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.2.2 现场性能验收：到货验收合格后，开展现场性能验收，对产品技术参数、行走功能、越障功能、制动功能、安全防护功能等进行实测，代加工方须提供必要的测试条件和技术支持。</w:t>
      </w:r>
    </w:p>
    <w:p w14:paraId="303E07C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.2.3 综合验收：到货验收、现场性能验收全部合格后，招标人组织综合验收，签署验收合格文件；若验收过程中发现不合格项，代加工方须按要求整改，重新验收，直至合格。</w:t>
      </w:r>
    </w:p>
    <w:p w14:paraId="7C19C087">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48" w:name="_Toc17361"/>
      <w:r>
        <w:rPr>
          <w:rFonts w:hint="eastAsia" w:ascii="Times New Roman" w:eastAsia="黑体" w:cs="Times New Roman"/>
          <w:color w:val="000000" w:themeColor="text1"/>
          <w:sz w:val="24"/>
          <w:szCs w:val="24"/>
          <w:lang w:val="en-US" w:eastAsia="zh-CN"/>
          <w14:textFill>
            <w14:solidFill>
              <w14:schemeClr w14:val="tx1"/>
            </w14:solidFill>
          </w14:textFill>
        </w:rPr>
        <w:t>10.3 验收合格判定</w:t>
      </w:r>
      <w:bookmarkEnd w:id="48"/>
    </w:p>
    <w:p w14:paraId="0B83372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.3.1 产品为全新原厂合格产品，无翻新、无二手、无返修部件，配置齐全无缺项。</w:t>
      </w:r>
    </w:p>
    <w:p w14:paraId="55064DF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.3.2 所有技术参数、结构、功能、安全指标全部满足本规范全部条款要求。</w:t>
      </w:r>
    </w:p>
    <w:p w14:paraId="397A0E5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.3.3 原材料检验、过程检验、出厂试验、型式试验、到货验收试验全部合格，检验报告完整、规范。</w:t>
      </w:r>
    </w:p>
    <w:p w14:paraId="21D9399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.3.4 技术资料完整、齐全，符合本规范要求。</w:t>
      </w:r>
    </w:p>
    <w:p w14:paraId="28E364F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.3.5 代加工过程符合本规范要求，生产记录、质量追溯台账完整可追溯。</w:t>
      </w:r>
    </w:p>
    <w:p w14:paraId="66DC53E0">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49" w:name="_Toc27904"/>
      <w:r>
        <w:rPr>
          <w:rFonts w:hint="eastAsia" w:ascii="Times New Roman" w:eastAsia="黑体" w:cs="Times New Roman"/>
          <w:color w:val="000000" w:themeColor="text1"/>
          <w:sz w:val="24"/>
          <w:szCs w:val="24"/>
          <w:lang w:val="en-US" w:eastAsia="zh-CN"/>
          <w14:textFill>
            <w14:solidFill>
              <w14:schemeClr w14:val="tx1"/>
            </w14:solidFill>
          </w14:textFill>
        </w:rPr>
        <w:t>10.4 不合格处理</w:t>
      </w:r>
      <w:bookmarkEnd w:id="49"/>
    </w:p>
    <w:p w14:paraId="5D92AF1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.4.1 验收过程中，若发现任意一项指标不满足要求，招标人有权暂停验收，要求代加工方在</w:t>
      </w:r>
      <w:r>
        <w:rPr>
          <w:rFonts w:hint="eastAsia" w:ascii="宋体" w:hAnsi="宋体" w:cs="宋体"/>
          <w:color w:val="000000" w:themeColor="text1"/>
          <w:sz w:val="21"/>
          <w:szCs w:val="21"/>
          <w:u w:val="single"/>
          <w:lang w:val="en-US" w:eastAsia="zh-CN"/>
          <w14:textFill>
            <w14:solidFill>
              <w14:schemeClr w14:val="tx1"/>
            </w14:solidFill>
          </w14:textFill>
        </w:rPr>
        <w:t>7</w:t>
      </w:r>
      <w:r>
        <w:rPr>
          <w:rFonts w:hint="eastAsia" w:ascii="宋体" w:hAnsi="宋体" w:eastAsia="宋体" w:cs="宋体"/>
          <w:color w:val="000000" w:themeColor="text1"/>
          <w:sz w:val="21"/>
          <w:szCs w:val="21"/>
          <w:lang w:val="en-US" w:eastAsia="zh-CN"/>
          <w14:textFill>
            <w14:solidFill>
              <w14:schemeClr w14:val="tx1"/>
            </w14:solidFill>
          </w14:textFill>
        </w:rPr>
        <w:t>个工作日内整改，代加工方须承担全部整改费用；整改后重新验收，直至合格。</w:t>
      </w:r>
    </w:p>
    <w:p w14:paraId="1275BC2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lang w:val="en-US" w:eastAsia="zh-CN"/>
          <w14:textFill>
            <w14:solidFill>
              <w14:schemeClr w14:val="tx1"/>
            </w14:solidFill>
          </w14:textFill>
        </w:rPr>
        <w:t>.4.2 若代加工方整改后仍无法满足验收要求，招标人有权拒收该批次产品，解除订单，要求代加工方退还全部货款，并承担相应的违约责任；若情节严重，招标人有权终止框架合作协议。</w:t>
      </w:r>
    </w:p>
    <w:p w14:paraId="53DCB0F3">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50" w:name="_Toc22258"/>
      <w:r>
        <w:rPr>
          <w:rFonts w:hint="eastAsia"/>
          <w:color w:val="000000" w:themeColor="text1"/>
          <w:sz w:val="24"/>
          <w:szCs w:val="24"/>
          <w:lang w:val="en-US" w:eastAsia="zh-CN"/>
          <w14:textFill>
            <w14:solidFill>
              <w14:schemeClr w14:val="tx1"/>
            </w14:solidFill>
          </w14:textFill>
        </w:rPr>
        <w:t>11 框架采购专项要求</w:t>
      </w:r>
      <w:bookmarkEnd w:id="50"/>
    </w:p>
    <w:p w14:paraId="5FE0C55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.1 订单响应：招标人</w:t>
      </w:r>
      <w:r>
        <w:rPr>
          <w:rFonts w:hint="eastAsia" w:ascii="宋体" w:hAnsi="宋体" w:cs="宋体"/>
          <w:color w:val="000000" w:themeColor="text1"/>
          <w:sz w:val="21"/>
          <w:szCs w:val="21"/>
          <w:lang w:val="en-US" w:eastAsia="zh-CN"/>
          <w14:textFill>
            <w14:solidFill>
              <w14:schemeClr w14:val="tx1"/>
            </w14:solidFill>
          </w14:textFill>
        </w:rPr>
        <w:t>通知</w:t>
      </w:r>
      <w:r>
        <w:rPr>
          <w:rFonts w:hint="eastAsia" w:ascii="宋体" w:hAnsi="宋体" w:eastAsia="宋体" w:cs="宋体"/>
          <w:color w:val="000000" w:themeColor="text1"/>
          <w:sz w:val="21"/>
          <w:szCs w:val="21"/>
          <w:lang w:val="en-US" w:eastAsia="zh-CN"/>
          <w14:textFill>
            <w14:solidFill>
              <w14:schemeClr w14:val="tx1"/>
            </w14:solidFill>
          </w14:textFill>
        </w:rPr>
        <w:t>代加工方交付时间、交付数量、交付地点等关键信息</w:t>
      </w:r>
      <w:r>
        <w:rPr>
          <w:rFonts w:hint="eastAsia" w:ascii="宋体" w:hAnsi="宋体" w:cs="宋体"/>
          <w:color w:val="000000" w:themeColor="text1"/>
          <w:sz w:val="21"/>
          <w:szCs w:val="21"/>
          <w:lang w:val="en-US" w:eastAsia="zh-CN"/>
          <w14:textFill>
            <w14:solidFill>
              <w14:schemeClr w14:val="tx1"/>
            </w14:solidFill>
          </w14:textFill>
        </w:rPr>
        <w:t>，代加工方应在收到通知后20个自然日内完成生产并交付。</w:t>
      </w:r>
    </w:p>
    <w:p w14:paraId="610527D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.2 产能保障：代加工方须保障框架合作期间，具备满足招标人订单需求的产能，若招标人有紧急订单（如应急检修所需），代加工方须优先安排生产，确保在招标人要求的时间内交付，不得逾期。</w:t>
      </w:r>
    </w:p>
    <w:p w14:paraId="4F14D82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3订单变更：招标人可根据实际需求，对已下达的订单进行变更（如数量、交付时间等），须提前告知代加工方，代加工方须积极配合，调整生产计划，确保变更后订单顺利交付；若因订单变更产生额外费用，双方协商承担。</w:t>
      </w:r>
    </w:p>
    <w:p w14:paraId="1B46FDA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val="en-US" w:eastAsia="zh-CN"/>
          <w14:textFill>
            <w14:solidFill>
              <w14:schemeClr w14:val="tx1"/>
            </w14:solidFill>
          </w14:textFill>
        </w:rPr>
        <w:t xml:space="preserve"> 履约考核：框架合作期间，招标人将对代加工方的履约情况进行考核，考核指标包括订单响应速度、交付及时性、产品质量、售后服务等；考核不合格的，招标人有权暂停下达订单，要求代加工方整改；整改后仍不合格的，招标人有权终止框架合作协议。</w:t>
      </w:r>
    </w:p>
    <w:p w14:paraId="65686D4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val="en-US" w:eastAsia="zh-CN"/>
          <w14:textFill>
            <w14:solidFill>
              <w14:schemeClr w14:val="tx1"/>
            </w14:solidFill>
          </w14:textFill>
        </w:rPr>
        <w:t xml:space="preserve"> 转包分包：代加工方不得将本次代加工业务转包、分包给第三方，不得擅自委托第三方生产加工，若违反，招标人有权终止框架合作协议，追究代加工方的违约责任。</w:t>
      </w:r>
    </w:p>
    <w:p w14:paraId="24E3824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val="en-US" w:eastAsia="zh-CN"/>
          <w14:textFill>
            <w14:solidFill>
              <w14:schemeClr w14:val="tx1"/>
            </w14:solidFill>
          </w14:textFill>
        </w:rPr>
        <w:t xml:space="preserve"> 合作终止：框架合作协议期满，双方未续签的，协议自动终止；若代加工方违反本规范及框架协议约定，招标人有权提前终止协议，代加工方须承担相应的违约责任。</w:t>
      </w:r>
    </w:p>
    <w:p w14:paraId="11535203">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51" w:name="_Toc12746"/>
      <w:r>
        <w:rPr>
          <w:rFonts w:hint="eastAsia"/>
          <w:color w:val="000000" w:themeColor="text1"/>
          <w:sz w:val="24"/>
          <w:szCs w:val="24"/>
          <w:lang w:val="en-US" w:eastAsia="zh-CN"/>
          <w14:textFill>
            <w14:solidFill>
              <w14:schemeClr w14:val="tx1"/>
            </w14:solidFill>
          </w14:textFill>
        </w:rPr>
        <w:t>12 其他要求</w:t>
      </w:r>
      <w:bookmarkEnd w:id="51"/>
    </w:p>
    <w:p w14:paraId="610F0E03">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52" w:name="_Toc15272"/>
      <w:r>
        <w:rPr>
          <w:rFonts w:hint="eastAsia" w:ascii="Times New Roman" w:eastAsia="黑体" w:cs="Times New Roman"/>
          <w:color w:val="000000" w:themeColor="text1"/>
          <w:sz w:val="24"/>
          <w:szCs w:val="24"/>
          <w:lang w:val="en-US" w:eastAsia="zh-CN"/>
          <w14:textFill>
            <w14:solidFill>
              <w14:schemeClr w14:val="tx1"/>
            </w14:solidFill>
          </w14:textFill>
        </w:rPr>
        <w:t>12.1 知识产权</w:t>
      </w:r>
      <w:bookmarkEnd w:id="52"/>
    </w:p>
    <w:p w14:paraId="3C681C97">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代加工方须保证所投代加工服务、使用的原材料、生产的产品无任何知识产权纠纷、专利侵权问题，若产生相关争议，全部责任由代加工方承担，且须赔偿招标人因此造成的全部损失（包括但不限于律师费、诉讼费、赔偿金等）。</w:t>
      </w:r>
    </w:p>
    <w:p w14:paraId="585ACC6E">
      <w:pPr>
        <w:pStyle w:val="3"/>
        <w:numPr>
          <w:ilvl w:val="1"/>
          <w:numId w:val="0"/>
        </w:numPr>
        <w:bidi w:val="0"/>
        <w:ind w:leftChars="0"/>
        <w:rPr>
          <w:rFonts w:hint="eastAsia" w:ascii="Times New Roman" w:eastAsia="黑体" w:cs="Times New Roman"/>
          <w:color w:val="000000" w:themeColor="text1"/>
          <w:sz w:val="24"/>
          <w:szCs w:val="24"/>
          <w:lang w:val="en-US" w:eastAsia="zh-CN"/>
          <w14:textFill>
            <w14:solidFill>
              <w14:schemeClr w14:val="tx1"/>
            </w14:solidFill>
          </w14:textFill>
        </w:rPr>
      </w:pPr>
      <w:bookmarkStart w:id="53" w:name="_Toc24975"/>
      <w:r>
        <w:rPr>
          <w:rFonts w:hint="eastAsia" w:ascii="Times New Roman" w:eastAsia="黑体" w:cs="Times New Roman"/>
          <w:color w:val="000000" w:themeColor="text1"/>
          <w:sz w:val="24"/>
          <w:szCs w:val="24"/>
          <w:lang w:val="en-US" w:eastAsia="zh-CN"/>
          <w14:textFill>
            <w14:solidFill>
              <w14:schemeClr w14:val="tx1"/>
            </w14:solidFill>
          </w14:textFill>
        </w:rPr>
        <w:t>12.2 保密要求</w:t>
      </w:r>
      <w:bookmarkEnd w:id="53"/>
    </w:p>
    <w:p w14:paraId="491B3291">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双方对本次框架采购所有</w:t>
      </w:r>
      <w:r>
        <w:rPr>
          <w:rFonts w:hint="eastAsia" w:ascii="宋体" w:hAnsi="宋体" w:cs="宋体"/>
          <w:color w:val="000000" w:themeColor="text1"/>
          <w:sz w:val="21"/>
          <w:szCs w:val="21"/>
          <w:lang w:val="en-US" w:eastAsia="zh-CN"/>
          <w14:textFill>
            <w14:solidFill>
              <w14:schemeClr w14:val="tx1"/>
            </w14:solidFill>
          </w14:textFill>
        </w:rPr>
        <w:t>资料及信息保密。</w:t>
      </w:r>
    </w:p>
    <w:p w14:paraId="0D6FD2F8">
      <w:pPr>
        <w:pStyle w:val="2"/>
        <w:numPr>
          <w:ilvl w:val="0"/>
          <w:numId w:val="0"/>
        </w:numPr>
        <w:bidi w:val="0"/>
        <w:ind w:leftChars="0"/>
        <w:rPr>
          <w:rFonts w:hint="eastAsia"/>
          <w:color w:val="000000" w:themeColor="text1"/>
          <w:sz w:val="24"/>
          <w:szCs w:val="24"/>
          <w:lang w:val="en-US" w:eastAsia="zh-CN"/>
          <w14:textFill>
            <w14:solidFill>
              <w14:schemeClr w14:val="tx1"/>
            </w14:solidFill>
          </w14:textFill>
        </w:rPr>
      </w:pPr>
      <w:bookmarkStart w:id="54" w:name="_Toc11590"/>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eastAsia" w:ascii="Times New Roman" w:cs="Times New Roman"/>
          <w:color w:val="000000" w:themeColor="text1"/>
          <w:sz w:val="24"/>
          <w:szCs w:val="24"/>
          <w:lang w:val="en-US" w:eastAsia="zh-CN"/>
          <w14:textFill>
            <w14:solidFill>
              <w14:schemeClr w14:val="tx1"/>
            </w14:solidFill>
          </w14:textFill>
        </w:rPr>
        <w:t>3</w:t>
      </w:r>
      <w:r>
        <w:rPr>
          <w:rFonts w:hint="eastAsia"/>
          <w:color w:val="000000" w:themeColor="text1"/>
          <w:sz w:val="24"/>
          <w:szCs w:val="24"/>
          <w:lang w:val="en-US" w:eastAsia="zh-CN"/>
          <w14:textFill>
            <w14:solidFill>
              <w14:schemeClr w14:val="tx1"/>
            </w14:solidFill>
          </w14:textFill>
        </w:rPr>
        <w:t>设备技术参数和性能要求响应表</w:t>
      </w:r>
      <w:bookmarkEnd w:id="54"/>
    </w:p>
    <w:p w14:paraId="06855930">
      <w:pPr>
        <w:adjustRightInd w:val="0"/>
        <w:snapToGrid w:val="0"/>
        <w:spacing w:line="360" w:lineRule="auto"/>
        <w:ind w:firstLine="412" w:firstLineChars="200"/>
        <w:rPr>
          <w:rFonts w:hint="eastAsia"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2"/>
          <w:sz w:val="21"/>
          <w:szCs w:val="21"/>
          <w14:textFill>
            <w14:solidFill>
              <w14:schemeClr w14:val="tx1"/>
            </w14:solidFill>
          </w14:textFill>
        </w:rPr>
        <w:t>投标方应认真逐项填写所供设备技术参数和性能要求响应表（见表1）中“投标方保证值”栏，不能空格，也不能以“响应”两字代替，不允许改动本表内 “投标方保证值”栏之外的数值。如有差异，请填写表</w:t>
      </w:r>
      <w:r>
        <w:rPr>
          <w:rFonts w:hint="eastAsia" w:ascii="宋体" w:hAnsi="宋体" w:cs="宋体"/>
          <w:color w:val="000000" w:themeColor="text1"/>
          <w:spacing w:val="-2"/>
          <w:sz w:val="21"/>
          <w:szCs w:val="21"/>
          <w:lang w:val="en-US" w:eastAsia="zh-CN"/>
          <w14:textFill>
            <w14:solidFill>
              <w14:schemeClr w14:val="tx1"/>
            </w14:solidFill>
          </w14:textFill>
        </w:rPr>
        <w:t>3</w:t>
      </w:r>
      <w:r>
        <w:rPr>
          <w:rFonts w:hint="eastAsia" w:ascii="宋体" w:hAnsi="宋体" w:eastAsia="宋体" w:cs="宋体"/>
          <w:color w:val="000000" w:themeColor="text1"/>
          <w:spacing w:val="-2"/>
          <w:sz w:val="21"/>
          <w:szCs w:val="21"/>
          <w14:textFill>
            <w14:solidFill>
              <w14:schemeClr w14:val="tx1"/>
            </w14:solidFill>
          </w14:textFill>
        </w:rPr>
        <w:t>：技术差异表。</w:t>
      </w:r>
    </w:p>
    <w:p w14:paraId="78AFCA42">
      <w:pPr>
        <w:adjustRightInd w:val="0"/>
        <w:snapToGrid w:val="0"/>
        <w:spacing w:line="360" w:lineRule="auto"/>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表1</w:t>
      </w:r>
      <w:r>
        <w:rPr>
          <w:rFonts w:hint="eastAsia" w:ascii="宋体" w:hAnsi="宋体" w:eastAsia="宋体" w:cs="宋体"/>
          <w:color w:val="000000" w:themeColor="text1"/>
          <w:szCs w:val="21"/>
          <w:highlight w:val="none"/>
          <w14:textFill>
            <w14:solidFill>
              <w14:schemeClr w14:val="tx1"/>
            </w14:solidFill>
          </w14:textFill>
        </w:rPr>
        <w:t>技术参数和性能要求响应表</w:t>
      </w:r>
    </w:p>
    <w:tbl>
      <w:tblPr>
        <w:tblStyle w:val="27"/>
        <w:tblW w:w="4931"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4"/>
        <w:gridCol w:w="912"/>
        <w:gridCol w:w="3274"/>
        <w:gridCol w:w="3740"/>
      </w:tblGrid>
      <w:tr w14:paraId="577910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21" w:hRule="atLeast"/>
          <w:tblHeader/>
        </w:trPr>
        <w:tc>
          <w:tcPr>
            <w:tcW w:w="287" w:type="pct"/>
            <w:vAlign w:val="center"/>
          </w:tcPr>
          <w:p w14:paraId="1A9325FD">
            <w:pPr>
              <w:pStyle w:val="16"/>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序号</w:t>
            </w:r>
          </w:p>
        </w:tc>
        <w:tc>
          <w:tcPr>
            <w:tcW w:w="542" w:type="pct"/>
            <w:vAlign w:val="center"/>
          </w:tcPr>
          <w:p w14:paraId="3B035228">
            <w:pPr>
              <w:pStyle w:val="16"/>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名    称</w:t>
            </w:r>
          </w:p>
        </w:tc>
        <w:tc>
          <w:tcPr>
            <w:tcW w:w="1946" w:type="pct"/>
            <w:vAlign w:val="center"/>
          </w:tcPr>
          <w:p w14:paraId="216CCA04">
            <w:pPr>
              <w:pStyle w:val="16"/>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项目要求值</w:t>
            </w:r>
          </w:p>
        </w:tc>
        <w:tc>
          <w:tcPr>
            <w:tcW w:w="2223" w:type="pct"/>
            <w:vAlign w:val="center"/>
          </w:tcPr>
          <w:p w14:paraId="039FC535">
            <w:pPr>
              <w:pStyle w:val="16"/>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投标方保证值</w:t>
            </w:r>
          </w:p>
        </w:tc>
      </w:tr>
      <w:tr w14:paraId="6B7478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6F73AE87">
            <w:pPr>
              <w:pStyle w:val="93"/>
              <w:bidi w:val="0"/>
              <w:spacing w:before="90" w:after="210"/>
              <w:ind w:left="0" w:leftChars="0" w:right="0" w:rightChars="0" w:firstLine="0" w:firstLineChars="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542" w:type="pct"/>
            <w:vAlign w:val="center"/>
          </w:tcPr>
          <w:p w14:paraId="4BC943B3">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14:textFill>
                  <w14:solidFill>
                    <w14:schemeClr w14:val="tx1"/>
                  </w14:solidFill>
                </w14:textFill>
              </w:rPr>
              <w:t>结构与外观相关参数</w:t>
            </w:r>
          </w:p>
        </w:tc>
        <w:tc>
          <w:tcPr>
            <w:tcW w:w="1946" w:type="pct"/>
            <w:shd w:val="clear" w:color="auto" w:fill="auto"/>
            <w:vAlign w:val="center"/>
          </w:tcPr>
          <w:p w14:paraId="63217BC5">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总体尺寸不大于 520mm(长)×650mm(宽)×</w:t>
            </w:r>
            <w:r>
              <w:rPr>
                <w:rFonts w:hint="eastAsia" w:ascii="宋体" w:hAnsi="宋体" w:cs="宋体"/>
                <w:color w:val="000000" w:themeColor="text1"/>
                <w:lang w:val="en-US" w:eastAsia="zh-CN"/>
                <w14:textFill>
                  <w14:solidFill>
                    <w14:schemeClr w14:val="tx1"/>
                  </w14:solidFill>
                </w14:textFill>
              </w:rPr>
              <w:t>1100</w:t>
            </w:r>
            <w:r>
              <w:rPr>
                <w:rFonts w:hint="eastAsia" w:ascii="宋体" w:hAnsi="宋体" w:eastAsia="宋体" w:cs="宋体"/>
                <w:color w:val="000000" w:themeColor="text1"/>
                <w14:textFill>
                  <w14:solidFill>
                    <w14:schemeClr w14:val="tx1"/>
                  </w14:solidFill>
                </w14:textFill>
              </w:rPr>
              <w:t>mm(高)</w:t>
            </w:r>
            <w:r>
              <w:rPr>
                <w:rFonts w:hint="eastAsia" w:ascii="宋体" w:hAnsi="宋体" w:cs="宋体"/>
                <w:color w:val="000000" w:themeColor="text1"/>
                <w:lang w:eastAsia="zh-CN"/>
                <w14:textFill>
                  <w14:solidFill>
                    <w14:schemeClr w14:val="tx1"/>
                  </w14:solidFill>
                </w14:textFill>
              </w:rPr>
              <w:t>。</w:t>
            </w:r>
          </w:p>
        </w:tc>
        <w:tc>
          <w:tcPr>
            <w:tcW w:w="2223" w:type="pct"/>
          </w:tcPr>
          <w:p w14:paraId="28FF5783">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545F95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6D20A239">
            <w:pPr>
              <w:pStyle w:val="93"/>
              <w:bidi w:val="0"/>
              <w:spacing w:before="90" w:after="210"/>
              <w:ind w:left="0" w:leftChars="0" w:right="0" w:rightChars="0" w:firstLine="0" w:firstLineChars="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542" w:type="pct"/>
            <w:vAlign w:val="center"/>
          </w:tcPr>
          <w:p w14:paraId="24219168">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14:textFill>
                  <w14:solidFill>
                    <w14:schemeClr w14:val="tx1"/>
                  </w14:solidFill>
                </w14:textFill>
              </w:rPr>
              <w:t>结构与外观相关参数</w:t>
            </w:r>
          </w:p>
        </w:tc>
        <w:tc>
          <w:tcPr>
            <w:tcW w:w="1946" w:type="pct"/>
            <w:shd w:val="clear" w:color="auto" w:fill="auto"/>
            <w:vAlign w:val="center"/>
          </w:tcPr>
          <w:p w14:paraId="7C1D6748">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整体重量不大于 12kg</w:t>
            </w:r>
            <w:r>
              <w:rPr>
                <w:rFonts w:hint="eastAsia" w:ascii="宋体" w:hAnsi="宋体" w:cs="宋体"/>
                <w:color w:val="000000" w:themeColor="text1"/>
                <w:lang w:eastAsia="zh-CN"/>
                <w14:textFill>
                  <w14:solidFill>
                    <w14:schemeClr w14:val="tx1"/>
                  </w14:solidFill>
                </w14:textFill>
              </w:rPr>
              <w:t>。</w:t>
            </w:r>
          </w:p>
        </w:tc>
        <w:tc>
          <w:tcPr>
            <w:tcW w:w="2223" w:type="pct"/>
          </w:tcPr>
          <w:p w14:paraId="3AF9DC17">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16B55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04CB6ECA">
            <w:pPr>
              <w:pStyle w:val="93"/>
              <w:bidi w:val="0"/>
              <w:spacing w:before="90" w:after="210"/>
              <w:ind w:left="0" w:leftChars="0" w:right="0" w:rightChars="0" w:firstLine="0" w:firstLineChars="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542" w:type="pct"/>
            <w:vAlign w:val="center"/>
          </w:tcPr>
          <w:p w14:paraId="06E96737">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结构与外观相关参数</w:t>
            </w:r>
          </w:p>
        </w:tc>
        <w:tc>
          <w:tcPr>
            <w:tcW w:w="1946" w:type="pct"/>
            <w:shd w:val="clear" w:color="auto" w:fill="auto"/>
            <w:vAlign w:val="center"/>
          </w:tcPr>
          <w:p w14:paraId="22D454D5">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设备主体应使用铝质合金材料，关键受力零部件应为不锈钢材料</w:t>
            </w:r>
            <w:r>
              <w:rPr>
                <w:rFonts w:hint="eastAsia" w:ascii="宋体" w:hAnsi="宋体" w:cs="宋体"/>
                <w:color w:val="000000" w:themeColor="text1"/>
                <w:lang w:eastAsia="zh-CN"/>
                <w14:textFill>
                  <w14:solidFill>
                    <w14:schemeClr w14:val="tx1"/>
                  </w14:solidFill>
                </w14:textFill>
              </w:rPr>
              <w:t>。</w:t>
            </w:r>
          </w:p>
        </w:tc>
        <w:tc>
          <w:tcPr>
            <w:tcW w:w="2223" w:type="pct"/>
          </w:tcPr>
          <w:p w14:paraId="717E03F3">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47A8EE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38BC5583">
            <w:pPr>
              <w:pStyle w:val="93"/>
              <w:bidi w:val="0"/>
              <w:spacing w:before="90" w:after="210"/>
              <w:ind w:left="0" w:leftChars="0" w:right="0" w:rightChars="0" w:firstLine="0" w:firstLineChars="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542" w:type="pct"/>
            <w:vAlign w:val="center"/>
          </w:tcPr>
          <w:p w14:paraId="03FA4355">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结构与外观相关参数</w:t>
            </w:r>
          </w:p>
        </w:tc>
        <w:tc>
          <w:tcPr>
            <w:tcW w:w="1946" w:type="pct"/>
            <w:shd w:val="clear" w:color="auto" w:fill="auto"/>
            <w:vAlign w:val="center"/>
          </w:tcPr>
          <w:p w14:paraId="417BA82C">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设备及零部件表面不应有裂纹、裂缝、欠铸、缩松和任何穿透性缺陷，铸造零件的浇口、飞边、溢流口、隔皮、顶杆痕迹等应清理干净</w:t>
            </w:r>
            <w:r>
              <w:rPr>
                <w:rFonts w:hint="eastAsia" w:ascii="宋体" w:hAnsi="宋体" w:cs="宋体"/>
                <w:color w:val="000000" w:themeColor="text1"/>
                <w:lang w:eastAsia="zh-CN"/>
                <w14:textFill>
                  <w14:solidFill>
                    <w14:schemeClr w14:val="tx1"/>
                  </w14:solidFill>
                </w14:textFill>
              </w:rPr>
              <w:t>。</w:t>
            </w:r>
          </w:p>
        </w:tc>
        <w:tc>
          <w:tcPr>
            <w:tcW w:w="2223" w:type="pct"/>
          </w:tcPr>
          <w:p w14:paraId="19E56D3D">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387B02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7C5783E1">
            <w:pPr>
              <w:pStyle w:val="93"/>
              <w:bidi w:val="0"/>
              <w:spacing w:before="90" w:after="210"/>
              <w:ind w:left="0" w:leftChars="0" w:right="0" w:rightChars="0" w:firstLine="0" w:firstLineChars="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p>
        </w:tc>
        <w:tc>
          <w:tcPr>
            <w:tcW w:w="542" w:type="pct"/>
            <w:vAlign w:val="center"/>
          </w:tcPr>
          <w:p w14:paraId="0CBEFF23">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14:textFill>
                  <w14:solidFill>
                    <w14:schemeClr w14:val="tx1"/>
                  </w14:solidFill>
                </w14:textFill>
              </w:rPr>
              <w:t>负载能力相关参数</w:t>
            </w:r>
          </w:p>
        </w:tc>
        <w:tc>
          <w:tcPr>
            <w:tcW w:w="1946" w:type="pct"/>
            <w:shd w:val="clear" w:color="auto" w:fill="auto"/>
            <w:vAlign w:val="center"/>
          </w:tcPr>
          <w:p w14:paraId="6D8B2EB1">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静负荷试验：在飞车座垫上施加 1.45kN 负荷，飞车在模拟线路上悬挂持续 1min，各部件应完整，无损伤、无永久变形</w:t>
            </w:r>
            <w:r>
              <w:rPr>
                <w:rFonts w:hint="eastAsia" w:ascii="宋体" w:hAnsi="宋体" w:cs="宋体"/>
                <w:color w:val="000000" w:themeColor="text1"/>
                <w:lang w:eastAsia="zh-CN"/>
                <w14:textFill>
                  <w14:solidFill>
                    <w14:schemeClr w14:val="tx1"/>
                  </w14:solidFill>
                </w14:textFill>
              </w:rPr>
              <w:t>。</w:t>
            </w:r>
          </w:p>
        </w:tc>
        <w:tc>
          <w:tcPr>
            <w:tcW w:w="2223" w:type="pct"/>
          </w:tcPr>
          <w:p w14:paraId="30ACFF14">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62588A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4C56220E">
            <w:pPr>
              <w:pStyle w:val="93"/>
              <w:bidi w:val="0"/>
              <w:spacing w:before="90" w:after="210"/>
              <w:ind w:left="0" w:leftChars="0" w:right="0" w:rightChars="0" w:firstLine="0" w:firstLineChars="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w:t>
            </w:r>
          </w:p>
        </w:tc>
        <w:tc>
          <w:tcPr>
            <w:tcW w:w="542" w:type="pct"/>
            <w:vAlign w:val="center"/>
          </w:tcPr>
          <w:p w14:paraId="7C5ACD6C">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14:textFill>
                  <w14:solidFill>
                    <w14:schemeClr w14:val="tx1"/>
                  </w14:solidFill>
                </w14:textFill>
              </w:rPr>
              <w:t>负载能力相关参数</w:t>
            </w:r>
          </w:p>
        </w:tc>
        <w:tc>
          <w:tcPr>
            <w:tcW w:w="1946" w:type="pct"/>
            <w:shd w:val="clear" w:color="auto" w:fill="auto"/>
            <w:vAlign w:val="center"/>
          </w:tcPr>
          <w:p w14:paraId="37E0B04C">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动负荷试验：在飞车座垫上施加负荷（包括操作人员）1.21kN，通过模拟正常运行使得飞车在装有防振锤的线路上能来回行驶 3 次，飞车各部件工作应正常、灵活，无卡滞。</w:t>
            </w:r>
          </w:p>
        </w:tc>
        <w:tc>
          <w:tcPr>
            <w:tcW w:w="2223" w:type="pct"/>
          </w:tcPr>
          <w:p w14:paraId="00071942">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0610A6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55B978BD">
            <w:pPr>
              <w:pStyle w:val="93"/>
              <w:bidi w:val="0"/>
              <w:spacing w:before="90" w:after="210"/>
              <w:ind w:left="0" w:leftChars="0" w:right="0" w:rightChars="0" w:firstLine="0" w:firstLineChars="0"/>
              <w:jc w:val="center"/>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w:t>
            </w:r>
          </w:p>
        </w:tc>
        <w:tc>
          <w:tcPr>
            <w:tcW w:w="542" w:type="pct"/>
            <w:vAlign w:val="center"/>
          </w:tcPr>
          <w:p w14:paraId="04EBF323">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14:textFill>
                  <w14:solidFill>
                    <w14:schemeClr w14:val="tx1"/>
                  </w14:solidFill>
                </w14:textFill>
              </w:rPr>
              <w:t>行驶能力相关参数</w:t>
            </w:r>
          </w:p>
        </w:tc>
        <w:tc>
          <w:tcPr>
            <w:tcW w:w="1946" w:type="pct"/>
            <w:shd w:val="clear" w:color="auto" w:fill="auto"/>
            <w:vAlign w:val="center"/>
          </w:tcPr>
          <w:p w14:paraId="285C7CE6">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在飞车负荷 1.21kN 下，飞车在模拟线路与水平地面的夹角为 0°和 25°时，应行驶正常，并能顺利通过防振锤。</w:t>
            </w:r>
          </w:p>
        </w:tc>
        <w:tc>
          <w:tcPr>
            <w:tcW w:w="2223" w:type="pct"/>
          </w:tcPr>
          <w:p w14:paraId="3D640CBD">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10E29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287" w:type="pct"/>
            <w:vAlign w:val="center"/>
          </w:tcPr>
          <w:p w14:paraId="64C04123">
            <w:pPr>
              <w:pStyle w:val="93"/>
              <w:bidi w:val="0"/>
              <w:spacing w:before="90" w:after="210"/>
              <w:ind w:left="0" w:leftChars="0" w:right="0" w:rightChars="0" w:firstLine="0" w:firstLineChars="0"/>
              <w:jc w:val="center"/>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w:t>
            </w:r>
          </w:p>
        </w:tc>
        <w:tc>
          <w:tcPr>
            <w:tcW w:w="542" w:type="pct"/>
            <w:vAlign w:val="center"/>
          </w:tcPr>
          <w:p w14:paraId="55130707">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刹车能力相关参数</w:t>
            </w:r>
          </w:p>
        </w:tc>
        <w:tc>
          <w:tcPr>
            <w:tcW w:w="1946" w:type="pct"/>
            <w:shd w:val="clear" w:color="auto" w:fill="auto"/>
            <w:vAlign w:val="center"/>
          </w:tcPr>
          <w:p w14:paraId="26D42DCD">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飞车在α = 25°坡上装载负荷，以 3km/h 的速度匀速下滑。在下滑过程中刹车 3 次，每次的刹车位移应不大于 0.3m</w:t>
            </w:r>
            <w:r>
              <w:rPr>
                <w:rFonts w:hint="eastAsia" w:ascii="宋体" w:hAnsi="宋体" w:cs="宋体"/>
                <w:color w:val="000000" w:themeColor="text1"/>
                <w:lang w:eastAsia="zh-CN"/>
                <w14:textFill>
                  <w14:solidFill>
                    <w14:schemeClr w14:val="tx1"/>
                  </w14:solidFill>
                </w14:textFill>
              </w:rPr>
              <w:t>。</w:t>
            </w:r>
          </w:p>
        </w:tc>
        <w:tc>
          <w:tcPr>
            <w:tcW w:w="2223" w:type="pct"/>
          </w:tcPr>
          <w:p w14:paraId="78C25CE5">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418442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2" w:hRule="atLeast"/>
        </w:trPr>
        <w:tc>
          <w:tcPr>
            <w:tcW w:w="287" w:type="pct"/>
            <w:vAlign w:val="center"/>
          </w:tcPr>
          <w:p w14:paraId="0B308F34">
            <w:pPr>
              <w:pStyle w:val="93"/>
              <w:bidi w:val="0"/>
              <w:spacing w:before="90" w:after="210"/>
              <w:ind w:left="0" w:leftChars="0" w:right="0" w:rightChars="0" w:firstLine="0" w:firstLineChars="0"/>
              <w:jc w:val="center"/>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w:t>
            </w:r>
          </w:p>
        </w:tc>
        <w:tc>
          <w:tcPr>
            <w:tcW w:w="542" w:type="pct"/>
            <w:vAlign w:val="center"/>
          </w:tcPr>
          <w:p w14:paraId="7398B71B">
            <w:pPr>
              <w:pStyle w:val="93"/>
              <w:bidi w:val="0"/>
              <w:spacing w:before="90" w:after="210"/>
              <w:ind w:left="0" w:leftChars="0" w:right="0" w:rightChars="0" w:firstLine="0" w:firstLineChars="0"/>
              <w:jc w:val="lef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多功能能力相关参数</w:t>
            </w:r>
          </w:p>
        </w:tc>
        <w:tc>
          <w:tcPr>
            <w:tcW w:w="1946" w:type="pct"/>
            <w:shd w:val="clear" w:color="auto" w:fill="auto"/>
            <w:vAlign w:val="center"/>
          </w:tcPr>
          <w:p w14:paraId="5699276B">
            <w:pPr>
              <w:pStyle w:val="93"/>
              <w:bidi w:val="0"/>
              <w:spacing w:before="90" w:after="210"/>
              <w:ind w:left="0" w:leftChars="0" w:right="0" w:rightChars="0" w:firstLine="0" w:firstLineChars="0"/>
              <w:jc w:val="left"/>
              <w:rPr>
                <w:rFonts w:hint="eastAsia" w:ascii="宋体" w:hAnsi="宋体" w:eastAsia="宋体" w:cs="宋体"/>
                <w:color w:val="000000" w:themeColor="text1"/>
                <w:kern w:val="2"/>
                <w:sz w:val="18"/>
                <w:szCs w:val="18"/>
                <w:lang w:val="en-US" w:eastAsia="zh-CN" w:bidi="ar-SA"/>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飞车的座凳应采用可拆卸式结构设计，能够便捷地进行安装与拆卸，同时可悬挂绝缘软梯及吊篮。实际检测应包括座椅的安装与拆卸操作时间，以及悬挂绝缘软梯和吊篮的便捷性</w:t>
            </w:r>
            <w:r>
              <w:rPr>
                <w:rFonts w:hint="eastAsia" w:ascii="宋体" w:hAnsi="宋体" w:cs="宋体"/>
                <w:color w:val="000000" w:themeColor="text1"/>
                <w:lang w:eastAsia="zh-CN"/>
                <w14:textFill>
                  <w14:solidFill>
                    <w14:schemeClr w14:val="tx1"/>
                  </w14:solidFill>
                </w14:textFill>
              </w:rPr>
              <w:t>。</w:t>
            </w:r>
          </w:p>
        </w:tc>
        <w:tc>
          <w:tcPr>
            <w:tcW w:w="2223" w:type="pct"/>
          </w:tcPr>
          <w:p w14:paraId="6B8A6DC0">
            <w:pPr>
              <w:pStyle w:val="16"/>
              <w:jc w:val="center"/>
              <w:rPr>
                <w:rFonts w:hint="eastAsia" w:ascii="宋体" w:hAnsi="宋体" w:eastAsia="宋体" w:cs="宋体"/>
                <w:color w:val="000000" w:themeColor="text1"/>
                <w:sz w:val="18"/>
                <w:szCs w:val="18"/>
                <w14:textFill>
                  <w14:solidFill>
                    <w14:schemeClr w14:val="tx1"/>
                  </w14:solidFill>
                </w14:textFill>
              </w:rPr>
            </w:pPr>
          </w:p>
          <w:p w14:paraId="13DA103F">
            <w:pPr>
              <w:pStyle w:val="16"/>
              <w:jc w:val="center"/>
              <w:rPr>
                <w:rFonts w:hint="eastAsia" w:ascii="宋体" w:hAnsi="宋体" w:eastAsia="宋体" w:cs="宋体"/>
                <w:color w:val="000000" w:themeColor="text1"/>
                <w:sz w:val="18"/>
                <w:szCs w:val="18"/>
                <w14:textFill>
                  <w14:solidFill>
                    <w14:schemeClr w14:val="tx1"/>
                  </w14:solidFill>
                </w14:textFill>
              </w:rPr>
            </w:pPr>
          </w:p>
        </w:tc>
      </w:tr>
      <w:tr w14:paraId="3071DC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2" w:hRule="atLeast"/>
        </w:trPr>
        <w:tc>
          <w:tcPr>
            <w:tcW w:w="287" w:type="pct"/>
            <w:vAlign w:val="center"/>
          </w:tcPr>
          <w:p w14:paraId="3920AC06">
            <w:pPr>
              <w:pStyle w:val="93"/>
              <w:bidi w:val="0"/>
              <w:spacing w:before="90" w:after="210"/>
              <w:ind w:left="0" w:leftChars="0" w:right="0" w:rightChars="0" w:firstLine="0" w:firstLineChars="0"/>
              <w:jc w:val="lef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10</w:t>
            </w:r>
          </w:p>
        </w:tc>
        <w:tc>
          <w:tcPr>
            <w:tcW w:w="542" w:type="pct"/>
            <w:vAlign w:val="center"/>
          </w:tcPr>
          <w:p w14:paraId="32042C12">
            <w:pPr>
              <w:pStyle w:val="93"/>
              <w:bidi w:val="0"/>
              <w:spacing w:before="90" w:after="210"/>
              <w:ind w:left="0" w:leftChars="0" w:right="0" w:rightChars="0" w:firstLine="0" w:firstLineChars="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跨越线路金具能力</w:t>
            </w:r>
            <w:r>
              <w:rPr>
                <w:rFonts w:hint="eastAsia" w:ascii="宋体" w:hAnsi="宋体" w:eastAsia="宋体" w:cs="宋体"/>
                <w:color w:val="000000" w:themeColor="text1"/>
                <w14:textFill>
                  <w14:solidFill>
                    <w14:schemeClr w14:val="tx1"/>
                  </w14:solidFill>
                </w14:textFill>
              </w:rPr>
              <w:t>参数</w:t>
            </w:r>
          </w:p>
        </w:tc>
        <w:tc>
          <w:tcPr>
            <w:tcW w:w="1946" w:type="pct"/>
            <w:shd w:val="clear" w:color="auto" w:fill="auto"/>
            <w:vAlign w:val="center"/>
          </w:tcPr>
          <w:p w14:paraId="18E2FA9F">
            <w:pPr>
              <w:pStyle w:val="93"/>
              <w:bidi w:val="0"/>
              <w:spacing w:before="90" w:after="210"/>
              <w:ind w:left="0" w:leftChars="0" w:right="0" w:rightChars="0" w:firstLine="0" w:firstLineChars="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飞车</w:t>
            </w:r>
            <w:r>
              <w:rPr>
                <w:rFonts w:hint="eastAsia" w:ascii="宋体" w:hAnsi="宋体" w:eastAsia="宋体" w:cs="宋体"/>
                <w:color w:val="000000" w:themeColor="text1"/>
                <w:lang w:val="en-US" w:eastAsia="zh-CN"/>
                <w14:textFill>
                  <w14:solidFill>
                    <w14:schemeClr w14:val="tx1"/>
                  </w14:solidFill>
                </w14:textFill>
              </w:rPr>
              <w:t>应具备跨越线路金具的能力，能够平稳跨越防振锤、接续管、预绞丝等线路金具，无需人员下车辅助通过。</w:t>
            </w:r>
          </w:p>
        </w:tc>
        <w:tc>
          <w:tcPr>
            <w:tcW w:w="2223" w:type="pct"/>
          </w:tcPr>
          <w:p w14:paraId="30A9F759">
            <w:pPr>
              <w:pStyle w:val="16"/>
              <w:jc w:val="center"/>
              <w:rPr>
                <w:rFonts w:hint="eastAsia" w:ascii="宋体" w:hAnsi="宋体" w:eastAsia="宋体" w:cs="宋体"/>
                <w:color w:val="000000" w:themeColor="text1"/>
                <w:sz w:val="18"/>
                <w:szCs w:val="18"/>
                <w14:textFill>
                  <w14:solidFill>
                    <w14:schemeClr w14:val="tx1"/>
                  </w14:solidFill>
                </w14:textFill>
              </w:rPr>
            </w:pPr>
          </w:p>
        </w:tc>
      </w:tr>
    </w:tbl>
    <w:p w14:paraId="11287613">
      <w:pPr>
        <w:rPr>
          <w:rFonts w:hint="eastAsia"/>
          <w:color w:val="000000" w:themeColor="text1"/>
          <w:lang w:val="en-US" w:eastAsia="zh-CN"/>
          <w14:textFill>
            <w14:solidFill>
              <w14:schemeClr w14:val="tx1"/>
            </w14:solidFill>
          </w14:textFill>
        </w:rPr>
      </w:pPr>
    </w:p>
    <w:p w14:paraId="56EB7184">
      <w:pPr>
        <w:pStyle w:val="2"/>
        <w:numPr>
          <w:ilvl w:val="0"/>
          <w:numId w:val="0"/>
        </w:numPr>
        <w:adjustRightInd w:val="0"/>
        <w:spacing w:beforeLines="0"/>
        <w:ind w:left="0" w:leftChars="0" w:firstLine="0" w:firstLineChars="0"/>
        <w:rPr>
          <w:rFonts w:hint="eastAsia" w:ascii="Times New Roman" w:hAnsi="Times New Roman" w:eastAsia="宋体" w:cs="Times New Roman"/>
          <w:b/>
          <w:bCs/>
          <w:i w:val="0"/>
          <w:color w:val="000000" w:themeColor="text1"/>
          <w:kern w:val="44"/>
          <w:sz w:val="24"/>
          <w:szCs w:val="24"/>
          <w:lang w:val="en-US" w:eastAsia="zh-CN" w:bidi="ar-SA"/>
          <w14:textFill>
            <w14:solidFill>
              <w14:schemeClr w14:val="tx1"/>
            </w14:solidFill>
          </w14:textFill>
        </w:rPr>
      </w:pPr>
      <w:bookmarkStart w:id="55" w:name="_Toc14859"/>
      <w:bookmarkStart w:id="56" w:name="_Toc287602849"/>
      <w:bookmarkStart w:id="57" w:name="_Toc16787"/>
      <w:r>
        <w:rPr>
          <w:rFonts w:hint="default" w:ascii="Times New Roman" w:hAnsi="Times New Roman" w:eastAsia="宋体" w:cs="Times New Roman"/>
          <w:b w:val="0"/>
          <w:bCs w:val="0"/>
          <w:i w:val="0"/>
          <w:color w:val="000000" w:themeColor="text1"/>
          <w:kern w:val="44"/>
          <w:sz w:val="24"/>
          <w:szCs w:val="24"/>
          <w:lang w:val="en-US" w:eastAsia="zh-CN" w:bidi="ar-SA"/>
          <w14:textFill>
            <w14:solidFill>
              <w14:schemeClr w14:val="tx1"/>
            </w14:solidFill>
          </w14:textFill>
        </w:rPr>
        <w:t>1</w:t>
      </w:r>
      <w:r>
        <w:rPr>
          <w:rFonts w:hint="eastAsia" w:ascii="Times New Roman" w:cs="Times New Roman"/>
          <w:b w:val="0"/>
          <w:bCs w:val="0"/>
          <w:i w:val="0"/>
          <w:color w:val="000000" w:themeColor="text1"/>
          <w:kern w:val="44"/>
          <w:sz w:val="24"/>
          <w:szCs w:val="24"/>
          <w:lang w:val="en-US" w:eastAsia="zh-CN" w:bidi="ar-SA"/>
          <w14:textFill>
            <w14:solidFill>
              <w14:schemeClr w14:val="tx1"/>
            </w14:solidFill>
          </w14:textFill>
        </w:rPr>
        <w:t>4</w:t>
      </w:r>
      <w:r>
        <w:rPr>
          <w:rFonts w:hint="eastAsia" w:ascii="Times New Roman" w:hAnsi="Times New Roman" w:eastAsia="宋体" w:cs="Times New Roman"/>
          <w:b/>
          <w:bCs/>
          <w:i w:val="0"/>
          <w:color w:val="000000" w:themeColor="text1"/>
          <w:kern w:val="44"/>
          <w:sz w:val="24"/>
          <w:szCs w:val="24"/>
          <w:lang w:val="en-US" w:eastAsia="zh-CN" w:bidi="ar-SA"/>
          <w14:textFill>
            <w14:solidFill>
              <w14:schemeClr w14:val="tx1"/>
            </w14:solidFill>
          </w14:textFill>
        </w:rPr>
        <w:t xml:space="preserve"> </w:t>
      </w:r>
      <w:bookmarkStart w:id="58" w:name="_Toc23591"/>
      <w:bookmarkStart w:id="59" w:name="_Toc29728"/>
      <w:r>
        <w:rPr>
          <w:rFonts w:hint="eastAsia" w:ascii="Times New Roman" w:hAnsi="Times New Roman" w:eastAsia="宋体" w:cs="Times New Roman"/>
          <w:b/>
          <w:bCs/>
          <w:i w:val="0"/>
          <w:color w:val="000000" w:themeColor="text1"/>
          <w:kern w:val="44"/>
          <w:sz w:val="24"/>
          <w:szCs w:val="24"/>
          <w:lang w:val="en-US" w:eastAsia="zh-CN" w:bidi="ar-SA"/>
          <w14:textFill>
            <w14:solidFill>
              <w14:schemeClr w14:val="tx1"/>
            </w14:solidFill>
          </w14:textFill>
        </w:rPr>
        <w:t>技术差异表</w:t>
      </w:r>
      <w:bookmarkEnd w:id="55"/>
      <w:bookmarkEnd w:id="56"/>
      <w:bookmarkEnd w:id="57"/>
      <w:bookmarkEnd w:id="58"/>
      <w:bookmarkEnd w:id="59"/>
    </w:p>
    <w:p w14:paraId="36E12A25">
      <w:pPr>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bookmarkStart w:id="60" w:name="_Toc226362579"/>
      <w:r>
        <w:rPr>
          <w:rFonts w:hint="eastAsia" w:ascii="宋体" w:hAnsi="宋体" w:eastAsia="宋体" w:cs="宋体"/>
          <w:color w:val="000000" w:themeColor="text1"/>
          <w14:textFill>
            <w14:solidFill>
              <w14:schemeClr w14:val="tx1"/>
            </w14:solidFill>
          </w14:textFill>
        </w:rPr>
        <w:t>投标方应将所供设备与本</w:t>
      </w:r>
      <w:r>
        <w:rPr>
          <w:rFonts w:hint="eastAsia" w:ascii="宋体" w:hAnsi="宋体" w:eastAsia="宋体" w:cs="宋体"/>
          <w:color w:val="000000" w:themeColor="text1"/>
          <w:lang w:eastAsia="zh-CN"/>
          <w14:textFill>
            <w14:solidFill>
              <w14:schemeClr w14:val="tx1"/>
            </w14:solidFill>
          </w14:textFill>
        </w:rPr>
        <w:t>技术规范书</w:t>
      </w:r>
      <w:r>
        <w:rPr>
          <w:rFonts w:hint="eastAsia" w:ascii="宋体" w:hAnsi="宋体" w:eastAsia="宋体" w:cs="宋体"/>
          <w:color w:val="000000" w:themeColor="text1"/>
          <w14:textFill>
            <w14:solidFill>
              <w14:schemeClr w14:val="tx1"/>
            </w14:solidFill>
          </w14:textFill>
        </w:rPr>
        <w:t>有差异之处，无论优于或劣于本</w:t>
      </w:r>
      <w:r>
        <w:rPr>
          <w:rFonts w:hint="eastAsia" w:ascii="宋体" w:hAnsi="宋体" w:eastAsia="宋体" w:cs="宋体"/>
          <w:color w:val="000000" w:themeColor="text1"/>
          <w:lang w:eastAsia="zh-CN"/>
          <w14:textFill>
            <w14:solidFill>
              <w14:schemeClr w14:val="tx1"/>
            </w14:solidFill>
          </w14:textFill>
        </w:rPr>
        <w:t>技术规范书</w:t>
      </w:r>
      <w:r>
        <w:rPr>
          <w:rFonts w:hint="eastAsia" w:ascii="宋体" w:hAnsi="宋体" w:eastAsia="宋体" w:cs="宋体"/>
          <w:color w:val="000000" w:themeColor="text1"/>
          <w14:textFill>
            <w14:solidFill>
              <w14:schemeClr w14:val="tx1"/>
            </w14:solidFill>
          </w14:textFill>
        </w:rPr>
        <w:t>要求，均汇集成此表。</w:t>
      </w:r>
    </w:p>
    <w:p w14:paraId="03203EDB">
      <w:pPr>
        <w:adjustRightInd w:val="0"/>
        <w:snapToGrid w:val="0"/>
        <w:spacing w:line="360" w:lineRule="auto"/>
        <w:ind w:firstLine="420" w:firstLineChars="20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表</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 xml:space="preserve"> 技术差异表</w:t>
      </w:r>
      <w:bookmarkEnd w:id="60"/>
      <w:r>
        <w:rPr>
          <w:rFonts w:hint="eastAsia" w:ascii="宋体" w:hAnsi="宋体" w:eastAsia="宋体" w:cs="宋体"/>
          <w:color w:val="000000" w:themeColor="text1"/>
          <w14:textFill>
            <w14:solidFill>
              <w14:schemeClr w14:val="tx1"/>
            </w14:solidFill>
          </w14:textFill>
        </w:rPr>
        <w:t xml:space="preserve">  （投标方填写）</w:t>
      </w:r>
    </w:p>
    <w:tbl>
      <w:tblPr>
        <w:tblStyle w:val="27"/>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14:paraId="65806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585ABC87">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序</w:t>
            </w:r>
          </w:p>
          <w:p w14:paraId="06B5BF77">
            <w:pPr>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号</w:t>
            </w:r>
          </w:p>
        </w:tc>
        <w:tc>
          <w:tcPr>
            <w:tcW w:w="3876" w:type="dxa"/>
            <w:gridSpan w:val="2"/>
            <w:vAlign w:val="center"/>
          </w:tcPr>
          <w:p w14:paraId="67EDE997">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招 标 文 件</w:t>
            </w:r>
          </w:p>
        </w:tc>
        <w:tc>
          <w:tcPr>
            <w:tcW w:w="3833" w:type="dxa"/>
            <w:gridSpan w:val="2"/>
            <w:vAlign w:val="center"/>
          </w:tcPr>
          <w:p w14:paraId="3D1691F9">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投  标  文  件</w:t>
            </w:r>
          </w:p>
        </w:tc>
      </w:tr>
      <w:tr w14:paraId="1BF7B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74CB302B">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163" w:type="dxa"/>
            <w:vAlign w:val="center"/>
          </w:tcPr>
          <w:p w14:paraId="06386945">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条  目</w:t>
            </w:r>
          </w:p>
        </w:tc>
        <w:tc>
          <w:tcPr>
            <w:tcW w:w="2713" w:type="dxa"/>
            <w:vAlign w:val="center"/>
          </w:tcPr>
          <w:p w14:paraId="722989E2">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简  要  内  容</w:t>
            </w:r>
          </w:p>
        </w:tc>
        <w:tc>
          <w:tcPr>
            <w:tcW w:w="1258" w:type="dxa"/>
            <w:vAlign w:val="center"/>
          </w:tcPr>
          <w:p w14:paraId="1465C821">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条  目</w:t>
            </w:r>
          </w:p>
        </w:tc>
        <w:tc>
          <w:tcPr>
            <w:tcW w:w="2575" w:type="dxa"/>
            <w:vAlign w:val="center"/>
          </w:tcPr>
          <w:p w14:paraId="2F116811">
            <w:pPr>
              <w:widowControl/>
              <w:autoSpaceDE w:val="0"/>
              <w:autoSpaceDN w:val="0"/>
              <w:spacing w:before="4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简  要  内  容</w:t>
            </w:r>
          </w:p>
        </w:tc>
      </w:tr>
      <w:tr w14:paraId="18DD4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A4D0815">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1</w:t>
            </w:r>
          </w:p>
        </w:tc>
        <w:tc>
          <w:tcPr>
            <w:tcW w:w="1163" w:type="dxa"/>
            <w:vAlign w:val="center"/>
          </w:tcPr>
          <w:p w14:paraId="50AABFCC">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14:paraId="7E669F94">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14:paraId="5DE9D6FD">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14:paraId="1F386D0A">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r w14:paraId="41EB9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5EB6A28F">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2</w:t>
            </w:r>
          </w:p>
        </w:tc>
        <w:tc>
          <w:tcPr>
            <w:tcW w:w="1163" w:type="dxa"/>
            <w:vAlign w:val="center"/>
          </w:tcPr>
          <w:p w14:paraId="3168C5EA">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14:paraId="1BCDD0C6">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14:paraId="51231C5E">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14:paraId="5A1FED93">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r w14:paraId="46900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0C141E7E">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3</w:t>
            </w:r>
          </w:p>
        </w:tc>
        <w:tc>
          <w:tcPr>
            <w:tcW w:w="1163" w:type="dxa"/>
            <w:vAlign w:val="center"/>
          </w:tcPr>
          <w:p w14:paraId="18F9B455">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14:paraId="09ABB0FF">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14:paraId="6F4A261E">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14:paraId="0E0E5AF9">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r w14:paraId="7A086A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AE203C0">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4</w:t>
            </w:r>
          </w:p>
        </w:tc>
        <w:tc>
          <w:tcPr>
            <w:tcW w:w="1163" w:type="dxa"/>
            <w:vAlign w:val="center"/>
          </w:tcPr>
          <w:p w14:paraId="651A8A8D">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713" w:type="dxa"/>
            <w:vAlign w:val="center"/>
          </w:tcPr>
          <w:p w14:paraId="1CADEA70">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1258" w:type="dxa"/>
            <w:vAlign w:val="center"/>
          </w:tcPr>
          <w:p w14:paraId="5205E3EF">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c>
          <w:tcPr>
            <w:tcW w:w="2575" w:type="dxa"/>
            <w:vAlign w:val="center"/>
          </w:tcPr>
          <w:p w14:paraId="12E7AC10">
            <w:pPr>
              <w:widowControl/>
              <w:autoSpaceDE w:val="0"/>
              <w:autoSpaceDN w:val="0"/>
              <w:jc w:val="center"/>
              <w:textAlignment w:val="bottom"/>
              <w:rPr>
                <w:rFonts w:hint="eastAsia" w:ascii="宋体" w:hAnsi="宋体" w:eastAsia="宋体" w:cs="宋体"/>
                <w:color w:val="000000" w:themeColor="text1"/>
                <w:sz w:val="18"/>
                <w:szCs w:val="18"/>
                <w14:textFill>
                  <w14:solidFill>
                    <w14:schemeClr w14:val="tx1"/>
                  </w14:solidFill>
                </w14:textFill>
              </w:rPr>
            </w:pPr>
          </w:p>
        </w:tc>
      </w:tr>
    </w:tbl>
    <w:p w14:paraId="0999D37C">
      <w:pPr>
        <w:pStyle w:val="16"/>
        <w:adjustRightInd w:val="0"/>
        <w:snapToGrid w:val="0"/>
        <w:spacing w:before="156" w:beforeLines="50" w:line="360" w:lineRule="auto"/>
        <w:rPr>
          <w:rFonts w:hint="eastAsia" w:ascii="宋体" w:hAnsi="宋体" w:eastAsia="宋体" w:cs="宋体"/>
          <w:color w:val="000000" w:themeColor="text1"/>
          <w:szCs w:val="21"/>
          <w14:textFill>
            <w14:solidFill>
              <w14:schemeClr w14:val="tx1"/>
            </w14:solidFill>
          </w14:textFill>
        </w:rPr>
      </w:pPr>
    </w:p>
    <w:p w14:paraId="47959AC0">
      <w:pPr>
        <w:pStyle w:val="16"/>
        <w:bidi w:val="0"/>
        <w:adjustRightInd w:val="0"/>
        <w:spacing w:before="156" w:beforeLines="50"/>
        <w:ind w:leftChars="0"/>
        <w:rPr>
          <w:rFonts w:hint="eastAsia"/>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投标方：</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盖章：</w:t>
      </w:r>
    </w:p>
    <w:p w14:paraId="49A78538">
      <w:pPr>
        <w:pStyle w:val="2"/>
        <w:numPr>
          <w:ilvl w:val="0"/>
          <w:numId w:val="0"/>
        </w:numPr>
        <w:adjustRightInd w:val="0"/>
        <w:spacing w:beforeLines="0"/>
        <w:ind w:left="0" w:leftChars="0" w:firstLine="0" w:firstLineChars="0"/>
        <w:rPr>
          <w:rFonts w:hint="eastAsia" w:ascii="宋体" w:hAnsi="宋体" w:eastAsia="宋体" w:cs="宋体"/>
          <w:color w:val="000000" w:themeColor="text1"/>
          <w:sz w:val="24"/>
          <w:szCs w:val="24"/>
          <w14:textFill>
            <w14:solidFill>
              <w14:schemeClr w14:val="tx1"/>
            </w14:solidFill>
          </w14:textFill>
        </w:rPr>
      </w:pPr>
      <w:bookmarkStart w:id="61" w:name="_Toc282421446"/>
      <w:bookmarkStart w:id="62" w:name="_Toc3602"/>
      <w:bookmarkStart w:id="63" w:name="_Toc282420857"/>
      <w:bookmarkStart w:id="64" w:name="_Toc287602850"/>
      <w:bookmarkStart w:id="65" w:name="_Toc2923"/>
      <w:r>
        <w:rPr>
          <w:rFonts w:hint="eastAsia" w:ascii="Times New Roman" w:hAnsi="Times New Roman" w:cs="Times New Roman"/>
          <w:b w:val="0"/>
          <w:bCs w:val="0"/>
          <w:i w:val="0"/>
          <w:color w:val="000000" w:themeColor="text1"/>
          <w:kern w:val="44"/>
          <w:sz w:val="24"/>
          <w:szCs w:val="24"/>
          <w:lang w:val="en-US" w:eastAsia="zh-CN" w:bidi="ar-SA"/>
          <w14:textFill>
            <w14:solidFill>
              <w14:schemeClr w14:val="tx1"/>
            </w14:solidFill>
          </w14:textFill>
        </w:rPr>
        <w:t>1</w:t>
      </w:r>
      <w:r>
        <w:rPr>
          <w:rFonts w:hint="eastAsia" w:ascii="Times New Roman" w:cs="Times New Roman"/>
          <w:b w:val="0"/>
          <w:bCs w:val="0"/>
          <w:i w:val="0"/>
          <w:color w:val="000000" w:themeColor="text1"/>
          <w:kern w:val="44"/>
          <w:sz w:val="24"/>
          <w:szCs w:val="24"/>
          <w:lang w:val="en-US" w:eastAsia="zh-CN" w:bidi="ar-SA"/>
          <w14:textFill>
            <w14:solidFill>
              <w14:schemeClr w14:val="tx1"/>
            </w14:solidFill>
          </w14:textFill>
        </w:rPr>
        <w:t>5</w:t>
      </w:r>
      <w:r>
        <w:rPr>
          <w:rFonts w:hint="default" w:ascii="Times New Roman" w:hAnsi="Times New Roman" w:eastAsia="宋体" w:cs="Times New Roman"/>
          <w:b w:val="0"/>
          <w:bCs w:val="0"/>
          <w:color w:val="000000" w:themeColor="text1"/>
          <w:sz w:val="24"/>
          <w:szCs w:val="24"/>
          <w14:textFill>
            <w14:solidFill>
              <w14:schemeClr w14:val="tx1"/>
            </w14:solidFill>
          </w14:textFill>
        </w:rPr>
        <w:t xml:space="preserve"> </w:t>
      </w:r>
      <w:bookmarkStart w:id="66" w:name="_Toc32105"/>
      <w:bookmarkStart w:id="67" w:name="_Toc28885"/>
      <w:r>
        <w:rPr>
          <w:rFonts w:hint="eastAsia" w:ascii="宋体" w:hAnsi="宋体" w:eastAsia="宋体" w:cs="宋体"/>
          <w:color w:val="000000" w:themeColor="text1"/>
          <w:sz w:val="24"/>
          <w:szCs w:val="24"/>
          <w14:textFill>
            <w14:solidFill>
              <w14:schemeClr w14:val="tx1"/>
            </w14:solidFill>
          </w14:textFill>
        </w:rPr>
        <w:t>投标方需说明的其他问题</w:t>
      </w:r>
      <w:bookmarkEnd w:id="61"/>
      <w:bookmarkEnd w:id="62"/>
      <w:bookmarkEnd w:id="63"/>
      <w:bookmarkEnd w:id="64"/>
      <w:bookmarkEnd w:id="65"/>
      <w:bookmarkEnd w:id="66"/>
      <w:bookmarkEnd w:id="67"/>
    </w:p>
    <w:p w14:paraId="69EBE141">
      <w:pPr>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如有需说明的其他问题，投标方应通过书面形式提交，并加盖公章。</w:t>
      </w:r>
    </w:p>
    <w:p w14:paraId="27E1D593">
      <w:pPr>
        <w:rPr>
          <w:rFonts w:hint="eastAsia"/>
          <w:color w:val="000000" w:themeColor="text1"/>
          <w:lang w:val="en-US" w:eastAsia="zh-CN"/>
          <w14:textFill>
            <w14:solidFill>
              <w14:schemeClr w14:val="tx1"/>
            </w14:solidFill>
          </w14:textFill>
        </w:rPr>
      </w:pPr>
    </w:p>
    <w:p w14:paraId="6501B62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p w14:paraId="3FCEB32B">
      <w:pPr>
        <w:rPr>
          <w:rFonts w:hint="eastAsia"/>
          <w:color w:val="000000" w:themeColor="text1"/>
          <w:lang w:val="en-US" w:eastAsia="zh-CN"/>
          <w14:textFill>
            <w14:solidFill>
              <w14:schemeClr w14:val="tx1"/>
            </w14:solidFill>
          </w14:textFill>
        </w:rPr>
      </w:pPr>
    </w:p>
    <w:p w14:paraId="6AFE9284">
      <w:pPr>
        <w:rPr>
          <w:rFonts w:hint="eastAsia"/>
          <w:color w:val="000000" w:themeColor="text1"/>
          <w:lang w:val="en-US" w:eastAsia="zh-CN"/>
          <w14:textFill>
            <w14:solidFill>
              <w14:schemeClr w14:val="tx1"/>
            </w14:solidFill>
          </w14:textFill>
        </w:rPr>
      </w:pPr>
    </w:p>
    <w:p w14:paraId="52D5AF7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14:textFill>
            <w14:solidFill>
              <w14:schemeClr w14:val="tx1"/>
            </w14:solidFill>
          </w14:textFill>
        </w:rPr>
      </w:pPr>
    </w:p>
    <w:p w14:paraId="3CB931BD">
      <w:pPr>
        <w:rPr>
          <w:rFonts w:hint="eastAsia"/>
          <w:color w:val="000000" w:themeColor="text1"/>
          <w14:textFill>
            <w14:solidFill>
              <w14:schemeClr w14:val="tx1"/>
            </w14:solidFill>
          </w14:textFill>
        </w:rPr>
      </w:pPr>
    </w:p>
    <w:p w14:paraId="675A40DA">
      <w:pPr>
        <w:rPr>
          <w:rFonts w:hint="eastAsia"/>
          <w:color w:val="000000" w:themeColor="text1"/>
          <w14:textFill>
            <w14:solidFill>
              <w14:schemeClr w14:val="tx1"/>
            </w14:solidFill>
          </w14:textFill>
        </w:rPr>
      </w:pPr>
    </w:p>
    <w:p w14:paraId="57300334">
      <w:pPr>
        <w:rPr>
          <w:rFonts w:hint="eastAsia"/>
          <w:color w:val="000000" w:themeColor="text1"/>
          <w14:textFill>
            <w14:solidFill>
              <w14:schemeClr w14:val="tx1"/>
            </w14:solidFill>
          </w14:textFill>
        </w:rPr>
      </w:pPr>
    </w:p>
    <w:sectPr>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简体">
    <w:altName w:val="方正书宋_GBK"/>
    <w:panose1 w:val="02000000000000000000"/>
    <w:charset w:val="86"/>
    <w:family w:val="auto"/>
    <w:pitch w:val="default"/>
    <w:sig w:usb0="00000000" w:usb1="00000000" w:usb2="00000012" w:usb3="00000000" w:csb0="00040001"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ˎ̥">
    <w:altName w:val="国标仿宋"/>
    <w:panose1 w:val="00000000000000000000"/>
    <w:charset w:val="00"/>
    <w:family w:val="roman"/>
    <w:pitch w:val="default"/>
    <w:sig w:usb0="00000000" w:usb1="00000000" w:usb2="00000000" w:usb3="00000000" w:csb0="00000000" w:csb1="00000000"/>
  </w:font>
  <w:font w:name="国标仿宋">
    <w:panose1 w:val="02000500000000000000"/>
    <w:charset w:val="86"/>
    <w:family w:val="auto"/>
    <w:pitch w:val="default"/>
    <w:sig w:usb0="A00002BF" w:usb1="38C77CFA" w:usb2="00000016" w:usb3="00000000" w:csb0="00060007" w:csb1="00000000"/>
  </w:font>
  <w:font w:name="EU-F1">
    <w:altName w:val="国标仿宋"/>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28E1A">
    <w:pPr>
      <w:pStyle w:val="86"/>
      <w:ind w:right="360" w:firstLine="360"/>
      <w:rPr>
        <w:rStyle w:val="3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0256A">
    <w:pPr>
      <w:pStyle w:val="85"/>
      <w:ind w:right="360" w:firstLine="360"/>
      <w:jc w:val="center"/>
      <w:rPr>
        <w:rStyle w:val="30"/>
      </w:rPr>
    </w:pPr>
    <w:r>
      <w:rPr>
        <w:rStyle w:val="30"/>
        <w:kern w:val="2"/>
        <w:szCs w:val="18"/>
      </w:rPr>
      <w:fldChar w:fldCharType="begin"/>
    </w:r>
    <w:r>
      <w:rPr>
        <w:rStyle w:val="30"/>
        <w:kern w:val="2"/>
        <w:szCs w:val="18"/>
      </w:rPr>
      <w:instrText xml:space="preserve"> PAGE </w:instrText>
    </w:r>
    <w:r>
      <w:rPr>
        <w:rStyle w:val="30"/>
        <w:kern w:val="2"/>
        <w:szCs w:val="18"/>
      </w:rPr>
      <w:fldChar w:fldCharType="separate"/>
    </w:r>
    <w:r>
      <w:rPr>
        <w:rStyle w:val="30"/>
        <w:kern w:val="2"/>
        <w:szCs w:val="18"/>
      </w:rPr>
      <w:t>4</w:t>
    </w:r>
    <w:r>
      <w:rPr>
        <w:rStyle w:val="30"/>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DA0FF">
    <w:pPr>
      <w:pStyle w:val="20"/>
      <w:bidi w:val="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95A16">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E95A16">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DB248">
    <w:pPr>
      <w:pStyle w:val="20"/>
      <w:jc w:val="both"/>
    </w:pPr>
    <w:r>
      <w:rPr>
        <w:rFonts w:hint="eastAsia"/>
      </w:rPr>
      <w:t>楚穗直流穗东侧高压</w:t>
    </w:r>
    <w:r>
      <w:rPr>
        <w:rFonts w:hint="eastAsia"/>
        <w:lang w:eastAsia="zh-CN"/>
      </w:rPr>
      <w:t>微型轻量化超灵敏日盲紫外探测巡检装置</w:t>
    </w:r>
    <w:r>
      <w:rPr>
        <w:rFonts w:hint="eastAsia"/>
      </w:rPr>
      <w:t>应用及推广（成果推广项目）：楚穗直流穗东侧高压</w:t>
    </w:r>
    <w:r>
      <w:rPr>
        <w:rFonts w:hint="eastAsia"/>
        <w:lang w:eastAsia="zh-CN"/>
      </w:rPr>
      <w:t>微型轻量化超灵敏日盲紫外探测巡检装置</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CABE8">
    <w:pPr>
      <w:pStyle w:val="20"/>
    </w:pPr>
    <w:r>
      <w:rPr>
        <w:rFonts w:hint="eastAsia"/>
      </w:rPr>
      <w:t>广东天广能源科技发展有限公司</w:t>
    </w:r>
    <w:r>
      <w:rPr>
        <w:rFonts w:hint="eastAsia"/>
        <w:lang w:eastAsia="zh-CN"/>
      </w:rPr>
      <w:t>架空地线多功能飞车</w:t>
    </w:r>
    <w:r>
      <w:rPr>
        <w:rFonts w:hint="eastAsia"/>
      </w:rPr>
      <w:t>2026—2028年生产代工框架采购项目技术规范书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7EBAA"/>
    <w:multiLevelType w:val="singleLevel"/>
    <w:tmpl w:val="CD07EBAA"/>
    <w:lvl w:ilvl="0" w:tentative="0">
      <w:start w:val="1"/>
      <w:numFmt w:val="decimalFullWidth"/>
      <w:suff w:val="nothing"/>
      <w:lvlText w:val="%1"/>
      <w:lvlJc w:val="left"/>
      <w:pPr>
        <w:tabs>
          <w:tab w:val="left" w:pos="0"/>
        </w:tabs>
        <w:ind w:left="0" w:leftChars="0" w:firstLine="0" w:firstLineChars="0"/>
      </w:pPr>
      <w:rPr>
        <w:rFonts w:hint="eastAsia"/>
      </w:rPr>
    </w:lvl>
  </w:abstractNum>
  <w:abstractNum w:abstractNumId="1">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3" w:tentative="0">
      <w:start w:val="1"/>
      <w:numFmt w:val="decimal"/>
      <w:pStyle w:val="54"/>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A6B1602"/>
    <w:multiLevelType w:val="multilevel"/>
    <w:tmpl w:val="0A6B16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b/>
        <w:bCs/>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2C1C585D"/>
    <w:multiLevelType w:val="singleLevel"/>
    <w:tmpl w:val="2C1C585D"/>
    <w:lvl w:ilvl="0" w:tentative="0">
      <w:start w:val="1"/>
      <w:numFmt w:val="decimal"/>
      <w:pStyle w:val="62"/>
      <w:lvlText w:val="(%1)"/>
      <w:lvlJc w:val="left"/>
      <w:pPr>
        <w:tabs>
          <w:tab w:val="left" w:pos="678"/>
        </w:tabs>
        <w:ind w:left="678" w:hanging="468"/>
      </w:pPr>
      <w:rPr>
        <w:rFonts w:hint="eastAsia"/>
      </w:rPr>
    </w:lvl>
  </w:abstractNum>
  <w:abstractNum w:abstractNumId="4">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65"/>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6">
    <w:nsid w:val="4A5AC650"/>
    <w:multiLevelType w:val="multilevel"/>
    <w:tmpl w:val="4A5AC650"/>
    <w:lvl w:ilvl="0" w:tentative="0">
      <w:start w:val="2"/>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5BA62895"/>
    <w:multiLevelType w:val="multilevel"/>
    <w:tmpl w:val="5BA62895"/>
    <w:lvl w:ilvl="0" w:tentative="0">
      <w:start w:val="1"/>
      <w:numFmt w:val="decimal"/>
      <w:pStyle w:val="76"/>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3"/>
  </w:num>
  <w:num w:numId="4">
    <w:abstractNumId w:val="5"/>
  </w:num>
  <w:num w:numId="5">
    <w:abstractNumId w:val="7"/>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CAD"/>
    <w:rsid w:val="00005843"/>
    <w:rsid w:val="00007604"/>
    <w:rsid w:val="000100E6"/>
    <w:rsid w:val="00011333"/>
    <w:rsid w:val="00011D62"/>
    <w:rsid w:val="00015ED2"/>
    <w:rsid w:val="00025143"/>
    <w:rsid w:val="00030000"/>
    <w:rsid w:val="000306DA"/>
    <w:rsid w:val="00031B9E"/>
    <w:rsid w:val="000324BA"/>
    <w:rsid w:val="000331F3"/>
    <w:rsid w:val="000365DB"/>
    <w:rsid w:val="0003769F"/>
    <w:rsid w:val="0004219E"/>
    <w:rsid w:val="0004627E"/>
    <w:rsid w:val="0004651A"/>
    <w:rsid w:val="00046B9D"/>
    <w:rsid w:val="00053C2A"/>
    <w:rsid w:val="0005593E"/>
    <w:rsid w:val="000604F3"/>
    <w:rsid w:val="0006103B"/>
    <w:rsid w:val="0006156C"/>
    <w:rsid w:val="0006325A"/>
    <w:rsid w:val="00066CB2"/>
    <w:rsid w:val="000710D5"/>
    <w:rsid w:val="000712AF"/>
    <w:rsid w:val="00071D92"/>
    <w:rsid w:val="00071E61"/>
    <w:rsid w:val="000744AF"/>
    <w:rsid w:val="000749E5"/>
    <w:rsid w:val="000767AA"/>
    <w:rsid w:val="00080CB0"/>
    <w:rsid w:val="00080FFE"/>
    <w:rsid w:val="000819CE"/>
    <w:rsid w:val="0009024C"/>
    <w:rsid w:val="00090F66"/>
    <w:rsid w:val="00095CDE"/>
    <w:rsid w:val="000968A1"/>
    <w:rsid w:val="00097C70"/>
    <w:rsid w:val="00097E93"/>
    <w:rsid w:val="000A1260"/>
    <w:rsid w:val="000A1CFA"/>
    <w:rsid w:val="000A25AA"/>
    <w:rsid w:val="000B10A1"/>
    <w:rsid w:val="000B1B28"/>
    <w:rsid w:val="000B64C1"/>
    <w:rsid w:val="000B7327"/>
    <w:rsid w:val="000C4F02"/>
    <w:rsid w:val="000C6F8F"/>
    <w:rsid w:val="000C7FB7"/>
    <w:rsid w:val="000D10BF"/>
    <w:rsid w:val="000D1438"/>
    <w:rsid w:val="000D2ABC"/>
    <w:rsid w:val="000D3213"/>
    <w:rsid w:val="000D34A5"/>
    <w:rsid w:val="000D3A59"/>
    <w:rsid w:val="000E0C9A"/>
    <w:rsid w:val="000E0F79"/>
    <w:rsid w:val="000E49AB"/>
    <w:rsid w:val="000E57A5"/>
    <w:rsid w:val="000E5A91"/>
    <w:rsid w:val="000F0741"/>
    <w:rsid w:val="000F1CF6"/>
    <w:rsid w:val="000F43B1"/>
    <w:rsid w:val="000F4F64"/>
    <w:rsid w:val="000F65BE"/>
    <w:rsid w:val="000F6DB7"/>
    <w:rsid w:val="000F6E67"/>
    <w:rsid w:val="00104527"/>
    <w:rsid w:val="001050BC"/>
    <w:rsid w:val="00107979"/>
    <w:rsid w:val="0010799B"/>
    <w:rsid w:val="00115BAC"/>
    <w:rsid w:val="00117678"/>
    <w:rsid w:val="001254CB"/>
    <w:rsid w:val="00125B7E"/>
    <w:rsid w:val="0013047C"/>
    <w:rsid w:val="00131D68"/>
    <w:rsid w:val="001427E7"/>
    <w:rsid w:val="0014365C"/>
    <w:rsid w:val="00144091"/>
    <w:rsid w:val="00145502"/>
    <w:rsid w:val="001477C4"/>
    <w:rsid w:val="00155D5E"/>
    <w:rsid w:val="001570F8"/>
    <w:rsid w:val="001626A9"/>
    <w:rsid w:val="00167D63"/>
    <w:rsid w:val="00172393"/>
    <w:rsid w:val="00174E2F"/>
    <w:rsid w:val="001751E1"/>
    <w:rsid w:val="00176E9B"/>
    <w:rsid w:val="00180BFD"/>
    <w:rsid w:val="00183DF5"/>
    <w:rsid w:val="00185EF7"/>
    <w:rsid w:val="00192CFE"/>
    <w:rsid w:val="00194B8C"/>
    <w:rsid w:val="001977D4"/>
    <w:rsid w:val="001A0287"/>
    <w:rsid w:val="001A148D"/>
    <w:rsid w:val="001A416D"/>
    <w:rsid w:val="001A486A"/>
    <w:rsid w:val="001A5F8B"/>
    <w:rsid w:val="001B32F7"/>
    <w:rsid w:val="001B4544"/>
    <w:rsid w:val="001B77DB"/>
    <w:rsid w:val="001C4357"/>
    <w:rsid w:val="001C485B"/>
    <w:rsid w:val="001D30AE"/>
    <w:rsid w:val="001D40A1"/>
    <w:rsid w:val="001D4D25"/>
    <w:rsid w:val="001D4F58"/>
    <w:rsid w:val="001E0848"/>
    <w:rsid w:val="001E1058"/>
    <w:rsid w:val="001E187C"/>
    <w:rsid w:val="001E4826"/>
    <w:rsid w:val="001E78A4"/>
    <w:rsid w:val="001E7E08"/>
    <w:rsid w:val="001F189D"/>
    <w:rsid w:val="001F5FCA"/>
    <w:rsid w:val="00203747"/>
    <w:rsid w:val="00204A7B"/>
    <w:rsid w:val="00204D36"/>
    <w:rsid w:val="00205089"/>
    <w:rsid w:val="00205AA3"/>
    <w:rsid w:val="00211597"/>
    <w:rsid w:val="00212587"/>
    <w:rsid w:val="00213E95"/>
    <w:rsid w:val="00216110"/>
    <w:rsid w:val="00216882"/>
    <w:rsid w:val="00216FBB"/>
    <w:rsid w:val="00225CDF"/>
    <w:rsid w:val="002322CE"/>
    <w:rsid w:val="002338B8"/>
    <w:rsid w:val="002353CA"/>
    <w:rsid w:val="00235A6E"/>
    <w:rsid w:val="00236B0D"/>
    <w:rsid w:val="00237C55"/>
    <w:rsid w:val="00237E9B"/>
    <w:rsid w:val="00241231"/>
    <w:rsid w:val="0024256B"/>
    <w:rsid w:val="00242E00"/>
    <w:rsid w:val="00245B83"/>
    <w:rsid w:val="00256AE0"/>
    <w:rsid w:val="00260EA3"/>
    <w:rsid w:val="00264629"/>
    <w:rsid w:val="002650DE"/>
    <w:rsid w:val="00273E33"/>
    <w:rsid w:val="00276F96"/>
    <w:rsid w:val="00285C36"/>
    <w:rsid w:val="0028649B"/>
    <w:rsid w:val="002864E4"/>
    <w:rsid w:val="00286BBF"/>
    <w:rsid w:val="00287076"/>
    <w:rsid w:val="002A10BA"/>
    <w:rsid w:val="002A6688"/>
    <w:rsid w:val="002A6FA9"/>
    <w:rsid w:val="002B1825"/>
    <w:rsid w:val="002B1FAD"/>
    <w:rsid w:val="002B5AF2"/>
    <w:rsid w:val="002C0643"/>
    <w:rsid w:val="002D13DF"/>
    <w:rsid w:val="002D4818"/>
    <w:rsid w:val="002D496E"/>
    <w:rsid w:val="002D688A"/>
    <w:rsid w:val="002D6D8B"/>
    <w:rsid w:val="002E0A6A"/>
    <w:rsid w:val="002E44F0"/>
    <w:rsid w:val="002F3155"/>
    <w:rsid w:val="002F5681"/>
    <w:rsid w:val="002F66F2"/>
    <w:rsid w:val="002F6D4A"/>
    <w:rsid w:val="0030555F"/>
    <w:rsid w:val="0030596B"/>
    <w:rsid w:val="00305B51"/>
    <w:rsid w:val="00306436"/>
    <w:rsid w:val="00307590"/>
    <w:rsid w:val="0031002C"/>
    <w:rsid w:val="00310423"/>
    <w:rsid w:val="00313377"/>
    <w:rsid w:val="00315063"/>
    <w:rsid w:val="003150BD"/>
    <w:rsid w:val="00317BCA"/>
    <w:rsid w:val="0032019F"/>
    <w:rsid w:val="00320E84"/>
    <w:rsid w:val="00322EA4"/>
    <w:rsid w:val="00323B69"/>
    <w:rsid w:val="003241A0"/>
    <w:rsid w:val="00325571"/>
    <w:rsid w:val="00326F87"/>
    <w:rsid w:val="003300D4"/>
    <w:rsid w:val="00336D96"/>
    <w:rsid w:val="00337902"/>
    <w:rsid w:val="00340103"/>
    <w:rsid w:val="00340ADD"/>
    <w:rsid w:val="00342653"/>
    <w:rsid w:val="003466AF"/>
    <w:rsid w:val="00347F1A"/>
    <w:rsid w:val="00350872"/>
    <w:rsid w:val="00350996"/>
    <w:rsid w:val="003524B0"/>
    <w:rsid w:val="00356CAB"/>
    <w:rsid w:val="00356D38"/>
    <w:rsid w:val="00357D4F"/>
    <w:rsid w:val="00363EC2"/>
    <w:rsid w:val="00374A90"/>
    <w:rsid w:val="0037669C"/>
    <w:rsid w:val="00377122"/>
    <w:rsid w:val="00381023"/>
    <w:rsid w:val="003826BC"/>
    <w:rsid w:val="00386F0E"/>
    <w:rsid w:val="00386FDC"/>
    <w:rsid w:val="00387780"/>
    <w:rsid w:val="003878E0"/>
    <w:rsid w:val="00391E1D"/>
    <w:rsid w:val="0039300E"/>
    <w:rsid w:val="003936C4"/>
    <w:rsid w:val="003949AA"/>
    <w:rsid w:val="003A09F8"/>
    <w:rsid w:val="003A1B9D"/>
    <w:rsid w:val="003A1EC1"/>
    <w:rsid w:val="003A1F75"/>
    <w:rsid w:val="003A27B1"/>
    <w:rsid w:val="003A3619"/>
    <w:rsid w:val="003A6E2F"/>
    <w:rsid w:val="003A73DB"/>
    <w:rsid w:val="003B35F2"/>
    <w:rsid w:val="003B6118"/>
    <w:rsid w:val="003B6376"/>
    <w:rsid w:val="003B6F8D"/>
    <w:rsid w:val="003C60B4"/>
    <w:rsid w:val="003D087D"/>
    <w:rsid w:val="003D0CAE"/>
    <w:rsid w:val="003D44AD"/>
    <w:rsid w:val="003D6C8C"/>
    <w:rsid w:val="003E1D24"/>
    <w:rsid w:val="003E4D64"/>
    <w:rsid w:val="003E7E0E"/>
    <w:rsid w:val="003F0C37"/>
    <w:rsid w:val="003F1314"/>
    <w:rsid w:val="003F2B01"/>
    <w:rsid w:val="003F3808"/>
    <w:rsid w:val="003F7799"/>
    <w:rsid w:val="00401E11"/>
    <w:rsid w:val="00401F0A"/>
    <w:rsid w:val="00402D6B"/>
    <w:rsid w:val="00404647"/>
    <w:rsid w:val="00404D62"/>
    <w:rsid w:val="00405EEF"/>
    <w:rsid w:val="00406366"/>
    <w:rsid w:val="004076D7"/>
    <w:rsid w:val="00407F27"/>
    <w:rsid w:val="00413FCF"/>
    <w:rsid w:val="00417DF9"/>
    <w:rsid w:val="004206D0"/>
    <w:rsid w:val="004220F3"/>
    <w:rsid w:val="004248AC"/>
    <w:rsid w:val="00427000"/>
    <w:rsid w:val="00432C4E"/>
    <w:rsid w:val="00434438"/>
    <w:rsid w:val="00435126"/>
    <w:rsid w:val="0043556A"/>
    <w:rsid w:val="00441297"/>
    <w:rsid w:val="00443C39"/>
    <w:rsid w:val="004472BA"/>
    <w:rsid w:val="00447F80"/>
    <w:rsid w:val="004521EE"/>
    <w:rsid w:val="00460F53"/>
    <w:rsid w:val="004617FD"/>
    <w:rsid w:val="004620C2"/>
    <w:rsid w:val="00463105"/>
    <w:rsid w:val="00463450"/>
    <w:rsid w:val="0046609E"/>
    <w:rsid w:val="00467437"/>
    <w:rsid w:val="00472E46"/>
    <w:rsid w:val="004861BF"/>
    <w:rsid w:val="00487F75"/>
    <w:rsid w:val="004901BD"/>
    <w:rsid w:val="00492559"/>
    <w:rsid w:val="0049348D"/>
    <w:rsid w:val="004963D4"/>
    <w:rsid w:val="00496856"/>
    <w:rsid w:val="004A0F53"/>
    <w:rsid w:val="004A1130"/>
    <w:rsid w:val="004A3062"/>
    <w:rsid w:val="004B1A16"/>
    <w:rsid w:val="004B3D44"/>
    <w:rsid w:val="004B589A"/>
    <w:rsid w:val="004B5AA8"/>
    <w:rsid w:val="004B7AD2"/>
    <w:rsid w:val="004C1D99"/>
    <w:rsid w:val="004C23E3"/>
    <w:rsid w:val="004C46CF"/>
    <w:rsid w:val="004C4C16"/>
    <w:rsid w:val="004C70FF"/>
    <w:rsid w:val="004C735F"/>
    <w:rsid w:val="004D25C0"/>
    <w:rsid w:val="004D51BC"/>
    <w:rsid w:val="004D7F0B"/>
    <w:rsid w:val="004E1A1C"/>
    <w:rsid w:val="004E2DCA"/>
    <w:rsid w:val="004E3C5C"/>
    <w:rsid w:val="004E596D"/>
    <w:rsid w:val="004F0659"/>
    <w:rsid w:val="0050079B"/>
    <w:rsid w:val="00502F47"/>
    <w:rsid w:val="00506BC1"/>
    <w:rsid w:val="00522286"/>
    <w:rsid w:val="00523A45"/>
    <w:rsid w:val="00525A7B"/>
    <w:rsid w:val="005302D4"/>
    <w:rsid w:val="00536901"/>
    <w:rsid w:val="00537B6B"/>
    <w:rsid w:val="00540C98"/>
    <w:rsid w:val="0054233A"/>
    <w:rsid w:val="005423B2"/>
    <w:rsid w:val="00547580"/>
    <w:rsid w:val="00555205"/>
    <w:rsid w:val="00556121"/>
    <w:rsid w:val="00556E28"/>
    <w:rsid w:val="00557B71"/>
    <w:rsid w:val="005631B8"/>
    <w:rsid w:val="005633B4"/>
    <w:rsid w:val="00563500"/>
    <w:rsid w:val="0056787C"/>
    <w:rsid w:val="00574D51"/>
    <w:rsid w:val="00575084"/>
    <w:rsid w:val="005802E2"/>
    <w:rsid w:val="0058193D"/>
    <w:rsid w:val="00582696"/>
    <w:rsid w:val="00590F22"/>
    <w:rsid w:val="00594AEF"/>
    <w:rsid w:val="00595BDE"/>
    <w:rsid w:val="005A0BA5"/>
    <w:rsid w:val="005A7208"/>
    <w:rsid w:val="005C0D72"/>
    <w:rsid w:val="005C124A"/>
    <w:rsid w:val="005C2F32"/>
    <w:rsid w:val="005C32AB"/>
    <w:rsid w:val="005C68D6"/>
    <w:rsid w:val="005D087C"/>
    <w:rsid w:val="005D0A01"/>
    <w:rsid w:val="005D2149"/>
    <w:rsid w:val="005D7F69"/>
    <w:rsid w:val="005E0209"/>
    <w:rsid w:val="005E07C0"/>
    <w:rsid w:val="005E12D8"/>
    <w:rsid w:val="005E142C"/>
    <w:rsid w:val="005E1BFD"/>
    <w:rsid w:val="005E32FE"/>
    <w:rsid w:val="005E3F3B"/>
    <w:rsid w:val="005E6D25"/>
    <w:rsid w:val="005E7F4D"/>
    <w:rsid w:val="005F240F"/>
    <w:rsid w:val="005F4E55"/>
    <w:rsid w:val="005F5599"/>
    <w:rsid w:val="00602144"/>
    <w:rsid w:val="00605D48"/>
    <w:rsid w:val="00605DA9"/>
    <w:rsid w:val="00607EF3"/>
    <w:rsid w:val="00612F4A"/>
    <w:rsid w:val="00614034"/>
    <w:rsid w:val="006178FD"/>
    <w:rsid w:val="00617B6C"/>
    <w:rsid w:val="00623DEE"/>
    <w:rsid w:val="006244B5"/>
    <w:rsid w:val="00633016"/>
    <w:rsid w:val="006339E8"/>
    <w:rsid w:val="00633DB9"/>
    <w:rsid w:val="00642A77"/>
    <w:rsid w:val="00642AFF"/>
    <w:rsid w:val="0064321F"/>
    <w:rsid w:val="006438F3"/>
    <w:rsid w:val="00644706"/>
    <w:rsid w:val="00653F8B"/>
    <w:rsid w:val="00655907"/>
    <w:rsid w:val="00660410"/>
    <w:rsid w:val="00662108"/>
    <w:rsid w:val="00667D50"/>
    <w:rsid w:val="006724E1"/>
    <w:rsid w:val="00674401"/>
    <w:rsid w:val="00674774"/>
    <w:rsid w:val="00675A04"/>
    <w:rsid w:val="0067713B"/>
    <w:rsid w:val="00681A01"/>
    <w:rsid w:val="00684E4C"/>
    <w:rsid w:val="00685BA5"/>
    <w:rsid w:val="00694D4C"/>
    <w:rsid w:val="006974CC"/>
    <w:rsid w:val="006A3013"/>
    <w:rsid w:val="006A60F3"/>
    <w:rsid w:val="006A6266"/>
    <w:rsid w:val="006B1A78"/>
    <w:rsid w:val="006B2322"/>
    <w:rsid w:val="006B2554"/>
    <w:rsid w:val="006B547A"/>
    <w:rsid w:val="006B797B"/>
    <w:rsid w:val="006C10FD"/>
    <w:rsid w:val="006C2E4B"/>
    <w:rsid w:val="006C4622"/>
    <w:rsid w:val="006C5807"/>
    <w:rsid w:val="006D0440"/>
    <w:rsid w:val="006D0983"/>
    <w:rsid w:val="006D1818"/>
    <w:rsid w:val="006D236B"/>
    <w:rsid w:val="006D3D96"/>
    <w:rsid w:val="006D46FE"/>
    <w:rsid w:val="006E4BD1"/>
    <w:rsid w:val="006E4C40"/>
    <w:rsid w:val="006E5FD9"/>
    <w:rsid w:val="006E621F"/>
    <w:rsid w:val="006E643F"/>
    <w:rsid w:val="006E6F77"/>
    <w:rsid w:val="006F002F"/>
    <w:rsid w:val="006F02FE"/>
    <w:rsid w:val="00710273"/>
    <w:rsid w:val="007109DC"/>
    <w:rsid w:val="007126B4"/>
    <w:rsid w:val="007136CD"/>
    <w:rsid w:val="00713FAC"/>
    <w:rsid w:val="00724579"/>
    <w:rsid w:val="00724CD0"/>
    <w:rsid w:val="007251AD"/>
    <w:rsid w:val="00725E08"/>
    <w:rsid w:val="00727E22"/>
    <w:rsid w:val="00730A27"/>
    <w:rsid w:val="007316F3"/>
    <w:rsid w:val="00737C74"/>
    <w:rsid w:val="007414C3"/>
    <w:rsid w:val="00743973"/>
    <w:rsid w:val="0074630A"/>
    <w:rsid w:val="00752105"/>
    <w:rsid w:val="00753A59"/>
    <w:rsid w:val="0075560B"/>
    <w:rsid w:val="00756435"/>
    <w:rsid w:val="00756C33"/>
    <w:rsid w:val="00760411"/>
    <w:rsid w:val="00762D29"/>
    <w:rsid w:val="00767702"/>
    <w:rsid w:val="00770A7C"/>
    <w:rsid w:val="0077154B"/>
    <w:rsid w:val="00771AFF"/>
    <w:rsid w:val="00772F02"/>
    <w:rsid w:val="00773594"/>
    <w:rsid w:val="007743B2"/>
    <w:rsid w:val="00775D91"/>
    <w:rsid w:val="007774EA"/>
    <w:rsid w:val="0078105D"/>
    <w:rsid w:val="0078419F"/>
    <w:rsid w:val="00786E47"/>
    <w:rsid w:val="00787E4A"/>
    <w:rsid w:val="00794F31"/>
    <w:rsid w:val="00796C5F"/>
    <w:rsid w:val="007A4131"/>
    <w:rsid w:val="007A481B"/>
    <w:rsid w:val="007A4A47"/>
    <w:rsid w:val="007A4E63"/>
    <w:rsid w:val="007A5CDF"/>
    <w:rsid w:val="007B3DA9"/>
    <w:rsid w:val="007B42FD"/>
    <w:rsid w:val="007B6FA1"/>
    <w:rsid w:val="007B78F8"/>
    <w:rsid w:val="007C0393"/>
    <w:rsid w:val="007C054A"/>
    <w:rsid w:val="007C12C9"/>
    <w:rsid w:val="007C5A54"/>
    <w:rsid w:val="007D13DA"/>
    <w:rsid w:val="007D3905"/>
    <w:rsid w:val="007D63FF"/>
    <w:rsid w:val="007D7E8F"/>
    <w:rsid w:val="007E09CC"/>
    <w:rsid w:val="007E29F1"/>
    <w:rsid w:val="007E50D0"/>
    <w:rsid w:val="007E526A"/>
    <w:rsid w:val="007F5731"/>
    <w:rsid w:val="007F6812"/>
    <w:rsid w:val="0080037B"/>
    <w:rsid w:val="00802390"/>
    <w:rsid w:val="008057CF"/>
    <w:rsid w:val="008060F8"/>
    <w:rsid w:val="00806FDF"/>
    <w:rsid w:val="008073EA"/>
    <w:rsid w:val="00807BD3"/>
    <w:rsid w:val="00810B4D"/>
    <w:rsid w:val="00810CBD"/>
    <w:rsid w:val="008114E2"/>
    <w:rsid w:val="00812036"/>
    <w:rsid w:val="00813036"/>
    <w:rsid w:val="00813F9A"/>
    <w:rsid w:val="00817430"/>
    <w:rsid w:val="0082098E"/>
    <w:rsid w:val="00821B0D"/>
    <w:rsid w:val="00825CCD"/>
    <w:rsid w:val="008307DF"/>
    <w:rsid w:val="00832F9F"/>
    <w:rsid w:val="008331F7"/>
    <w:rsid w:val="00842C09"/>
    <w:rsid w:val="00844B3D"/>
    <w:rsid w:val="00847F6E"/>
    <w:rsid w:val="008514BD"/>
    <w:rsid w:val="00857A57"/>
    <w:rsid w:val="008603B3"/>
    <w:rsid w:val="008625C6"/>
    <w:rsid w:val="008636B0"/>
    <w:rsid w:val="008647EE"/>
    <w:rsid w:val="00867169"/>
    <w:rsid w:val="00871C32"/>
    <w:rsid w:val="00873F8C"/>
    <w:rsid w:val="008817FB"/>
    <w:rsid w:val="00881C91"/>
    <w:rsid w:val="00893AE0"/>
    <w:rsid w:val="0089529C"/>
    <w:rsid w:val="00897495"/>
    <w:rsid w:val="008A2B27"/>
    <w:rsid w:val="008A2BB7"/>
    <w:rsid w:val="008A54CB"/>
    <w:rsid w:val="008A5DC5"/>
    <w:rsid w:val="008B06AD"/>
    <w:rsid w:val="008B2BE1"/>
    <w:rsid w:val="008B3C42"/>
    <w:rsid w:val="008B7B75"/>
    <w:rsid w:val="008B7B90"/>
    <w:rsid w:val="008C1C84"/>
    <w:rsid w:val="008C23F2"/>
    <w:rsid w:val="008C7A51"/>
    <w:rsid w:val="008D163C"/>
    <w:rsid w:val="008D22B6"/>
    <w:rsid w:val="008D349C"/>
    <w:rsid w:val="008D6013"/>
    <w:rsid w:val="008D648E"/>
    <w:rsid w:val="008D66A8"/>
    <w:rsid w:val="008E23E0"/>
    <w:rsid w:val="008E3CAE"/>
    <w:rsid w:val="008E7BD1"/>
    <w:rsid w:val="008F0E5D"/>
    <w:rsid w:val="008F1B37"/>
    <w:rsid w:val="008F3EAB"/>
    <w:rsid w:val="009010F7"/>
    <w:rsid w:val="00903CAD"/>
    <w:rsid w:val="009057A7"/>
    <w:rsid w:val="009106F8"/>
    <w:rsid w:val="00914105"/>
    <w:rsid w:val="00914415"/>
    <w:rsid w:val="009166E7"/>
    <w:rsid w:val="009174AB"/>
    <w:rsid w:val="00920305"/>
    <w:rsid w:val="0092069C"/>
    <w:rsid w:val="00920FBF"/>
    <w:rsid w:val="0092243C"/>
    <w:rsid w:val="00923EC8"/>
    <w:rsid w:val="00924018"/>
    <w:rsid w:val="00924A44"/>
    <w:rsid w:val="00925C82"/>
    <w:rsid w:val="009302C2"/>
    <w:rsid w:val="00934980"/>
    <w:rsid w:val="00936D97"/>
    <w:rsid w:val="00941D55"/>
    <w:rsid w:val="00944951"/>
    <w:rsid w:val="009475E2"/>
    <w:rsid w:val="00950F7E"/>
    <w:rsid w:val="00952FA3"/>
    <w:rsid w:val="009611B4"/>
    <w:rsid w:val="0096223C"/>
    <w:rsid w:val="00967C20"/>
    <w:rsid w:val="009702F0"/>
    <w:rsid w:val="009745B3"/>
    <w:rsid w:val="00976274"/>
    <w:rsid w:val="00976A29"/>
    <w:rsid w:val="009823E5"/>
    <w:rsid w:val="0098287B"/>
    <w:rsid w:val="009901E7"/>
    <w:rsid w:val="0099565A"/>
    <w:rsid w:val="00996198"/>
    <w:rsid w:val="00996DDC"/>
    <w:rsid w:val="009B7F11"/>
    <w:rsid w:val="009C17CD"/>
    <w:rsid w:val="009C2DDA"/>
    <w:rsid w:val="009C49A3"/>
    <w:rsid w:val="009C5784"/>
    <w:rsid w:val="009C62DB"/>
    <w:rsid w:val="009D3AEE"/>
    <w:rsid w:val="009D63AD"/>
    <w:rsid w:val="009D66D1"/>
    <w:rsid w:val="009D77A3"/>
    <w:rsid w:val="009E0723"/>
    <w:rsid w:val="009E22DC"/>
    <w:rsid w:val="009E37CD"/>
    <w:rsid w:val="009E37D8"/>
    <w:rsid w:val="009E451C"/>
    <w:rsid w:val="009E66E2"/>
    <w:rsid w:val="009F1F49"/>
    <w:rsid w:val="009F3030"/>
    <w:rsid w:val="009F403E"/>
    <w:rsid w:val="00A0343E"/>
    <w:rsid w:val="00A03D9E"/>
    <w:rsid w:val="00A072B1"/>
    <w:rsid w:val="00A113B3"/>
    <w:rsid w:val="00A15355"/>
    <w:rsid w:val="00A1537B"/>
    <w:rsid w:val="00A1774B"/>
    <w:rsid w:val="00A17CC8"/>
    <w:rsid w:val="00A207A5"/>
    <w:rsid w:val="00A21805"/>
    <w:rsid w:val="00A237E8"/>
    <w:rsid w:val="00A23EE6"/>
    <w:rsid w:val="00A2576C"/>
    <w:rsid w:val="00A3295D"/>
    <w:rsid w:val="00A35441"/>
    <w:rsid w:val="00A36644"/>
    <w:rsid w:val="00A42CE0"/>
    <w:rsid w:val="00A44587"/>
    <w:rsid w:val="00A44871"/>
    <w:rsid w:val="00A51466"/>
    <w:rsid w:val="00A56118"/>
    <w:rsid w:val="00A5623E"/>
    <w:rsid w:val="00A56B3C"/>
    <w:rsid w:val="00A6204C"/>
    <w:rsid w:val="00A63BCF"/>
    <w:rsid w:val="00A64D5F"/>
    <w:rsid w:val="00A7088E"/>
    <w:rsid w:val="00A73B77"/>
    <w:rsid w:val="00A821D2"/>
    <w:rsid w:val="00A91D2B"/>
    <w:rsid w:val="00A92387"/>
    <w:rsid w:val="00A943E8"/>
    <w:rsid w:val="00A94D40"/>
    <w:rsid w:val="00A94DD0"/>
    <w:rsid w:val="00A963D2"/>
    <w:rsid w:val="00AA0A4D"/>
    <w:rsid w:val="00AA779C"/>
    <w:rsid w:val="00AA7CAD"/>
    <w:rsid w:val="00AB5C45"/>
    <w:rsid w:val="00AB7969"/>
    <w:rsid w:val="00AC090A"/>
    <w:rsid w:val="00AC1083"/>
    <w:rsid w:val="00AC4CF9"/>
    <w:rsid w:val="00AD4DD9"/>
    <w:rsid w:val="00AD4DF8"/>
    <w:rsid w:val="00AD65B3"/>
    <w:rsid w:val="00AD7060"/>
    <w:rsid w:val="00AE0431"/>
    <w:rsid w:val="00AE623A"/>
    <w:rsid w:val="00AF3D58"/>
    <w:rsid w:val="00AF4729"/>
    <w:rsid w:val="00AF5E17"/>
    <w:rsid w:val="00AF63AC"/>
    <w:rsid w:val="00B0544D"/>
    <w:rsid w:val="00B06F44"/>
    <w:rsid w:val="00B12177"/>
    <w:rsid w:val="00B2139E"/>
    <w:rsid w:val="00B252E4"/>
    <w:rsid w:val="00B35A65"/>
    <w:rsid w:val="00B419B4"/>
    <w:rsid w:val="00B43F5F"/>
    <w:rsid w:val="00B44A72"/>
    <w:rsid w:val="00B44D55"/>
    <w:rsid w:val="00B4569B"/>
    <w:rsid w:val="00B4614D"/>
    <w:rsid w:val="00B466C8"/>
    <w:rsid w:val="00B473AB"/>
    <w:rsid w:val="00B474D7"/>
    <w:rsid w:val="00B47808"/>
    <w:rsid w:val="00B504C4"/>
    <w:rsid w:val="00B50EAF"/>
    <w:rsid w:val="00B559BA"/>
    <w:rsid w:val="00B56E04"/>
    <w:rsid w:val="00B575E1"/>
    <w:rsid w:val="00B61B50"/>
    <w:rsid w:val="00B62A0F"/>
    <w:rsid w:val="00B66702"/>
    <w:rsid w:val="00B67E58"/>
    <w:rsid w:val="00B73737"/>
    <w:rsid w:val="00B73802"/>
    <w:rsid w:val="00B740E1"/>
    <w:rsid w:val="00B83670"/>
    <w:rsid w:val="00B83A2F"/>
    <w:rsid w:val="00B8743F"/>
    <w:rsid w:val="00B87894"/>
    <w:rsid w:val="00B969F3"/>
    <w:rsid w:val="00BA3C9C"/>
    <w:rsid w:val="00BA4996"/>
    <w:rsid w:val="00BA5E13"/>
    <w:rsid w:val="00BB70C9"/>
    <w:rsid w:val="00BC4BDC"/>
    <w:rsid w:val="00BD5846"/>
    <w:rsid w:val="00BD5CE2"/>
    <w:rsid w:val="00BD5FE2"/>
    <w:rsid w:val="00BE1807"/>
    <w:rsid w:val="00BE19DC"/>
    <w:rsid w:val="00BE74FA"/>
    <w:rsid w:val="00BF0128"/>
    <w:rsid w:val="00BF3639"/>
    <w:rsid w:val="00BF3973"/>
    <w:rsid w:val="00C00FA3"/>
    <w:rsid w:val="00C032BC"/>
    <w:rsid w:val="00C03993"/>
    <w:rsid w:val="00C101F3"/>
    <w:rsid w:val="00C10A11"/>
    <w:rsid w:val="00C10FCD"/>
    <w:rsid w:val="00C15937"/>
    <w:rsid w:val="00C15FED"/>
    <w:rsid w:val="00C17CEE"/>
    <w:rsid w:val="00C2561E"/>
    <w:rsid w:val="00C3112D"/>
    <w:rsid w:val="00C32783"/>
    <w:rsid w:val="00C35198"/>
    <w:rsid w:val="00C361B6"/>
    <w:rsid w:val="00C37C2A"/>
    <w:rsid w:val="00C407D9"/>
    <w:rsid w:val="00C40FE1"/>
    <w:rsid w:val="00C41B50"/>
    <w:rsid w:val="00C45258"/>
    <w:rsid w:val="00C45FCE"/>
    <w:rsid w:val="00C4669A"/>
    <w:rsid w:val="00C46CC2"/>
    <w:rsid w:val="00C56F64"/>
    <w:rsid w:val="00C62A35"/>
    <w:rsid w:val="00C62BA0"/>
    <w:rsid w:val="00C64656"/>
    <w:rsid w:val="00C6593E"/>
    <w:rsid w:val="00C65FFC"/>
    <w:rsid w:val="00C724BA"/>
    <w:rsid w:val="00C72BFF"/>
    <w:rsid w:val="00C746B3"/>
    <w:rsid w:val="00C7530F"/>
    <w:rsid w:val="00C754B4"/>
    <w:rsid w:val="00C7639A"/>
    <w:rsid w:val="00C763BA"/>
    <w:rsid w:val="00C8165D"/>
    <w:rsid w:val="00C84596"/>
    <w:rsid w:val="00C91C8C"/>
    <w:rsid w:val="00C91EA5"/>
    <w:rsid w:val="00CA21D0"/>
    <w:rsid w:val="00CA2B57"/>
    <w:rsid w:val="00CA7C1D"/>
    <w:rsid w:val="00CB23B5"/>
    <w:rsid w:val="00CB4280"/>
    <w:rsid w:val="00CB56E4"/>
    <w:rsid w:val="00CB6C19"/>
    <w:rsid w:val="00CC482C"/>
    <w:rsid w:val="00CD28DD"/>
    <w:rsid w:val="00CD3156"/>
    <w:rsid w:val="00CD4A98"/>
    <w:rsid w:val="00CD61F3"/>
    <w:rsid w:val="00CE0BBA"/>
    <w:rsid w:val="00CE0BEA"/>
    <w:rsid w:val="00CE1A25"/>
    <w:rsid w:val="00CE2CD6"/>
    <w:rsid w:val="00CE57D4"/>
    <w:rsid w:val="00CE597E"/>
    <w:rsid w:val="00CE5E56"/>
    <w:rsid w:val="00CE664B"/>
    <w:rsid w:val="00CF4625"/>
    <w:rsid w:val="00D00DB1"/>
    <w:rsid w:val="00D0195B"/>
    <w:rsid w:val="00D0263A"/>
    <w:rsid w:val="00D074C6"/>
    <w:rsid w:val="00D2154C"/>
    <w:rsid w:val="00D21CD1"/>
    <w:rsid w:val="00D2214E"/>
    <w:rsid w:val="00D25060"/>
    <w:rsid w:val="00D27203"/>
    <w:rsid w:val="00D27501"/>
    <w:rsid w:val="00D40BC7"/>
    <w:rsid w:val="00D40FFF"/>
    <w:rsid w:val="00D41BAF"/>
    <w:rsid w:val="00D422F2"/>
    <w:rsid w:val="00D43D1A"/>
    <w:rsid w:val="00D44D31"/>
    <w:rsid w:val="00D45640"/>
    <w:rsid w:val="00D475F8"/>
    <w:rsid w:val="00D50A87"/>
    <w:rsid w:val="00D6353E"/>
    <w:rsid w:val="00D642B8"/>
    <w:rsid w:val="00D65182"/>
    <w:rsid w:val="00D65609"/>
    <w:rsid w:val="00D66373"/>
    <w:rsid w:val="00D73B5A"/>
    <w:rsid w:val="00D75733"/>
    <w:rsid w:val="00D75FD4"/>
    <w:rsid w:val="00D87487"/>
    <w:rsid w:val="00D91B69"/>
    <w:rsid w:val="00D91D37"/>
    <w:rsid w:val="00DA05CD"/>
    <w:rsid w:val="00DA0C88"/>
    <w:rsid w:val="00DA267B"/>
    <w:rsid w:val="00DA37DC"/>
    <w:rsid w:val="00DA561E"/>
    <w:rsid w:val="00DB27EE"/>
    <w:rsid w:val="00DB4E78"/>
    <w:rsid w:val="00DC43D9"/>
    <w:rsid w:val="00DC471B"/>
    <w:rsid w:val="00DC5128"/>
    <w:rsid w:val="00DC5A94"/>
    <w:rsid w:val="00DD0AEA"/>
    <w:rsid w:val="00DD56AD"/>
    <w:rsid w:val="00DD6443"/>
    <w:rsid w:val="00DD7174"/>
    <w:rsid w:val="00DE1403"/>
    <w:rsid w:val="00DE22A2"/>
    <w:rsid w:val="00DE32C3"/>
    <w:rsid w:val="00DE564E"/>
    <w:rsid w:val="00DE7B12"/>
    <w:rsid w:val="00DF3625"/>
    <w:rsid w:val="00DF5AC7"/>
    <w:rsid w:val="00DF6139"/>
    <w:rsid w:val="00DF7E58"/>
    <w:rsid w:val="00E03B47"/>
    <w:rsid w:val="00E0403B"/>
    <w:rsid w:val="00E0430B"/>
    <w:rsid w:val="00E105BB"/>
    <w:rsid w:val="00E11433"/>
    <w:rsid w:val="00E14E07"/>
    <w:rsid w:val="00E2031A"/>
    <w:rsid w:val="00E217DD"/>
    <w:rsid w:val="00E2320B"/>
    <w:rsid w:val="00E24A1D"/>
    <w:rsid w:val="00E2791A"/>
    <w:rsid w:val="00E3013B"/>
    <w:rsid w:val="00E3338B"/>
    <w:rsid w:val="00E40747"/>
    <w:rsid w:val="00E41694"/>
    <w:rsid w:val="00E4659B"/>
    <w:rsid w:val="00E47506"/>
    <w:rsid w:val="00E50DE1"/>
    <w:rsid w:val="00E5254D"/>
    <w:rsid w:val="00E53C94"/>
    <w:rsid w:val="00E56EAD"/>
    <w:rsid w:val="00E63319"/>
    <w:rsid w:val="00E649E5"/>
    <w:rsid w:val="00E739CE"/>
    <w:rsid w:val="00E751E1"/>
    <w:rsid w:val="00E7528C"/>
    <w:rsid w:val="00E80439"/>
    <w:rsid w:val="00E81C75"/>
    <w:rsid w:val="00E82A92"/>
    <w:rsid w:val="00E82FF7"/>
    <w:rsid w:val="00E84EC5"/>
    <w:rsid w:val="00E879D8"/>
    <w:rsid w:val="00E906B9"/>
    <w:rsid w:val="00E93F3D"/>
    <w:rsid w:val="00E93F58"/>
    <w:rsid w:val="00EA0ACD"/>
    <w:rsid w:val="00EB0DD7"/>
    <w:rsid w:val="00EB33F2"/>
    <w:rsid w:val="00EB57C5"/>
    <w:rsid w:val="00EC0170"/>
    <w:rsid w:val="00EC4597"/>
    <w:rsid w:val="00EC476C"/>
    <w:rsid w:val="00EC64BA"/>
    <w:rsid w:val="00ED3647"/>
    <w:rsid w:val="00ED6314"/>
    <w:rsid w:val="00ED6C02"/>
    <w:rsid w:val="00EE13AF"/>
    <w:rsid w:val="00EE2B33"/>
    <w:rsid w:val="00EF258C"/>
    <w:rsid w:val="00EF26F9"/>
    <w:rsid w:val="00EF3DE4"/>
    <w:rsid w:val="00EF4BCC"/>
    <w:rsid w:val="00EF684A"/>
    <w:rsid w:val="00EF68CE"/>
    <w:rsid w:val="00F0032D"/>
    <w:rsid w:val="00F06682"/>
    <w:rsid w:val="00F06DAA"/>
    <w:rsid w:val="00F07023"/>
    <w:rsid w:val="00F1088C"/>
    <w:rsid w:val="00F13921"/>
    <w:rsid w:val="00F148BE"/>
    <w:rsid w:val="00F14AFC"/>
    <w:rsid w:val="00F1578C"/>
    <w:rsid w:val="00F15F44"/>
    <w:rsid w:val="00F16D8E"/>
    <w:rsid w:val="00F20DDC"/>
    <w:rsid w:val="00F211A8"/>
    <w:rsid w:val="00F26199"/>
    <w:rsid w:val="00F272F3"/>
    <w:rsid w:val="00F31183"/>
    <w:rsid w:val="00F319AF"/>
    <w:rsid w:val="00F35A8B"/>
    <w:rsid w:val="00F36898"/>
    <w:rsid w:val="00F449D3"/>
    <w:rsid w:val="00F460A3"/>
    <w:rsid w:val="00F510BB"/>
    <w:rsid w:val="00F51AF9"/>
    <w:rsid w:val="00F522ED"/>
    <w:rsid w:val="00F569BA"/>
    <w:rsid w:val="00F57E70"/>
    <w:rsid w:val="00F60AD1"/>
    <w:rsid w:val="00F60C5B"/>
    <w:rsid w:val="00F664B7"/>
    <w:rsid w:val="00F679A2"/>
    <w:rsid w:val="00F70149"/>
    <w:rsid w:val="00F76139"/>
    <w:rsid w:val="00F77923"/>
    <w:rsid w:val="00F77F9D"/>
    <w:rsid w:val="00F8162D"/>
    <w:rsid w:val="00F81E31"/>
    <w:rsid w:val="00F8307C"/>
    <w:rsid w:val="00F8502D"/>
    <w:rsid w:val="00F85E96"/>
    <w:rsid w:val="00F90662"/>
    <w:rsid w:val="00F94171"/>
    <w:rsid w:val="00F947B4"/>
    <w:rsid w:val="00F95FF9"/>
    <w:rsid w:val="00F96681"/>
    <w:rsid w:val="00FA0713"/>
    <w:rsid w:val="00FA0914"/>
    <w:rsid w:val="00FA657F"/>
    <w:rsid w:val="00FA6B74"/>
    <w:rsid w:val="00FA7900"/>
    <w:rsid w:val="00FB1E13"/>
    <w:rsid w:val="00FB30AF"/>
    <w:rsid w:val="00FB38D4"/>
    <w:rsid w:val="00FB495E"/>
    <w:rsid w:val="00FB5627"/>
    <w:rsid w:val="00FC2BD1"/>
    <w:rsid w:val="00FC77EC"/>
    <w:rsid w:val="00FD67B7"/>
    <w:rsid w:val="00FD71D5"/>
    <w:rsid w:val="00FE1092"/>
    <w:rsid w:val="00FE1F77"/>
    <w:rsid w:val="00FE3394"/>
    <w:rsid w:val="00FE724D"/>
    <w:rsid w:val="00FF27F1"/>
    <w:rsid w:val="00FF53BC"/>
    <w:rsid w:val="015507BB"/>
    <w:rsid w:val="019C23B2"/>
    <w:rsid w:val="01AE3368"/>
    <w:rsid w:val="02624152"/>
    <w:rsid w:val="02CC4CA2"/>
    <w:rsid w:val="02F43BF8"/>
    <w:rsid w:val="034877EC"/>
    <w:rsid w:val="03875A93"/>
    <w:rsid w:val="0430275A"/>
    <w:rsid w:val="0449381C"/>
    <w:rsid w:val="04EE4C10"/>
    <w:rsid w:val="05900FD6"/>
    <w:rsid w:val="05A02329"/>
    <w:rsid w:val="05C40203"/>
    <w:rsid w:val="06285EF3"/>
    <w:rsid w:val="066D5959"/>
    <w:rsid w:val="06C70D2A"/>
    <w:rsid w:val="07037865"/>
    <w:rsid w:val="08042550"/>
    <w:rsid w:val="083B347B"/>
    <w:rsid w:val="085E7CDF"/>
    <w:rsid w:val="087526D9"/>
    <w:rsid w:val="08D31C4D"/>
    <w:rsid w:val="08E1680C"/>
    <w:rsid w:val="09300B06"/>
    <w:rsid w:val="09322AD0"/>
    <w:rsid w:val="098C6C67"/>
    <w:rsid w:val="09C3197A"/>
    <w:rsid w:val="09DB0338"/>
    <w:rsid w:val="0A2301C0"/>
    <w:rsid w:val="0AB063A2"/>
    <w:rsid w:val="0AC81475"/>
    <w:rsid w:val="0B102933"/>
    <w:rsid w:val="0B21104E"/>
    <w:rsid w:val="0BAF7E94"/>
    <w:rsid w:val="0BB124BD"/>
    <w:rsid w:val="0BBC2E0F"/>
    <w:rsid w:val="0C233289"/>
    <w:rsid w:val="0C4E7DBD"/>
    <w:rsid w:val="0CF74077"/>
    <w:rsid w:val="0D082F5C"/>
    <w:rsid w:val="0D2F3D97"/>
    <w:rsid w:val="0D42138B"/>
    <w:rsid w:val="0D4E1EA3"/>
    <w:rsid w:val="0D7569B6"/>
    <w:rsid w:val="0D7D52D6"/>
    <w:rsid w:val="0D873F00"/>
    <w:rsid w:val="0DD76FF4"/>
    <w:rsid w:val="0E260313"/>
    <w:rsid w:val="0E6D7959"/>
    <w:rsid w:val="0E9022EA"/>
    <w:rsid w:val="0EB43F87"/>
    <w:rsid w:val="0EDB32C2"/>
    <w:rsid w:val="0EF82781"/>
    <w:rsid w:val="0F900551"/>
    <w:rsid w:val="0FA754FC"/>
    <w:rsid w:val="0FF32896"/>
    <w:rsid w:val="101E0F8B"/>
    <w:rsid w:val="10401F77"/>
    <w:rsid w:val="10EF17B4"/>
    <w:rsid w:val="11036AF6"/>
    <w:rsid w:val="11910454"/>
    <w:rsid w:val="11FE5DEB"/>
    <w:rsid w:val="122B0854"/>
    <w:rsid w:val="126D6273"/>
    <w:rsid w:val="12C46AD7"/>
    <w:rsid w:val="1326081F"/>
    <w:rsid w:val="136775E5"/>
    <w:rsid w:val="13B363E0"/>
    <w:rsid w:val="14492156"/>
    <w:rsid w:val="156758B0"/>
    <w:rsid w:val="156D1521"/>
    <w:rsid w:val="15C96B44"/>
    <w:rsid w:val="15FB2B1C"/>
    <w:rsid w:val="163E5D97"/>
    <w:rsid w:val="164107F7"/>
    <w:rsid w:val="166C0348"/>
    <w:rsid w:val="16AF05F0"/>
    <w:rsid w:val="16E85458"/>
    <w:rsid w:val="16FD3B68"/>
    <w:rsid w:val="174F484D"/>
    <w:rsid w:val="17FD699F"/>
    <w:rsid w:val="18141FD9"/>
    <w:rsid w:val="182B350C"/>
    <w:rsid w:val="18340143"/>
    <w:rsid w:val="188E61A5"/>
    <w:rsid w:val="18BF4BBB"/>
    <w:rsid w:val="19800165"/>
    <w:rsid w:val="198B30A3"/>
    <w:rsid w:val="19D70E67"/>
    <w:rsid w:val="19E83C88"/>
    <w:rsid w:val="1A5F2FF9"/>
    <w:rsid w:val="1AA91880"/>
    <w:rsid w:val="1AE71241"/>
    <w:rsid w:val="1B09267D"/>
    <w:rsid w:val="1B5C39DD"/>
    <w:rsid w:val="1B754F67"/>
    <w:rsid w:val="1B7A30A0"/>
    <w:rsid w:val="1B9C57BC"/>
    <w:rsid w:val="1BE348D3"/>
    <w:rsid w:val="1C5A697D"/>
    <w:rsid w:val="1C71170A"/>
    <w:rsid w:val="1D4034D1"/>
    <w:rsid w:val="1D5D2DFC"/>
    <w:rsid w:val="1D772D50"/>
    <w:rsid w:val="1D7F2BF3"/>
    <w:rsid w:val="1D8B67FB"/>
    <w:rsid w:val="1D8D4321"/>
    <w:rsid w:val="1D9B41AC"/>
    <w:rsid w:val="1E106A48"/>
    <w:rsid w:val="1E6E5F01"/>
    <w:rsid w:val="1E761E86"/>
    <w:rsid w:val="1E9623BB"/>
    <w:rsid w:val="1EE24A39"/>
    <w:rsid w:val="1F3F164B"/>
    <w:rsid w:val="1F696FA7"/>
    <w:rsid w:val="1FEC2EBC"/>
    <w:rsid w:val="20146634"/>
    <w:rsid w:val="2020147D"/>
    <w:rsid w:val="20526477"/>
    <w:rsid w:val="207B50B5"/>
    <w:rsid w:val="20AD0744"/>
    <w:rsid w:val="20EC311B"/>
    <w:rsid w:val="211813AC"/>
    <w:rsid w:val="219F18CF"/>
    <w:rsid w:val="21DC7625"/>
    <w:rsid w:val="21FC4D19"/>
    <w:rsid w:val="22310768"/>
    <w:rsid w:val="22393EA1"/>
    <w:rsid w:val="224F7DF7"/>
    <w:rsid w:val="22D46273"/>
    <w:rsid w:val="22ED32DA"/>
    <w:rsid w:val="2309444A"/>
    <w:rsid w:val="235B4D93"/>
    <w:rsid w:val="23DE3EE7"/>
    <w:rsid w:val="2417382E"/>
    <w:rsid w:val="24262DDA"/>
    <w:rsid w:val="24305BD0"/>
    <w:rsid w:val="24D024BD"/>
    <w:rsid w:val="254C58B5"/>
    <w:rsid w:val="263C24AB"/>
    <w:rsid w:val="26890FC2"/>
    <w:rsid w:val="26C451F2"/>
    <w:rsid w:val="2777429F"/>
    <w:rsid w:val="27D97FAC"/>
    <w:rsid w:val="28081174"/>
    <w:rsid w:val="28101D1E"/>
    <w:rsid w:val="281D195D"/>
    <w:rsid w:val="28244B6B"/>
    <w:rsid w:val="282A31F1"/>
    <w:rsid w:val="288051AE"/>
    <w:rsid w:val="28EA3076"/>
    <w:rsid w:val="290F78EF"/>
    <w:rsid w:val="29507A25"/>
    <w:rsid w:val="2976210D"/>
    <w:rsid w:val="299A214E"/>
    <w:rsid w:val="29D14827"/>
    <w:rsid w:val="2A043D7C"/>
    <w:rsid w:val="2A850E52"/>
    <w:rsid w:val="2AA809EC"/>
    <w:rsid w:val="2AE82B97"/>
    <w:rsid w:val="2B4F09D4"/>
    <w:rsid w:val="2BF51A0F"/>
    <w:rsid w:val="2C1A12E1"/>
    <w:rsid w:val="2C212804"/>
    <w:rsid w:val="2C5310A4"/>
    <w:rsid w:val="2CDC0FA6"/>
    <w:rsid w:val="2CF41CC7"/>
    <w:rsid w:val="2D593DF3"/>
    <w:rsid w:val="2D7339BD"/>
    <w:rsid w:val="2E880E77"/>
    <w:rsid w:val="2EBD2EC5"/>
    <w:rsid w:val="2FBD5011"/>
    <w:rsid w:val="2FD9510C"/>
    <w:rsid w:val="307A0735"/>
    <w:rsid w:val="30A2344F"/>
    <w:rsid w:val="30CB4729"/>
    <w:rsid w:val="311B04C4"/>
    <w:rsid w:val="31561180"/>
    <w:rsid w:val="31FB190E"/>
    <w:rsid w:val="31FC669F"/>
    <w:rsid w:val="321A56BE"/>
    <w:rsid w:val="32886F74"/>
    <w:rsid w:val="33391BEB"/>
    <w:rsid w:val="334B6695"/>
    <w:rsid w:val="336D4581"/>
    <w:rsid w:val="33A33545"/>
    <w:rsid w:val="33A8545F"/>
    <w:rsid w:val="34184207"/>
    <w:rsid w:val="34480B4A"/>
    <w:rsid w:val="34762022"/>
    <w:rsid w:val="347E0244"/>
    <w:rsid w:val="3485332C"/>
    <w:rsid w:val="34AF2298"/>
    <w:rsid w:val="355E1C54"/>
    <w:rsid w:val="356D67CB"/>
    <w:rsid w:val="35DB62A8"/>
    <w:rsid w:val="368F28AB"/>
    <w:rsid w:val="37AD65A0"/>
    <w:rsid w:val="37D56B99"/>
    <w:rsid w:val="37FB7C68"/>
    <w:rsid w:val="38184717"/>
    <w:rsid w:val="38674496"/>
    <w:rsid w:val="388353C4"/>
    <w:rsid w:val="389C6EEF"/>
    <w:rsid w:val="390E5A3F"/>
    <w:rsid w:val="39162FC5"/>
    <w:rsid w:val="391E4825"/>
    <w:rsid w:val="394D348F"/>
    <w:rsid w:val="396D7665"/>
    <w:rsid w:val="39935037"/>
    <w:rsid w:val="39A551A2"/>
    <w:rsid w:val="3A013124"/>
    <w:rsid w:val="3A5307BE"/>
    <w:rsid w:val="3A7A5374"/>
    <w:rsid w:val="3AA31539"/>
    <w:rsid w:val="3C0642DC"/>
    <w:rsid w:val="3C0E0A94"/>
    <w:rsid w:val="3C0F6516"/>
    <w:rsid w:val="3C477FA0"/>
    <w:rsid w:val="3C917532"/>
    <w:rsid w:val="3CA803D8"/>
    <w:rsid w:val="3CFD6EE4"/>
    <w:rsid w:val="3D0F5BEC"/>
    <w:rsid w:val="3D697A4C"/>
    <w:rsid w:val="3DA82DB4"/>
    <w:rsid w:val="3DAA1B3A"/>
    <w:rsid w:val="3DE033C1"/>
    <w:rsid w:val="3E4203B8"/>
    <w:rsid w:val="3E444CAE"/>
    <w:rsid w:val="3E886713"/>
    <w:rsid w:val="3EF10E76"/>
    <w:rsid w:val="3FD11023"/>
    <w:rsid w:val="3FF539E8"/>
    <w:rsid w:val="3FF81676"/>
    <w:rsid w:val="403F4FF6"/>
    <w:rsid w:val="404F6147"/>
    <w:rsid w:val="40632F94"/>
    <w:rsid w:val="40CE4185"/>
    <w:rsid w:val="41083B3B"/>
    <w:rsid w:val="411C525B"/>
    <w:rsid w:val="41265D6F"/>
    <w:rsid w:val="41382CD2"/>
    <w:rsid w:val="42983232"/>
    <w:rsid w:val="42C83C33"/>
    <w:rsid w:val="42FF2EEC"/>
    <w:rsid w:val="4300292E"/>
    <w:rsid w:val="43384C18"/>
    <w:rsid w:val="43770B43"/>
    <w:rsid w:val="43C5363E"/>
    <w:rsid w:val="43F6411F"/>
    <w:rsid w:val="44411D91"/>
    <w:rsid w:val="44BA6EB9"/>
    <w:rsid w:val="451C67E4"/>
    <w:rsid w:val="453E57AF"/>
    <w:rsid w:val="45441531"/>
    <w:rsid w:val="45834899"/>
    <w:rsid w:val="45A03A1A"/>
    <w:rsid w:val="45F61354"/>
    <w:rsid w:val="46120C85"/>
    <w:rsid w:val="46D467C4"/>
    <w:rsid w:val="476F277A"/>
    <w:rsid w:val="47827E53"/>
    <w:rsid w:val="47833E00"/>
    <w:rsid w:val="482360E6"/>
    <w:rsid w:val="48335942"/>
    <w:rsid w:val="48A159BF"/>
    <w:rsid w:val="48F25A48"/>
    <w:rsid w:val="492210AD"/>
    <w:rsid w:val="496322F6"/>
    <w:rsid w:val="49935F6C"/>
    <w:rsid w:val="49BE123B"/>
    <w:rsid w:val="49D7054F"/>
    <w:rsid w:val="4AB30C91"/>
    <w:rsid w:val="4B200E7F"/>
    <w:rsid w:val="4B267AD8"/>
    <w:rsid w:val="4B2C6678"/>
    <w:rsid w:val="4B5560B5"/>
    <w:rsid w:val="4B573A2A"/>
    <w:rsid w:val="4B5771CC"/>
    <w:rsid w:val="4B6068B8"/>
    <w:rsid w:val="4C503C62"/>
    <w:rsid w:val="4C5C4830"/>
    <w:rsid w:val="4C8C715A"/>
    <w:rsid w:val="4CBE0BF0"/>
    <w:rsid w:val="4CFC28DD"/>
    <w:rsid w:val="4D137AF0"/>
    <w:rsid w:val="4EAD157E"/>
    <w:rsid w:val="4ED23851"/>
    <w:rsid w:val="4EEA5B05"/>
    <w:rsid w:val="4F6F0AB5"/>
    <w:rsid w:val="50CB6E8F"/>
    <w:rsid w:val="51B82A14"/>
    <w:rsid w:val="51C55131"/>
    <w:rsid w:val="51CC1440"/>
    <w:rsid w:val="520E0232"/>
    <w:rsid w:val="521F5647"/>
    <w:rsid w:val="522C275E"/>
    <w:rsid w:val="524A4696"/>
    <w:rsid w:val="5253261E"/>
    <w:rsid w:val="52792D2F"/>
    <w:rsid w:val="527D3762"/>
    <w:rsid w:val="534E1882"/>
    <w:rsid w:val="539815F9"/>
    <w:rsid w:val="53A616BE"/>
    <w:rsid w:val="53D64F3E"/>
    <w:rsid w:val="547E562E"/>
    <w:rsid w:val="54964F68"/>
    <w:rsid w:val="554716F7"/>
    <w:rsid w:val="55613DC0"/>
    <w:rsid w:val="5563538C"/>
    <w:rsid w:val="563C139E"/>
    <w:rsid w:val="56A30136"/>
    <w:rsid w:val="56AF6ADB"/>
    <w:rsid w:val="56B45E9F"/>
    <w:rsid w:val="56B85264"/>
    <w:rsid w:val="56D51C18"/>
    <w:rsid w:val="572000DB"/>
    <w:rsid w:val="576C7E13"/>
    <w:rsid w:val="57A255B7"/>
    <w:rsid w:val="58A62893"/>
    <w:rsid w:val="58D20C25"/>
    <w:rsid w:val="58EB7C76"/>
    <w:rsid w:val="59926803"/>
    <w:rsid w:val="59C265B8"/>
    <w:rsid w:val="59CB3F35"/>
    <w:rsid w:val="5A6411F3"/>
    <w:rsid w:val="5A802C08"/>
    <w:rsid w:val="5A8F2964"/>
    <w:rsid w:val="5AA55DD2"/>
    <w:rsid w:val="5AE735FA"/>
    <w:rsid w:val="5B417F1E"/>
    <w:rsid w:val="5BBF2BB4"/>
    <w:rsid w:val="5C0E1115"/>
    <w:rsid w:val="5C494943"/>
    <w:rsid w:val="5C734107"/>
    <w:rsid w:val="5D0354EB"/>
    <w:rsid w:val="5D041203"/>
    <w:rsid w:val="5D0E70DE"/>
    <w:rsid w:val="5D2B27E7"/>
    <w:rsid w:val="5D2E6FEF"/>
    <w:rsid w:val="5D6D694B"/>
    <w:rsid w:val="5DE74DAC"/>
    <w:rsid w:val="5E311DF6"/>
    <w:rsid w:val="5E383FDB"/>
    <w:rsid w:val="5ED13367"/>
    <w:rsid w:val="5EF03290"/>
    <w:rsid w:val="5EFF6126"/>
    <w:rsid w:val="5F1119B5"/>
    <w:rsid w:val="5F48707B"/>
    <w:rsid w:val="5F616DDA"/>
    <w:rsid w:val="5F72704C"/>
    <w:rsid w:val="5FB011CE"/>
    <w:rsid w:val="5FFE1150"/>
    <w:rsid w:val="605129B1"/>
    <w:rsid w:val="606049A2"/>
    <w:rsid w:val="60652484"/>
    <w:rsid w:val="606E3563"/>
    <w:rsid w:val="60B15AD6"/>
    <w:rsid w:val="60E24E81"/>
    <w:rsid w:val="611A3963"/>
    <w:rsid w:val="61241E74"/>
    <w:rsid w:val="61490551"/>
    <w:rsid w:val="62091C34"/>
    <w:rsid w:val="622838DF"/>
    <w:rsid w:val="62432C56"/>
    <w:rsid w:val="62C236F2"/>
    <w:rsid w:val="630E06E5"/>
    <w:rsid w:val="63267A88"/>
    <w:rsid w:val="633B5F5A"/>
    <w:rsid w:val="637649BB"/>
    <w:rsid w:val="638379D3"/>
    <w:rsid w:val="63872836"/>
    <w:rsid w:val="63B119F7"/>
    <w:rsid w:val="643A3D64"/>
    <w:rsid w:val="644C3BBB"/>
    <w:rsid w:val="64B82FFF"/>
    <w:rsid w:val="653A4DD6"/>
    <w:rsid w:val="659155FE"/>
    <w:rsid w:val="65C545E4"/>
    <w:rsid w:val="665E2C03"/>
    <w:rsid w:val="66BB1946"/>
    <w:rsid w:val="66BE3096"/>
    <w:rsid w:val="6737580D"/>
    <w:rsid w:val="67BA52E0"/>
    <w:rsid w:val="67E75F4F"/>
    <w:rsid w:val="67E90825"/>
    <w:rsid w:val="68DE7374"/>
    <w:rsid w:val="6942558D"/>
    <w:rsid w:val="69E421A0"/>
    <w:rsid w:val="6A702CCD"/>
    <w:rsid w:val="6B6D0AD4"/>
    <w:rsid w:val="6C1134DA"/>
    <w:rsid w:val="6C332DE8"/>
    <w:rsid w:val="6C4559DE"/>
    <w:rsid w:val="6C72227A"/>
    <w:rsid w:val="6CAC5D33"/>
    <w:rsid w:val="6D3D651E"/>
    <w:rsid w:val="6D441332"/>
    <w:rsid w:val="6DDA57A8"/>
    <w:rsid w:val="6E972360"/>
    <w:rsid w:val="6F21584E"/>
    <w:rsid w:val="6F5E0C47"/>
    <w:rsid w:val="6FB73958"/>
    <w:rsid w:val="700C3CDF"/>
    <w:rsid w:val="701557A9"/>
    <w:rsid w:val="704B4AC8"/>
    <w:rsid w:val="715B3540"/>
    <w:rsid w:val="71810C1C"/>
    <w:rsid w:val="718F3339"/>
    <w:rsid w:val="71F73492"/>
    <w:rsid w:val="721538B8"/>
    <w:rsid w:val="72254CAF"/>
    <w:rsid w:val="72817F64"/>
    <w:rsid w:val="72972F57"/>
    <w:rsid w:val="729F171C"/>
    <w:rsid w:val="72BB0F00"/>
    <w:rsid w:val="72CA55A7"/>
    <w:rsid w:val="72E440AA"/>
    <w:rsid w:val="72FA159E"/>
    <w:rsid w:val="730447D1"/>
    <w:rsid w:val="743074D6"/>
    <w:rsid w:val="7461016E"/>
    <w:rsid w:val="74CF795A"/>
    <w:rsid w:val="753C7C2E"/>
    <w:rsid w:val="756E2AF9"/>
    <w:rsid w:val="769C5AF2"/>
    <w:rsid w:val="76EF02B4"/>
    <w:rsid w:val="773363F4"/>
    <w:rsid w:val="775E7EDD"/>
    <w:rsid w:val="778922AD"/>
    <w:rsid w:val="77B75398"/>
    <w:rsid w:val="78450BF6"/>
    <w:rsid w:val="78782D79"/>
    <w:rsid w:val="788F4CD8"/>
    <w:rsid w:val="78B418D7"/>
    <w:rsid w:val="790F0AA9"/>
    <w:rsid w:val="792132A4"/>
    <w:rsid w:val="7951412E"/>
    <w:rsid w:val="796565C2"/>
    <w:rsid w:val="797A20BA"/>
    <w:rsid w:val="797C0A1E"/>
    <w:rsid w:val="79A32037"/>
    <w:rsid w:val="7A550667"/>
    <w:rsid w:val="7A9760A5"/>
    <w:rsid w:val="7A9E2E9A"/>
    <w:rsid w:val="7AE510A1"/>
    <w:rsid w:val="7B1D7C08"/>
    <w:rsid w:val="7B2F5245"/>
    <w:rsid w:val="7BFA3AA5"/>
    <w:rsid w:val="7C0B180E"/>
    <w:rsid w:val="7CE7255D"/>
    <w:rsid w:val="7CF47890"/>
    <w:rsid w:val="7DB73FDB"/>
    <w:rsid w:val="7DF439AA"/>
    <w:rsid w:val="7E991353"/>
    <w:rsid w:val="7EC95773"/>
    <w:rsid w:val="7F64148E"/>
    <w:rsid w:val="7FC845D7"/>
    <w:rsid w:val="ECFE325A"/>
    <w:rsid w:val="FAF9A89E"/>
    <w:rsid w:val="FFDFD0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92"/>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7"/>
    <w:qFormat/>
    <w:uiPriority w:val="0"/>
    <w:pPr>
      <w:spacing w:line="360" w:lineRule="auto"/>
      <w:outlineLvl w:val="3"/>
    </w:pPr>
    <w:rPr>
      <w:rFonts w:ascii="宋体"/>
      <w:bCs/>
      <w:szCs w:val="21"/>
    </w:rPr>
  </w:style>
  <w:style w:type="paragraph" w:styleId="6">
    <w:name w:val="heading 5"/>
    <w:basedOn w:val="1"/>
    <w:next w:val="1"/>
    <w:link w:val="38"/>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link w:val="45"/>
    <w:qFormat/>
    <w:uiPriority w:val="0"/>
    <w:pPr>
      <w:spacing w:line="360" w:lineRule="auto"/>
      <w:ind w:firstLine="420" w:firstLineChars="200"/>
    </w:pPr>
  </w:style>
  <w:style w:type="paragraph" w:styleId="12">
    <w:name w:val="Body Text"/>
    <w:basedOn w:val="1"/>
    <w:qFormat/>
    <w:uiPriority w:val="0"/>
    <w:pPr>
      <w:spacing w:after="120"/>
    </w:p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toc 3"/>
    <w:basedOn w:val="1"/>
    <w:next w:val="1"/>
    <w:semiHidden/>
    <w:qFormat/>
    <w:uiPriority w:val="0"/>
    <w:pPr>
      <w:tabs>
        <w:tab w:val="left" w:pos="1620"/>
        <w:tab w:val="right" w:leader="dot" w:pos="8296"/>
      </w:tabs>
    </w:pPr>
  </w:style>
  <w:style w:type="paragraph" w:styleId="16">
    <w:name w:val="Plain Text"/>
    <w:basedOn w:val="1"/>
    <w:link w:val="78"/>
    <w:qFormat/>
    <w:uiPriority w:val="0"/>
    <w:rPr>
      <w:rFonts w:ascii="宋体" w:hAnsi="Courier New"/>
    </w:rPr>
  </w:style>
  <w:style w:type="paragraph" w:styleId="17">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18">
    <w:name w:val="Balloon Text"/>
    <w:basedOn w:val="1"/>
    <w:semiHidden/>
    <w:qFormat/>
    <w:uiPriority w:val="0"/>
    <w:rPr>
      <w:sz w:val="18"/>
      <w:szCs w:val="18"/>
    </w:rPr>
  </w:style>
  <w:style w:type="paragraph" w:styleId="19">
    <w:name w:val="footer"/>
    <w:basedOn w:val="1"/>
    <w:link w:val="50"/>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b/>
      <w:bCs/>
      <w:caps/>
      <w:sz w:val="20"/>
      <w:szCs w:val="20"/>
    </w:rPr>
  </w:style>
  <w:style w:type="paragraph" w:styleId="22">
    <w:name w:val="toc 4"/>
    <w:basedOn w:val="1"/>
    <w:next w:val="1"/>
    <w:semiHidden/>
    <w:qFormat/>
    <w:uiPriority w:val="0"/>
    <w:pPr>
      <w:ind w:left="1260" w:leftChars="600"/>
    </w:pPr>
  </w:style>
  <w:style w:type="paragraph" w:styleId="23">
    <w:name w:val="toc 2"/>
    <w:basedOn w:val="1"/>
    <w:next w:val="1"/>
    <w:qFormat/>
    <w:uiPriority w:val="39"/>
    <w:pPr>
      <w:tabs>
        <w:tab w:val="left" w:pos="900"/>
        <w:tab w:val="right" w:leader="dot" w:pos="8296"/>
      </w:tabs>
      <w:ind w:left="420" w:leftChars="200"/>
    </w:pPr>
  </w:style>
  <w:style w:type="paragraph" w:styleId="24">
    <w:name w:val="Body Text 2"/>
    <w:basedOn w:val="1"/>
    <w:qFormat/>
    <w:uiPriority w:val="0"/>
    <w:pPr>
      <w:spacing w:after="120" w:afterLines="0" w:afterAutospacing="0" w:line="480" w:lineRule="auto"/>
    </w:pPr>
    <w:rPr>
      <w:kern w:val="0"/>
      <w:sz w:val="20"/>
    </w:rPr>
  </w:style>
  <w:style w:type="paragraph" w:styleId="25">
    <w:name w:val="Title"/>
    <w:basedOn w:val="1"/>
    <w:next w:val="1"/>
    <w:qFormat/>
    <w:uiPriority w:val="0"/>
    <w:pPr>
      <w:spacing w:before="240" w:after="60"/>
      <w:jc w:val="center"/>
      <w:outlineLvl w:val="0"/>
    </w:pPr>
    <w:rPr>
      <w:rFonts w:ascii="Arial" w:hAnsi="Arial" w:cs="Arial"/>
      <w:b/>
      <w:bCs/>
      <w:sz w:val="32"/>
      <w:szCs w:val="32"/>
    </w:rPr>
  </w:style>
  <w:style w:type="paragraph" w:styleId="26">
    <w:name w:val="annotation subject"/>
    <w:basedOn w:val="14"/>
    <w:next w:val="14"/>
    <w:semiHidden/>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qFormat/>
    <w:uiPriority w:val="0"/>
    <w:rPr>
      <w:color w:val="800080"/>
      <w:u w:val="single"/>
    </w:rPr>
  </w:style>
  <w:style w:type="character" w:styleId="32">
    <w:name w:val="Emphasis"/>
    <w:qFormat/>
    <w:uiPriority w:val="0"/>
    <w:rPr>
      <w:color w:val="CC0000"/>
    </w:rPr>
  </w:style>
  <w:style w:type="character" w:styleId="33">
    <w:name w:val="HTML Definition"/>
    <w:semiHidden/>
    <w:qFormat/>
    <w:uiPriority w:val="0"/>
    <w:rPr>
      <w:i/>
      <w:iCs/>
    </w:rPr>
  </w:style>
  <w:style w:type="character" w:styleId="34">
    <w:name w:val="Hyperlink"/>
    <w:qFormat/>
    <w:uiPriority w:val="99"/>
    <w:rPr>
      <w:color w:val="0000FF"/>
      <w:u w:val="single"/>
    </w:rPr>
  </w:style>
  <w:style w:type="character" w:styleId="35">
    <w:name w:val="annotation reference"/>
    <w:semiHidden/>
    <w:qFormat/>
    <w:uiPriority w:val="0"/>
    <w:rPr>
      <w:sz w:val="21"/>
      <w:szCs w:val="21"/>
    </w:rPr>
  </w:style>
  <w:style w:type="character" w:customStyle="1" w:styleId="36">
    <w:name w:val="标题 1 Char"/>
    <w:link w:val="2"/>
    <w:qFormat/>
    <w:uiPriority w:val="0"/>
    <w:rPr>
      <w:rFonts w:ascii="宋体"/>
      <w:b/>
      <w:bCs/>
      <w:kern w:val="44"/>
      <w:sz w:val="21"/>
      <w:szCs w:val="21"/>
    </w:rPr>
  </w:style>
  <w:style w:type="character" w:customStyle="1" w:styleId="37">
    <w:name w:val="标题 4 Char"/>
    <w:link w:val="5"/>
    <w:qFormat/>
    <w:uiPriority w:val="0"/>
    <w:rPr>
      <w:rFonts w:ascii="宋体" w:eastAsia="宋体"/>
      <w:bCs/>
      <w:kern w:val="2"/>
      <w:sz w:val="21"/>
      <w:szCs w:val="21"/>
      <w:lang w:val="en-US" w:eastAsia="zh-CN" w:bidi="ar-SA"/>
    </w:rPr>
  </w:style>
  <w:style w:type="character" w:customStyle="1" w:styleId="38">
    <w:name w:val="标题 5 Char"/>
    <w:link w:val="6"/>
    <w:qFormat/>
    <w:uiPriority w:val="0"/>
    <w:rPr>
      <w:rFonts w:cs="宋体"/>
      <w:bCs/>
      <w:sz w:val="21"/>
      <w:szCs w:val="21"/>
    </w:rPr>
  </w:style>
  <w:style w:type="character" w:customStyle="1" w:styleId="39">
    <w:name w:val="首行缩进 Char"/>
    <w:link w:val="40"/>
    <w:qFormat/>
    <w:uiPriority w:val="0"/>
    <w:rPr>
      <w:rFonts w:eastAsia="方正书宋简体" w:cs="宋体"/>
      <w:kern w:val="2"/>
      <w:sz w:val="21"/>
      <w:lang w:val="en-US" w:eastAsia="zh-CN" w:bidi="ar-SA"/>
    </w:rPr>
  </w:style>
  <w:style w:type="paragraph" w:customStyle="1" w:styleId="40">
    <w:name w:val="首行缩进"/>
    <w:basedOn w:val="1"/>
    <w:link w:val="39"/>
    <w:qFormat/>
    <w:uiPriority w:val="0"/>
    <w:pPr>
      <w:spacing w:line="300" w:lineRule="auto"/>
      <w:ind w:firstLine="420" w:firstLineChars="200"/>
    </w:pPr>
    <w:rPr>
      <w:rFonts w:eastAsia="方正书宋简体" w:cs="宋体"/>
      <w:szCs w:val="20"/>
    </w:rPr>
  </w:style>
  <w:style w:type="character" w:customStyle="1" w:styleId="41">
    <w:name w:val="表内居中小五 Char"/>
    <w:link w:val="42"/>
    <w:qFormat/>
    <w:uiPriority w:val="0"/>
    <w:rPr>
      <w:rFonts w:eastAsia="宋体" w:cs="宋体"/>
      <w:kern w:val="2"/>
      <w:sz w:val="18"/>
      <w:szCs w:val="18"/>
      <w:lang w:val="en-US" w:eastAsia="zh-CN" w:bidi="ar-SA"/>
    </w:rPr>
  </w:style>
  <w:style w:type="paragraph" w:customStyle="1" w:styleId="42">
    <w:name w:val="表内居中小五"/>
    <w:basedOn w:val="1"/>
    <w:link w:val="41"/>
    <w:qFormat/>
    <w:uiPriority w:val="0"/>
    <w:pPr>
      <w:jc w:val="center"/>
    </w:pPr>
    <w:rPr>
      <w:rFonts w:cs="宋体"/>
      <w:sz w:val="18"/>
      <w:szCs w:val="18"/>
    </w:rPr>
  </w:style>
  <w:style w:type="character" w:customStyle="1" w:styleId="43">
    <w:name w:val="表内居两端对齐 Char"/>
    <w:basedOn w:val="41"/>
    <w:link w:val="44"/>
    <w:qFormat/>
    <w:uiPriority w:val="0"/>
    <w:rPr>
      <w:rFonts w:eastAsia="宋体" w:cs="宋体"/>
      <w:kern w:val="2"/>
      <w:sz w:val="18"/>
      <w:szCs w:val="18"/>
      <w:lang w:val="en-US" w:eastAsia="zh-CN" w:bidi="ar-SA"/>
    </w:rPr>
  </w:style>
  <w:style w:type="paragraph" w:customStyle="1" w:styleId="44">
    <w:name w:val="表内居两端对齐"/>
    <w:basedOn w:val="42"/>
    <w:link w:val="43"/>
    <w:qFormat/>
    <w:uiPriority w:val="0"/>
    <w:pPr>
      <w:jc w:val="both"/>
    </w:pPr>
  </w:style>
  <w:style w:type="character" w:customStyle="1" w:styleId="45">
    <w:name w:val="正文缩进 Char"/>
    <w:link w:val="11"/>
    <w:qFormat/>
    <w:uiPriority w:val="0"/>
    <w:rPr>
      <w:rFonts w:eastAsia="宋体"/>
      <w:kern w:val="2"/>
      <w:sz w:val="21"/>
      <w:szCs w:val="24"/>
      <w:lang w:val="en-US" w:eastAsia="zh-CN" w:bidi="ar-SA"/>
    </w:rPr>
  </w:style>
  <w:style w:type="paragraph" w:customStyle="1" w:styleId="46">
    <w:name w:val="样式 标题 3 + 宋体"/>
    <w:basedOn w:val="4"/>
    <w:link w:val="47"/>
    <w:qFormat/>
    <w:uiPriority w:val="0"/>
    <w:rPr>
      <w:rFonts w:hAnsi="宋体"/>
      <w:bCs w:val="0"/>
    </w:rPr>
  </w:style>
  <w:style w:type="character" w:customStyle="1" w:styleId="47">
    <w:name w:val="样式 标题 3 + 宋体 Char"/>
    <w:link w:val="46"/>
    <w:qFormat/>
    <w:uiPriority w:val="0"/>
    <w:rPr>
      <w:rFonts w:ascii="宋体" w:hAnsi="宋体"/>
      <w:kern w:val="2"/>
      <w:sz w:val="21"/>
      <w:szCs w:val="21"/>
    </w:rPr>
  </w:style>
  <w:style w:type="paragraph" w:customStyle="1" w:styleId="48">
    <w:name w:val="样式 标题 4 + (符号) 宋体"/>
    <w:basedOn w:val="5"/>
    <w:link w:val="49"/>
    <w:qFormat/>
    <w:uiPriority w:val="0"/>
    <w:pPr>
      <w:adjustRightInd w:val="0"/>
      <w:snapToGrid w:val="0"/>
    </w:pPr>
    <w:rPr>
      <w:bCs w:val="0"/>
    </w:rPr>
  </w:style>
  <w:style w:type="character" w:customStyle="1" w:styleId="49">
    <w:name w:val="样式 标题 4 + (符号) 宋体 Char"/>
    <w:basedOn w:val="37"/>
    <w:link w:val="48"/>
    <w:qFormat/>
    <w:uiPriority w:val="0"/>
    <w:rPr>
      <w:rFonts w:ascii="宋体" w:eastAsia="宋体"/>
      <w:kern w:val="2"/>
      <w:sz w:val="21"/>
      <w:szCs w:val="21"/>
      <w:lang w:val="en-US" w:eastAsia="zh-CN" w:bidi="ar-SA"/>
    </w:rPr>
  </w:style>
  <w:style w:type="character" w:customStyle="1" w:styleId="50">
    <w:name w:val="页脚 Char"/>
    <w:link w:val="19"/>
    <w:qFormat/>
    <w:uiPriority w:val="0"/>
    <w:rPr>
      <w:rFonts w:eastAsia="宋体"/>
      <w:kern w:val="2"/>
      <w:sz w:val="18"/>
      <w:szCs w:val="18"/>
      <w:lang w:val="en-US" w:eastAsia="zh-CN" w:bidi="ar-SA"/>
    </w:rPr>
  </w:style>
  <w:style w:type="paragraph" w:customStyle="1" w:styleId="51">
    <w:name w:val="前言首行"/>
    <w:basedOn w:val="1"/>
    <w:qFormat/>
    <w:uiPriority w:val="0"/>
    <w:pPr>
      <w:spacing w:after="120"/>
      <w:jc w:val="center"/>
    </w:pPr>
    <w:rPr>
      <w:rFonts w:eastAsia="黑体" w:cs="宋体"/>
      <w:b/>
      <w:bCs/>
      <w:sz w:val="32"/>
      <w:szCs w:val="20"/>
    </w:rPr>
  </w:style>
  <w:style w:type="paragraph" w:customStyle="1" w:styleId="52">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4">
    <w:name w:val="样式1"/>
    <w:basedOn w:val="5"/>
    <w:qFormat/>
    <w:uiPriority w:val="0"/>
    <w:pPr>
      <w:numPr>
        <w:ilvl w:val="3"/>
        <w:numId w:val="1"/>
      </w:numPr>
      <w:tabs>
        <w:tab w:val="left" w:pos="360"/>
      </w:tabs>
    </w:pPr>
    <w:rPr>
      <w:rFonts w:hAnsi="宋体"/>
      <w:bCs w:val="0"/>
    </w:rPr>
  </w:style>
  <w:style w:type="paragraph" w:customStyle="1" w:styleId="55">
    <w:name w:val="样式 标题 5 + 右侧:  1 字符"/>
    <w:basedOn w:val="6"/>
    <w:qFormat/>
    <w:uiPriority w:val="0"/>
    <w:pPr>
      <w:ind w:right="210"/>
    </w:pPr>
    <w:rPr>
      <w:bCs w:val="0"/>
      <w:szCs w:val="20"/>
    </w:rPr>
  </w:style>
  <w:style w:type="paragraph" w:customStyle="1" w:styleId="56">
    <w:name w:val="Char"/>
    <w:basedOn w:val="1"/>
    <w:qFormat/>
    <w:uiPriority w:val="0"/>
    <w:pPr>
      <w:spacing w:line="360" w:lineRule="auto"/>
    </w:pPr>
    <w:rPr>
      <w:rFonts w:ascii="Tahoma" w:hAnsi="Tahoma"/>
      <w:sz w:val="24"/>
      <w:szCs w:val="20"/>
    </w:rPr>
  </w:style>
  <w:style w:type="paragraph" w:customStyle="1" w:styleId="57">
    <w:name w:val="Char Char Char Char Char Char Char Char Char Char Char Char"/>
    <w:basedOn w:val="1"/>
    <w:qFormat/>
    <w:uiPriority w:val="0"/>
    <w:pPr>
      <w:spacing w:line="360" w:lineRule="auto"/>
    </w:pPr>
    <w:rPr>
      <w:rFonts w:ascii="Tahoma" w:hAnsi="Tahoma"/>
      <w:sz w:val="24"/>
      <w:szCs w:val="20"/>
    </w:rPr>
  </w:style>
  <w:style w:type="paragraph" w:customStyle="1" w:styleId="58">
    <w:name w:val="章标题"/>
    <w:next w:val="52"/>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5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0">
    <w:name w:val="二级条标题"/>
    <w:basedOn w:val="1"/>
    <w:next w:val="52"/>
    <w:link w:val="61"/>
    <w:qFormat/>
    <w:uiPriority w:val="0"/>
    <w:pPr>
      <w:widowControl/>
      <w:outlineLvl w:val="3"/>
    </w:pPr>
    <w:rPr>
      <w:rFonts w:ascii="黑体" w:eastAsia="黑体"/>
      <w:kern w:val="0"/>
      <w:szCs w:val="20"/>
    </w:rPr>
  </w:style>
  <w:style w:type="character" w:customStyle="1" w:styleId="61">
    <w:name w:val="二级条标题 Char"/>
    <w:link w:val="60"/>
    <w:qFormat/>
    <w:uiPriority w:val="0"/>
    <w:rPr>
      <w:rFonts w:ascii="黑体" w:eastAsia="黑体"/>
      <w:sz w:val="21"/>
      <w:lang w:val="en-US" w:eastAsia="zh-CN" w:bidi="ar-SA"/>
    </w:rPr>
  </w:style>
  <w:style w:type="paragraph" w:customStyle="1" w:styleId="62">
    <w:name w:val="正文表标题"/>
    <w:next w:val="52"/>
    <w:qFormat/>
    <w:uiPriority w:val="0"/>
    <w:pPr>
      <w:numPr>
        <w:ilvl w:val="0"/>
        <w:numId w:val="3"/>
      </w:numPr>
      <w:tabs>
        <w:tab w:val="left" w:pos="360"/>
      </w:tabs>
      <w:jc w:val="center"/>
    </w:pPr>
    <w:rPr>
      <w:rFonts w:ascii="黑体" w:hAnsi="Times New Roman" w:eastAsia="黑体" w:cs="Times New Roman"/>
      <w:sz w:val="21"/>
      <w:lang w:val="en-US" w:eastAsia="zh-CN" w:bidi="ar-SA"/>
    </w:rPr>
  </w:style>
  <w:style w:type="paragraph" w:customStyle="1" w:styleId="63">
    <w:name w:val="一级条标题"/>
    <w:basedOn w:val="58"/>
    <w:next w:val="52"/>
    <w:link w:val="64"/>
    <w:qFormat/>
    <w:uiPriority w:val="0"/>
    <w:pPr>
      <w:spacing w:before="0" w:beforeLines="0" w:after="0" w:afterLines="0"/>
      <w:outlineLvl w:val="2"/>
    </w:pPr>
  </w:style>
  <w:style w:type="character" w:customStyle="1" w:styleId="64">
    <w:name w:val="一级条标题 Char"/>
    <w:link w:val="63"/>
    <w:qFormat/>
    <w:uiPriority w:val="0"/>
    <w:rPr>
      <w:rFonts w:ascii="黑体" w:eastAsia="黑体"/>
      <w:sz w:val="21"/>
      <w:lang w:val="en-US" w:eastAsia="zh-CN" w:bidi="ar-SA"/>
    </w:rPr>
  </w:style>
  <w:style w:type="paragraph" w:customStyle="1" w:styleId="65">
    <w:name w:val="三级条标题"/>
    <w:basedOn w:val="60"/>
    <w:next w:val="52"/>
    <w:qFormat/>
    <w:uiPriority w:val="0"/>
    <w:pPr>
      <w:numPr>
        <w:ilvl w:val="4"/>
        <w:numId w:val="4"/>
      </w:numPr>
      <w:tabs>
        <w:tab w:val="left" w:pos="360"/>
      </w:tabs>
      <w:outlineLvl w:val="4"/>
    </w:pPr>
  </w:style>
  <w:style w:type="paragraph" w:customStyle="1" w:styleId="66">
    <w:name w:val="五级条标题"/>
    <w:basedOn w:val="1"/>
    <w:next w:val="52"/>
    <w:qFormat/>
    <w:uiPriority w:val="0"/>
    <w:pPr>
      <w:widowControl/>
      <w:outlineLvl w:val="6"/>
    </w:pPr>
    <w:rPr>
      <w:rFonts w:ascii="黑体" w:eastAsia="黑体"/>
      <w:kern w:val="0"/>
      <w:szCs w:val="20"/>
    </w:rPr>
  </w:style>
  <w:style w:type="paragraph" w:customStyle="1" w:styleId="67">
    <w:name w:val="CM5"/>
    <w:basedOn w:val="53"/>
    <w:next w:val="53"/>
    <w:qFormat/>
    <w:uiPriority w:val="0"/>
    <w:pPr>
      <w:spacing w:line="471" w:lineRule="atLeast"/>
    </w:pPr>
    <w:rPr>
      <w:rFonts w:ascii="黑体" w:eastAsia="黑体" w:cs="Times New Roman"/>
      <w:color w:val="auto"/>
    </w:rPr>
  </w:style>
  <w:style w:type="paragraph" w:customStyle="1" w:styleId="68">
    <w:name w:val="CM3"/>
    <w:basedOn w:val="53"/>
    <w:next w:val="53"/>
    <w:qFormat/>
    <w:uiPriority w:val="0"/>
    <w:pPr>
      <w:spacing w:line="468" w:lineRule="atLeast"/>
    </w:pPr>
    <w:rPr>
      <w:rFonts w:ascii="黑体" w:eastAsia="黑体" w:cs="Times New Roman"/>
      <w:color w:val="auto"/>
    </w:rPr>
  </w:style>
  <w:style w:type="paragraph" w:customStyle="1" w:styleId="69">
    <w:name w:val="CM33"/>
    <w:basedOn w:val="53"/>
    <w:next w:val="53"/>
    <w:qFormat/>
    <w:uiPriority w:val="0"/>
    <w:pPr>
      <w:spacing w:after="205"/>
    </w:pPr>
    <w:rPr>
      <w:rFonts w:ascii="黑体" w:eastAsia="黑体" w:cs="Times New Roman"/>
      <w:color w:val="auto"/>
    </w:rPr>
  </w:style>
  <w:style w:type="paragraph" w:customStyle="1" w:styleId="70">
    <w:name w:val="CM9"/>
    <w:basedOn w:val="53"/>
    <w:next w:val="53"/>
    <w:qFormat/>
    <w:uiPriority w:val="0"/>
    <w:pPr>
      <w:spacing w:line="468" w:lineRule="atLeast"/>
    </w:pPr>
    <w:rPr>
      <w:rFonts w:ascii="黑体" w:eastAsia="黑体" w:cs="Times New Roman"/>
      <w:color w:val="auto"/>
    </w:rPr>
  </w:style>
  <w:style w:type="paragraph" w:customStyle="1" w:styleId="71">
    <w:name w:val="CM10"/>
    <w:basedOn w:val="53"/>
    <w:next w:val="53"/>
    <w:qFormat/>
    <w:uiPriority w:val="0"/>
    <w:pPr>
      <w:spacing w:line="468" w:lineRule="atLeast"/>
    </w:pPr>
    <w:rPr>
      <w:rFonts w:ascii="黑体" w:eastAsia="黑体" w:cs="Times New Roman"/>
      <w:color w:val="auto"/>
    </w:rPr>
  </w:style>
  <w:style w:type="paragraph" w:customStyle="1" w:styleId="72">
    <w:name w:val="CM22"/>
    <w:basedOn w:val="53"/>
    <w:next w:val="53"/>
    <w:qFormat/>
    <w:uiPriority w:val="0"/>
    <w:pPr>
      <w:spacing w:line="468" w:lineRule="atLeast"/>
    </w:pPr>
    <w:rPr>
      <w:rFonts w:ascii="黑体" w:eastAsia="黑体" w:cs="Times New Roman"/>
      <w:color w:val="auto"/>
    </w:rPr>
  </w:style>
  <w:style w:type="paragraph" w:customStyle="1" w:styleId="73">
    <w:name w:val="CM23"/>
    <w:basedOn w:val="53"/>
    <w:next w:val="53"/>
    <w:qFormat/>
    <w:uiPriority w:val="0"/>
    <w:pPr>
      <w:spacing w:line="468" w:lineRule="atLeast"/>
    </w:pPr>
    <w:rPr>
      <w:rFonts w:ascii="黑体" w:eastAsia="黑体" w:cs="Times New Roman"/>
      <w:color w:val="auto"/>
    </w:rPr>
  </w:style>
  <w:style w:type="paragraph" w:customStyle="1" w:styleId="74">
    <w:name w:val="CM17"/>
    <w:basedOn w:val="53"/>
    <w:next w:val="53"/>
    <w:qFormat/>
    <w:uiPriority w:val="0"/>
    <w:pPr>
      <w:spacing w:line="468" w:lineRule="atLeast"/>
    </w:pPr>
    <w:rPr>
      <w:rFonts w:ascii="黑体" w:eastAsia="黑体" w:cs="Times New Roman"/>
      <w:color w:val="auto"/>
    </w:rPr>
  </w:style>
  <w:style w:type="paragraph" w:customStyle="1" w:styleId="75">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76">
    <w:name w:val="前言、引言标题"/>
    <w:next w:val="1"/>
    <w:qFormat/>
    <w:uiPriority w:val="0"/>
    <w:pPr>
      <w:numPr>
        <w:ilvl w:val="0"/>
        <w:numId w:val="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7">
    <w:name w:val="四级条标题"/>
    <w:basedOn w:val="65"/>
    <w:next w:val="52"/>
    <w:qFormat/>
    <w:uiPriority w:val="0"/>
    <w:pPr>
      <w:numPr>
        <w:ilvl w:val="0"/>
        <w:numId w:val="0"/>
      </w:numPr>
      <w:outlineLvl w:val="5"/>
    </w:pPr>
  </w:style>
  <w:style w:type="character" w:customStyle="1" w:styleId="78">
    <w:name w:val="纯文本 Char"/>
    <w:link w:val="16"/>
    <w:qFormat/>
    <w:uiPriority w:val="0"/>
    <w:rPr>
      <w:rFonts w:ascii="宋体" w:hAnsi="Courier New" w:eastAsia="宋体"/>
      <w:kern w:val="2"/>
      <w:sz w:val="21"/>
      <w:szCs w:val="24"/>
      <w:lang w:val="en-US" w:eastAsia="zh-CN" w:bidi="ar-SA"/>
    </w:rPr>
  </w:style>
  <w:style w:type="paragraph" w:customStyle="1" w:styleId="79">
    <w:name w:val="标准书眉一"/>
    <w:qFormat/>
    <w:uiPriority w:val="0"/>
    <w:pPr>
      <w:jc w:val="both"/>
    </w:pPr>
    <w:rPr>
      <w:rFonts w:ascii="Times New Roman" w:hAnsi="Times New Roman" w:eastAsia="宋体" w:cs="Times New Roman"/>
      <w:lang w:val="en-US" w:eastAsia="zh-CN" w:bidi="ar-SA"/>
    </w:rPr>
  </w:style>
  <w:style w:type="paragraph" w:customStyle="1" w:styleId="80">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81">
    <w:name w:val="数字编号列项（二级）"/>
    <w:qFormat/>
    <w:uiPriority w:val="0"/>
    <w:pPr>
      <w:jc w:val="both"/>
    </w:pPr>
    <w:rPr>
      <w:rFonts w:ascii="宋体" w:hAnsi="Times New Roman" w:eastAsia="宋体" w:cs="Times New Roman"/>
      <w:sz w:val="21"/>
      <w:lang w:val="en-US" w:eastAsia="zh-CN" w:bidi="ar-SA"/>
    </w:rPr>
  </w:style>
  <w:style w:type="paragraph" w:customStyle="1" w:styleId="82">
    <w:name w:val="无标题条"/>
    <w:next w:val="52"/>
    <w:qFormat/>
    <w:uiPriority w:val="0"/>
    <w:pPr>
      <w:jc w:val="both"/>
    </w:pPr>
    <w:rPr>
      <w:rFonts w:ascii="Times New Roman" w:hAnsi="Times New Roman" w:eastAsia="宋体" w:cs="Times New Roman"/>
      <w:sz w:val="21"/>
      <w:lang w:val="en-US" w:eastAsia="zh-CN" w:bidi="ar-SA"/>
    </w:rPr>
  </w:style>
  <w:style w:type="paragraph" w:customStyle="1" w:styleId="8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
    <w:name w:val="目次、标准名称标题"/>
    <w:basedOn w:val="76"/>
    <w:next w:val="52"/>
    <w:qFormat/>
    <w:uiPriority w:val="0"/>
    <w:pPr>
      <w:numPr>
        <w:numId w:val="0"/>
      </w:numPr>
      <w:tabs>
        <w:tab w:val="left" w:pos="1140"/>
      </w:tabs>
      <w:spacing w:line="460" w:lineRule="exact"/>
    </w:pPr>
  </w:style>
  <w:style w:type="paragraph" w:customStyle="1" w:styleId="88">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89">
    <w:name w:val="List Paragraph"/>
    <w:basedOn w:val="1"/>
    <w:qFormat/>
    <w:uiPriority w:val="34"/>
    <w:pPr>
      <w:ind w:firstLine="420" w:firstLineChars="200"/>
    </w:pPr>
  </w:style>
  <w:style w:type="paragraph" w:customStyle="1" w:styleId="90">
    <w:name w:val="标准1级标题"/>
    <w:basedOn w:val="1"/>
    <w:qFormat/>
    <w:uiPriority w:val="0"/>
    <w:pPr>
      <w:keepNext/>
      <w:keepLines/>
      <w:widowControl/>
      <w:spacing w:before="100" w:beforeLines="100" w:after="100" w:afterLines="100" w:line="416" w:lineRule="atLeast"/>
      <w:ind w:firstLine="0" w:firstLineChars="0"/>
      <w:jc w:val="left"/>
      <w:outlineLvl w:val="0"/>
    </w:pPr>
    <w:rPr>
      <w:rFonts w:ascii="Times New Roman" w:hAnsi="Times New Roman" w:eastAsia="黑体"/>
      <w:kern w:val="0"/>
      <w:szCs w:val="20"/>
    </w:rPr>
  </w:style>
  <w:style w:type="paragraph" w:customStyle="1" w:styleId="91">
    <w:name w:val="3z"/>
    <w:basedOn w:val="1"/>
    <w:qFormat/>
    <w:uiPriority w:val="0"/>
    <w:pPr>
      <w:topLinePunct/>
      <w:spacing w:line="312" w:lineRule="exact"/>
    </w:pPr>
    <w:rPr>
      <w:rFonts w:ascii="EU-F1" w:eastAsia="黑体"/>
      <w:kern w:val="0"/>
      <w:sz w:val="20"/>
    </w:rPr>
  </w:style>
  <w:style w:type="character" w:customStyle="1" w:styleId="92">
    <w:name w:val="标题 2 Char"/>
    <w:link w:val="3"/>
    <w:qFormat/>
    <w:uiPriority w:val="0"/>
    <w:rPr>
      <w:rFonts w:ascii="宋体"/>
      <w:bCs/>
      <w:szCs w:val="21"/>
    </w:rPr>
  </w:style>
  <w:style w:type="paragraph" w:customStyle="1" w:styleId="93">
    <w:name w:val="Table Contents"/>
    <w:basedOn w:val="12"/>
    <w:qFormat/>
    <w:uiPriority w:val="0"/>
  </w:style>
  <w:style w:type="paragraph" w:customStyle="1" w:styleId="94">
    <w:name w:val="Table Text"/>
    <w:basedOn w:val="1"/>
    <w:semiHidden/>
    <w:qFormat/>
    <w:uiPriority w:val="0"/>
    <w:rPr>
      <w:rFonts w:ascii="宋体" w:hAnsi="宋体" w:eastAsia="宋体" w:cs="宋体"/>
      <w:sz w:val="23"/>
      <w:szCs w:val="23"/>
      <w:lang w:val="en-US" w:eastAsia="en-US" w:bidi="ar-SA"/>
    </w:rPr>
  </w:style>
  <w:style w:type="table" w:customStyle="1" w:styleId="9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F76D7C-662A-45E7-94F6-1BEDFD6ED7ED}">
  <ds:schemaRefs/>
</ds:datastoreItem>
</file>

<file path=docProps/app.xml><?xml version="1.0" encoding="utf-8"?>
<Properties xmlns="http://schemas.openxmlformats.org/officeDocument/2006/extended-properties" xmlns:vt="http://schemas.openxmlformats.org/officeDocument/2006/docPropsVTypes">
  <Template>Normal.dotm</Template>
  <Company>dky</Company>
  <Pages>21</Pages>
  <Words>11183</Words>
  <Characters>12239</Characters>
  <Lines>65</Lines>
  <Paragraphs>18</Paragraphs>
  <TotalTime>1</TotalTime>
  <ScaleCrop>false</ScaleCrop>
  <LinksUpToDate>false</LinksUpToDate>
  <CharactersWithSpaces>12665</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2017-06-26T18:01:00Z</dcterms:created>
  <dc:creator>李富龙</dc:creator>
  <cp:lastModifiedBy>ehv_tgny_maochuan</cp:lastModifiedBy>
  <cp:lastPrinted>2026-08-04T01:52:00Z</cp:lastPrinted>
  <dcterms:modified xsi:type="dcterms:W3CDTF">2026-09-21T16:24:30Z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BDA5AB6977EB446780EC94C346203726_13</vt:lpwstr>
  </property>
  <property fmtid="{D5CDD505-2E9C-101B-9397-08002B2CF9AE}" pid="3" name="KSOProductBuildVer">
    <vt:lpwstr>2052-12.1.2.25882</vt:lpwstr>
  </property>
  <property fmtid="{D5CDD505-2E9C-101B-9397-08002B2CF9AE}" pid="4" name="状态">
    <vt:lpwstr>xxx</vt:lpwstr>
  </property>
  <property fmtid="{D5CDD505-2E9C-101B-9397-08002B2CF9AE}" pid="5" name="KSOTemplateDocerSaveRecord">
    <vt:lpwstr>eyJoZGlkIjoiMzc3ZjkxY2Q5ODVjMmQ3N2IzZmFlMDcxY2E4ZjVmZTAiLCJ1c2VySWQiOiIxMjExMDcxNTMwIn0=</vt:lpwstr>
  </property>
</Properties>
</file>