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0011FE">
      <w:pPr>
        <w:rPr>
          <w:rFonts w:hint="eastAsia" w:ascii="黑体" w:hAnsi="黑体" w:eastAsia="黑体" w:cs="黑体"/>
          <w:color w:val="000000" w:themeColor="text1"/>
          <w:sz w:val="32"/>
          <w:szCs w:val="32"/>
          <w:highlight w:val="none"/>
          <w14:textFill>
            <w14:solidFill>
              <w14:schemeClr w14:val="tx1"/>
            </w14:solidFill>
          </w14:textFill>
        </w:rPr>
      </w:pPr>
      <w:bookmarkStart w:id="0" w:name="_Toc246216323"/>
      <w:r>
        <w:rPr>
          <w:color w:val="000000" w:themeColor="text1"/>
          <w:sz w:val="32"/>
          <w:highlight w:val="none"/>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-271780</wp:posOffset>
                </wp:positionH>
                <wp:positionV relativeFrom="paragraph">
                  <wp:posOffset>37465</wp:posOffset>
                </wp:positionV>
                <wp:extent cx="2402205" cy="405765"/>
                <wp:effectExtent l="0" t="0" r="0" b="0"/>
                <wp:wrapNone/>
                <wp:docPr id="1" name="文本框 1"/>
                <wp:cNvGraphicFramePr/>
                <a:graphic xmlns:a="http://schemas.openxmlformats.org/drawingml/2006/main">
                  <a:graphicData uri="http://schemas.microsoft.com/office/word/2010/wordprocessingShape">
                    <wps:wsp>
                      <wps:cNvSpPr txBox="1"/>
                      <wps:spPr>
                        <a:xfrm>
                          <a:off x="808355" y="758825"/>
                          <a:ext cx="2402205" cy="4057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B6F072">
                            <w:pPr>
                              <w:rPr>
                                <w:rFonts w:hint="eastAsia" w:ascii="黑体" w:hAnsi="黑体" w:eastAsia="黑体" w:cs="黑体"/>
                                <w:sz w:val="32"/>
                                <w:szCs w:val="32"/>
                                <w:lang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4pt;margin-top:2.95pt;height:31.95pt;width:189.15pt;z-index:251659264;mso-width-relative:page;mso-height-relative:page;" filled="f" stroked="f" coordsize="21600,21600" o:gfxdata="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h2n2qdsAAAAIAQAADwAAAAAAAAAB&#10;ACAAAAAiAAAAZHJzL2Rvd25yZXYueG1sUEsBAhQAFAAAAAgAh07iQMkSijpGAgAAcAQAAA4AAAAA&#10;AAAAAQAgAAAAKgEAAGRycy9lMm9Eb2MueG1sUEsFBgAAAAAGAAYAWQEAAOIFAAAAAA==&#10;">
                <v:fill on="f" focussize="0,0"/>
                <v:stroke on="f" weight="0.5pt"/>
                <v:imagedata o:title=""/>
                <o:lock v:ext="edit" aspectratio="f"/>
                <v:textbox>
                  <w:txbxContent>
                    <w:p w14:paraId="0BB6F072">
                      <w:pPr>
                        <w:rPr>
                          <w:rFonts w:hint="eastAsia" w:ascii="黑体" w:hAnsi="黑体" w:eastAsia="黑体" w:cs="黑体"/>
                          <w:sz w:val="32"/>
                          <w:szCs w:val="32"/>
                          <w:lang w:eastAsia="zh-CN"/>
                        </w:rPr>
                      </w:pPr>
                    </w:p>
                  </w:txbxContent>
                </v:textbox>
              </v:shape>
            </w:pict>
          </mc:Fallback>
        </mc:AlternateContent>
      </w:r>
      <w:r>
        <w:rPr>
          <w:rFonts w:hint="eastAsia" w:ascii="黑体" w:hAnsi="黑体" w:eastAsia="黑体" w:cs="黑体"/>
          <w:b w:val="0"/>
          <w:bCs w:val="0"/>
          <w:color w:val="auto"/>
          <w:sz w:val="32"/>
          <w:szCs w:val="32"/>
          <w:lang w:val="en-US" w:eastAsia="zh-CN"/>
        </w:rPr>
        <w:drawing>
          <wp:anchor distT="0" distB="0" distL="114300" distR="114300" simplePos="0" relativeHeight="251661312" behindDoc="1" locked="0" layoutInCell="1" allowOverlap="1">
            <wp:simplePos x="0" y="0"/>
            <wp:positionH relativeFrom="column">
              <wp:posOffset>-1258570</wp:posOffset>
            </wp:positionH>
            <wp:positionV relativeFrom="paragraph">
              <wp:posOffset>-896620</wp:posOffset>
            </wp:positionV>
            <wp:extent cx="7765415" cy="10979150"/>
            <wp:effectExtent l="0" t="0" r="6985" b="0"/>
            <wp:wrapNone/>
            <wp:docPr id="3"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9"/>
                    <a:srcRect/>
                    <a:stretch>
                      <a:fillRect/>
                    </a:stretch>
                  </pic:blipFill>
                  <pic:spPr>
                    <a:xfrm>
                      <a:off x="0" y="0"/>
                      <a:ext cx="7765415" cy="10979150"/>
                    </a:xfrm>
                    <a:prstGeom prst="rect">
                      <a:avLst/>
                    </a:prstGeom>
                    <a:noFill/>
                    <a:ln w="9525">
                      <a:noFill/>
                      <a:miter lim="800000"/>
                      <a:headEnd/>
                      <a:tailEnd/>
                    </a:ln>
                  </pic:spPr>
                </pic:pic>
              </a:graphicData>
            </a:graphic>
          </wp:anchor>
        </w:drawing>
      </w:r>
    </w:p>
    <w:p w14:paraId="6FC8EF0A">
      <w:pPr>
        <w:rPr>
          <w:color w:val="000000" w:themeColor="text1"/>
          <w:highlight w:val="none"/>
          <w14:textFill>
            <w14:solidFill>
              <w14:schemeClr w14:val="tx1"/>
            </w14:solidFill>
          </w14:textFill>
        </w:rPr>
      </w:pPr>
    </w:p>
    <w:p w14:paraId="7CD6FDFA">
      <w:pPr>
        <w:jc w:val="center"/>
        <w:rPr>
          <w:rFonts w:hint="eastAsia" w:eastAsia="黑体"/>
          <w:b/>
          <w:color w:val="000000" w:themeColor="text1"/>
          <w:sz w:val="52"/>
          <w:highlight w:val="none"/>
          <w:lang w:val="en-US" w:eastAsia="zh-CN"/>
          <w14:textFill>
            <w14:solidFill>
              <w14:schemeClr w14:val="tx1"/>
            </w14:solidFill>
          </w14:textFill>
        </w:rPr>
      </w:pPr>
    </w:p>
    <w:p w14:paraId="44D4F3C1">
      <w:pPr>
        <w:jc w:val="center"/>
        <w:rPr>
          <w:rFonts w:hint="eastAsia" w:eastAsia="黑体"/>
          <w:b/>
          <w:color w:val="000000" w:themeColor="text1"/>
          <w:sz w:val="52"/>
          <w:highlight w:val="none"/>
          <w:lang w:val="en-US" w:eastAsia="zh-CN"/>
          <w14:textFill>
            <w14:solidFill>
              <w14:schemeClr w14:val="tx1"/>
            </w14:solidFill>
          </w14:textFill>
        </w:rPr>
      </w:pPr>
    </w:p>
    <w:p w14:paraId="7466BEAA">
      <w:pPr>
        <w:jc w:val="center"/>
        <w:rPr>
          <w:rFonts w:hint="eastAsia" w:eastAsia="黑体"/>
          <w:b/>
          <w:color w:val="000000" w:themeColor="text1"/>
          <w:sz w:val="52"/>
          <w:highlight w:val="none"/>
          <w:lang w:val="en-US" w:eastAsia="zh-CN"/>
          <w14:textFill>
            <w14:solidFill>
              <w14:schemeClr w14:val="tx1"/>
            </w14:solidFill>
          </w14:textFill>
        </w:rPr>
      </w:pPr>
    </w:p>
    <w:p w14:paraId="038E1CE6">
      <w:pPr>
        <w:jc w:val="both"/>
        <w:rPr>
          <w:rFonts w:hint="eastAsia" w:eastAsia="黑体"/>
          <w:b/>
          <w:color w:val="000000" w:themeColor="text1"/>
          <w:sz w:val="52"/>
          <w:highlight w:val="none"/>
          <w:lang w:val="en-US" w:eastAsia="zh-CN"/>
          <w14:textFill>
            <w14:solidFill>
              <w14:schemeClr w14:val="tx1"/>
            </w14:solidFill>
          </w14:textFill>
        </w:rPr>
      </w:pPr>
    </w:p>
    <w:p w14:paraId="4EB2C99D">
      <w:pPr>
        <w:jc w:val="center"/>
        <w:rPr>
          <w:rFonts w:eastAsia="黑体"/>
          <w:b/>
          <w:color w:val="000000" w:themeColor="text1"/>
          <w:sz w:val="36"/>
          <w:highlight w:val="none"/>
          <w14:textFill>
            <w14:solidFill>
              <w14:schemeClr w14:val="tx1"/>
            </w14:solidFill>
          </w14:textFill>
        </w:rPr>
      </w:pPr>
      <w:r>
        <w:rPr>
          <w:rFonts w:hint="eastAsia" w:eastAsia="黑体"/>
          <w:b/>
          <w:color w:val="000000" w:themeColor="text1"/>
          <w:sz w:val="52"/>
          <w:highlight w:val="none"/>
          <w:lang w:val="en-US" w:eastAsia="zh-CN"/>
          <w14:textFill>
            <w14:solidFill>
              <w14:schemeClr w14:val="tx1"/>
            </w14:solidFill>
          </w14:textFill>
        </w:rPr>
        <w:t>广东天广能源科技发展有限公司安装式数字直流电能表2026—2028年生产代工框架采购项目</w:t>
      </w:r>
      <w:r>
        <w:rPr>
          <w:rFonts w:eastAsia="黑体"/>
          <w:b/>
          <w:color w:val="000000" w:themeColor="text1"/>
          <w:sz w:val="52"/>
          <w:highlight w:val="none"/>
          <w14:textFill>
            <w14:solidFill>
              <w14:schemeClr w14:val="tx1"/>
            </w14:solidFill>
          </w14:textFill>
        </w:rPr>
        <w:t>技术</w:t>
      </w:r>
      <w:r>
        <w:rPr>
          <w:rFonts w:hint="eastAsia" w:eastAsia="黑体"/>
          <w:b/>
          <w:color w:val="000000" w:themeColor="text1"/>
          <w:sz w:val="52"/>
          <w:highlight w:val="none"/>
          <w14:textFill>
            <w14:solidFill>
              <w14:schemeClr w14:val="tx1"/>
            </w14:solidFill>
          </w14:textFill>
        </w:rPr>
        <w:t>规范书</w:t>
      </w:r>
    </w:p>
    <w:p w14:paraId="53EA3466">
      <w:pPr>
        <w:adjustRightInd w:val="0"/>
        <w:snapToGrid w:val="0"/>
        <w:spacing w:before="480" w:beforeLines="200"/>
        <w:ind w:firstLine="2873" w:firstLineChars="795"/>
        <w:rPr>
          <w:rFonts w:hint="eastAsia" w:eastAsia="黑体"/>
          <w:b/>
          <w:color w:val="000000" w:themeColor="text1"/>
          <w:sz w:val="36"/>
          <w:highlight w:val="none"/>
          <w14:textFill>
            <w14:solidFill>
              <w14:schemeClr w14:val="tx1"/>
            </w14:solidFill>
          </w14:textFill>
        </w:rPr>
      </w:pPr>
    </w:p>
    <w:p w14:paraId="1042B327">
      <w:pPr>
        <w:adjustRightInd w:val="0"/>
        <w:snapToGrid w:val="0"/>
        <w:spacing w:before="480" w:beforeLines="200"/>
        <w:ind w:firstLine="2873" w:firstLineChars="795"/>
        <w:rPr>
          <w:rFonts w:hint="eastAsia" w:eastAsia="黑体"/>
          <w:b/>
          <w:color w:val="000000" w:themeColor="text1"/>
          <w:sz w:val="36"/>
          <w:highlight w:val="none"/>
          <w14:textFill>
            <w14:solidFill>
              <w14:schemeClr w14:val="tx1"/>
            </w14:solidFill>
          </w14:textFill>
        </w:rPr>
      </w:pPr>
      <w:r>
        <w:rPr>
          <w:rFonts w:hint="eastAsia" w:eastAsia="黑体"/>
          <w:b/>
          <w:color w:val="000000" w:themeColor="text1"/>
          <w:sz w:val="36"/>
          <w:highlight w:val="none"/>
          <w14:textFill>
            <w14:solidFill>
              <w14:schemeClr w14:val="tx1"/>
            </w14:solidFill>
          </w14:textFill>
        </w:rPr>
        <w:t>批准：</w:t>
      </w:r>
    </w:p>
    <w:p w14:paraId="0B6FFC05">
      <w:pPr>
        <w:adjustRightInd w:val="0"/>
        <w:snapToGrid w:val="0"/>
        <w:spacing w:before="480" w:beforeLines="200"/>
        <w:ind w:firstLine="2873" w:firstLineChars="795"/>
        <w:rPr>
          <w:rFonts w:hint="eastAsia" w:eastAsia="黑体"/>
          <w:b/>
          <w:color w:val="000000" w:themeColor="text1"/>
          <w:sz w:val="36"/>
          <w:highlight w:val="none"/>
          <w14:textFill>
            <w14:solidFill>
              <w14:schemeClr w14:val="tx1"/>
            </w14:solidFill>
          </w14:textFill>
        </w:rPr>
      </w:pPr>
      <w:r>
        <w:rPr>
          <w:rFonts w:hint="eastAsia" w:eastAsia="黑体"/>
          <w:b/>
          <w:color w:val="000000" w:themeColor="text1"/>
          <w:sz w:val="36"/>
          <w:highlight w:val="none"/>
          <w14:textFill>
            <w14:solidFill>
              <w14:schemeClr w14:val="tx1"/>
            </w14:solidFill>
          </w14:textFill>
        </w:rPr>
        <w:t>审定：</w:t>
      </w:r>
    </w:p>
    <w:p w14:paraId="0283BA29">
      <w:pPr>
        <w:adjustRightInd w:val="0"/>
        <w:snapToGrid w:val="0"/>
        <w:spacing w:before="480" w:beforeLines="200"/>
        <w:ind w:firstLine="2873" w:firstLineChars="795"/>
        <w:rPr>
          <w:rFonts w:hint="eastAsia" w:eastAsia="黑体"/>
          <w:b/>
          <w:color w:val="000000" w:themeColor="text1"/>
          <w:sz w:val="36"/>
          <w:highlight w:val="none"/>
          <w14:textFill>
            <w14:solidFill>
              <w14:schemeClr w14:val="tx1"/>
            </w14:solidFill>
          </w14:textFill>
        </w:rPr>
      </w:pPr>
      <w:r>
        <w:rPr>
          <w:rFonts w:hint="eastAsia" w:eastAsia="黑体"/>
          <w:b/>
          <w:color w:val="000000" w:themeColor="text1"/>
          <w:sz w:val="36"/>
          <w:highlight w:val="none"/>
          <w14:textFill>
            <w14:solidFill>
              <w14:schemeClr w14:val="tx1"/>
            </w14:solidFill>
          </w14:textFill>
        </w:rPr>
        <w:t>审核：</w:t>
      </w:r>
    </w:p>
    <w:p w14:paraId="08ECB73C">
      <w:pPr>
        <w:adjustRightInd w:val="0"/>
        <w:snapToGrid w:val="0"/>
        <w:spacing w:before="480" w:beforeLines="200"/>
        <w:ind w:firstLine="2873" w:firstLineChars="795"/>
        <w:rPr>
          <w:rFonts w:eastAsia="黑体"/>
          <w:b/>
          <w:color w:val="000000" w:themeColor="text1"/>
          <w:spacing w:val="20"/>
          <w:w w:val="135"/>
          <w:sz w:val="30"/>
          <w:highlight w:val="none"/>
          <w14:textFill>
            <w14:solidFill>
              <w14:schemeClr w14:val="tx1"/>
            </w14:solidFill>
          </w14:textFill>
        </w:rPr>
      </w:pPr>
      <w:r>
        <w:rPr>
          <w:rFonts w:hint="eastAsia" w:eastAsia="黑体"/>
          <w:b/>
          <w:color w:val="000000" w:themeColor="text1"/>
          <w:sz w:val="36"/>
          <w:highlight w:val="none"/>
          <w14:textFill>
            <w14:solidFill>
              <w14:schemeClr w14:val="tx1"/>
            </w14:solidFill>
          </w14:textFill>
        </w:rPr>
        <w:t>编写：</w:t>
      </w:r>
    </w:p>
    <w:p w14:paraId="030475B5">
      <w:pPr>
        <w:spacing w:before="480" w:beforeLines="200"/>
        <w:jc w:val="center"/>
        <w:rPr>
          <w:rFonts w:eastAsia="黑体"/>
          <w:b/>
          <w:color w:val="000000" w:themeColor="text1"/>
          <w:spacing w:val="20"/>
          <w:w w:val="135"/>
          <w:sz w:val="30"/>
          <w:highlight w:val="none"/>
          <w14:textFill>
            <w14:solidFill>
              <w14:schemeClr w14:val="tx1"/>
            </w14:solidFill>
          </w14:textFill>
        </w:rPr>
      </w:pPr>
    </w:p>
    <w:p w14:paraId="3FEE8C97">
      <w:pPr>
        <w:spacing w:before="480" w:beforeLines="200"/>
        <w:jc w:val="center"/>
        <w:rPr>
          <w:rFonts w:hint="eastAsia" w:eastAsia="黑体"/>
          <w:b/>
          <w:color w:val="000000" w:themeColor="text1"/>
          <w:spacing w:val="20"/>
          <w:w w:val="135"/>
          <w:sz w:val="30"/>
          <w:highlight w:val="none"/>
          <w:lang w:eastAsia="zh-CN"/>
          <w14:textFill>
            <w14:solidFill>
              <w14:schemeClr w14:val="tx1"/>
            </w14:solidFill>
          </w14:textFill>
        </w:rPr>
      </w:pPr>
    </w:p>
    <w:p w14:paraId="23D2185B">
      <w:pPr>
        <w:spacing w:before="480" w:beforeLines="200"/>
        <w:jc w:val="center"/>
        <w:rPr>
          <w:rFonts w:hint="eastAsia" w:eastAsia="黑体"/>
          <w:b/>
          <w:color w:val="000000" w:themeColor="text1"/>
          <w:spacing w:val="20"/>
          <w:w w:val="135"/>
          <w:sz w:val="30"/>
          <w:highlight w:val="none"/>
          <w:lang w:eastAsia="zh-CN"/>
          <w14:textFill>
            <w14:solidFill>
              <w14:schemeClr w14:val="tx1"/>
            </w14:solidFill>
          </w14:textFill>
        </w:rPr>
      </w:pPr>
      <w:r>
        <w:rPr>
          <w:rFonts w:hint="eastAsia" w:eastAsia="黑体"/>
          <w:b/>
          <w:color w:val="000000" w:themeColor="text1"/>
          <w:spacing w:val="20"/>
          <w:w w:val="135"/>
          <w:sz w:val="30"/>
          <w:highlight w:val="none"/>
          <w:lang w:eastAsia="zh-CN"/>
          <w14:textFill>
            <w14:solidFill>
              <w14:schemeClr w14:val="tx1"/>
            </w14:solidFill>
          </w14:textFill>
        </w:rPr>
        <w:t>广东天广能源科技发展有限公司</w:t>
      </w:r>
    </w:p>
    <w:p w14:paraId="77E8A48D">
      <w:pPr>
        <w:spacing w:before="480" w:beforeLines="200"/>
        <w:jc w:val="center"/>
        <w:rPr>
          <w:rFonts w:hint="eastAsia" w:eastAsia="黑体"/>
          <w:b/>
          <w:color w:val="000000" w:themeColor="text1"/>
          <w:spacing w:val="20"/>
          <w:w w:val="135"/>
          <w:sz w:val="30"/>
          <w:highlight w:val="none"/>
          <w:lang w:val="en-US" w:eastAsia="zh-CN"/>
          <w14:textFill>
            <w14:solidFill>
              <w14:schemeClr w14:val="tx1"/>
            </w14:solidFill>
          </w14:textFill>
        </w:rPr>
      </w:pPr>
      <w:r>
        <w:rPr>
          <w:rFonts w:eastAsia="黑体"/>
          <w:b/>
          <w:color w:val="000000" w:themeColor="text1"/>
          <w:spacing w:val="20"/>
          <w:w w:val="135"/>
          <w:sz w:val="30"/>
          <w:highlight w:val="none"/>
          <w14:textFill>
            <w14:solidFill>
              <w14:schemeClr w14:val="tx1"/>
            </w14:solidFill>
          </w14:textFill>
        </w:rPr>
        <w:t>20</w:t>
      </w:r>
      <w:r>
        <w:rPr>
          <w:rFonts w:hint="eastAsia" w:eastAsia="黑体"/>
          <w:b/>
          <w:color w:val="000000" w:themeColor="text1"/>
          <w:spacing w:val="20"/>
          <w:w w:val="135"/>
          <w:sz w:val="30"/>
          <w:highlight w:val="none"/>
          <w:lang w:val="en-US" w:eastAsia="zh-CN"/>
          <w14:textFill>
            <w14:solidFill>
              <w14:schemeClr w14:val="tx1"/>
            </w14:solidFill>
          </w14:textFill>
        </w:rPr>
        <w:t>26</w:t>
      </w:r>
      <w:r>
        <w:rPr>
          <w:rFonts w:eastAsia="黑体"/>
          <w:b/>
          <w:color w:val="000000" w:themeColor="text1"/>
          <w:spacing w:val="20"/>
          <w:w w:val="135"/>
          <w:sz w:val="30"/>
          <w:highlight w:val="none"/>
          <w14:textFill>
            <w14:solidFill>
              <w14:schemeClr w14:val="tx1"/>
            </w14:solidFill>
          </w14:textFill>
        </w:rPr>
        <w:t>年</w:t>
      </w:r>
      <w:r>
        <w:rPr>
          <w:rFonts w:hint="eastAsia" w:eastAsia="黑体"/>
          <w:b/>
          <w:color w:val="000000" w:themeColor="text1"/>
          <w:spacing w:val="20"/>
          <w:w w:val="135"/>
          <w:sz w:val="30"/>
          <w:highlight w:val="none"/>
          <w:lang w:val="en-US" w:eastAsia="zh-CN"/>
          <w14:textFill>
            <w14:solidFill>
              <w14:schemeClr w14:val="tx1"/>
            </w14:solidFill>
          </w14:textFill>
        </w:rPr>
        <w:t>0</w:t>
      </w:r>
      <w:r>
        <w:rPr>
          <w:rFonts w:hint="default" w:eastAsia="黑体"/>
          <w:b/>
          <w:color w:val="000000" w:themeColor="text1"/>
          <w:spacing w:val="20"/>
          <w:w w:val="135"/>
          <w:sz w:val="30"/>
          <w:highlight w:val="none"/>
          <w:lang w:val="en-US" w:eastAsia="zh-CN"/>
          <w14:textFill>
            <w14:solidFill>
              <w14:schemeClr w14:val="tx1"/>
            </w14:solidFill>
          </w14:textFill>
        </w:rPr>
        <w:t>9</w:t>
      </w:r>
      <w:r>
        <w:rPr>
          <w:rFonts w:hint="eastAsia" w:eastAsia="黑体"/>
          <w:b/>
          <w:color w:val="000000" w:themeColor="text1"/>
          <w:spacing w:val="20"/>
          <w:w w:val="135"/>
          <w:sz w:val="30"/>
          <w:highlight w:val="none"/>
          <w:lang w:val="en-US" w:eastAsia="zh-CN"/>
          <w14:textFill>
            <w14:solidFill>
              <w14:schemeClr w14:val="tx1"/>
            </w14:solidFill>
          </w14:textFill>
        </w:rPr>
        <w:t>月</w:t>
      </w:r>
    </w:p>
    <w:p w14:paraId="5E11D307">
      <w:pPr>
        <w:rPr>
          <w:rFonts w:hint="eastAsia" w:eastAsia="黑体"/>
          <w:b/>
          <w:color w:val="000000" w:themeColor="text1"/>
          <w:spacing w:val="20"/>
          <w:w w:val="135"/>
          <w:sz w:val="30"/>
          <w:highlight w:val="none"/>
          <w:lang w:val="en-US" w:eastAsia="zh-CN"/>
          <w14:textFill>
            <w14:solidFill>
              <w14:schemeClr w14:val="tx1"/>
            </w14:solidFill>
          </w14:textFill>
        </w:rPr>
      </w:pPr>
      <w:r>
        <w:rPr>
          <w:rFonts w:hint="eastAsia" w:eastAsia="黑体"/>
          <w:b/>
          <w:color w:val="000000" w:themeColor="text1"/>
          <w:spacing w:val="20"/>
          <w:w w:val="135"/>
          <w:sz w:val="30"/>
          <w:highlight w:val="none"/>
          <w:lang w:val="en-US" w:eastAsia="zh-CN"/>
          <w14:textFill>
            <w14:solidFill>
              <w14:schemeClr w14:val="tx1"/>
            </w14:solidFill>
          </w14:textFill>
        </w:rPr>
        <w:br w:type="page"/>
      </w:r>
    </w:p>
    <w:p w14:paraId="234D2E14">
      <w:pPr>
        <w:spacing w:before="480" w:beforeLines="200"/>
        <w:jc w:val="center"/>
        <w:rPr>
          <w:rFonts w:hint="default" w:eastAsia="黑体"/>
          <w:b/>
          <w:color w:val="000000" w:themeColor="text1"/>
          <w:spacing w:val="20"/>
          <w:w w:val="135"/>
          <w:sz w:val="30"/>
          <w:highlight w:val="none"/>
          <w:lang w:val="en-US" w:eastAsia="zh-CN"/>
          <w14:textFill>
            <w14:solidFill>
              <w14:schemeClr w14:val="tx1"/>
            </w14:solidFill>
          </w14:textFill>
        </w:rPr>
        <w:sectPr>
          <w:headerReference r:id="rId3" w:type="default"/>
          <w:footerReference r:id="rId4" w:type="default"/>
          <w:footerReference r:id="rId5" w:type="even"/>
          <w:pgSz w:w="11907" w:h="16839"/>
          <w:pgMar w:top="1440" w:right="1701" w:bottom="1440" w:left="1701" w:header="964" w:footer="737" w:gutter="0"/>
          <w:pgNumType w:start="1"/>
          <w:cols w:space="425" w:num="1"/>
          <w:titlePg/>
          <w:docGrid w:linePitch="312" w:charSpace="0"/>
        </w:sectPr>
      </w:pPr>
    </w:p>
    <w:p w14:paraId="089E6C69">
      <w:pPr>
        <w:spacing w:before="480" w:beforeLines="200"/>
        <w:jc w:val="center"/>
        <w:rPr>
          <w:rFonts w:hint="default" w:eastAsia="黑体"/>
          <w:b/>
          <w:color w:val="000000" w:themeColor="text1"/>
          <w:spacing w:val="20"/>
          <w:w w:val="135"/>
          <w:sz w:val="30"/>
          <w:highlight w:val="none"/>
          <w:lang w:val="en-US" w:eastAsia="zh-CN"/>
          <w14:textFill>
            <w14:solidFill>
              <w14:schemeClr w14:val="tx1"/>
            </w14:solidFill>
          </w14:textFill>
        </w:rPr>
        <w:sectPr>
          <w:pgSz w:w="11907" w:h="16839"/>
          <w:pgMar w:top="1440" w:right="1701" w:bottom="1440" w:left="1701" w:header="964" w:footer="737" w:gutter="0"/>
          <w:pgNumType w:start="1"/>
          <w:cols w:space="425" w:num="1"/>
          <w:titlePg/>
          <w:docGrid w:linePitch="312" w:charSpace="0"/>
        </w:sectPr>
      </w:pPr>
      <w:bookmarkStart w:id="216" w:name="_GoBack"/>
      <w:bookmarkEnd w:id="216"/>
    </w:p>
    <w:sdt>
      <w:sdtPr>
        <w:rPr>
          <w:rFonts w:ascii="宋体" w:hAnsi="宋体" w:eastAsia="宋体" w:cs="Times New Roman"/>
          <w:color w:val="000000" w:themeColor="text1"/>
          <w:kern w:val="2"/>
          <w:sz w:val="21"/>
          <w:szCs w:val="24"/>
          <w:highlight w:val="none"/>
          <w:lang w:val="en-US" w:eastAsia="zh-CN" w:bidi="ar-SA"/>
          <w14:textFill>
            <w14:solidFill>
              <w14:schemeClr w14:val="tx1"/>
            </w14:solidFill>
          </w14:textFill>
        </w:rPr>
        <w:id w:val="147458825"/>
        <w15:color w:val="DBDBDB"/>
        <w:docPartObj>
          <w:docPartGallery w:val="Table of Contents"/>
          <w:docPartUnique/>
        </w:docPartObj>
      </w:sdtPr>
      <w:sdtEndPr>
        <w:rPr>
          <w:rFonts w:ascii="宋体" w:hAnsi="宋体" w:eastAsia="宋体" w:cs="Times New Roman"/>
          <w:color w:val="000000" w:themeColor="text1"/>
          <w:kern w:val="2"/>
          <w:sz w:val="21"/>
          <w:szCs w:val="24"/>
          <w:highlight w:val="none"/>
          <w:lang w:val="en-US" w:eastAsia="zh-CN" w:bidi="ar-SA"/>
          <w14:textFill>
            <w14:solidFill>
              <w14:schemeClr w14:val="tx1"/>
            </w14:solidFill>
          </w14:textFill>
        </w:rPr>
      </w:sdtEndPr>
      <w:sdtContent>
        <w:p w14:paraId="680D6F4C">
          <w:pPr>
            <w:spacing w:before="0" w:beforeLines="0" w:after="0" w:afterLines="0" w:line="240" w:lineRule="auto"/>
            <w:ind w:left="0" w:leftChars="0" w:right="0" w:rightChars="0" w:firstLine="0" w:firstLineChars="0"/>
            <w:jc w:val="center"/>
            <w:rPr>
              <w:color w:val="000000" w:themeColor="text1"/>
              <w:highlight w:val="none"/>
              <w14:textFill>
                <w14:solidFill>
                  <w14:schemeClr w14:val="tx1"/>
                </w14:solidFill>
              </w14:textFill>
            </w:rPr>
          </w:pPr>
          <w:bookmarkStart w:id="1" w:name="_Toc229476588"/>
          <w:bookmarkEnd w:id="1"/>
          <w:bookmarkStart w:id="2" w:name="_Toc229476507"/>
          <w:bookmarkEnd w:id="2"/>
          <w:bookmarkStart w:id="3" w:name="_Toc229476378"/>
          <w:bookmarkEnd w:id="3"/>
          <w:bookmarkStart w:id="4" w:name="_Toc229476473"/>
          <w:bookmarkEnd w:id="4"/>
          <w:bookmarkStart w:id="5" w:name="_Toc112756677"/>
          <w:r>
            <w:rPr>
              <w:rFonts w:ascii="宋体" w:hAnsi="宋体" w:eastAsia="宋体"/>
              <w:color w:val="000000" w:themeColor="text1"/>
              <w:sz w:val="21"/>
              <w:highlight w:val="none"/>
              <w14:textFill>
                <w14:solidFill>
                  <w14:schemeClr w14:val="tx1"/>
                </w14:solidFill>
              </w14:textFill>
            </w:rPr>
            <w:t>目录</w:t>
          </w:r>
        </w:p>
        <w:p w14:paraId="09BA808D">
          <w:pPr>
            <w:pStyle w:val="21"/>
            <w:tabs>
              <w:tab w:val="right" w:leader="dot" w:pos="8312"/>
            </w:tabs>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TOC \o "1-2" \h \u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highlight w:val="none"/>
            </w:rPr>
            <w:instrText xml:space="preserve"> HYPERLINK \l _Toc9533 </w:instrText>
          </w:r>
          <w:r>
            <w:rPr>
              <w:highlight w:val="none"/>
            </w:rPr>
            <w:fldChar w:fldCharType="separate"/>
          </w:r>
          <w:r>
            <w:rPr>
              <w:rFonts w:hint="eastAsia"/>
              <w:szCs w:val="24"/>
              <w:highlight w:val="none"/>
            </w:rPr>
            <w:t>前 言</w:t>
          </w:r>
          <w:r>
            <w:tab/>
          </w:r>
          <w:r>
            <w:fldChar w:fldCharType="begin"/>
          </w:r>
          <w:r>
            <w:instrText xml:space="preserve"> PAGEREF _Toc9533 \h </w:instrText>
          </w:r>
          <w:r>
            <w:fldChar w:fldCharType="separate"/>
          </w:r>
          <w:r>
            <w:t>1</w:t>
          </w:r>
          <w:r>
            <w:fldChar w:fldCharType="end"/>
          </w:r>
          <w:r>
            <w:rPr>
              <w:color w:val="000000" w:themeColor="text1"/>
              <w:highlight w:val="none"/>
              <w14:textFill>
                <w14:solidFill>
                  <w14:schemeClr w14:val="tx1"/>
                </w14:solidFill>
              </w14:textFill>
            </w:rPr>
            <w:fldChar w:fldCharType="end"/>
          </w:r>
        </w:p>
        <w:p w14:paraId="5FC155E8">
          <w:pPr>
            <w:pStyle w:val="21"/>
            <w:tabs>
              <w:tab w:val="right" w:leader="dot" w:pos="8312"/>
            </w:tabs>
          </w:pPr>
          <w:r>
            <w:rPr>
              <w:color w:val="000000" w:themeColor="text1"/>
              <w:highlight w:val="none"/>
              <w14:textFill>
                <w14:solidFill>
                  <w14:schemeClr w14:val="tx1"/>
                </w14:solidFill>
              </w14:textFill>
            </w:rPr>
            <w:fldChar w:fldCharType="begin"/>
          </w:r>
          <w:r>
            <w:rPr>
              <w:highlight w:val="none"/>
            </w:rPr>
            <w:instrText xml:space="preserve"> HYPERLINK \l _Toc32093 </w:instrText>
          </w:r>
          <w:r>
            <w:rPr>
              <w:highlight w:val="none"/>
            </w:rPr>
            <w:fldChar w:fldCharType="separate"/>
          </w:r>
          <w:r>
            <w:rPr>
              <w:rFonts w:hint="default" w:ascii="Times New Roman" w:hAnsi="Times New Roman" w:cs="Times New Roman"/>
              <w:highlight w:val="none"/>
              <w:lang w:val="en-US" w:eastAsia="zh-CN"/>
            </w:rPr>
            <w:t>1</w:t>
          </w:r>
          <w:r>
            <w:rPr>
              <w:szCs w:val="24"/>
              <w:highlight w:val="none"/>
            </w:rPr>
            <w:t>总则</w:t>
          </w:r>
          <w:r>
            <w:tab/>
          </w:r>
          <w:r>
            <w:fldChar w:fldCharType="begin"/>
          </w:r>
          <w:r>
            <w:instrText xml:space="preserve"> PAGEREF _Toc32093 \h </w:instrText>
          </w:r>
          <w:r>
            <w:fldChar w:fldCharType="separate"/>
          </w:r>
          <w:r>
            <w:t>2</w:t>
          </w:r>
          <w:r>
            <w:fldChar w:fldCharType="end"/>
          </w:r>
          <w:r>
            <w:rPr>
              <w:color w:val="000000" w:themeColor="text1"/>
              <w:highlight w:val="none"/>
              <w14:textFill>
                <w14:solidFill>
                  <w14:schemeClr w14:val="tx1"/>
                </w14:solidFill>
              </w14:textFill>
            </w:rPr>
            <w:fldChar w:fldCharType="end"/>
          </w:r>
        </w:p>
        <w:p w14:paraId="1F7F759B">
          <w:pPr>
            <w:pStyle w:val="23"/>
            <w:tabs>
              <w:tab w:val="right" w:leader="dot" w:pos="8312"/>
              <w:tab w:val="clear" w:pos="900"/>
              <w:tab w:val="clear" w:pos="8296"/>
            </w:tabs>
          </w:pPr>
          <w:r>
            <w:rPr>
              <w:color w:val="000000" w:themeColor="text1"/>
              <w:highlight w:val="none"/>
              <w14:textFill>
                <w14:solidFill>
                  <w14:schemeClr w14:val="tx1"/>
                </w14:solidFill>
              </w14:textFill>
            </w:rPr>
            <w:fldChar w:fldCharType="begin"/>
          </w:r>
          <w:r>
            <w:rPr>
              <w:highlight w:val="none"/>
            </w:rPr>
            <w:instrText xml:space="preserve"> HYPERLINK \l _Toc27521 </w:instrText>
          </w:r>
          <w:r>
            <w:rPr>
              <w:highlight w:val="none"/>
            </w:rPr>
            <w:fldChar w:fldCharType="separate"/>
          </w:r>
          <w:r>
            <w:rPr>
              <w:rFonts w:hint="default" w:ascii="Times New Roman" w:hAnsi="Times New Roman" w:cs="Times New Roman"/>
              <w:bCs/>
            </w:rPr>
            <w:t xml:space="preserve">1.1. </w:t>
          </w:r>
          <w:r>
            <w:rPr>
              <w:rFonts w:hint="eastAsia" w:ascii="黑体" w:hAnsi="黑体" w:eastAsia="黑体" w:cs="黑体"/>
              <w:bCs/>
              <w:szCs w:val="24"/>
              <w:highlight w:val="none"/>
            </w:rPr>
            <w:t>适用范围</w:t>
          </w:r>
          <w:r>
            <w:tab/>
          </w:r>
          <w:r>
            <w:fldChar w:fldCharType="begin"/>
          </w:r>
          <w:r>
            <w:instrText xml:space="preserve"> PAGEREF _Toc27521 \h </w:instrText>
          </w:r>
          <w:r>
            <w:fldChar w:fldCharType="separate"/>
          </w:r>
          <w:r>
            <w:t>2</w:t>
          </w:r>
          <w:r>
            <w:fldChar w:fldCharType="end"/>
          </w:r>
          <w:r>
            <w:rPr>
              <w:color w:val="000000" w:themeColor="text1"/>
              <w:highlight w:val="none"/>
              <w14:textFill>
                <w14:solidFill>
                  <w14:schemeClr w14:val="tx1"/>
                </w14:solidFill>
              </w14:textFill>
            </w:rPr>
            <w:fldChar w:fldCharType="end"/>
          </w:r>
        </w:p>
        <w:p w14:paraId="0AE7F059">
          <w:pPr>
            <w:pStyle w:val="23"/>
            <w:tabs>
              <w:tab w:val="right" w:leader="dot" w:pos="8312"/>
              <w:tab w:val="clear" w:pos="900"/>
              <w:tab w:val="clear" w:pos="8296"/>
            </w:tabs>
          </w:pPr>
          <w:r>
            <w:rPr>
              <w:color w:val="000000" w:themeColor="text1"/>
              <w:highlight w:val="none"/>
              <w14:textFill>
                <w14:solidFill>
                  <w14:schemeClr w14:val="tx1"/>
                </w14:solidFill>
              </w14:textFill>
            </w:rPr>
            <w:fldChar w:fldCharType="begin"/>
          </w:r>
          <w:r>
            <w:rPr>
              <w:highlight w:val="none"/>
            </w:rPr>
            <w:instrText xml:space="preserve"> HYPERLINK \l _Toc14463 </w:instrText>
          </w:r>
          <w:r>
            <w:rPr>
              <w:highlight w:val="none"/>
            </w:rPr>
            <w:fldChar w:fldCharType="separate"/>
          </w:r>
          <w:r>
            <w:rPr>
              <w:rFonts w:hint="default" w:ascii="Times New Roman" w:hAnsi="Times New Roman" w:eastAsia="黑体" w:cs="Times New Roman"/>
              <w:bCs/>
              <w:szCs w:val="24"/>
            </w:rPr>
            <w:t xml:space="preserve">1.2. </w:t>
          </w:r>
          <w:r>
            <w:rPr>
              <w:rFonts w:hint="eastAsia" w:ascii="黑体" w:hAnsi="黑体" w:eastAsia="黑体" w:cs="黑体"/>
              <w:bCs/>
              <w:szCs w:val="24"/>
              <w:highlight w:val="none"/>
            </w:rPr>
            <w:t>规范性引用文件</w:t>
          </w:r>
          <w:r>
            <w:tab/>
          </w:r>
          <w:r>
            <w:fldChar w:fldCharType="begin"/>
          </w:r>
          <w:r>
            <w:instrText xml:space="preserve"> PAGEREF _Toc14463 \h </w:instrText>
          </w:r>
          <w:r>
            <w:fldChar w:fldCharType="separate"/>
          </w:r>
          <w:r>
            <w:t>2</w:t>
          </w:r>
          <w:r>
            <w:fldChar w:fldCharType="end"/>
          </w:r>
          <w:r>
            <w:rPr>
              <w:color w:val="000000" w:themeColor="text1"/>
              <w:highlight w:val="none"/>
              <w14:textFill>
                <w14:solidFill>
                  <w14:schemeClr w14:val="tx1"/>
                </w14:solidFill>
              </w14:textFill>
            </w:rPr>
            <w:fldChar w:fldCharType="end"/>
          </w:r>
        </w:p>
        <w:p w14:paraId="3469D7A0">
          <w:pPr>
            <w:pStyle w:val="23"/>
            <w:tabs>
              <w:tab w:val="right" w:leader="dot" w:pos="8312"/>
              <w:tab w:val="clear" w:pos="900"/>
              <w:tab w:val="clear" w:pos="8296"/>
            </w:tabs>
          </w:pPr>
          <w:r>
            <w:rPr>
              <w:color w:val="000000" w:themeColor="text1"/>
              <w:highlight w:val="none"/>
              <w14:textFill>
                <w14:solidFill>
                  <w14:schemeClr w14:val="tx1"/>
                </w14:solidFill>
              </w14:textFill>
            </w:rPr>
            <w:fldChar w:fldCharType="begin"/>
          </w:r>
          <w:r>
            <w:rPr>
              <w:highlight w:val="none"/>
            </w:rPr>
            <w:instrText xml:space="preserve"> HYPERLINK \l _Toc23158 </w:instrText>
          </w:r>
          <w:r>
            <w:rPr>
              <w:highlight w:val="none"/>
            </w:rPr>
            <w:fldChar w:fldCharType="separate"/>
          </w:r>
          <w:r>
            <w:rPr>
              <w:rFonts w:hint="default" w:ascii="Times New Roman" w:hAnsi="Times New Roman" w:eastAsia="黑体" w:cs="Times New Roman"/>
              <w:bCs/>
              <w:szCs w:val="24"/>
            </w:rPr>
            <w:t xml:space="preserve">1.3. </w:t>
          </w:r>
          <w:r>
            <w:rPr>
              <w:rFonts w:hint="eastAsia" w:ascii="黑体" w:hAnsi="黑体" w:eastAsia="黑体" w:cs="黑体"/>
              <w:bCs/>
              <w:szCs w:val="24"/>
              <w:highlight w:val="none"/>
            </w:rPr>
            <w:t>术语和定义</w:t>
          </w:r>
          <w:r>
            <w:tab/>
          </w:r>
          <w:r>
            <w:fldChar w:fldCharType="begin"/>
          </w:r>
          <w:r>
            <w:instrText xml:space="preserve"> PAGEREF _Toc23158 \h </w:instrText>
          </w:r>
          <w:r>
            <w:fldChar w:fldCharType="separate"/>
          </w:r>
          <w:r>
            <w:t>2</w:t>
          </w:r>
          <w:r>
            <w:fldChar w:fldCharType="end"/>
          </w:r>
          <w:r>
            <w:rPr>
              <w:color w:val="000000" w:themeColor="text1"/>
              <w:highlight w:val="none"/>
              <w14:textFill>
                <w14:solidFill>
                  <w14:schemeClr w14:val="tx1"/>
                </w14:solidFill>
              </w14:textFill>
            </w:rPr>
            <w:fldChar w:fldCharType="end"/>
          </w:r>
        </w:p>
        <w:p w14:paraId="351193F6">
          <w:pPr>
            <w:pStyle w:val="23"/>
            <w:tabs>
              <w:tab w:val="right" w:leader="dot" w:pos="8312"/>
              <w:tab w:val="clear" w:pos="900"/>
              <w:tab w:val="clear" w:pos="8296"/>
            </w:tabs>
          </w:pPr>
          <w:r>
            <w:rPr>
              <w:color w:val="000000" w:themeColor="text1"/>
              <w:highlight w:val="none"/>
              <w14:textFill>
                <w14:solidFill>
                  <w14:schemeClr w14:val="tx1"/>
                </w14:solidFill>
              </w14:textFill>
            </w:rPr>
            <w:fldChar w:fldCharType="begin"/>
          </w:r>
          <w:r>
            <w:rPr>
              <w:highlight w:val="none"/>
            </w:rPr>
            <w:instrText xml:space="preserve"> HYPERLINK \l _Toc11309 </w:instrText>
          </w:r>
          <w:r>
            <w:rPr>
              <w:highlight w:val="none"/>
            </w:rPr>
            <w:fldChar w:fldCharType="separate"/>
          </w:r>
          <w:r>
            <w:rPr>
              <w:rFonts w:hint="default" w:ascii="Times New Roman" w:hAnsi="Times New Roman" w:eastAsia="黑体" w:cs="Times New Roman"/>
              <w:bCs/>
              <w:szCs w:val="24"/>
            </w:rPr>
            <w:t xml:space="preserve">1.4. </w:t>
          </w:r>
          <w:r>
            <w:rPr>
              <w:rFonts w:hint="eastAsia" w:ascii="黑体" w:hAnsi="黑体" w:eastAsia="黑体" w:cs="黑体"/>
              <w:bCs/>
              <w:szCs w:val="24"/>
              <w:highlight w:val="none"/>
            </w:rPr>
            <w:t>总体技术原则</w:t>
          </w:r>
          <w:r>
            <w:tab/>
          </w:r>
          <w:r>
            <w:fldChar w:fldCharType="begin"/>
          </w:r>
          <w:r>
            <w:instrText xml:space="preserve"> PAGEREF _Toc11309 \h </w:instrText>
          </w:r>
          <w:r>
            <w:fldChar w:fldCharType="separate"/>
          </w:r>
          <w:r>
            <w:t>3</w:t>
          </w:r>
          <w:r>
            <w:fldChar w:fldCharType="end"/>
          </w:r>
          <w:r>
            <w:rPr>
              <w:color w:val="000000" w:themeColor="text1"/>
              <w:highlight w:val="none"/>
              <w14:textFill>
                <w14:solidFill>
                  <w14:schemeClr w14:val="tx1"/>
                </w14:solidFill>
              </w14:textFill>
            </w:rPr>
            <w:fldChar w:fldCharType="end"/>
          </w:r>
        </w:p>
        <w:p w14:paraId="33772314">
          <w:pPr>
            <w:pStyle w:val="23"/>
            <w:tabs>
              <w:tab w:val="right" w:leader="dot" w:pos="8312"/>
              <w:tab w:val="clear" w:pos="900"/>
              <w:tab w:val="clear" w:pos="8296"/>
            </w:tabs>
          </w:pPr>
          <w:r>
            <w:rPr>
              <w:color w:val="000000" w:themeColor="text1"/>
              <w:highlight w:val="none"/>
              <w14:textFill>
                <w14:solidFill>
                  <w14:schemeClr w14:val="tx1"/>
                </w14:solidFill>
              </w14:textFill>
            </w:rPr>
            <w:fldChar w:fldCharType="begin"/>
          </w:r>
          <w:r>
            <w:rPr>
              <w:highlight w:val="none"/>
            </w:rPr>
            <w:instrText xml:space="preserve"> HYPERLINK \l _Toc22760 </w:instrText>
          </w:r>
          <w:r>
            <w:rPr>
              <w:highlight w:val="none"/>
            </w:rPr>
            <w:fldChar w:fldCharType="separate"/>
          </w:r>
          <w:r>
            <w:rPr>
              <w:rFonts w:hint="default" w:ascii="Times New Roman" w:hAnsi="Times New Roman" w:eastAsia="黑体" w:cs="Times New Roman"/>
              <w:bCs/>
              <w:szCs w:val="24"/>
            </w:rPr>
            <w:t xml:space="preserve">1.5. </w:t>
          </w:r>
          <w:r>
            <w:rPr>
              <w:rFonts w:hint="eastAsia" w:ascii="黑体" w:hAnsi="黑体" w:eastAsia="黑体" w:cs="黑体"/>
              <w:bCs/>
              <w:szCs w:val="24"/>
              <w:highlight w:val="none"/>
            </w:rPr>
            <w:t>框架采购约定</w:t>
          </w:r>
          <w:r>
            <w:tab/>
          </w:r>
          <w:r>
            <w:fldChar w:fldCharType="begin"/>
          </w:r>
          <w:r>
            <w:instrText xml:space="preserve"> PAGEREF _Toc22760 \h </w:instrText>
          </w:r>
          <w:r>
            <w:fldChar w:fldCharType="separate"/>
          </w:r>
          <w:r>
            <w:t>3</w:t>
          </w:r>
          <w:r>
            <w:fldChar w:fldCharType="end"/>
          </w:r>
          <w:r>
            <w:rPr>
              <w:color w:val="000000" w:themeColor="text1"/>
              <w:highlight w:val="none"/>
              <w14:textFill>
                <w14:solidFill>
                  <w14:schemeClr w14:val="tx1"/>
                </w14:solidFill>
              </w14:textFill>
            </w:rPr>
            <w:fldChar w:fldCharType="end"/>
          </w:r>
        </w:p>
        <w:p w14:paraId="253EBC33">
          <w:pPr>
            <w:pStyle w:val="21"/>
            <w:tabs>
              <w:tab w:val="right" w:leader="dot" w:pos="8312"/>
            </w:tabs>
          </w:pPr>
          <w:r>
            <w:rPr>
              <w:color w:val="000000" w:themeColor="text1"/>
              <w:highlight w:val="none"/>
              <w14:textFill>
                <w14:solidFill>
                  <w14:schemeClr w14:val="tx1"/>
                </w14:solidFill>
              </w14:textFill>
            </w:rPr>
            <w:fldChar w:fldCharType="begin"/>
          </w:r>
          <w:r>
            <w:rPr>
              <w:highlight w:val="none"/>
            </w:rPr>
            <w:instrText xml:space="preserve"> HYPERLINK \l _Toc21252 </w:instrText>
          </w:r>
          <w:r>
            <w:rPr>
              <w:highlight w:val="none"/>
            </w:rPr>
            <w:fldChar w:fldCharType="separate"/>
          </w:r>
          <w:r>
            <w:rPr>
              <w:rFonts w:hint="default" w:ascii="Times New Roman" w:hAnsi="Times New Roman" w:cs="Times New Roman"/>
              <w:szCs w:val="24"/>
              <w:highlight w:val="none"/>
              <w:lang w:val="en-US" w:eastAsia="zh-CN"/>
            </w:rPr>
            <w:t>2</w:t>
          </w:r>
          <w:r>
            <w:rPr>
              <w:rFonts w:hint="eastAsia" w:ascii="宋体" w:hAnsi="宋体" w:eastAsia="宋体" w:cs="宋体"/>
              <w:szCs w:val="24"/>
              <w:highlight w:val="none"/>
            </w:rPr>
            <w:t>项目概况及代加工要求</w:t>
          </w:r>
          <w:r>
            <w:tab/>
          </w:r>
          <w:r>
            <w:fldChar w:fldCharType="begin"/>
          </w:r>
          <w:r>
            <w:instrText xml:space="preserve"> PAGEREF _Toc21252 \h </w:instrText>
          </w:r>
          <w:r>
            <w:fldChar w:fldCharType="separate"/>
          </w:r>
          <w:r>
            <w:t>3</w:t>
          </w:r>
          <w:r>
            <w:fldChar w:fldCharType="end"/>
          </w:r>
          <w:r>
            <w:rPr>
              <w:color w:val="000000" w:themeColor="text1"/>
              <w:highlight w:val="none"/>
              <w14:textFill>
                <w14:solidFill>
                  <w14:schemeClr w14:val="tx1"/>
                </w14:solidFill>
              </w14:textFill>
            </w:rPr>
            <w:fldChar w:fldCharType="end"/>
          </w:r>
        </w:p>
        <w:p w14:paraId="594EAD0C">
          <w:pPr>
            <w:pStyle w:val="23"/>
            <w:tabs>
              <w:tab w:val="right" w:leader="dot" w:pos="8312"/>
              <w:tab w:val="clear" w:pos="900"/>
              <w:tab w:val="clear" w:pos="8296"/>
            </w:tabs>
          </w:pPr>
          <w:r>
            <w:rPr>
              <w:color w:val="000000" w:themeColor="text1"/>
              <w:highlight w:val="none"/>
              <w14:textFill>
                <w14:solidFill>
                  <w14:schemeClr w14:val="tx1"/>
                </w14:solidFill>
              </w14:textFill>
            </w:rPr>
            <w:fldChar w:fldCharType="begin"/>
          </w:r>
          <w:r>
            <w:rPr>
              <w:highlight w:val="none"/>
            </w:rPr>
            <w:instrText xml:space="preserve"> HYPERLINK \l _Toc29175 </w:instrText>
          </w:r>
          <w:r>
            <w:rPr>
              <w:highlight w:val="none"/>
            </w:rPr>
            <w:fldChar w:fldCharType="separate"/>
          </w:r>
          <w:r>
            <w:rPr>
              <w:rFonts w:hint="default" w:ascii="Times New Roman" w:hAnsi="Times New Roman" w:eastAsia="黑体" w:cs="Times New Roman"/>
              <w:szCs w:val="24"/>
            </w:rPr>
            <w:t xml:space="preserve">2.1. </w:t>
          </w:r>
          <w:r>
            <w:rPr>
              <w:rFonts w:hint="eastAsia" w:ascii="黑体" w:hAnsi="黑体" w:eastAsia="黑体" w:cs="黑体"/>
              <w:szCs w:val="24"/>
              <w:highlight w:val="none"/>
            </w:rPr>
            <w:t>项目概况</w:t>
          </w:r>
          <w:r>
            <w:tab/>
          </w:r>
          <w:r>
            <w:fldChar w:fldCharType="begin"/>
          </w:r>
          <w:r>
            <w:instrText xml:space="preserve"> PAGEREF _Toc29175 \h </w:instrText>
          </w:r>
          <w:r>
            <w:fldChar w:fldCharType="separate"/>
          </w:r>
          <w:r>
            <w:t>3</w:t>
          </w:r>
          <w:r>
            <w:fldChar w:fldCharType="end"/>
          </w:r>
          <w:r>
            <w:rPr>
              <w:color w:val="000000" w:themeColor="text1"/>
              <w:highlight w:val="none"/>
              <w14:textFill>
                <w14:solidFill>
                  <w14:schemeClr w14:val="tx1"/>
                </w14:solidFill>
              </w14:textFill>
            </w:rPr>
            <w:fldChar w:fldCharType="end"/>
          </w:r>
        </w:p>
        <w:p w14:paraId="7709A19E">
          <w:pPr>
            <w:pStyle w:val="23"/>
            <w:tabs>
              <w:tab w:val="right" w:leader="dot" w:pos="8312"/>
              <w:tab w:val="clear" w:pos="900"/>
              <w:tab w:val="clear" w:pos="8296"/>
            </w:tabs>
          </w:pPr>
          <w:r>
            <w:rPr>
              <w:color w:val="000000" w:themeColor="text1"/>
              <w:highlight w:val="none"/>
              <w14:textFill>
                <w14:solidFill>
                  <w14:schemeClr w14:val="tx1"/>
                </w14:solidFill>
              </w14:textFill>
            </w:rPr>
            <w:fldChar w:fldCharType="begin"/>
          </w:r>
          <w:r>
            <w:rPr>
              <w:highlight w:val="none"/>
            </w:rPr>
            <w:instrText xml:space="preserve"> HYPERLINK \l _Toc699 </w:instrText>
          </w:r>
          <w:r>
            <w:rPr>
              <w:highlight w:val="none"/>
            </w:rPr>
            <w:fldChar w:fldCharType="separate"/>
          </w:r>
          <w:r>
            <w:rPr>
              <w:rFonts w:hint="default" w:ascii="Times New Roman" w:hAnsi="Times New Roman" w:eastAsia="黑体" w:cs="Times New Roman"/>
              <w:szCs w:val="24"/>
            </w:rPr>
            <w:t xml:space="preserve">2.2. </w:t>
          </w:r>
          <w:r>
            <w:rPr>
              <w:rFonts w:hint="eastAsia" w:ascii="黑体" w:hAnsi="黑体" w:eastAsia="黑体" w:cs="黑体"/>
              <w:szCs w:val="24"/>
              <w:highlight w:val="none"/>
            </w:rPr>
            <w:t>代加工核心要求</w:t>
          </w:r>
          <w:r>
            <w:tab/>
          </w:r>
          <w:r>
            <w:fldChar w:fldCharType="begin"/>
          </w:r>
          <w:r>
            <w:instrText xml:space="preserve"> PAGEREF _Toc699 \h </w:instrText>
          </w:r>
          <w:r>
            <w:fldChar w:fldCharType="separate"/>
          </w:r>
          <w:r>
            <w:t>4</w:t>
          </w:r>
          <w:r>
            <w:fldChar w:fldCharType="end"/>
          </w:r>
          <w:r>
            <w:rPr>
              <w:color w:val="000000" w:themeColor="text1"/>
              <w:highlight w:val="none"/>
              <w14:textFill>
                <w14:solidFill>
                  <w14:schemeClr w14:val="tx1"/>
                </w14:solidFill>
              </w14:textFill>
            </w:rPr>
            <w:fldChar w:fldCharType="end"/>
          </w:r>
        </w:p>
        <w:p w14:paraId="26020A12">
          <w:pPr>
            <w:pStyle w:val="23"/>
            <w:tabs>
              <w:tab w:val="right" w:leader="dot" w:pos="8312"/>
              <w:tab w:val="clear" w:pos="900"/>
              <w:tab w:val="clear" w:pos="8296"/>
            </w:tabs>
          </w:pPr>
          <w:r>
            <w:rPr>
              <w:color w:val="000000" w:themeColor="text1"/>
              <w:highlight w:val="none"/>
              <w14:textFill>
                <w14:solidFill>
                  <w14:schemeClr w14:val="tx1"/>
                </w14:solidFill>
              </w14:textFill>
            </w:rPr>
            <w:fldChar w:fldCharType="begin"/>
          </w:r>
          <w:r>
            <w:rPr>
              <w:highlight w:val="none"/>
            </w:rPr>
            <w:instrText xml:space="preserve"> HYPERLINK \l _Toc1865 </w:instrText>
          </w:r>
          <w:r>
            <w:rPr>
              <w:highlight w:val="none"/>
            </w:rPr>
            <w:fldChar w:fldCharType="separate"/>
          </w:r>
          <w:r>
            <w:rPr>
              <w:rFonts w:hint="default" w:ascii="Times New Roman" w:hAnsi="Times New Roman" w:eastAsia="黑体" w:cs="Times New Roman"/>
              <w:szCs w:val="24"/>
            </w:rPr>
            <w:t xml:space="preserve">2.3. </w:t>
          </w:r>
          <w:r>
            <w:rPr>
              <w:rFonts w:hint="eastAsia" w:ascii="黑体" w:hAnsi="黑体" w:eastAsia="黑体" w:cs="黑体"/>
              <w:szCs w:val="24"/>
              <w:highlight w:val="none"/>
            </w:rPr>
            <w:t>现场及生产环境要求</w:t>
          </w:r>
          <w:r>
            <w:tab/>
          </w:r>
          <w:r>
            <w:fldChar w:fldCharType="begin"/>
          </w:r>
          <w:r>
            <w:instrText xml:space="preserve"> PAGEREF _Toc1865 \h </w:instrText>
          </w:r>
          <w:r>
            <w:fldChar w:fldCharType="separate"/>
          </w:r>
          <w:r>
            <w:t>4</w:t>
          </w:r>
          <w:r>
            <w:fldChar w:fldCharType="end"/>
          </w:r>
          <w:r>
            <w:rPr>
              <w:color w:val="000000" w:themeColor="text1"/>
              <w:highlight w:val="none"/>
              <w14:textFill>
                <w14:solidFill>
                  <w14:schemeClr w14:val="tx1"/>
                </w14:solidFill>
              </w14:textFill>
            </w:rPr>
            <w:fldChar w:fldCharType="end"/>
          </w:r>
        </w:p>
        <w:p w14:paraId="1C520678">
          <w:pPr>
            <w:pStyle w:val="23"/>
            <w:tabs>
              <w:tab w:val="right" w:leader="dot" w:pos="8312"/>
              <w:tab w:val="clear" w:pos="900"/>
              <w:tab w:val="clear" w:pos="8296"/>
            </w:tabs>
          </w:pPr>
          <w:r>
            <w:rPr>
              <w:color w:val="000000" w:themeColor="text1"/>
              <w:highlight w:val="none"/>
              <w14:textFill>
                <w14:solidFill>
                  <w14:schemeClr w14:val="tx1"/>
                </w14:solidFill>
              </w14:textFill>
            </w:rPr>
            <w:fldChar w:fldCharType="begin"/>
          </w:r>
          <w:r>
            <w:rPr>
              <w:highlight w:val="none"/>
            </w:rPr>
            <w:instrText xml:space="preserve"> HYPERLINK \l _Toc5630 </w:instrText>
          </w:r>
          <w:r>
            <w:rPr>
              <w:highlight w:val="none"/>
            </w:rPr>
            <w:fldChar w:fldCharType="separate"/>
          </w:r>
          <w:r>
            <w:rPr>
              <w:rFonts w:hint="default" w:ascii="Times New Roman" w:hAnsi="Times New Roman" w:eastAsia="黑体" w:cs="Times New Roman"/>
              <w:szCs w:val="24"/>
            </w:rPr>
            <w:t xml:space="preserve">2.4. </w:t>
          </w:r>
          <w:r>
            <w:rPr>
              <w:rFonts w:hint="eastAsia" w:ascii="黑体" w:hAnsi="黑体" w:eastAsia="黑体" w:cs="黑体"/>
              <w:szCs w:val="24"/>
              <w:highlight w:val="none"/>
              <w:lang w:val="en-US" w:eastAsia="zh-CN"/>
            </w:rPr>
            <w:t>供货范围一览表</w:t>
          </w:r>
          <w:r>
            <w:tab/>
          </w:r>
          <w:r>
            <w:fldChar w:fldCharType="begin"/>
          </w:r>
          <w:r>
            <w:instrText xml:space="preserve"> PAGEREF _Toc5630 \h </w:instrText>
          </w:r>
          <w:r>
            <w:fldChar w:fldCharType="separate"/>
          </w:r>
          <w:r>
            <w:t>4</w:t>
          </w:r>
          <w:r>
            <w:fldChar w:fldCharType="end"/>
          </w:r>
          <w:r>
            <w:rPr>
              <w:color w:val="000000" w:themeColor="text1"/>
              <w:highlight w:val="none"/>
              <w14:textFill>
                <w14:solidFill>
                  <w14:schemeClr w14:val="tx1"/>
                </w14:solidFill>
              </w14:textFill>
            </w:rPr>
            <w:fldChar w:fldCharType="end"/>
          </w:r>
        </w:p>
        <w:p w14:paraId="3E12A2D4">
          <w:pPr>
            <w:pStyle w:val="21"/>
            <w:tabs>
              <w:tab w:val="right" w:leader="dot" w:pos="8312"/>
            </w:tabs>
          </w:pPr>
          <w:r>
            <w:rPr>
              <w:color w:val="000000" w:themeColor="text1"/>
              <w:highlight w:val="none"/>
              <w14:textFill>
                <w14:solidFill>
                  <w14:schemeClr w14:val="tx1"/>
                </w14:solidFill>
              </w14:textFill>
            </w:rPr>
            <w:fldChar w:fldCharType="begin"/>
          </w:r>
          <w:r>
            <w:rPr>
              <w:highlight w:val="none"/>
            </w:rPr>
            <w:instrText xml:space="preserve"> HYPERLINK \l _Toc4598 </w:instrText>
          </w:r>
          <w:r>
            <w:rPr>
              <w:highlight w:val="none"/>
            </w:rPr>
            <w:fldChar w:fldCharType="separate"/>
          </w:r>
          <w:r>
            <w:rPr>
              <w:rFonts w:hint="default" w:ascii="Times New Roman" w:hAnsi="Times New Roman" w:cs="Times New Roman"/>
              <w:szCs w:val="24"/>
              <w:highlight w:val="none"/>
              <w:lang w:val="en-US" w:eastAsia="zh-CN"/>
            </w:rPr>
            <w:t>3</w:t>
          </w:r>
          <w:r>
            <w:rPr>
              <w:rFonts w:hint="eastAsia" w:ascii="宋体" w:hAnsi="宋体" w:eastAsia="宋体" w:cs="宋体"/>
              <w:szCs w:val="24"/>
              <w:highlight w:val="none"/>
            </w:rPr>
            <w:t>代加工范围及内容</w:t>
          </w:r>
          <w:r>
            <w:tab/>
          </w:r>
          <w:r>
            <w:fldChar w:fldCharType="begin"/>
          </w:r>
          <w:r>
            <w:instrText xml:space="preserve"> PAGEREF _Toc4598 \h </w:instrText>
          </w:r>
          <w:r>
            <w:fldChar w:fldCharType="separate"/>
          </w:r>
          <w:r>
            <w:t>7</w:t>
          </w:r>
          <w:r>
            <w:fldChar w:fldCharType="end"/>
          </w:r>
          <w:r>
            <w:rPr>
              <w:color w:val="000000" w:themeColor="text1"/>
              <w:highlight w:val="none"/>
              <w14:textFill>
                <w14:solidFill>
                  <w14:schemeClr w14:val="tx1"/>
                </w14:solidFill>
              </w14:textFill>
            </w:rPr>
            <w:fldChar w:fldCharType="end"/>
          </w:r>
        </w:p>
        <w:p w14:paraId="70581211">
          <w:pPr>
            <w:pStyle w:val="21"/>
            <w:tabs>
              <w:tab w:val="right" w:leader="dot" w:pos="8312"/>
            </w:tabs>
          </w:pPr>
          <w:r>
            <w:rPr>
              <w:color w:val="000000" w:themeColor="text1"/>
              <w:highlight w:val="none"/>
              <w14:textFill>
                <w14:solidFill>
                  <w14:schemeClr w14:val="tx1"/>
                </w14:solidFill>
              </w14:textFill>
            </w:rPr>
            <w:fldChar w:fldCharType="begin"/>
          </w:r>
          <w:r>
            <w:rPr>
              <w:highlight w:val="none"/>
            </w:rPr>
            <w:instrText xml:space="preserve"> HYPERLINK \l _Toc28215 </w:instrText>
          </w:r>
          <w:r>
            <w:rPr>
              <w:highlight w:val="none"/>
            </w:rPr>
            <w:fldChar w:fldCharType="separate"/>
          </w:r>
          <w:r>
            <w:rPr>
              <w:rFonts w:hint="default" w:ascii="Times New Roman" w:hAnsi="Times New Roman" w:cs="Times New Roman"/>
              <w:szCs w:val="24"/>
              <w:highlight w:val="none"/>
              <w:lang w:val="en-US" w:eastAsia="zh-CN"/>
            </w:rPr>
            <w:t>4</w:t>
          </w:r>
          <w:r>
            <w:rPr>
              <w:rFonts w:hint="eastAsia" w:ascii="宋体" w:hAnsi="宋体" w:eastAsia="宋体" w:cs="宋体"/>
              <w:szCs w:val="24"/>
              <w:highlight w:val="none"/>
            </w:rPr>
            <w:t>详细技术及代加工要求</w:t>
          </w:r>
          <w:r>
            <w:tab/>
          </w:r>
          <w:r>
            <w:fldChar w:fldCharType="begin"/>
          </w:r>
          <w:r>
            <w:instrText xml:space="preserve"> PAGEREF _Toc28215 \h </w:instrText>
          </w:r>
          <w:r>
            <w:fldChar w:fldCharType="separate"/>
          </w:r>
          <w:r>
            <w:t>7</w:t>
          </w:r>
          <w:r>
            <w:fldChar w:fldCharType="end"/>
          </w:r>
          <w:r>
            <w:rPr>
              <w:color w:val="000000" w:themeColor="text1"/>
              <w:highlight w:val="none"/>
              <w14:textFill>
                <w14:solidFill>
                  <w14:schemeClr w14:val="tx1"/>
                </w14:solidFill>
              </w14:textFill>
            </w:rPr>
            <w:fldChar w:fldCharType="end"/>
          </w:r>
        </w:p>
        <w:p w14:paraId="7D02181C">
          <w:pPr>
            <w:pStyle w:val="23"/>
            <w:tabs>
              <w:tab w:val="right" w:leader="dot" w:pos="8312"/>
              <w:tab w:val="clear" w:pos="900"/>
              <w:tab w:val="clear" w:pos="8296"/>
            </w:tabs>
          </w:pPr>
          <w:r>
            <w:rPr>
              <w:color w:val="000000" w:themeColor="text1"/>
              <w:highlight w:val="none"/>
              <w14:textFill>
                <w14:solidFill>
                  <w14:schemeClr w14:val="tx1"/>
                </w14:solidFill>
              </w14:textFill>
            </w:rPr>
            <w:fldChar w:fldCharType="begin"/>
          </w:r>
          <w:r>
            <w:rPr>
              <w:highlight w:val="none"/>
            </w:rPr>
            <w:instrText xml:space="preserve"> HYPERLINK \l _Toc20390 </w:instrText>
          </w:r>
          <w:r>
            <w:rPr>
              <w:highlight w:val="none"/>
            </w:rPr>
            <w:fldChar w:fldCharType="separate"/>
          </w:r>
          <w:r>
            <w:rPr>
              <w:rFonts w:hint="default" w:ascii="Times New Roman" w:hAnsi="Times New Roman" w:eastAsia="黑体" w:cs="Times New Roman"/>
              <w:szCs w:val="24"/>
              <w:highlight w:val="none"/>
            </w:rPr>
            <w:t>4.1</w:t>
          </w:r>
          <w:r>
            <w:rPr>
              <w:rFonts w:hint="eastAsia" w:ascii="Times New Roman" w:eastAsia="黑体" w:cs="Times New Roman"/>
              <w:szCs w:val="24"/>
              <w:highlight w:val="none"/>
              <w:lang w:val="en-US" w:eastAsia="zh-CN"/>
            </w:rPr>
            <w:t>.</w:t>
          </w:r>
          <w:r>
            <w:rPr>
              <w:rFonts w:hint="default" w:ascii="Times New Roman" w:hAnsi="Times New Roman" w:eastAsia="黑体" w:cs="Times New Roman"/>
              <w:szCs w:val="24"/>
              <w:highlight w:val="none"/>
            </w:rPr>
            <w:t xml:space="preserve"> </w:t>
          </w:r>
          <w:r>
            <w:rPr>
              <w:rFonts w:hint="eastAsia" w:ascii="黑体" w:hAnsi="黑体" w:eastAsia="黑体" w:cs="黑体"/>
              <w:szCs w:val="24"/>
              <w:highlight w:val="none"/>
            </w:rPr>
            <w:t>代加工生产能力要求</w:t>
          </w:r>
          <w:r>
            <w:tab/>
          </w:r>
          <w:r>
            <w:fldChar w:fldCharType="begin"/>
          </w:r>
          <w:r>
            <w:instrText xml:space="preserve"> PAGEREF _Toc20390 \h </w:instrText>
          </w:r>
          <w:r>
            <w:fldChar w:fldCharType="separate"/>
          </w:r>
          <w:r>
            <w:t>7</w:t>
          </w:r>
          <w:r>
            <w:fldChar w:fldCharType="end"/>
          </w:r>
          <w:r>
            <w:rPr>
              <w:color w:val="000000" w:themeColor="text1"/>
              <w:highlight w:val="none"/>
              <w14:textFill>
                <w14:solidFill>
                  <w14:schemeClr w14:val="tx1"/>
                </w14:solidFill>
              </w14:textFill>
            </w:rPr>
            <w:fldChar w:fldCharType="end"/>
          </w:r>
        </w:p>
        <w:p w14:paraId="258BE683">
          <w:pPr>
            <w:pStyle w:val="23"/>
            <w:tabs>
              <w:tab w:val="right" w:leader="dot" w:pos="8312"/>
              <w:tab w:val="clear" w:pos="900"/>
              <w:tab w:val="clear" w:pos="8296"/>
            </w:tabs>
          </w:pPr>
          <w:r>
            <w:rPr>
              <w:color w:val="000000" w:themeColor="text1"/>
              <w:highlight w:val="none"/>
              <w14:textFill>
                <w14:solidFill>
                  <w14:schemeClr w14:val="tx1"/>
                </w14:solidFill>
              </w14:textFill>
            </w:rPr>
            <w:fldChar w:fldCharType="begin"/>
          </w:r>
          <w:r>
            <w:rPr>
              <w:highlight w:val="none"/>
            </w:rPr>
            <w:instrText xml:space="preserve"> HYPERLINK \l _Toc21682 </w:instrText>
          </w:r>
          <w:r>
            <w:rPr>
              <w:highlight w:val="none"/>
            </w:rPr>
            <w:fldChar w:fldCharType="separate"/>
          </w:r>
          <w:r>
            <w:rPr>
              <w:rFonts w:hint="default" w:ascii="Times New Roman" w:hAnsi="Times New Roman" w:eastAsia="黑体" w:cs="Times New Roman"/>
              <w:szCs w:val="24"/>
              <w:highlight w:val="none"/>
              <w:lang w:val="en-US" w:eastAsia="zh-CN"/>
            </w:rPr>
            <w:t>4.2</w:t>
          </w:r>
          <w:r>
            <w:rPr>
              <w:rFonts w:hint="eastAsia" w:ascii="Times New Roman" w:eastAsia="黑体" w:cs="Times New Roman"/>
              <w:szCs w:val="24"/>
              <w:highlight w:val="none"/>
              <w:lang w:val="en-US" w:eastAsia="zh-CN"/>
            </w:rPr>
            <w:t xml:space="preserve">. </w:t>
          </w:r>
          <w:r>
            <w:rPr>
              <w:rFonts w:hint="eastAsia" w:ascii="黑体" w:hAnsi="黑体" w:eastAsia="黑体" w:cs="黑体"/>
              <w:szCs w:val="24"/>
              <w:highlight w:val="none"/>
            </w:rPr>
            <w:t>原材料采购及管控要求</w:t>
          </w:r>
          <w:r>
            <w:tab/>
          </w:r>
          <w:r>
            <w:fldChar w:fldCharType="begin"/>
          </w:r>
          <w:r>
            <w:instrText xml:space="preserve"> PAGEREF _Toc21682 \h </w:instrText>
          </w:r>
          <w:r>
            <w:fldChar w:fldCharType="separate"/>
          </w:r>
          <w:r>
            <w:t>8</w:t>
          </w:r>
          <w:r>
            <w:fldChar w:fldCharType="end"/>
          </w:r>
          <w:r>
            <w:rPr>
              <w:color w:val="000000" w:themeColor="text1"/>
              <w:highlight w:val="none"/>
              <w14:textFill>
                <w14:solidFill>
                  <w14:schemeClr w14:val="tx1"/>
                </w14:solidFill>
              </w14:textFill>
            </w:rPr>
            <w:fldChar w:fldCharType="end"/>
          </w:r>
        </w:p>
        <w:p w14:paraId="1830E9BC">
          <w:pPr>
            <w:pStyle w:val="23"/>
            <w:tabs>
              <w:tab w:val="right" w:leader="dot" w:pos="8312"/>
              <w:tab w:val="clear" w:pos="900"/>
              <w:tab w:val="clear" w:pos="8296"/>
            </w:tabs>
          </w:pPr>
          <w:r>
            <w:rPr>
              <w:color w:val="000000" w:themeColor="text1"/>
              <w:highlight w:val="none"/>
              <w14:textFill>
                <w14:solidFill>
                  <w14:schemeClr w14:val="tx1"/>
                </w14:solidFill>
              </w14:textFill>
            </w:rPr>
            <w:fldChar w:fldCharType="begin"/>
          </w:r>
          <w:r>
            <w:rPr>
              <w:highlight w:val="none"/>
            </w:rPr>
            <w:instrText xml:space="preserve"> HYPERLINK \l _Toc26034 </w:instrText>
          </w:r>
          <w:r>
            <w:rPr>
              <w:highlight w:val="none"/>
            </w:rPr>
            <w:fldChar w:fldCharType="separate"/>
          </w:r>
          <w:r>
            <w:rPr>
              <w:rFonts w:hint="eastAsia" w:ascii="Times New Roman" w:eastAsia="黑体" w:cs="Times New Roman"/>
              <w:szCs w:val="24"/>
              <w:highlight w:val="none"/>
              <w:lang w:val="en-US" w:eastAsia="zh-CN"/>
            </w:rPr>
            <w:t xml:space="preserve">4.3. </w:t>
          </w:r>
          <w:r>
            <w:rPr>
              <w:rFonts w:hint="eastAsia" w:ascii="Times New Roman" w:hAnsi="Times New Roman" w:eastAsia="黑体" w:cs="Times New Roman"/>
              <w:szCs w:val="24"/>
              <w:highlight w:val="none"/>
              <w:lang w:val="en-US" w:eastAsia="zh-CN"/>
            </w:rPr>
            <w:t>生产工艺及加工要求</w:t>
          </w:r>
          <w:r>
            <w:tab/>
          </w:r>
          <w:r>
            <w:fldChar w:fldCharType="begin"/>
          </w:r>
          <w:r>
            <w:instrText xml:space="preserve"> PAGEREF _Toc26034 \h </w:instrText>
          </w:r>
          <w:r>
            <w:fldChar w:fldCharType="separate"/>
          </w:r>
          <w:r>
            <w:t>8</w:t>
          </w:r>
          <w:r>
            <w:fldChar w:fldCharType="end"/>
          </w:r>
          <w:r>
            <w:rPr>
              <w:color w:val="000000" w:themeColor="text1"/>
              <w:highlight w:val="none"/>
              <w14:textFill>
                <w14:solidFill>
                  <w14:schemeClr w14:val="tx1"/>
                </w14:solidFill>
              </w14:textFill>
            </w:rPr>
            <w:fldChar w:fldCharType="end"/>
          </w:r>
        </w:p>
        <w:p w14:paraId="2910A126">
          <w:pPr>
            <w:pStyle w:val="23"/>
            <w:tabs>
              <w:tab w:val="right" w:leader="dot" w:pos="8312"/>
              <w:tab w:val="clear" w:pos="900"/>
              <w:tab w:val="clear" w:pos="8296"/>
            </w:tabs>
          </w:pPr>
          <w:r>
            <w:rPr>
              <w:color w:val="000000" w:themeColor="text1"/>
              <w:highlight w:val="none"/>
              <w14:textFill>
                <w14:solidFill>
                  <w14:schemeClr w14:val="tx1"/>
                </w14:solidFill>
              </w14:textFill>
            </w:rPr>
            <w:fldChar w:fldCharType="begin"/>
          </w:r>
          <w:r>
            <w:rPr>
              <w:highlight w:val="none"/>
            </w:rPr>
            <w:instrText xml:space="preserve"> HYPERLINK \l _Toc15799 </w:instrText>
          </w:r>
          <w:r>
            <w:rPr>
              <w:highlight w:val="none"/>
            </w:rPr>
            <w:fldChar w:fldCharType="separate"/>
          </w:r>
          <w:r>
            <w:rPr>
              <w:rFonts w:hint="eastAsia" w:ascii="Times New Roman" w:eastAsia="黑体" w:cs="Times New Roman"/>
              <w:szCs w:val="24"/>
              <w:highlight w:val="none"/>
              <w:lang w:val="en-US" w:eastAsia="zh-CN"/>
            </w:rPr>
            <w:t>4.4. 产品技术参数要求</w:t>
          </w:r>
          <w:r>
            <w:tab/>
          </w:r>
          <w:r>
            <w:fldChar w:fldCharType="begin"/>
          </w:r>
          <w:r>
            <w:instrText xml:space="preserve"> PAGEREF _Toc15799 \h </w:instrText>
          </w:r>
          <w:r>
            <w:fldChar w:fldCharType="separate"/>
          </w:r>
          <w:r>
            <w:t>9</w:t>
          </w:r>
          <w:r>
            <w:fldChar w:fldCharType="end"/>
          </w:r>
          <w:r>
            <w:rPr>
              <w:color w:val="000000" w:themeColor="text1"/>
              <w:highlight w:val="none"/>
              <w14:textFill>
                <w14:solidFill>
                  <w14:schemeClr w14:val="tx1"/>
                </w14:solidFill>
              </w14:textFill>
            </w:rPr>
            <w:fldChar w:fldCharType="end"/>
          </w:r>
        </w:p>
        <w:p w14:paraId="1F99BFCF">
          <w:pPr>
            <w:pStyle w:val="23"/>
            <w:tabs>
              <w:tab w:val="right" w:leader="dot" w:pos="8312"/>
              <w:tab w:val="clear" w:pos="900"/>
              <w:tab w:val="clear" w:pos="8296"/>
            </w:tabs>
          </w:pPr>
          <w:r>
            <w:rPr>
              <w:color w:val="000000" w:themeColor="text1"/>
              <w:highlight w:val="none"/>
              <w14:textFill>
                <w14:solidFill>
                  <w14:schemeClr w14:val="tx1"/>
                </w14:solidFill>
              </w14:textFill>
            </w:rPr>
            <w:fldChar w:fldCharType="begin"/>
          </w:r>
          <w:r>
            <w:rPr>
              <w:highlight w:val="none"/>
            </w:rPr>
            <w:instrText xml:space="preserve"> HYPERLINK \l _Toc4686 </w:instrText>
          </w:r>
          <w:r>
            <w:rPr>
              <w:highlight w:val="none"/>
            </w:rPr>
            <w:fldChar w:fldCharType="separate"/>
          </w:r>
          <w:r>
            <w:rPr>
              <w:rFonts w:hint="eastAsia" w:ascii="Times New Roman" w:eastAsia="黑体" w:cs="Times New Roman"/>
              <w:szCs w:val="24"/>
              <w:highlight w:val="none"/>
              <w:lang w:val="en-US" w:eastAsia="zh-CN"/>
            </w:rPr>
            <w:t>4.5. 图纸</w:t>
          </w:r>
          <w:r>
            <w:tab/>
          </w:r>
          <w:r>
            <w:fldChar w:fldCharType="begin"/>
          </w:r>
          <w:r>
            <w:instrText xml:space="preserve"> PAGEREF _Toc4686 \h </w:instrText>
          </w:r>
          <w:r>
            <w:fldChar w:fldCharType="separate"/>
          </w:r>
          <w:r>
            <w:t>10</w:t>
          </w:r>
          <w:r>
            <w:fldChar w:fldCharType="end"/>
          </w:r>
          <w:r>
            <w:rPr>
              <w:color w:val="000000" w:themeColor="text1"/>
              <w:highlight w:val="none"/>
              <w14:textFill>
                <w14:solidFill>
                  <w14:schemeClr w14:val="tx1"/>
                </w14:solidFill>
              </w14:textFill>
            </w:rPr>
            <w:fldChar w:fldCharType="end"/>
          </w:r>
        </w:p>
        <w:p w14:paraId="535891E3">
          <w:pPr>
            <w:pStyle w:val="23"/>
            <w:tabs>
              <w:tab w:val="right" w:leader="dot" w:pos="8312"/>
              <w:tab w:val="clear" w:pos="900"/>
              <w:tab w:val="clear" w:pos="8296"/>
            </w:tabs>
          </w:pPr>
          <w:r>
            <w:rPr>
              <w:color w:val="000000" w:themeColor="text1"/>
              <w:highlight w:val="none"/>
              <w14:textFill>
                <w14:solidFill>
                  <w14:schemeClr w14:val="tx1"/>
                </w14:solidFill>
              </w14:textFill>
            </w:rPr>
            <w:fldChar w:fldCharType="begin"/>
          </w:r>
          <w:r>
            <w:rPr>
              <w:highlight w:val="none"/>
            </w:rPr>
            <w:instrText xml:space="preserve"> HYPERLINK \l _Toc17801 </w:instrText>
          </w:r>
          <w:r>
            <w:rPr>
              <w:highlight w:val="none"/>
            </w:rPr>
            <w:fldChar w:fldCharType="separate"/>
          </w:r>
          <w:r>
            <w:rPr>
              <w:rFonts w:hint="eastAsia" w:ascii="Times New Roman" w:eastAsia="黑体" w:cs="Times New Roman"/>
              <w:szCs w:val="24"/>
              <w:highlight w:val="none"/>
              <w:lang w:val="en-US" w:eastAsia="zh-CN"/>
            </w:rPr>
            <w:t>4.6. 质量管控及检验要求</w:t>
          </w:r>
          <w:r>
            <w:tab/>
          </w:r>
          <w:r>
            <w:fldChar w:fldCharType="begin"/>
          </w:r>
          <w:r>
            <w:instrText xml:space="preserve"> PAGEREF _Toc17801 \h </w:instrText>
          </w:r>
          <w:r>
            <w:fldChar w:fldCharType="separate"/>
          </w:r>
          <w:r>
            <w:t>10</w:t>
          </w:r>
          <w:r>
            <w:fldChar w:fldCharType="end"/>
          </w:r>
          <w:r>
            <w:rPr>
              <w:color w:val="000000" w:themeColor="text1"/>
              <w:highlight w:val="none"/>
              <w14:textFill>
                <w14:solidFill>
                  <w14:schemeClr w14:val="tx1"/>
                </w14:solidFill>
              </w14:textFill>
            </w:rPr>
            <w:fldChar w:fldCharType="end"/>
          </w:r>
        </w:p>
        <w:p w14:paraId="6CB888B6">
          <w:pPr>
            <w:pStyle w:val="23"/>
            <w:tabs>
              <w:tab w:val="right" w:leader="dot" w:pos="8312"/>
              <w:tab w:val="clear" w:pos="900"/>
              <w:tab w:val="clear" w:pos="8296"/>
            </w:tabs>
          </w:pPr>
          <w:r>
            <w:rPr>
              <w:color w:val="000000" w:themeColor="text1"/>
              <w:highlight w:val="none"/>
              <w14:textFill>
                <w14:solidFill>
                  <w14:schemeClr w14:val="tx1"/>
                </w14:solidFill>
              </w14:textFill>
            </w:rPr>
            <w:fldChar w:fldCharType="begin"/>
          </w:r>
          <w:r>
            <w:rPr>
              <w:highlight w:val="none"/>
            </w:rPr>
            <w:instrText xml:space="preserve"> HYPERLINK \l _Toc1029 </w:instrText>
          </w:r>
          <w:r>
            <w:rPr>
              <w:highlight w:val="none"/>
            </w:rPr>
            <w:fldChar w:fldCharType="separate"/>
          </w:r>
          <w:r>
            <w:rPr>
              <w:rFonts w:hint="eastAsia" w:ascii="Times New Roman" w:eastAsia="黑体" w:cs="Times New Roman"/>
              <w:szCs w:val="24"/>
              <w:highlight w:val="none"/>
              <w:lang w:val="en-US" w:eastAsia="zh-CN"/>
            </w:rPr>
            <w:t>4.7. 企业VI标识</w:t>
          </w:r>
          <w:r>
            <w:tab/>
          </w:r>
          <w:r>
            <w:fldChar w:fldCharType="begin"/>
          </w:r>
          <w:r>
            <w:instrText xml:space="preserve"> PAGEREF _Toc1029 \h </w:instrText>
          </w:r>
          <w:r>
            <w:fldChar w:fldCharType="separate"/>
          </w:r>
          <w:r>
            <w:t>11</w:t>
          </w:r>
          <w:r>
            <w:fldChar w:fldCharType="end"/>
          </w:r>
          <w:r>
            <w:rPr>
              <w:color w:val="000000" w:themeColor="text1"/>
              <w:highlight w:val="none"/>
              <w14:textFill>
                <w14:solidFill>
                  <w14:schemeClr w14:val="tx1"/>
                </w14:solidFill>
              </w14:textFill>
            </w:rPr>
            <w:fldChar w:fldCharType="end"/>
          </w:r>
        </w:p>
        <w:p w14:paraId="26F9D137">
          <w:pPr>
            <w:pStyle w:val="23"/>
            <w:tabs>
              <w:tab w:val="right" w:leader="dot" w:pos="8312"/>
              <w:tab w:val="clear" w:pos="900"/>
              <w:tab w:val="clear" w:pos="8296"/>
            </w:tabs>
          </w:pPr>
          <w:r>
            <w:rPr>
              <w:color w:val="000000" w:themeColor="text1"/>
              <w:highlight w:val="none"/>
              <w14:textFill>
                <w14:solidFill>
                  <w14:schemeClr w14:val="tx1"/>
                </w14:solidFill>
              </w14:textFill>
            </w:rPr>
            <w:fldChar w:fldCharType="begin"/>
          </w:r>
          <w:r>
            <w:rPr>
              <w:highlight w:val="none"/>
            </w:rPr>
            <w:instrText xml:space="preserve"> HYPERLINK \l _Toc15995 </w:instrText>
          </w:r>
          <w:r>
            <w:rPr>
              <w:highlight w:val="none"/>
            </w:rPr>
            <w:fldChar w:fldCharType="separate"/>
          </w:r>
          <w:r>
            <w:rPr>
              <w:rFonts w:hint="eastAsia" w:ascii="Times New Roman" w:eastAsia="黑体" w:cs="Times New Roman"/>
              <w:szCs w:val="24"/>
              <w:highlight w:val="none"/>
              <w:lang w:val="en-US" w:eastAsia="zh-CN"/>
            </w:rPr>
            <w:t>4.8. 包装、标识及交付要求</w:t>
          </w:r>
          <w:r>
            <w:tab/>
          </w:r>
          <w:r>
            <w:fldChar w:fldCharType="begin"/>
          </w:r>
          <w:r>
            <w:instrText xml:space="preserve"> PAGEREF _Toc15995 \h </w:instrText>
          </w:r>
          <w:r>
            <w:fldChar w:fldCharType="separate"/>
          </w:r>
          <w:r>
            <w:t>11</w:t>
          </w:r>
          <w:r>
            <w:fldChar w:fldCharType="end"/>
          </w:r>
          <w:r>
            <w:rPr>
              <w:color w:val="000000" w:themeColor="text1"/>
              <w:highlight w:val="none"/>
              <w14:textFill>
                <w14:solidFill>
                  <w14:schemeClr w14:val="tx1"/>
                </w14:solidFill>
              </w14:textFill>
            </w:rPr>
            <w:fldChar w:fldCharType="end"/>
          </w:r>
        </w:p>
        <w:p w14:paraId="2A82D3BF">
          <w:pPr>
            <w:pStyle w:val="21"/>
            <w:tabs>
              <w:tab w:val="right" w:leader="dot" w:pos="8312"/>
            </w:tabs>
          </w:pPr>
          <w:r>
            <w:rPr>
              <w:color w:val="000000" w:themeColor="text1"/>
              <w:highlight w:val="none"/>
              <w14:textFill>
                <w14:solidFill>
                  <w14:schemeClr w14:val="tx1"/>
                </w14:solidFill>
              </w14:textFill>
            </w:rPr>
            <w:fldChar w:fldCharType="begin"/>
          </w:r>
          <w:r>
            <w:rPr>
              <w:highlight w:val="none"/>
            </w:rPr>
            <w:instrText xml:space="preserve"> HYPERLINK \l _Toc29196 </w:instrText>
          </w:r>
          <w:r>
            <w:rPr>
              <w:highlight w:val="none"/>
            </w:rPr>
            <w:fldChar w:fldCharType="separate"/>
          </w:r>
          <w:r>
            <w:rPr>
              <w:rFonts w:hint="default" w:ascii="Times New Roman" w:hAnsi="Times New Roman" w:cs="Times New Roman"/>
              <w:szCs w:val="24"/>
              <w:highlight w:val="none"/>
              <w:lang w:val="en-US" w:eastAsia="zh-CN"/>
            </w:rPr>
            <w:t>5</w:t>
          </w:r>
          <w:r>
            <w:rPr>
              <w:rFonts w:hint="eastAsia"/>
              <w:szCs w:val="24"/>
              <w:highlight w:val="none"/>
              <w:lang w:val="en-US" w:eastAsia="zh-CN"/>
            </w:rPr>
            <w:t>试验与检测要求</w:t>
          </w:r>
          <w:r>
            <w:tab/>
          </w:r>
          <w:r>
            <w:fldChar w:fldCharType="begin"/>
          </w:r>
          <w:r>
            <w:instrText xml:space="preserve"> PAGEREF _Toc29196 \h </w:instrText>
          </w:r>
          <w:r>
            <w:fldChar w:fldCharType="separate"/>
          </w:r>
          <w:r>
            <w:t>11</w:t>
          </w:r>
          <w:r>
            <w:fldChar w:fldCharType="end"/>
          </w:r>
          <w:r>
            <w:rPr>
              <w:color w:val="000000" w:themeColor="text1"/>
              <w:highlight w:val="none"/>
              <w14:textFill>
                <w14:solidFill>
                  <w14:schemeClr w14:val="tx1"/>
                </w14:solidFill>
              </w14:textFill>
            </w:rPr>
            <w:fldChar w:fldCharType="end"/>
          </w:r>
        </w:p>
        <w:p w14:paraId="03478D65">
          <w:pPr>
            <w:pStyle w:val="23"/>
            <w:tabs>
              <w:tab w:val="right" w:leader="dot" w:pos="8312"/>
              <w:tab w:val="clear" w:pos="900"/>
              <w:tab w:val="clear" w:pos="8296"/>
            </w:tabs>
          </w:pPr>
          <w:r>
            <w:rPr>
              <w:color w:val="000000" w:themeColor="text1"/>
              <w:highlight w:val="none"/>
              <w14:textFill>
                <w14:solidFill>
                  <w14:schemeClr w14:val="tx1"/>
                </w14:solidFill>
              </w14:textFill>
            </w:rPr>
            <w:fldChar w:fldCharType="begin"/>
          </w:r>
          <w:r>
            <w:rPr>
              <w:highlight w:val="none"/>
            </w:rPr>
            <w:instrText xml:space="preserve"> HYPERLINK \l _Toc8302 </w:instrText>
          </w:r>
          <w:r>
            <w:rPr>
              <w:highlight w:val="none"/>
            </w:rPr>
            <w:fldChar w:fldCharType="separate"/>
          </w:r>
          <w:r>
            <w:rPr>
              <w:rFonts w:hint="eastAsia" w:ascii="Times New Roman" w:eastAsia="黑体" w:cs="Times New Roman"/>
              <w:szCs w:val="24"/>
              <w:highlight w:val="none"/>
              <w:lang w:val="en-US" w:eastAsia="zh-CN"/>
            </w:rPr>
            <w:t>5.1. 原材料检验</w:t>
          </w:r>
          <w:r>
            <w:tab/>
          </w:r>
          <w:r>
            <w:fldChar w:fldCharType="begin"/>
          </w:r>
          <w:r>
            <w:instrText xml:space="preserve"> PAGEREF _Toc8302 \h </w:instrText>
          </w:r>
          <w:r>
            <w:fldChar w:fldCharType="separate"/>
          </w:r>
          <w:r>
            <w:t>11</w:t>
          </w:r>
          <w:r>
            <w:fldChar w:fldCharType="end"/>
          </w:r>
          <w:r>
            <w:rPr>
              <w:color w:val="000000" w:themeColor="text1"/>
              <w:highlight w:val="none"/>
              <w14:textFill>
                <w14:solidFill>
                  <w14:schemeClr w14:val="tx1"/>
                </w14:solidFill>
              </w14:textFill>
            </w:rPr>
            <w:fldChar w:fldCharType="end"/>
          </w:r>
        </w:p>
        <w:p w14:paraId="1F46C450">
          <w:pPr>
            <w:pStyle w:val="23"/>
            <w:tabs>
              <w:tab w:val="right" w:leader="dot" w:pos="8312"/>
              <w:tab w:val="clear" w:pos="900"/>
              <w:tab w:val="clear" w:pos="8296"/>
            </w:tabs>
          </w:pPr>
          <w:r>
            <w:rPr>
              <w:color w:val="000000" w:themeColor="text1"/>
              <w:highlight w:val="none"/>
              <w14:textFill>
                <w14:solidFill>
                  <w14:schemeClr w14:val="tx1"/>
                </w14:solidFill>
              </w14:textFill>
            </w:rPr>
            <w:fldChar w:fldCharType="begin"/>
          </w:r>
          <w:r>
            <w:rPr>
              <w:highlight w:val="none"/>
            </w:rPr>
            <w:instrText xml:space="preserve"> HYPERLINK \l _Toc9272 </w:instrText>
          </w:r>
          <w:r>
            <w:rPr>
              <w:highlight w:val="none"/>
            </w:rPr>
            <w:fldChar w:fldCharType="separate"/>
          </w:r>
          <w:r>
            <w:rPr>
              <w:rFonts w:hint="eastAsia" w:ascii="Times New Roman" w:eastAsia="黑体" w:cs="Times New Roman"/>
              <w:szCs w:val="24"/>
              <w:highlight w:val="none"/>
              <w:lang w:val="en-US" w:eastAsia="zh-CN"/>
            </w:rPr>
            <w:t>5.2. 过程检验</w:t>
          </w:r>
          <w:r>
            <w:tab/>
          </w:r>
          <w:r>
            <w:fldChar w:fldCharType="begin"/>
          </w:r>
          <w:r>
            <w:instrText xml:space="preserve"> PAGEREF _Toc9272 \h </w:instrText>
          </w:r>
          <w:r>
            <w:fldChar w:fldCharType="separate"/>
          </w:r>
          <w:r>
            <w:t>12</w:t>
          </w:r>
          <w:r>
            <w:fldChar w:fldCharType="end"/>
          </w:r>
          <w:r>
            <w:rPr>
              <w:color w:val="000000" w:themeColor="text1"/>
              <w:highlight w:val="none"/>
              <w14:textFill>
                <w14:solidFill>
                  <w14:schemeClr w14:val="tx1"/>
                </w14:solidFill>
              </w14:textFill>
            </w:rPr>
            <w:fldChar w:fldCharType="end"/>
          </w:r>
        </w:p>
        <w:p w14:paraId="69A28164">
          <w:pPr>
            <w:pStyle w:val="23"/>
            <w:tabs>
              <w:tab w:val="right" w:leader="dot" w:pos="8312"/>
              <w:tab w:val="clear" w:pos="900"/>
              <w:tab w:val="clear" w:pos="8296"/>
            </w:tabs>
          </w:pPr>
          <w:r>
            <w:rPr>
              <w:color w:val="000000" w:themeColor="text1"/>
              <w:highlight w:val="none"/>
              <w14:textFill>
                <w14:solidFill>
                  <w14:schemeClr w14:val="tx1"/>
                </w14:solidFill>
              </w14:textFill>
            </w:rPr>
            <w:fldChar w:fldCharType="begin"/>
          </w:r>
          <w:r>
            <w:rPr>
              <w:highlight w:val="none"/>
            </w:rPr>
            <w:instrText xml:space="preserve"> HYPERLINK \l _Toc28021 </w:instrText>
          </w:r>
          <w:r>
            <w:rPr>
              <w:highlight w:val="none"/>
            </w:rPr>
            <w:fldChar w:fldCharType="separate"/>
          </w:r>
          <w:r>
            <w:rPr>
              <w:rFonts w:hint="eastAsia" w:ascii="Times New Roman" w:eastAsia="黑体" w:cs="Times New Roman"/>
              <w:szCs w:val="24"/>
              <w:highlight w:val="none"/>
              <w:lang w:val="en-US" w:eastAsia="zh-CN"/>
            </w:rPr>
            <w:t>5.3. 出厂试验</w:t>
          </w:r>
          <w:r>
            <w:tab/>
          </w:r>
          <w:r>
            <w:fldChar w:fldCharType="begin"/>
          </w:r>
          <w:r>
            <w:instrText xml:space="preserve"> PAGEREF _Toc28021 \h </w:instrText>
          </w:r>
          <w:r>
            <w:fldChar w:fldCharType="separate"/>
          </w:r>
          <w:r>
            <w:t>12</w:t>
          </w:r>
          <w:r>
            <w:fldChar w:fldCharType="end"/>
          </w:r>
          <w:r>
            <w:rPr>
              <w:color w:val="000000" w:themeColor="text1"/>
              <w:highlight w:val="none"/>
              <w14:textFill>
                <w14:solidFill>
                  <w14:schemeClr w14:val="tx1"/>
                </w14:solidFill>
              </w14:textFill>
            </w:rPr>
            <w:fldChar w:fldCharType="end"/>
          </w:r>
        </w:p>
        <w:p w14:paraId="214187E6">
          <w:pPr>
            <w:pStyle w:val="23"/>
            <w:tabs>
              <w:tab w:val="right" w:leader="dot" w:pos="8312"/>
              <w:tab w:val="clear" w:pos="900"/>
              <w:tab w:val="clear" w:pos="8296"/>
            </w:tabs>
          </w:pPr>
          <w:r>
            <w:rPr>
              <w:color w:val="000000" w:themeColor="text1"/>
              <w:highlight w:val="none"/>
              <w14:textFill>
                <w14:solidFill>
                  <w14:schemeClr w14:val="tx1"/>
                </w14:solidFill>
              </w14:textFill>
            </w:rPr>
            <w:fldChar w:fldCharType="begin"/>
          </w:r>
          <w:r>
            <w:rPr>
              <w:highlight w:val="none"/>
            </w:rPr>
            <w:instrText xml:space="preserve"> HYPERLINK \l _Toc20382 </w:instrText>
          </w:r>
          <w:r>
            <w:rPr>
              <w:highlight w:val="none"/>
            </w:rPr>
            <w:fldChar w:fldCharType="separate"/>
          </w:r>
          <w:r>
            <w:rPr>
              <w:rFonts w:hint="eastAsia" w:ascii="Times New Roman" w:eastAsia="黑体" w:cs="Times New Roman"/>
              <w:szCs w:val="24"/>
              <w:highlight w:val="none"/>
              <w:lang w:val="en-US" w:eastAsia="zh-CN"/>
            </w:rPr>
            <w:t>5.4. 第三方检测试验</w:t>
          </w:r>
          <w:r>
            <w:tab/>
          </w:r>
          <w:r>
            <w:fldChar w:fldCharType="begin"/>
          </w:r>
          <w:r>
            <w:instrText xml:space="preserve"> PAGEREF _Toc20382 \h </w:instrText>
          </w:r>
          <w:r>
            <w:fldChar w:fldCharType="separate"/>
          </w:r>
          <w:r>
            <w:t>13</w:t>
          </w:r>
          <w:r>
            <w:fldChar w:fldCharType="end"/>
          </w:r>
          <w:r>
            <w:rPr>
              <w:color w:val="000000" w:themeColor="text1"/>
              <w:highlight w:val="none"/>
              <w14:textFill>
                <w14:solidFill>
                  <w14:schemeClr w14:val="tx1"/>
                </w14:solidFill>
              </w14:textFill>
            </w:rPr>
            <w:fldChar w:fldCharType="end"/>
          </w:r>
        </w:p>
        <w:p w14:paraId="18E91034">
          <w:pPr>
            <w:pStyle w:val="23"/>
            <w:tabs>
              <w:tab w:val="right" w:leader="dot" w:pos="8312"/>
              <w:tab w:val="clear" w:pos="900"/>
              <w:tab w:val="clear" w:pos="8296"/>
            </w:tabs>
          </w:pPr>
          <w:r>
            <w:rPr>
              <w:color w:val="000000" w:themeColor="text1"/>
              <w:highlight w:val="none"/>
              <w14:textFill>
                <w14:solidFill>
                  <w14:schemeClr w14:val="tx1"/>
                </w14:solidFill>
              </w14:textFill>
            </w:rPr>
            <w:fldChar w:fldCharType="begin"/>
          </w:r>
          <w:r>
            <w:rPr>
              <w:highlight w:val="none"/>
            </w:rPr>
            <w:instrText xml:space="preserve"> HYPERLINK \l _Toc31864 </w:instrText>
          </w:r>
          <w:r>
            <w:rPr>
              <w:highlight w:val="none"/>
            </w:rPr>
            <w:fldChar w:fldCharType="separate"/>
          </w:r>
          <w:r>
            <w:rPr>
              <w:rFonts w:hint="eastAsia" w:ascii="Times New Roman" w:eastAsia="黑体" w:cs="Times New Roman"/>
              <w:szCs w:val="24"/>
              <w:highlight w:val="none"/>
              <w:lang w:val="en-US" w:eastAsia="zh-CN"/>
            </w:rPr>
            <w:t>5.5. 到货验收试验</w:t>
          </w:r>
          <w:r>
            <w:tab/>
          </w:r>
          <w:r>
            <w:fldChar w:fldCharType="begin"/>
          </w:r>
          <w:r>
            <w:instrText xml:space="preserve"> PAGEREF _Toc31864 \h </w:instrText>
          </w:r>
          <w:r>
            <w:fldChar w:fldCharType="separate"/>
          </w:r>
          <w:r>
            <w:t>13</w:t>
          </w:r>
          <w:r>
            <w:fldChar w:fldCharType="end"/>
          </w:r>
          <w:r>
            <w:rPr>
              <w:color w:val="000000" w:themeColor="text1"/>
              <w:highlight w:val="none"/>
              <w14:textFill>
                <w14:solidFill>
                  <w14:schemeClr w14:val="tx1"/>
                </w14:solidFill>
              </w14:textFill>
            </w:rPr>
            <w:fldChar w:fldCharType="end"/>
          </w:r>
        </w:p>
        <w:p w14:paraId="3A82E875">
          <w:pPr>
            <w:pStyle w:val="23"/>
            <w:tabs>
              <w:tab w:val="right" w:leader="dot" w:pos="8312"/>
              <w:tab w:val="clear" w:pos="900"/>
              <w:tab w:val="clear" w:pos="8296"/>
            </w:tabs>
          </w:pPr>
          <w:r>
            <w:rPr>
              <w:color w:val="000000" w:themeColor="text1"/>
              <w:highlight w:val="none"/>
              <w14:textFill>
                <w14:solidFill>
                  <w14:schemeClr w14:val="tx1"/>
                </w14:solidFill>
              </w14:textFill>
            </w:rPr>
            <w:fldChar w:fldCharType="begin"/>
          </w:r>
          <w:r>
            <w:rPr>
              <w:highlight w:val="none"/>
            </w:rPr>
            <w:instrText xml:space="preserve"> HYPERLINK \l _Toc5404 </w:instrText>
          </w:r>
          <w:r>
            <w:rPr>
              <w:highlight w:val="none"/>
            </w:rPr>
            <w:fldChar w:fldCharType="separate"/>
          </w:r>
          <w:r>
            <w:rPr>
              <w:rFonts w:hint="eastAsia" w:ascii="Times New Roman" w:eastAsia="黑体" w:cs="Times New Roman"/>
              <w:szCs w:val="24"/>
              <w:highlight w:val="none"/>
              <w:lang w:val="en-US" w:eastAsia="zh-CN"/>
            </w:rPr>
            <w:t>5.6. 合格判定标准</w:t>
          </w:r>
          <w:r>
            <w:tab/>
          </w:r>
          <w:r>
            <w:fldChar w:fldCharType="begin"/>
          </w:r>
          <w:r>
            <w:instrText xml:space="preserve"> PAGEREF _Toc5404 \h </w:instrText>
          </w:r>
          <w:r>
            <w:fldChar w:fldCharType="separate"/>
          </w:r>
          <w:r>
            <w:t>14</w:t>
          </w:r>
          <w:r>
            <w:fldChar w:fldCharType="end"/>
          </w:r>
          <w:r>
            <w:rPr>
              <w:color w:val="000000" w:themeColor="text1"/>
              <w:highlight w:val="none"/>
              <w14:textFill>
                <w14:solidFill>
                  <w14:schemeClr w14:val="tx1"/>
                </w14:solidFill>
              </w14:textFill>
            </w:rPr>
            <w:fldChar w:fldCharType="end"/>
          </w:r>
        </w:p>
        <w:p w14:paraId="146A9458">
          <w:pPr>
            <w:pStyle w:val="21"/>
            <w:tabs>
              <w:tab w:val="right" w:leader="dot" w:pos="8312"/>
            </w:tabs>
          </w:pPr>
          <w:r>
            <w:rPr>
              <w:color w:val="000000" w:themeColor="text1"/>
              <w:highlight w:val="none"/>
              <w14:textFill>
                <w14:solidFill>
                  <w14:schemeClr w14:val="tx1"/>
                </w14:solidFill>
              </w14:textFill>
            </w:rPr>
            <w:fldChar w:fldCharType="begin"/>
          </w:r>
          <w:r>
            <w:rPr>
              <w:highlight w:val="none"/>
            </w:rPr>
            <w:instrText xml:space="preserve"> HYPERLINK \l _Toc25096 </w:instrText>
          </w:r>
          <w:r>
            <w:rPr>
              <w:highlight w:val="none"/>
            </w:rPr>
            <w:fldChar w:fldCharType="separate"/>
          </w:r>
          <w:r>
            <w:rPr>
              <w:rFonts w:hint="default" w:ascii="Times New Roman" w:hAnsi="Times New Roman" w:cs="Times New Roman"/>
              <w:szCs w:val="24"/>
              <w:highlight w:val="none"/>
              <w:lang w:val="en-US" w:eastAsia="zh-CN"/>
            </w:rPr>
            <w:t xml:space="preserve">6 </w:t>
          </w:r>
          <w:r>
            <w:rPr>
              <w:rFonts w:hint="eastAsia"/>
              <w:szCs w:val="24"/>
              <w:highlight w:val="none"/>
              <w:lang w:val="en-US" w:eastAsia="zh-CN"/>
            </w:rPr>
            <w:t>质量保证要求</w:t>
          </w:r>
          <w:r>
            <w:tab/>
          </w:r>
          <w:r>
            <w:fldChar w:fldCharType="begin"/>
          </w:r>
          <w:r>
            <w:instrText xml:space="preserve"> PAGEREF _Toc25096 \h </w:instrText>
          </w:r>
          <w:r>
            <w:fldChar w:fldCharType="separate"/>
          </w:r>
          <w:r>
            <w:t>14</w:t>
          </w:r>
          <w:r>
            <w:fldChar w:fldCharType="end"/>
          </w:r>
          <w:r>
            <w:rPr>
              <w:color w:val="000000" w:themeColor="text1"/>
              <w:highlight w:val="none"/>
              <w14:textFill>
                <w14:solidFill>
                  <w14:schemeClr w14:val="tx1"/>
                </w14:solidFill>
              </w14:textFill>
            </w:rPr>
            <w:fldChar w:fldCharType="end"/>
          </w:r>
        </w:p>
        <w:p w14:paraId="25ED4B7A">
          <w:pPr>
            <w:pStyle w:val="21"/>
            <w:tabs>
              <w:tab w:val="right" w:leader="dot" w:pos="8312"/>
            </w:tabs>
          </w:pPr>
          <w:r>
            <w:rPr>
              <w:color w:val="000000" w:themeColor="text1"/>
              <w:highlight w:val="none"/>
              <w14:textFill>
                <w14:solidFill>
                  <w14:schemeClr w14:val="tx1"/>
                </w14:solidFill>
              </w14:textFill>
            </w:rPr>
            <w:fldChar w:fldCharType="begin"/>
          </w:r>
          <w:r>
            <w:rPr>
              <w:highlight w:val="none"/>
            </w:rPr>
            <w:instrText xml:space="preserve"> HYPERLINK \l _Toc6504 </w:instrText>
          </w:r>
          <w:r>
            <w:rPr>
              <w:highlight w:val="none"/>
            </w:rPr>
            <w:fldChar w:fldCharType="separate"/>
          </w:r>
          <w:r>
            <w:rPr>
              <w:rFonts w:hint="default" w:ascii="Times New Roman" w:hAnsi="Times New Roman" w:cs="Times New Roman"/>
              <w:szCs w:val="24"/>
              <w:highlight w:val="none"/>
              <w:lang w:val="en-US" w:eastAsia="zh-CN"/>
            </w:rPr>
            <w:t>7</w:t>
          </w:r>
          <w:r>
            <w:rPr>
              <w:rFonts w:hint="eastAsia"/>
              <w:szCs w:val="24"/>
              <w:highlight w:val="none"/>
              <w:lang w:val="en-US" w:eastAsia="zh-CN"/>
            </w:rPr>
            <w:t xml:space="preserve"> 包装、运输及储存要求</w:t>
          </w:r>
          <w:r>
            <w:tab/>
          </w:r>
          <w:r>
            <w:fldChar w:fldCharType="begin"/>
          </w:r>
          <w:r>
            <w:instrText xml:space="preserve"> PAGEREF _Toc6504 \h </w:instrText>
          </w:r>
          <w:r>
            <w:fldChar w:fldCharType="separate"/>
          </w:r>
          <w:r>
            <w:t>14</w:t>
          </w:r>
          <w:r>
            <w:fldChar w:fldCharType="end"/>
          </w:r>
          <w:r>
            <w:rPr>
              <w:color w:val="000000" w:themeColor="text1"/>
              <w:highlight w:val="none"/>
              <w14:textFill>
                <w14:solidFill>
                  <w14:schemeClr w14:val="tx1"/>
                </w14:solidFill>
              </w14:textFill>
            </w:rPr>
            <w:fldChar w:fldCharType="end"/>
          </w:r>
        </w:p>
        <w:p w14:paraId="0CB00DC6">
          <w:pPr>
            <w:pStyle w:val="21"/>
            <w:tabs>
              <w:tab w:val="right" w:leader="dot" w:pos="8312"/>
            </w:tabs>
          </w:pPr>
          <w:r>
            <w:rPr>
              <w:color w:val="000000" w:themeColor="text1"/>
              <w:highlight w:val="none"/>
              <w14:textFill>
                <w14:solidFill>
                  <w14:schemeClr w14:val="tx1"/>
                </w14:solidFill>
              </w14:textFill>
            </w:rPr>
            <w:fldChar w:fldCharType="begin"/>
          </w:r>
          <w:r>
            <w:rPr>
              <w:highlight w:val="none"/>
            </w:rPr>
            <w:instrText xml:space="preserve"> HYPERLINK \l _Toc12489 </w:instrText>
          </w:r>
          <w:r>
            <w:rPr>
              <w:highlight w:val="none"/>
            </w:rPr>
            <w:fldChar w:fldCharType="separate"/>
          </w:r>
          <w:r>
            <w:rPr>
              <w:rFonts w:hint="default" w:ascii="Times New Roman" w:hAnsi="Times New Roman" w:cs="Times New Roman"/>
              <w:szCs w:val="24"/>
              <w:highlight w:val="none"/>
              <w:lang w:val="en-US" w:eastAsia="zh-CN"/>
            </w:rPr>
            <w:t>8</w:t>
          </w:r>
          <w:r>
            <w:rPr>
              <w:rFonts w:hint="eastAsia"/>
              <w:szCs w:val="24"/>
              <w:highlight w:val="none"/>
              <w:lang w:val="en-US" w:eastAsia="zh-CN"/>
            </w:rPr>
            <w:t xml:space="preserve"> 安装、调试及技术支持要求</w:t>
          </w:r>
          <w:r>
            <w:tab/>
          </w:r>
          <w:r>
            <w:fldChar w:fldCharType="begin"/>
          </w:r>
          <w:r>
            <w:instrText xml:space="preserve"> PAGEREF _Toc12489 \h </w:instrText>
          </w:r>
          <w:r>
            <w:fldChar w:fldCharType="separate"/>
          </w:r>
          <w:r>
            <w:t>15</w:t>
          </w:r>
          <w:r>
            <w:fldChar w:fldCharType="end"/>
          </w:r>
          <w:r>
            <w:rPr>
              <w:color w:val="000000" w:themeColor="text1"/>
              <w:highlight w:val="none"/>
              <w14:textFill>
                <w14:solidFill>
                  <w14:schemeClr w14:val="tx1"/>
                </w14:solidFill>
              </w14:textFill>
            </w:rPr>
            <w:fldChar w:fldCharType="end"/>
          </w:r>
        </w:p>
        <w:p w14:paraId="0394C757">
          <w:pPr>
            <w:pStyle w:val="21"/>
            <w:tabs>
              <w:tab w:val="right" w:leader="dot" w:pos="8312"/>
            </w:tabs>
          </w:pPr>
          <w:r>
            <w:rPr>
              <w:color w:val="000000" w:themeColor="text1"/>
              <w:highlight w:val="none"/>
              <w14:textFill>
                <w14:solidFill>
                  <w14:schemeClr w14:val="tx1"/>
                </w14:solidFill>
              </w14:textFill>
            </w:rPr>
            <w:fldChar w:fldCharType="begin"/>
          </w:r>
          <w:r>
            <w:rPr>
              <w:highlight w:val="none"/>
            </w:rPr>
            <w:instrText xml:space="preserve"> HYPERLINK \l _Toc10838 </w:instrText>
          </w:r>
          <w:r>
            <w:rPr>
              <w:highlight w:val="none"/>
            </w:rPr>
            <w:fldChar w:fldCharType="separate"/>
          </w:r>
          <w:r>
            <w:rPr>
              <w:rFonts w:hint="default" w:ascii="Times New Roman" w:hAnsi="Times New Roman" w:cs="Times New Roman"/>
              <w:szCs w:val="24"/>
              <w:highlight w:val="none"/>
              <w:lang w:val="en-US" w:eastAsia="zh-CN"/>
            </w:rPr>
            <w:t>9</w:t>
          </w:r>
          <w:r>
            <w:rPr>
              <w:rFonts w:hint="eastAsia"/>
              <w:szCs w:val="24"/>
              <w:highlight w:val="none"/>
              <w:lang w:val="en-US" w:eastAsia="zh-CN"/>
            </w:rPr>
            <w:t xml:space="preserve"> 交付技术资料要求</w:t>
          </w:r>
          <w:r>
            <w:tab/>
          </w:r>
          <w:r>
            <w:fldChar w:fldCharType="begin"/>
          </w:r>
          <w:r>
            <w:instrText xml:space="preserve"> PAGEREF _Toc10838 \h </w:instrText>
          </w:r>
          <w:r>
            <w:fldChar w:fldCharType="separate"/>
          </w:r>
          <w:r>
            <w:t>15</w:t>
          </w:r>
          <w:r>
            <w:fldChar w:fldCharType="end"/>
          </w:r>
          <w:r>
            <w:rPr>
              <w:color w:val="000000" w:themeColor="text1"/>
              <w:highlight w:val="none"/>
              <w14:textFill>
                <w14:solidFill>
                  <w14:schemeClr w14:val="tx1"/>
                </w14:solidFill>
              </w14:textFill>
            </w:rPr>
            <w:fldChar w:fldCharType="end"/>
          </w:r>
        </w:p>
        <w:p w14:paraId="4CA8F401">
          <w:pPr>
            <w:pStyle w:val="21"/>
            <w:tabs>
              <w:tab w:val="right" w:leader="dot" w:pos="8312"/>
            </w:tabs>
          </w:pPr>
          <w:r>
            <w:rPr>
              <w:color w:val="000000" w:themeColor="text1"/>
              <w:highlight w:val="none"/>
              <w14:textFill>
                <w14:solidFill>
                  <w14:schemeClr w14:val="tx1"/>
                </w14:solidFill>
              </w14:textFill>
            </w:rPr>
            <w:fldChar w:fldCharType="begin"/>
          </w:r>
          <w:r>
            <w:rPr>
              <w:highlight w:val="none"/>
            </w:rPr>
            <w:instrText xml:space="preserve"> HYPERLINK \l _Toc22033 </w:instrText>
          </w:r>
          <w:r>
            <w:rPr>
              <w:highlight w:val="none"/>
            </w:rPr>
            <w:fldChar w:fldCharType="separate"/>
          </w:r>
          <w:r>
            <w:rPr>
              <w:rFonts w:hint="default" w:ascii="Times New Roman" w:hAnsi="Times New Roman" w:cs="Times New Roman"/>
              <w:szCs w:val="24"/>
              <w:highlight w:val="none"/>
              <w:lang w:val="en-US" w:eastAsia="zh-CN"/>
            </w:rPr>
            <w:t>10</w:t>
          </w:r>
          <w:r>
            <w:rPr>
              <w:rFonts w:hint="eastAsia"/>
              <w:szCs w:val="24"/>
              <w:highlight w:val="none"/>
              <w:lang w:val="en-US" w:eastAsia="zh-CN"/>
            </w:rPr>
            <w:t xml:space="preserve"> 验收标准及验收流程</w:t>
          </w:r>
          <w:r>
            <w:tab/>
          </w:r>
          <w:r>
            <w:fldChar w:fldCharType="begin"/>
          </w:r>
          <w:r>
            <w:instrText xml:space="preserve"> PAGEREF _Toc22033 \h </w:instrText>
          </w:r>
          <w:r>
            <w:fldChar w:fldCharType="separate"/>
          </w:r>
          <w:r>
            <w:t>15</w:t>
          </w:r>
          <w:r>
            <w:fldChar w:fldCharType="end"/>
          </w:r>
          <w:r>
            <w:rPr>
              <w:color w:val="000000" w:themeColor="text1"/>
              <w:highlight w:val="none"/>
              <w14:textFill>
                <w14:solidFill>
                  <w14:schemeClr w14:val="tx1"/>
                </w14:solidFill>
              </w14:textFill>
            </w:rPr>
            <w:fldChar w:fldCharType="end"/>
          </w:r>
        </w:p>
        <w:p w14:paraId="4126FE10">
          <w:pPr>
            <w:pStyle w:val="23"/>
            <w:tabs>
              <w:tab w:val="right" w:leader="dot" w:pos="8312"/>
              <w:tab w:val="clear" w:pos="900"/>
              <w:tab w:val="clear" w:pos="8296"/>
            </w:tabs>
          </w:pPr>
          <w:r>
            <w:rPr>
              <w:color w:val="000000" w:themeColor="text1"/>
              <w:highlight w:val="none"/>
              <w14:textFill>
                <w14:solidFill>
                  <w14:schemeClr w14:val="tx1"/>
                </w14:solidFill>
              </w14:textFill>
            </w:rPr>
            <w:fldChar w:fldCharType="begin"/>
          </w:r>
          <w:r>
            <w:rPr>
              <w:highlight w:val="none"/>
            </w:rPr>
            <w:instrText xml:space="preserve"> HYPERLINK \l _Toc17258 </w:instrText>
          </w:r>
          <w:r>
            <w:rPr>
              <w:highlight w:val="none"/>
            </w:rPr>
            <w:fldChar w:fldCharType="separate"/>
          </w:r>
          <w:r>
            <w:rPr>
              <w:rFonts w:hint="eastAsia" w:ascii="Times New Roman" w:eastAsia="黑体" w:cs="Times New Roman"/>
              <w:szCs w:val="24"/>
              <w:highlight w:val="none"/>
              <w:lang w:val="en-US" w:eastAsia="zh-CN"/>
            </w:rPr>
            <w:t>10.1. 验收依据</w:t>
          </w:r>
          <w:r>
            <w:tab/>
          </w:r>
          <w:r>
            <w:fldChar w:fldCharType="begin"/>
          </w:r>
          <w:r>
            <w:instrText xml:space="preserve"> PAGEREF _Toc17258 \h </w:instrText>
          </w:r>
          <w:r>
            <w:fldChar w:fldCharType="separate"/>
          </w:r>
          <w:r>
            <w:t>15</w:t>
          </w:r>
          <w:r>
            <w:fldChar w:fldCharType="end"/>
          </w:r>
          <w:r>
            <w:rPr>
              <w:color w:val="000000" w:themeColor="text1"/>
              <w:highlight w:val="none"/>
              <w14:textFill>
                <w14:solidFill>
                  <w14:schemeClr w14:val="tx1"/>
                </w14:solidFill>
              </w14:textFill>
            </w:rPr>
            <w:fldChar w:fldCharType="end"/>
          </w:r>
        </w:p>
        <w:p w14:paraId="4486C132">
          <w:pPr>
            <w:pStyle w:val="23"/>
            <w:tabs>
              <w:tab w:val="right" w:leader="dot" w:pos="8312"/>
              <w:tab w:val="clear" w:pos="900"/>
              <w:tab w:val="clear" w:pos="8296"/>
            </w:tabs>
          </w:pPr>
          <w:r>
            <w:rPr>
              <w:color w:val="000000" w:themeColor="text1"/>
              <w:highlight w:val="none"/>
              <w14:textFill>
                <w14:solidFill>
                  <w14:schemeClr w14:val="tx1"/>
                </w14:solidFill>
              </w14:textFill>
            </w:rPr>
            <w:fldChar w:fldCharType="begin"/>
          </w:r>
          <w:r>
            <w:rPr>
              <w:highlight w:val="none"/>
            </w:rPr>
            <w:instrText xml:space="preserve"> HYPERLINK \l _Toc15542 </w:instrText>
          </w:r>
          <w:r>
            <w:rPr>
              <w:highlight w:val="none"/>
            </w:rPr>
            <w:fldChar w:fldCharType="separate"/>
          </w:r>
          <w:r>
            <w:rPr>
              <w:rFonts w:hint="eastAsia" w:ascii="Times New Roman" w:eastAsia="黑体" w:cs="Times New Roman"/>
              <w:szCs w:val="24"/>
              <w:highlight w:val="none"/>
              <w:lang w:val="en-US" w:eastAsia="zh-CN"/>
            </w:rPr>
            <w:t>10.2. 验收阶段</w:t>
          </w:r>
          <w:r>
            <w:tab/>
          </w:r>
          <w:r>
            <w:fldChar w:fldCharType="begin"/>
          </w:r>
          <w:r>
            <w:instrText xml:space="preserve"> PAGEREF _Toc15542 \h </w:instrText>
          </w:r>
          <w:r>
            <w:fldChar w:fldCharType="separate"/>
          </w:r>
          <w:r>
            <w:t>15</w:t>
          </w:r>
          <w:r>
            <w:fldChar w:fldCharType="end"/>
          </w:r>
          <w:r>
            <w:rPr>
              <w:color w:val="000000" w:themeColor="text1"/>
              <w:highlight w:val="none"/>
              <w14:textFill>
                <w14:solidFill>
                  <w14:schemeClr w14:val="tx1"/>
                </w14:solidFill>
              </w14:textFill>
            </w:rPr>
            <w:fldChar w:fldCharType="end"/>
          </w:r>
        </w:p>
        <w:p w14:paraId="6E39F6A9">
          <w:pPr>
            <w:pStyle w:val="23"/>
            <w:tabs>
              <w:tab w:val="right" w:leader="dot" w:pos="8312"/>
              <w:tab w:val="clear" w:pos="900"/>
              <w:tab w:val="clear" w:pos="8296"/>
            </w:tabs>
          </w:pPr>
          <w:r>
            <w:rPr>
              <w:color w:val="000000" w:themeColor="text1"/>
              <w:highlight w:val="none"/>
              <w14:textFill>
                <w14:solidFill>
                  <w14:schemeClr w14:val="tx1"/>
                </w14:solidFill>
              </w14:textFill>
            </w:rPr>
            <w:fldChar w:fldCharType="begin"/>
          </w:r>
          <w:r>
            <w:rPr>
              <w:highlight w:val="none"/>
            </w:rPr>
            <w:instrText xml:space="preserve"> HYPERLINK \l _Toc5115 </w:instrText>
          </w:r>
          <w:r>
            <w:rPr>
              <w:highlight w:val="none"/>
            </w:rPr>
            <w:fldChar w:fldCharType="separate"/>
          </w:r>
          <w:r>
            <w:rPr>
              <w:rFonts w:hint="eastAsia" w:ascii="Times New Roman" w:eastAsia="黑体" w:cs="Times New Roman"/>
              <w:szCs w:val="24"/>
              <w:highlight w:val="none"/>
              <w:lang w:val="en-US" w:eastAsia="zh-CN"/>
            </w:rPr>
            <w:t>10.3. 验收合格判定</w:t>
          </w:r>
          <w:r>
            <w:tab/>
          </w:r>
          <w:r>
            <w:fldChar w:fldCharType="begin"/>
          </w:r>
          <w:r>
            <w:instrText xml:space="preserve"> PAGEREF _Toc5115 \h </w:instrText>
          </w:r>
          <w:r>
            <w:fldChar w:fldCharType="separate"/>
          </w:r>
          <w:r>
            <w:t>16</w:t>
          </w:r>
          <w:r>
            <w:fldChar w:fldCharType="end"/>
          </w:r>
          <w:r>
            <w:rPr>
              <w:color w:val="000000" w:themeColor="text1"/>
              <w:highlight w:val="none"/>
              <w14:textFill>
                <w14:solidFill>
                  <w14:schemeClr w14:val="tx1"/>
                </w14:solidFill>
              </w14:textFill>
            </w:rPr>
            <w:fldChar w:fldCharType="end"/>
          </w:r>
        </w:p>
        <w:p w14:paraId="3070ADBB">
          <w:pPr>
            <w:pStyle w:val="23"/>
            <w:tabs>
              <w:tab w:val="right" w:leader="dot" w:pos="8312"/>
              <w:tab w:val="clear" w:pos="900"/>
              <w:tab w:val="clear" w:pos="8296"/>
            </w:tabs>
          </w:pPr>
          <w:r>
            <w:rPr>
              <w:color w:val="000000" w:themeColor="text1"/>
              <w:highlight w:val="none"/>
              <w14:textFill>
                <w14:solidFill>
                  <w14:schemeClr w14:val="tx1"/>
                </w14:solidFill>
              </w14:textFill>
            </w:rPr>
            <w:fldChar w:fldCharType="begin"/>
          </w:r>
          <w:r>
            <w:rPr>
              <w:highlight w:val="none"/>
            </w:rPr>
            <w:instrText xml:space="preserve"> HYPERLINK \l _Toc28452 </w:instrText>
          </w:r>
          <w:r>
            <w:rPr>
              <w:highlight w:val="none"/>
            </w:rPr>
            <w:fldChar w:fldCharType="separate"/>
          </w:r>
          <w:r>
            <w:rPr>
              <w:rFonts w:hint="eastAsia" w:ascii="Times New Roman" w:eastAsia="黑体" w:cs="Times New Roman"/>
              <w:szCs w:val="24"/>
              <w:highlight w:val="none"/>
              <w:lang w:val="en-US" w:eastAsia="zh-CN"/>
            </w:rPr>
            <w:t>10.4. 不合格处理</w:t>
          </w:r>
          <w:r>
            <w:tab/>
          </w:r>
          <w:r>
            <w:fldChar w:fldCharType="begin"/>
          </w:r>
          <w:r>
            <w:instrText xml:space="preserve"> PAGEREF _Toc28452 \h </w:instrText>
          </w:r>
          <w:r>
            <w:fldChar w:fldCharType="separate"/>
          </w:r>
          <w:r>
            <w:t>16</w:t>
          </w:r>
          <w:r>
            <w:fldChar w:fldCharType="end"/>
          </w:r>
          <w:r>
            <w:rPr>
              <w:color w:val="000000" w:themeColor="text1"/>
              <w:highlight w:val="none"/>
              <w14:textFill>
                <w14:solidFill>
                  <w14:schemeClr w14:val="tx1"/>
                </w14:solidFill>
              </w14:textFill>
            </w:rPr>
            <w:fldChar w:fldCharType="end"/>
          </w:r>
        </w:p>
        <w:p w14:paraId="32E4350B">
          <w:pPr>
            <w:pStyle w:val="21"/>
            <w:tabs>
              <w:tab w:val="right" w:leader="dot" w:pos="8312"/>
            </w:tabs>
          </w:pPr>
          <w:r>
            <w:rPr>
              <w:color w:val="000000" w:themeColor="text1"/>
              <w:highlight w:val="none"/>
              <w14:textFill>
                <w14:solidFill>
                  <w14:schemeClr w14:val="tx1"/>
                </w14:solidFill>
              </w14:textFill>
            </w:rPr>
            <w:fldChar w:fldCharType="begin"/>
          </w:r>
          <w:r>
            <w:rPr>
              <w:highlight w:val="none"/>
            </w:rPr>
            <w:instrText xml:space="preserve"> HYPERLINK \l _Toc31600 </w:instrText>
          </w:r>
          <w:r>
            <w:rPr>
              <w:highlight w:val="none"/>
            </w:rPr>
            <w:fldChar w:fldCharType="separate"/>
          </w:r>
          <w:r>
            <w:rPr>
              <w:rFonts w:hint="eastAsia"/>
              <w:szCs w:val="24"/>
              <w:highlight w:val="none"/>
              <w:lang w:val="en-US" w:eastAsia="zh-CN"/>
            </w:rPr>
            <w:t>11 框架采购专项要求</w:t>
          </w:r>
          <w:r>
            <w:tab/>
          </w:r>
          <w:r>
            <w:fldChar w:fldCharType="begin"/>
          </w:r>
          <w:r>
            <w:instrText xml:space="preserve"> PAGEREF _Toc31600 \h </w:instrText>
          </w:r>
          <w:r>
            <w:fldChar w:fldCharType="separate"/>
          </w:r>
          <w:r>
            <w:t>16</w:t>
          </w:r>
          <w:r>
            <w:fldChar w:fldCharType="end"/>
          </w:r>
          <w:r>
            <w:rPr>
              <w:color w:val="000000" w:themeColor="text1"/>
              <w:highlight w:val="none"/>
              <w14:textFill>
                <w14:solidFill>
                  <w14:schemeClr w14:val="tx1"/>
                </w14:solidFill>
              </w14:textFill>
            </w:rPr>
            <w:fldChar w:fldCharType="end"/>
          </w:r>
        </w:p>
        <w:p w14:paraId="76A50AD7">
          <w:pPr>
            <w:pStyle w:val="21"/>
            <w:tabs>
              <w:tab w:val="right" w:leader="dot" w:pos="8312"/>
            </w:tabs>
          </w:pPr>
          <w:r>
            <w:rPr>
              <w:color w:val="000000" w:themeColor="text1"/>
              <w:highlight w:val="none"/>
              <w14:textFill>
                <w14:solidFill>
                  <w14:schemeClr w14:val="tx1"/>
                </w14:solidFill>
              </w14:textFill>
            </w:rPr>
            <w:fldChar w:fldCharType="begin"/>
          </w:r>
          <w:r>
            <w:rPr>
              <w:highlight w:val="none"/>
            </w:rPr>
            <w:instrText xml:space="preserve"> HYPERLINK \l _Toc31528 </w:instrText>
          </w:r>
          <w:r>
            <w:rPr>
              <w:highlight w:val="none"/>
            </w:rPr>
            <w:fldChar w:fldCharType="separate"/>
          </w:r>
          <w:r>
            <w:rPr>
              <w:rFonts w:hint="eastAsia"/>
              <w:szCs w:val="24"/>
              <w:highlight w:val="none"/>
              <w:lang w:val="en-US" w:eastAsia="zh-CN"/>
            </w:rPr>
            <w:t>12 其他要求</w:t>
          </w:r>
          <w:r>
            <w:tab/>
          </w:r>
          <w:r>
            <w:fldChar w:fldCharType="begin"/>
          </w:r>
          <w:r>
            <w:instrText xml:space="preserve"> PAGEREF _Toc31528 \h </w:instrText>
          </w:r>
          <w:r>
            <w:fldChar w:fldCharType="separate"/>
          </w:r>
          <w:r>
            <w:t>17</w:t>
          </w:r>
          <w:r>
            <w:fldChar w:fldCharType="end"/>
          </w:r>
          <w:r>
            <w:rPr>
              <w:color w:val="000000" w:themeColor="text1"/>
              <w:highlight w:val="none"/>
              <w14:textFill>
                <w14:solidFill>
                  <w14:schemeClr w14:val="tx1"/>
                </w14:solidFill>
              </w14:textFill>
            </w:rPr>
            <w:fldChar w:fldCharType="end"/>
          </w:r>
        </w:p>
        <w:p w14:paraId="709D1BB0">
          <w:pPr>
            <w:pStyle w:val="23"/>
            <w:tabs>
              <w:tab w:val="right" w:leader="dot" w:pos="8312"/>
              <w:tab w:val="clear" w:pos="900"/>
              <w:tab w:val="clear" w:pos="8296"/>
            </w:tabs>
          </w:pPr>
          <w:r>
            <w:rPr>
              <w:color w:val="000000" w:themeColor="text1"/>
              <w:highlight w:val="none"/>
              <w14:textFill>
                <w14:solidFill>
                  <w14:schemeClr w14:val="tx1"/>
                </w14:solidFill>
              </w14:textFill>
            </w:rPr>
            <w:fldChar w:fldCharType="begin"/>
          </w:r>
          <w:r>
            <w:rPr>
              <w:highlight w:val="none"/>
            </w:rPr>
            <w:instrText xml:space="preserve"> HYPERLINK \l _Toc21597 </w:instrText>
          </w:r>
          <w:r>
            <w:rPr>
              <w:highlight w:val="none"/>
            </w:rPr>
            <w:fldChar w:fldCharType="separate"/>
          </w:r>
          <w:r>
            <w:rPr>
              <w:rFonts w:hint="eastAsia" w:ascii="Times New Roman" w:eastAsia="黑体" w:cs="Times New Roman"/>
              <w:szCs w:val="24"/>
              <w:highlight w:val="none"/>
              <w:lang w:val="en-US" w:eastAsia="zh-CN"/>
            </w:rPr>
            <w:t>12.1. 知识产权</w:t>
          </w:r>
          <w:r>
            <w:tab/>
          </w:r>
          <w:r>
            <w:fldChar w:fldCharType="begin"/>
          </w:r>
          <w:r>
            <w:instrText xml:space="preserve"> PAGEREF _Toc21597 \h </w:instrText>
          </w:r>
          <w:r>
            <w:fldChar w:fldCharType="separate"/>
          </w:r>
          <w:r>
            <w:t>17</w:t>
          </w:r>
          <w:r>
            <w:fldChar w:fldCharType="end"/>
          </w:r>
          <w:r>
            <w:rPr>
              <w:color w:val="000000" w:themeColor="text1"/>
              <w:highlight w:val="none"/>
              <w14:textFill>
                <w14:solidFill>
                  <w14:schemeClr w14:val="tx1"/>
                </w14:solidFill>
              </w14:textFill>
            </w:rPr>
            <w:fldChar w:fldCharType="end"/>
          </w:r>
        </w:p>
        <w:p w14:paraId="59BB266D">
          <w:pPr>
            <w:pStyle w:val="23"/>
            <w:tabs>
              <w:tab w:val="right" w:leader="dot" w:pos="8312"/>
              <w:tab w:val="clear" w:pos="900"/>
              <w:tab w:val="clear" w:pos="8296"/>
            </w:tabs>
          </w:pPr>
          <w:r>
            <w:rPr>
              <w:color w:val="000000" w:themeColor="text1"/>
              <w:highlight w:val="none"/>
              <w14:textFill>
                <w14:solidFill>
                  <w14:schemeClr w14:val="tx1"/>
                </w14:solidFill>
              </w14:textFill>
            </w:rPr>
            <w:fldChar w:fldCharType="begin"/>
          </w:r>
          <w:r>
            <w:rPr>
              <w:highlight w:val="none"/>
            </w:rPr>
            <w:instrText xml:space="preserve"> HYPERLINK \l _Toc11544 </w:instrText>
          </w:r>
          <w:r>
            <w:rPr>
              <w:highlight w:val="none"/>
            </w:rPr>
            <w:fldChar w:fldCharType="separate"/>
          </w:r>
          <w:r>
            <w:rPr>
              <w:rFonts w:hint="eastAsia" w:ascii="Times New Roman" w:eastAsia="黑体" w:cs="Times New Roman"/>
              <w:szCs w:val="24"/>
              <w:highlight w:val="none"/>
              <w:lang w:val="en-US" w:eastAsia="zh-CN"/>
            </w:rPr>
            <w:t>12.2. 保密要求</w:t>
          </w:r>
          <w:r>
            <w:tab/>
          </w:r>
          <w:r>
            <w:fldChar w:fldCharType="begin"/>
          </w:r>
          <w:r>
            <w:instrText xml:space="preserve"> PAGEREF _Toc11544 \h </w:instrText>
          </w:r>
          <w:r>
            <w:fldChar w:fldCharType="separate"/>
          </w:r>
          <w:r>
            <w:t>17</w:t>
          </w:r>
          <w:r>
            <w:fldChar w:fldCharType="end"/>
          </w:r>
          <w:r>
            <w:rPr>
              <w:color w:val="000000" w:themeColor="text1"/>
              <w:highlight w:val="none"/>
              <w14:textFill>
                <w14:solidFill>
                  <w14:schemeClr w14:val="tx1"/>
                </w14:solidFill>
              </w14:textFill>
            </w:rPr>
            <w:fldChar w:fldCharType="end"/>
          </w:r>
        </w:p>
        <w:p w14:paraId="361B6D9D">
          <w:pPr>
            <w:pStyle w:val="21"/>
            <w:tabs>
              <w:tab w:val="right" w:leader="dot" w:pos="8312"/>
            </w:tabs>
          </w:pPr>
          <w:r>
            <w:rPr>
              <w:color w:val="000000" w:themeColor="text1"/>
              <w:highlight w:val="none"/>
              <w14:textFill>
                <w14:solidFill>
                  <w14:schemeClr w14:val="tx1"/>
                </w14:solidFill>
              </w14:textFill>
            </w:rPr>
            <w:fldChar w:fldCharType="begin"/>
          </w:r>
          <w:r>
            <w:rPr>
              <w:highlight w:val="none"/>
            </w:rPr>
            <w:instrText xml:space="preserve"> HYPERLINK \l _Toc28040 </w:instrText>
          </w:r>
          <w:r>
            <w:rPr>
              <w:highlight w:val="none"/>
            </w:rPr>
            <w:fldChar w:fldCharType="separate"/>
          </w:r>
          <w:r>
            <w:rPr>
              <w:rFonts w:hint="default" w:ascii="Times New Roman" w:hAnsi="Times New Roman" w:cs="Times New Roman"/>
              <w:szCs w:val="24"/>
              <w:highlight w:val="none"/>
              <w:lang w:val="en-US" w:eastAsia="zh-CN"/>
            </w:rPr>
            <w:t>1</w:t>
          </w:r>
          <w:r>
            <w:rPr>
              <w:rFonts w:hint="eastAsia" w:ascii="Times New Roman" w:cs="Times New Roman"/>
              <w:szCs w:val="24"/>
              <w:highlight w:val="none"/>
              <w:lang w:val="en-US" w:eastAsia="zh-CN"/>
            </w:rPr>
            <w:t xml:space="preserve">3 </w:t>
          </w:r>
          <w:r>
            <w:rPr>
              <w:rFonts w:hint="eastAsia"/>
              <w:szCs w:val="24"/>
              <w:highlight w:val="none"/>
              <w:lang w:val="en-US" w:eastAsia="zh-CN"/>
            </w:rPr>
            <w:t>设备技术参数和性能要求响应表</w:t>
          </w:r>
          <w:r>
            <w:tab/>
          </w:r>
          <w:r>
            <w:fldChar w:fldCharType="begin"/>
          </w:r>
          <w:r>
            <w:instrText xml:space="preserve"> PAGEREF _Toc28040 \h </w:instrText>
          </w:r>
          <w:r>
            <w:fldChar w:fldCharType="separate"/>
          </w:r>
          <w:r>
            <w:t>17</w:t>
          </w:r>
          <w:r>
            <w:fldChar w:fldCharType="end"/>
          </w:r>
          <w:r>
            <w:rPr>
              <w:color w:val="000000" w:themeColor="text1"/>
              <w:highlight w:val="none"/>
              <w14:textFill>
                <w14:solidFill>
                  <w14:schemeClr w14:val="tx1"/>
                </w14:solidFill>
              </w14:textFill>
            </w:rPr>
            <w:fldChar w:fldCharType="end"/>
          </w:r>
        </w:p>
        <w:p w14:paraId="72D2DA6F">
          <w:pPr>
            <w:pStyle w:val="21"/>
            <w:tabs>
              <w:tab w:val="right" w:leader="dot" w:pos="8312"/>
            </w:tabs>
          </w:pPr>
          <w:r>
            <w:rPr>
              <w:color w:val="000000" w:themeColor="text1"/>
              <w:highlight w:val="none"/>
              <w14:textFill>
                <w14:solidFill>
                  <w14:schemeClr w14:val="tx1"/>
                </w14:solidFill>
              </w14:textFill>
            </w:rPr>
            <w:fldChar w:fldCharType="begin"/>
          </w:r>
          <w:r>
            <w:rPr>
              <w:highlight w:val="none"/>
            </w:rPr>
            <w:instrText xml:space="preserve"> HYPERLINK \l _Toc9537 </w:instrText>
          </w:r>
          <w:r>
            <w:rPr>
              <w:highlight w:val="none"/>
            </w:rPr>
            <w:fldChar w:fldCharType="separate"/>
          </w:r>
          <w:r>
            <w:rPr>
              <w:rFonts w:hint="default" w:ascii="Times New Roman" w:hAnsi="Times New Roman" w:eastAsia="宋体" w:cs="Times New Roman"/>
              <w:bCs w:val="0"/>
              <w:i w:val="0"/>
              <w:kern w:val="44"/>
              <w:szCs w:val="24"/>
              <w:highlight w:val="none"/>
              <w:lang w:val="en-US" w:eastAsia="zh-CN" w:bidi="ar-SA"/>
            </w:rPr>
            <w:t>1</w:t>
          </w:r>
          <w:r>
            <w:rPr>
              <w:rFonts w:hint="eastAsia" w:ascii="Times New Roman" w:cs="Times New Roman"/>
              <w:bCs w:val="0"/>
              <w:i w:val="0"/>
              <w:kern w:val="44"/>
              <w:szCs w:val="24"/>
              <w:highlight w:val="none"/>
              <w:lang w:val="en-US" w:eastAsia="zh-CN" w:bidi="ar-SA"/>
            </w:rPr>
            <w:t>4</w:t>
          </w:r>
          <w:r>
            <w:rPr>
              <w:rFonts w:hint="eastAsia" w:ascii="Times New Roman" w:hAnsi="Times New Roman" w:eastAsia="宋体" w:cs="Times New Roman"/>
              <w:bCs/>
              <w:i w:val="0"/>
              <w:kern w:val="44"/>
              <w:szCs w:val="24"/>
              <w:highlight w:val="none"/>
              <w:lang w:val="en-US" w:eastAsia="zh-CN" w:bidi="ar-SA"/>
            </w:rPr>
            <w:t xml:space="preserve"> 技术差异表</w:t>
          </w:r>
          <w:r>
            <w:tab/>
          </w:r>
          <w:r>
            <w:fldChar w:fldCharType="begin"/>
          </w:r>
          <w:r>
            <w:instrText xml:space="preserve"> PAGEREF _Toc9537 \h </w:instrText>
          </w:r>
          <w:r>
            <w:fldChar w:fldCharType="separate"/>
          </w:r>
          <w:r>
            <w:t>18</w:t>
          </w:r>
          <w:r>
            <w:fldChar w:fldCharType="end"/>
          </w:r>
          <w:r>
            <w:rPr>
              <w:color w:val="000000" w:themeColor="text1"/>
              <w:highlight w:val="none"/>
              <w14:textFill>
                <w14:solidFill>
                  <w14:schemeClr w14:val="tx1"/>
                </w14:solidFill>
              </w14:textFill>
            </w:rPr>
            <w:fldChar w:fldCharType="end"/>
          </w:r>
        </w:p>
        <w:p w14:paraId="36B0E73E">
          <w:pPr>
            <w:pStyle w:val="21"/>
            <w:tabs>
              <w:tab w:val="right" w:leader="dot" w:pos="8312"/>
            </w:tabs>
          </w:pPr>
          <w:r>
            <w:rPr>
              <w:color w:val="000000" w:themeColor="text1"/>
              <w:highlight w:val="none"/>
              <w14:textFill>
                <w14:solidFill>
                  <w14:schemeClr w14:val="tx1"/>
                </w14:solidFill>
              </w14:textFill>
            </w:rPr>
            <w:fldChar w:fldCharType="begin"/>
          </w:r>
          <w:r>
            <w:rPr>
              <w:highlight w:val="none"/>
            </w:rPr>
            <w:instrText xml:space="preserve"> HYPERLINK \l _Toc18468 </w:instrText>
          </w:r>
          <w:r>
            <w:rPr>
              <w:highlight w:val="none"/>
            </w:rPr>
            <w:fldChar w:fldCharType="separate"/>
          </w:r>
          <w:r>
            <w:rPr>
              <w:rFonts w:hint="eastAsia" w:ascii="Times New Roman" w:hAnsi="Times New Roman" w:cs="Times New Roman"/>
              <w:bCs w:val="0"/>
              <w:i w:val="0"/>
              <w:kern w:val="44"/>
              <w:szCs w:val="24"/>
              <w:highlight w:val="none"/>
              <w:lang w:val="en-US" w:eastAsia="zh-CN" w:bidi="ar-SA"/>
            </w:rPr>
            <w:t>1</w:t>
          </w:r>
          <w:r>
            <w:rPr>
              <w:rFonts w:hint="eastAsia" w:ascii="Times New Roman" w:cs="Times New Roman"/>
              <w:bCs w:val="0"/>
              <w:i w:val="0"/>
              <w:kern w:val="44"/>
              <w:szCs w:val="24"/>
              <w:highlight w:val="none"/>
              <w:lang w:val="en-US" w:eastAsia="zh-CN" w:bidi="ar-SA"/>
            </w:rPr>
            <w:t>5</w:t>
          </w:r>
          <w:r>
            <w:rPr>
              <w:rFonts w:hint="default" w:ascii="Times New Roman" w:hAnsi="Times New Roman" w:eastAsia="宋体" w:cs="Times New Roman"/>
              <w:bCs w:val="0"/>
              <w:szCs w:val="24"/>
              <w:highlight w:val="none"/>
            </w:rPr>
            <w:t xml:space="preserve"> </w:t>
          </w:r>
          <w:r>
            <w:rPr>
              <w:rFonts w:hint="eastAsia" w:ascii="宋体" w:hAnsi="宋体" w:eastAsia="宋体" w:cs="宋体"/>
              <w:szCs w:val="24"/>
              <w:highlight w:val="none"/>
            </w:rPr>
            <w:t>投标方需说明的其他问题</w:t>
          </w:r>
          <w:r>
            <w:tab/>
          </w:r>
          <w:r>
            <w:fldChar w:fldCharType="begin"/>
          </w:r>
          <w:r>
            <w:instrText xml:space="preserve"> PAGEREF _Toc18468 \h </w:instrText>
          </w:r>
          <w:r>
            <w:fldChar w:fldCharType="separate"/>
          </w:r>
          <w:r>
            <w:t>18</w:t>
          </w:r>
          <w:r>
            <w:fldChar w:fldCharType="end"/>
          </w:r>
          <w:r>
            <w:rPr>
              <w:color w:val="000000" w:themeColor="text1"/>
              <w:highlight w:val="none"/>
              <w14:textFill>
                <w14:solidFill>
                  <w14:schemeClr w14:val="tx1"/>
                </w14:solidFill>
              </w14:textFill>
            </w:rPr>
            <w:fldChar w:fldCharType="end"/>
          </w:r>
        </w:p>
        <w:p w14:paraId="096BD1A6">
          <w:pPr>
            <w:rPr>
              <w:color w:val="000000" w:themeColor="text1"/>
              <w:highlight w:val="none"/>
              <w14:textFill>
                <w14:solidFill>
                  <w14:schemeClr w14:val="tx1"/>
                </w14:solidFill>
              </w14:textFill>
            </w:rPr>
            <w:sectPr>
              <w:headerReference r:id="rId6" w:type="default"/>
              <w:footerReference r:id="rId7" w:type="default"/>
              <w:pgSz w:w="11906" w:h="16838"/>
              <w:pgMar w:top="1440" w:right="1797" w:bottom="1440" w:left="1797"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r>
            <w:rPr>
              <w:color w:val="000000" w:themeColor="text1"/>
              <w:highlight w:val="none"/>
              <w14:textFill>
                <w14:solidFill>
                  <w14:schemeClr w14:val="tx1"/>
                </w14:solidFill>
              </w14:textFill>
            </w:rPr>
            <w:fldChar w:fldCharType="end"/>
          </w:r>
        </w:p>
      </w:sdtContent>
    </w:sdt>
    <w:p w14:paraId="692EF503">
      <w:pPr>
        <w:rPr>
          <w:color w:val="000000" w:themeColor="text1"/>
          <w:highlight w:val="none"/>
          <w14:textFill>
            <w14:solidFill>
              <w14:schemeClr w14:val="tx1"/>
            </w14:solidFill>
          </w14:textFill>
        </w:rPr>
      </w:pPr>
    </w:p>
    <w:p w14:paraId="60B764A1">
      <w:pPr>
        <w:pStyle w:val="2"/>
        <w:numPr>
          <w:ilvl w:val="0"/>
          <w:numId w:val="0"/>
        </w:numPr>
        <w:bidi w:val="0"/>
        <w:ind w:leftChars="0"/>
        <w:rPr>
          <w:rFonts w:hint="eastAsia"/>
          <w:color w:val="000000" w:themeColor="text1"/>
          <w:sz w:val="24"/>
          <w:szCs w:val="24"/>
          <w:highlight w:val="none"/>
          <w14:textFill>
            <w14:solidFill>
              <w14:schemeClr w14:val="tx1"/>
            </w14:solidFill>
          </w14:textFill>
        </w:rPr>
      </w:pPr>
      <w:bookmarkStart w:id="6" w:name="_Toc4332"/>
      <w:bookmarkStart w:id="7" w:name="_Toc1896"/>
      <w:bookmarkStart w:id="8" w:name="_Toc32581"/>
      <w:bookmarkStart w:id="9" w:name="_Toc9533"/>
      <w:r>
        <w:rPr>
          <w:rFonts w:hint="eastAsia"/>
          <w:color w:val="000000" w:themeColor="text1"/>
          <w:sz w:val="24"/>
          <w:szCs w:val="24"/>
          <w:highlight w:val="none"/>
          <w14:textFill>
            <w14:solidFill>
              <w14:schemeClr w14:val="tx1"/>
            </w14:solidFill>
          </w14:textFill>
        </w:rPr>
        <w:t>前 言</w:t>
      </w:r>
      <w:bookmarkEnd w:id="6"/>
      <w:bookmarkEnd w:id="7"/>
      <w:bookmarkEnd w:id="8"/>
      <w:bookmarkEnd w:id="9"/>
    </w:p>
    <w:p w14:paraId="49D860E3">
      <w:pPr>
        <w:keepNext w:val="0"/>
        <w:keepLines w:val="0"/>
        <w:pageBreakBefore w:val="0"/>
        <w:widowControl w:val="0"/>
        <w:kinsoku/>
        <w:wordWrap/>
        <w:overflowPunct/>
        <w:topLinePunct w:val="0"/>
        <w:autoSpaceDE/>
        <w:autoSpaceDN/>
        <w:bidi w:val="0"/>
        <w:adjustRightInd/>
        <w:snapToGrid/>
        <w:spacing w:before="120" w:after="120" w:line="360" w:lineRule="auto"/>
        <w:ind w:left="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本技术规范书针对</w:t>
      </w:r>
      <w:r>
        <w:rPr>
          <w:rFonts w:hint="eastAsia" w:ascii="宋体" w:hAnsi="宋体" w:cs="宋体"/>
          <w:b w:val="0"/>
          <w:bCs/>
          <w:color w:val="000000" w:themeColor="text1"/>
          <w:sz w:val="24"/>
          <w:szCs w:val="24"/>
          <w:highlight w:val="none"/>
          <w:lang w:val="en-US" w:eastAsia="zh-CN"/>
          <w14:textFill>
            <w14:solidFill>
              <w14:schemeClr w14:val="tx1"/>
            </w14:solidFill>
          </w14:textFill>
        </w:rPr>
        <w:t>安装式数字直流电能表</w:t>
      </w:r>
      <w:r>
        <w:rPr>
          <w:rFonts w:hint="eastAsia" w:ascii="宋体" w:hAnsi="宋体" w:eastAsia="宋体" w:cs="宋体"/>
          <w:b w:val="0"/>
          <w:bCs/>
          <w:color w:val="000000" w:themeColor="text1"/>
          <w:sz w:val="24"/>
          <w:szCs w:val="24"/>
          <w:highlight w:val="none"/>
          <w14:textFill>
            <w14:solidFill>
              <w14:schemeClr w14:val="tx1"/>
            </w14:solidFill>
          </w14:textFill>
        </w:rPr>
        <w:t>代加工框架采购</w:t>
      </w:r>
      <w:r>
        <w:rPr>
          <w:rFonts w:hint="eastAsia" w:ascii="宋体" w:hAnsi="宋体" w:eastAsia="宋体" w:cs="宋体"/>
          <w:color w:val="000000" w:themeColor="text1"/>
          <w:sz w:val="24"/>
          <w:szCs w:val="24"/>
          <w:highlight w:val="none"/>
          <w14:textFill>
            <w14:solidFill>
              <w14:schemeClr w14:val="tx1"/>
            </w14:solidFill>
          </w14:textFill>
        </w:rPr>
        <w:t>编制，为招标最低技术及代加工要求，投标人（</w:t>
      </w:r>
      <w:r>
        <w:rPr>
          <w:rFonts w:hint="eastAsia" w:ascii="宋体" w:hAnsi="宋体" w:cs="宋体"/>
          <w:color w:val="000000" w:themeColor="text1"/>
          <w:sz w:val="24"/>
          <w:szCs w:val="24"/>
          <w:highlight w:val="none"/>
          <w:lang w:eastAsia="zh-CN"/>
          <w14:textFill>
            <w14:solidFill>
              <w14:schemeClr w14:val="tx1"/>
            </w14:solidFill>
          </w14:textFill>
        </w:rPr>
        <w:t>投标方</w:t>
      </w:r>
      <w:r>
        <w:rPr>
          <w:rFonts w:hint="eastAsia" w:ascii="宋体" w:hAnsi="宋体" w:eastAsia="宋体" w:cs="宋体"/>
          <w:color w:val="000000" w:themeColor="text1"/>
          <w:sz w:val="24"/>
          <w:szCs w:val="24"/>
          <w:highlight w:val="none"/>
          <w14:textFill>
            <w14:solidFill>
              <w14:schemeClr w14:val="tx1"/>
            </w14:solidFill>
          </w14:textFill>
        </w:rPr>
        <w:t>）所提供的代加工服务、生产的产品，所有性能参数、加工质量、服务标准不得低于本规范要求，优于本规范要求可做正偏离响应。</w:t>
      </w:r>
    </w:p>
    <w:p w14:paraId="44E8FD68">
      <w:pPr>
        <w:keepNext w:val="0"/>
        <w:keepLines w:val="0"/>
        <w:pageBreakBefore w:val="0"/>
        <w:widowControl w:val="0"/>
        <w:kinsoku/>
        <w:wordWrap/>
        <w:overflowPunct/>
        <w:topLinePunct w:val="0"/>
        <w:autoSpaceDE/>
        <w:autoSpaceDN/>
        <w:bidi w:val="0"/>
        <w:adjustRightInd/>
        <w:snapToGrid/>
        <w:spacing w:before="120" w:after="120" w:line="360" w:lineRule="auto"/>
        <w:ind w:left="0"/>
        <w:jc w:val="left"/>
        <w:textAlignment w:val="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2</w:t>
      </w:r>
      <w:r>
        <w:rPr>
          <w:rFonts w:hint="eastAsia" w:ascii="Times New Roman" w:hAnsi="Times New Roman" w:eastAsia="宋体" w:cs="Times New Roman"/>
          <w:color w:val="000000" w:themeColor="text1"/>
          <w:sz w:val="24"/>
          <w:szCs w:val="24"/>
          <w:highlight w:val="none"/>
          <w14:textFill>
            <w14:solidFill>
              <w14:schemeClr w14:val="tx1"/>
            </w14:solidFill>
          </w14:textFill>
        </w:rPr>
        <w:t>.本技术规范书为本次框架采购合同不可分割的技术附件，与合同正文、框架合作协议具有同等法律效力，约束框架合作期间（自合同生效至期限届满）的全部代加工业务。</w:t>
      </w:r>
    </w:p>
    <w:p w14:paraId="43B60BDA">
      <w:pPr>
        <w:keepNext w:val="0"/>
        <w:keepLines w:val="0"/>
        <w:pageBreakBefore w:val="0"/>
        <w:widowControl w:val="0"/>
        <w:kinsoku/>
        <w:wordWrap/>
        <w:overflowPunct/>
        <w:topLinePunct w:val="0"/>
        <w:autoSpaceDE/>
        <w:autoSpaceDN/>
        <w:bidi w:val="0"/>
        <w:adjustRightInd/>
        <w:snapToGrid/>
        <w:spacing w:before="120" w:after="120" w:line="360" w:lineRule="auto"/>
        <w:ind w:left="0"/>
        <w:jc w:val="left"/>
        <w:textAlignment w:val="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3</w:t>
      </w:r>
      <w:r>
        <w:rPr>
          <w:rFonts w:hint="eastAsia" w:ascii="Times New Roman" w:hAnsi="Times New Roman" w:eastAsia="宋体" w:cs="Times New Roman"/>
          <w:color w:val="000000" w:themeColor="text1"/>
          <w:sz w:val="24"/>
          <w:szCs w:val="24"/>
          <w:highlight w:val="none"/>
          <w14:textFill>
            <w14:solidFill>
              <w14:schemeClr w14:val="tx1"/>
            </w14:solidFill>
          </w14:textFill>
        </w:rPr>
        <w:t>.本规范所有引用标准均执行现行最新有效版本，新旧标准冲突时以最新版本为准；代加工过程须严格遵循国家、电力行业相关标准及招标人技术要求。</w:t>
      </w:r>
    </w:p>
    <w:p w14:paraId="331A9F26">
      <w:pPr>
        <w:keepNext w:val="0"/>
        <w:keepLines w:val="0"/>
        <w:pageBreakBefore w:val="0"/>
        <w:widowControl w:val="0"/>
        <w:kinsoku/>
        <w:wordWrap/>
        <w:overflowPunct/>
        <w:topLinePunct w:val="0"/>
        <w:autoSpaceDE/>
        <w:autoSpaceDN/>
        <w:bidi w:val="0"/>
        <w:adjustRightInd/>
        <w:snapToGrid/>
        <w:spacing w:before="120" w:after="120" w:line="360" w:lineRule="auto"/>
        <w:ind w:left="0"/>
        <w:jc w:val="left"/>
        <w:textAlignment w:val="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4</w:t>
      </w:r>
      <w:r>
        <w:rPr>
          <w:rFonts w:hint="eastAsia" w:ascii="Times New Roman" w:hAnsi="Times New Roman" w:eastAsia="宋体" w:cs="Times New Roman"/>
          <w:color w:val="000000" w:themeColor="text1"/>
          <w:sz w:val="24"/>
          <w:szCs w:val="24"/>
          <w:highlight w:val="none"/>
          <w14:textFill>
            <w14:solidFill>
              <w14:schemeClr w14:val="tx1"/>
            </w14:solidFill>
          </w14:textFill>
        </w:rPr>
        <w:t>.本次采购为框架采购，招标人根据实际需求，在框架协议有效期内，向中标人下达分批代加工订单，中标人须按订单要求、本规范要求，完成原材料采购、生产加工、质量检验、包装交付、售后保障等全部工作。</w:t>
      </w:r>
    </w:p>
    <w:p w14:paraId="611CFF67">
      <w:pPr>
        <w:keepNext w:val="0"/>
        <w:keepLines w:val="0"/>
        <w:pageBreakBefore w:val="0"/>
        <w:widowControl w:val="0"/>
        <w:kinsoku/>
        <w:wordWrap/>
        <w:overflowPunct/>
        <w:topLinePunct w:val="0"/>
        <w:autoSpaceDE/>
        <w:autoSpaceDN/>
        <w:bidi w:val="0"/>
        <w:adjustRightInd/>
        <w:snapToGrid/>
        <w:spacing w:before="120" w:after="120" w:line="360" w:lineRule="auto"/>
        <w:ind w:left="0"/>
        <w:jc w:val="left"/>
        <w:textAlignment w:val="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5</w:t>
      </w:r>
      <w:r>
        <w:rPr>
          <w:rFonts w:hint="eastAsia" w:ascii="Times New Roman" w:hAnsi="Times New Roman" w:eastAsia="宋体" w:cs="Times New Roman"/>
          <w:color w:val="000000" w:themeColor="text1"/>
          <w:sz w:val="24"/>
          <w:szCs w:val="24"/>
          <w:highlight w:val="none"/>
          <w14:textFill>
            <w14:solidFill>
              <w14:schemeClr w14:val="tx1"/>
            </w14:solidFill>
          </w14:textFill>
        </w:rPr>
        <w:t>.未尽事宜按照国家、电力行业现行相关标准、招标人相关管理规定及框架合作协议约定执行。</w:t>
      </w:r>
    </w:p>
    <w:p w14:paraId="5A20ED54">
      <w:pPr>
        <w:pStyle w:val="2"/>
        <w:numPr>
          <w:ilvl w:val="0"/>
          <w:numId w:val="0"/>
        </w:numPr>
        <w:bidi w:val="0"/>
        <w:ind w:left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bookmarkEnd w:id="0"/>
      <w:bookmarkEnd w:id="5"/>
      <w:bookmarkStart w:id="10" w:name="_Toc5920"/>
      <w:bookmarkStart w:id="11" w:name="_Toc6396"/>
      <w:bookmarkStart w:id="12" w:name="_Toc32093"/>
      <w:bookmarkStart w:id="13" w:name="_Toc14594"/>
      <w:r>
        <w:rPr>
          <w:rFonts w:hint="default" w:ascii="Times New Roman" w:hAnsi="Times New Roman" w:cs="Times New Roman"/>
          <w:color w:val="000000" w:themeColor="text1"/>
          <w:highlight w:val="none"/>
          <w:lang w:val="en-US" w:eastAsia="zh-CN"/>
          <w14:textFill>
            <w14:solidFill>
              <w14:schemeClr w14:val="tx1"/>
            </w14:solidFill>
          </w14:textFill>
        </w:rPr>
        <w:t>1</w:t>
      </w:r>
      <w:r>
        <w:rPr>
          <w:color w:val="000000" w:themeColor="text1"/>
          <w:sz w:val="24"/>
          <w:szCs w:val="24"/>
          <w:highlight w:val="none"/>
          <w14:textFill>
            <w14:solidFill>
              <w14:schemeClr w14:val="tx1"/>
            </w14:solidFill>
          </w14:textFill>
        </w:rPr>
        <w:t>总则</w:t>
      </w:r>
      <w:bookmarkEnd w:id="10"/>
      <w:bookmarkEnd w:id="11"/>
      <w:bookmarkEnd w:id="12"/>
      <w:bookmarkEnd w:id="13"/>
    </w:p>
    <w:p w14:paraId="3F2C0801">
      <w:pPr>
        <w:numPr>
          <w:ilvl w:val="1"/>
          <w:numId w:val="6"/>
        </w:numPr>
        <w:spacing w:before="120" w:after="120" w:line="288" w:lineRule="auto"/>
        <w:ind w:left="567" w:leftChars="0" w:hanging="567" w:firstLineChars="0"/>
        <w:jc w:val="left"/>
        <w:rPr>
          <w:rStyle w:val="93"/>
          <w:rFonts w:hint="eastAsia"/>
          <w:b w:val="0"/>
          <w:bCs/>
          <w:color w:val="000000" w:themeColor="text1"/>
          <w:highlight w:val="none"/>
          <w14:textFill>
            <w14:solidFill>
              <w14:schemeClr w14:val="tx1"/>
            </w14:solidFill>
          </w14:textFill>
        </w:rPr>
      </w:pPr>
      <w:bookmarkStart w:id="14" w:name="_Toc25819"/>
      <w:bookmarkStart w:id="15" w:name="_Toc16524"/>
      <w:bookmarkStart w:id="16" w:name="_Toc27521"/>
      <w:bookmarkStart w:id="17" w:name="_Toc8326"/>
      <w:r>
        <w:rPr>
          <w:rStyle w:val="93"/>
          <w:rFonts w:hint="eastAsia" w:ascii="黑体" w:hAnsi="黑体" w:eastAsia="黑体" w:cs="黑体"/>
          <w:b w:val="0"/>
          <w:bCs/>
          <w:color w:val="000000" w:themeColor="text1"/>
          <w:sz w:val="24"/>
          <w:szCs w:val="24"/>
          <w:highlight w:val="none"/>
          <w14:textFill>
            <w14:solidFill>
              <w14:schemeClr w14:val="tx1"/>
            </w14:solidFill>
          </w14:textFill>
        </w:rPr>
        <w:t>适用范围</w:t>
      </w:r>
    </w:p>
    <w:bookmarkEnd w:id="14"/>
    <w:bookmarkEnd w:id="15"/>
    <w:bookmarkEnd w:id="16"/>
    <w:bookmarkEnd w:id="17"/>
    <w:p w14:paraId="2D3176D4">
      <w:pPr>
        <w:pStyle w:val="41"/>
        <w:bidi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规范适用于广东天广能源科技发展有限公司安装式数字直流电能表2026—2028年生产代工框架采购项目的全部工作，包括但不限于：原材料采购与管控、生产加工、质量检验、试验检测、包装、运输、交付、安装调试、技术服务、人员培训、售后保障，以及框架合作期间的订单响应、产能保障、质量追溯等全部代加工相关工作。</w:t>
      </w:r>
    </w:p>
    <w:p w14:paraId="29F3C596">
      <w:pPr>
        <w:pStyle w:val="41"/>
        <w:bidi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本规范同时适用于框架协议有效期内，招标人下达的所有分批代加工订单，</w:t>
      </w:r>
      <w:r>
        <w:rPr>
          <w:rFonts w:hint="eastAsia" w:ascii="宋体" w:hAnsi="宋体" w:eastAsia="宋体" w:cs="宋体"/>
          <w:color w:val="000000" w:themeColor="text1"/>
          <w:sz w:val="21"/>
          <w:szCs w:val="21"/>
          <w:highlight w:val="none"/>
          <w:lang w:eastAsia="zh-CN"/>
          <w14:textFill>
            <w14:solidFill>
              <w14:schemeClr w14:val="tx1"/>
            </w14:solidFill>
          </w14:textFill>
        </w:rPr>
        <w:t>投标方</w:t>
      </w:r>
      <w:r>
        <w:rPr>
          <w:rFonts w:hint="eastAsia" w:ascii="宋体" w:hAnsi="宋体" w:eastAsia="宋体" w:cs="宋体"/>
          <w:color w:val="000000" w:themeColor="text1"/>
          <w:sz w:val="21"/>
          <w:szCs w:val="21"/>
          <w:highlight w:val="none"/>
          <w14:textFill>
            <w14:solidFill>
              <w14:schemeClr w14:val="tx1"/>
            </w14:solidFill>
          </w14:textFill>
        </w:rPr>
        <w:t>须严格按本规范及订单要求执行。</w:t>
      </w:r>
    </w:p>
    <w:p w14:paraId="3E6415DD">
      <w:pPr>
        <w:numPr>
          <w:ilvl w:val="1"/>
          <w:numId w:val="6"/>
        </w:numPr>
        <w:spacing w:before="120" w:after="120" w:line="288" w:lineRule="auto"/>
        <w:ind w:left="567" w:leftChars="0" w:hanging="567" w:firstLineChars="0"/>
        <w:jc w:val="left"/>
        <w:rPr>
          <w:rStyle w:val="93"/>
          <w:rFonts w:hint="eastAsia" w:ascii="黑体" w:hAnsi="黑体" w:eastAsia="黑体" w:cs="黑体"/>
          <w:b w:val="0"/>
          <w:bCs/>
          <w:color w:val="000000" w:themeColor="text1"/>
          <w:sz w:val="24"/>
          <w:szCs w:val="24"/>
          <w:highlight w:val="none"/>
          <w14:textFill>
            <w14:solidFill>
              <w14:schemeClr w14:val="tx1"/>
            </w14:solidFill>
          </w14:textFill>
        </w:rPr>
      </w:pPr>
      <w:bookmarkStart w:id="18" w:name="_Toc32248"/>
      <w:bookmarkStart w:id="19" w:name="_Toc21822"/>
      <w:bookmarkStart w:id="20" w:name="_Toc14463"/>
      <w:bookmarkStart w:id="21" w:name="_Toc5889"/>
      <w:r>
        <w:rPr>
          <w:rStyle w:val="93"/>
          <w:rFonts w:hint="eastAsia" w:ascii="黑体" w:hAnsi="黑体" w:eastAsia="黑体" w:cs="黑体"/>
          <w:b w:val="0"/>
          <w:bCs/>
          <w:color w:val="000000" w:themeColor="text1"/>
          <w:sz w:val="24"/>
          <w:szCs w:val="24"/>
          <w:highlight w:val="none"/>
          <w14:textFill>
            <w14:solidFill>
              <w14:schemeClr w14:val="tx1"/>
            </w14:solidFill>
          </w14:textFill>
        </w:rPr>
        <w:t>规范性引用文件</w:t>
      </w:r>
    </w:p>
    <w:bookmarkEnd w:id="18"/>
    <w:bookmarkEnd w:id="19"/>
    <w:bookmarkEnd w:id="20"/>
    <w:bookmarkEnd w:id="21"/>
    <w:p w14:paraId="7552A650">
      <w:pPr>
        <w:pStyle w:val="41"/>
        <w:bidi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除本技术规范书特殊规定外，投标方所提供的设备均按规定的标准和规程的最新版本进行原材料采购与管控、生产加工、质量检验、试验检测、包装、运输、交付、安装调试</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售后保障</w:t>
      </w:r>
      <w:r>
        <w:rPr>
          <w:rFonts w:hint="eastAsia" w:ascii="宋体" w:hAnsi="宋体" w:eastAsia="宋体" w:cs="宋体"/>
          <w:color w:val="000000" w:themeColor="text1"/>
          <w:sz w:val="21"/>
          <w:szCs w:val="21"/>
          <w:highlight w:val="none"/>
          <w:lang w:val="en-US" w:eastAsia="zh-CN"/>
          <w14:textFill>
            <w14:solidFill>
              <w14:schemeClr w14:val="tx1"/>
            </w14:solidFill>
          </w14:textFill>
        </w:rPr>
        <w:t>等工作</w:t>
      </w:r>
      <w:r>
        <w:rPr>
          <w:rFonts w:hint="eastAsia" w:ascii="宋体" w:hAnsi="宋体" w:eastAsia="宋体" w:cs="宋体"/>
          <w:color w:val="000000" w:themeColor="text1"/>
          <w:sz w:val="21"/>
          <w:szCs w:val="21"/>
          <w:highlight w:val="none"/>
          <w14:textFill>
            <w14:solidFill>
              <w14:schemeClr w14:val="tx1"/>
            </w14:solidFill>
          </w14:textFill>
        </w:rPr>
        <w:t>。如果这些标准内容有矛盾时，应按最高标准的条款执行或按双方商定的标准执行。如果投标方选用本标书规定以外的标准时，则需提交这种替换标准供审查和分析</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待</w:t>
      </w:r>
      <w:r>
        <w:rPr>
          <w:rFonts w:hint="eastAsia" w:ascii="宋体" w:hAnsi="宋体" w:eastAsia="宋体" w:cs="宋体"/>
          <w:color w:val="000000" w:themeColor="text1"/>
          <w:sz w:val="21"/>
          <w:szCs w:val="21"/>
          <w:highlight w:val="none"/>
          <w14:textFill>
            <w14:solidFill>
              <w14:schemeClr w14:val="tx1"/>
            </w14:solidFill>
          </w14:textFill>
        </w:rPr>
        <w:t>从招标方处获得书面的认可才能使用。提交供审查的标准应为中文版本。主要引用标准如下：</w:t>
      </w:r>
    </w:p>
    <w:p w14:paraId="24E92BB6">
      <w:pPr>
        <w:spacing w:line="360" w:lineRule="auto"/>
        <w:ind w:left="6" w:leftChars="3" w:firstLine="420" w:firstLineChars="200"/>
        <w:rPr>
          <w:rFonts w:hint="eastAsia" w:ascii="黑体" w:hAnsi="黑体" w:eastAsia="黑体" w:cs="黑体"/>
          <w:b w:val="0"/>
          <w:bCs w:val="0"/>
          <w:color w:val="000000" w:themeColor="text1"/>
          <w:sz w:val="21"/>
          <w:szCs w:val="21"/>
          <w:highlight w:val="none"/>
          <w14:textFill>
            <w14:solidFill>
              <w14:schemeClr w14:val="tx1"/>
            </w14:solidFill>
          </w14:textFill>
        </w:rPr>
      </w:pPr>
      <w:r>
        <w:rPr>
          <w:rFonts w:hint="eastAsia" w:ascii="黑体" w:hAnsi="黑体" w:eastAsia="黑体" w:cs="黑体"/>
          <w:b w:val="0"/>
          <w:bCs w:val="0"/>
          <w:color w:val="000000" w:themeColor="text1"/>
          <w:sz w:val="21"/>
          <w:szCs w:val="21"/>
          <w:highlight w:val="none"/>
          <w14:textFill>
            <w14:solidFill>
              <w14:schemeClr w14:val="tx1"/>
            </w14:solidFill>
          </w14:textFill>
        </w:rPr>
        <w:t>GB/T6592</w:t>
      </w:r>
      <w:r>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t xml:space="preserve">             </w:t>
      </w:r>
      <w:r>
        <w:rPr>
          <w:rFonts w:hint="eastAsia" w:ascii="黑体" w:hAnsi="黑体" w:eastAsia="黑体" w:cs="黑体"/>
          <w:b w:val="0"/>
          <w:bCs w:val="0"/>
          <w:color w:val="000000" w:themeColor="text1"/>
          <w:sz w:val="21"/>
          <w:szCs w:val="21"/>
          <w:highlight w:val="none"/>
          <w14:textFill>
            <w14:solidFill>
              <w14:schemeClr w14:val="tx1"/>
            </w14:solidFill>
          </w14:textFill>
        </w:rPr>
        <w:t>《电工和电子测量设备性能》</w:t>
      </w:r>
    </w:p>
    <w:p w14:paraId="0C4F991D">
      <w:pPr>
        <w:spacing w:line="360" w:lineRule="auto"/>
        <w:ind w:left="6" w:leftChars="3" w:firstLine="420" w:firstLineChars="200"/>
        <w:rPr>
          <w:rFonts w:hint="eastAsia" w:ascii="黑体" w:hAnsi="黑体" w:eastAsia="黑体" w:cs="黑体"/>
          <w:b w:val="0"/>
          <w:bCs w:val="0"/>
          <w:color w:val="000000" w:themeColor="text1"/>
          <w:sz w:val="21"/>
          <w:szCs w:val="21"/>
          <w:highlight w:val="none"/>
          <w14:textFill>
            <w14:solidFill>
              <w14:schemeClr w14:val="tx1"/>
            </w14:solidFill>
          </w14:textFill>
        </w:rPr>
      </w:pPr>
      <w:r>
        <w:rPr>
          <w:rFonts w:hint="eastAsia" w:ascii="黑体" w:hAnsi="黑体" w:eastAsia="黑体" w:cs="黑体"/>
          <w:b w:val="0"/>
          <w:bCs w:val="0"/>
          <w:color w:val="000000" w:themeColor="text1"/>
          <w:sz w:val="21"/>
          <w:szCs w:val="21"/>
          <w:highlight w:val="none"/>
          <w14:textFill>
            <w14:solidFill>
              <w14:schemeClr w14:val="tx1"/>
            </w14:solidFill>
          </w14:textFill>
        </w:rPr>
        <w:t>DL/T 645</w:t>
      </w:r>
      <w:r>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t xml:space="preserve">-2007        </w:t>
      </w:r>
      <w:r>
        <w:rPr>
          <w:rFonts w:hint="eastAsia" w:ascii="黑体" w:hAnsi="黑体" w:eastAsia="黑体" w:cs="黑体"/>
          <w:b w:val="0"/>
          <w:bCs w:val="0"/>
          <w:color w:val="000000" w:themeColor="text1"/>
          <w:sz w:val="21"/>
          <w:szCs w:val="21"/>
          <w:highlight w:val="none"/>
          <w14:textFill>
            <w14:solidFill>
              <w14:schemeClr w14:val="tx1"/>
            </w14:solidFill>
          </w14:textFill>
        </w:rPr>
        <w:t>《多功能电能表通信规约》</w:t>
      </w:r>
    </w:p>
    <w:p w14:paraId="35BDCD83">
      <w:pPr>
        <w:spacing w:line="360" w:lineRule="auto"/>
        <w:ind w:left="6" w:leftChars="3" w:firstLine="420" w:firstLineChars="200"/>
        <w:rPr>
          <w:rFonts w:hint="default" w:ascii="黑体" w:hAnsi="黑体" w:eastAsia="黑体" w:cs="黑体"/>
          <w:b w:val="0"/>
          <w:bCs w:val="0"/>
          <w:color w:val="000000" w:themeColor="text1"/>
          <w:sz w:val="21"/>
          <w:szCs w:val="21"/>
          <w:highlight w:val="none"/>
          <w:lang w:val="en-US"/>
          <w14:textFill>
            <w14:solidFill>
              <w14:schemeClr w14:val="tx1"/>
            </w14:solidFill>
          </w14:textFill>
        </w:rPr>
      </w:pPr>
      <w:r>
        <w:rPr>
          <w:rFonts w:hint="eastAsia" w:ascii="黑体" w:hAnsi="黑体" w:eastAsia="黑体" w:cs="黑体"/>
          <w:b w:val="0"/>
          <w:bCs w:val="0"/>
          <w:color w:val="000000" w:themeColor="text1"/>
          <w:sz w:val="21"/>
          <w:szCs w:val="21"/>
          <w:highlight w:val="none"/>
          <w14:textFill>
            <w14:solidFill>
              <w14:schemeClr w14:val="tx1"/>
            </w14:solidFill>
          </w14:textFill>
        </w:rPr>
        <w:t>DL/T</w:t>
      </w:r>
      <w:r>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t xml:space="preserve"> </w:t>
      </w:r>
      <w:r>
        <w:rPr>
          <w:rFonts w:hint="eastAsia" w:ascii="黑体" w:hAnsi="黑体" w:eastAsia="黑体" w:cs="黑体"/>
          <w:b w:val="0"/>
          <w:bCs w:val="0"/>
          <w:color w:val="000000" w:themeColor="text1"/>
          <w:sz w:val="21"/>
          <w:szCs w:val="21"/>
          <w:highlight w:val="none"/>
          <w14:textFill>
            <w14:solidFill>
              <w14:schemeClr w14:val="tx1"/>
            </w14:solidFill>
          </w14:textFill>
        </w:rPr>
        <w:t>614</w:t>
      </w:r>
      <w:r>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t xml:space="preserve">-2007        </w:t>
      </w:r>
      <w:r>
        <w:rPr>
          <w:rFonts w:hint="eastAsia" w:ascii="黑体" w:hAnsi="黑体" w:eastAsia="黑体" w:cs="黑体"/>
          <w:b w:val="0"/>
          <w:bCs w:val="0"/>
          <w:color w:val="000000" w:themeColor="text1"/>
          <w:sz w:val="21"/>
          <w:szCs w:val="21"/>
          <w:highlight w:val="none"/>
          <w14:textFill>
            <w14:solidFill>
              <w14:schemeClr w14:val="tx1"/>
            </w14:solidFill>
          </w14:textFill>
        </w:rPr>
        <w:t>《多功能电能表技术条件》</w:t>
      </w:r>
    </w:p>
    <w:p w14:paraId="6A21D1AE">
      <w:pPr>
        <w:spacing w:line="360" w:lineRule="auto"/>
        <w:ind w:left="6" w:leftChars="3" w:firstLine="420" w:firstLineChars="200"/>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pPr>
      <w:r>
        <w:rPr>
          <w:rFonts w:hint="eastAsia" w:ascii="黑体" w:hAnsi="黑体" w:eastAsia="黑体" w:cs="黑体"/>
          <w:b w:val="0"/>
          <w:bCs w:val="0"/>
          <w:color w:val="000000" w:themeColor="text1"/>
          <w:sz w:val="21"/>
          <w:szCs w:val="21"/>
          <w:highlight w:val="none"/>
          <w14:textFill>
            <w14:solidFill>
              <w14:schemeClr w14:val="tx1"/>
            </w14:solidFill>
          </w14:textFill>
        </w:rPr>
        <w:t xml:space="preserve">GB/T 17215.303-2022 </w:t>
      </w:r>
      <w:r>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t xml:space="preserve"> </w:t>
      </w:r>
      <w:r>
        <w:rPr>
          <w:rFonts w:hint="eastAsia" w:ascii="黑体" w:hAnsi="黑体" w:eastAsia="黑体" w:cs="黑体"/>
          <w:b w:val="0"/>
          <w:bCs w:val="0"/>
          <w:color w:val="000000" w:themeColor="text1"/>
          <w:sz w:val="21"/>
          <w:szCs w:val="21"/>
          <w:highlight w:val="none"/>
          <w14:textFill>
            <w14:solidFill>
              <w14:schemeClr w14:val="tx1"/>
            </w14:solidFill>
          </w14:textFill>
        </w:rPr>
        <w:t>《交流电测量设备 特殊要求 第3部分：数字化电能表》</w:t>
      </w:r>
    </w:p>
    <w:p w14:paraId="1AFBFD0B">
      <w:pPr>
        <w:spacing w:line="360" w:lineRule="auto"/>
        <w:ind w:left="2732" w:leftChars="201" w:hanging="2310" w:hangingChars="1100"/>
        <w:rPr>
          <w:rFonts w:hint="eastAsia" w:ascii="黑体" w:hAnsi="黑体" w:eastAsia="黑体" w:cs="黑体"/>
          <w:b w:val="0"/>
          <w:bCs w:val="0"/>
          <w:color w:val="000000" w:themeColor="text1"/>
          <w:sz w:val="21"/>
          <w:szCs w:val="21"/>
          <w:highlight w:val="none"/>
          <w14:textFill>
            <w14:solidFill>
              <w14:schemeClr w14:val="tx1"/>
            </w14:solidFill>
          </w14:textFill>
        </w:rPr>
      </w:pPr>
      <w:r>
        <w:rPr>
          <w:rFonts w:hint="eastAsia" w:ascii="黑体" w:hAnsi="黑体" w:eastAsia="黑体" w:cs="黑体"/>
          <w:b w:val="0"/>
          <w:bCs w:val="0"/>
          <w:color w:val="000000" w:themeColor="text1"/>
          <w:sz w:val="21"/>
          <w:szCs w:val="21"/>
          <w:highlight w:val="none"/>
          <w14:textFill>
            <w14:solidFill>
              <w14:schemeClr w14:val="tx1"/>
            </w14:solidFill>
          </w14:textFill>
        </w:rPr>
        <w:t>GB/T 33708.2-2025</w:t>
      </w:r>
      <w:r>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t xml:space="preserve">    </w:t>
      </w:r>
      <w:r>
        <w:rPr>
          <w:rFonts w:hint="eastAsia" w:ascii="黑体" w:hAnsi="黑体" w:eastAsia="黑体" w:cs="黑体"/>
          <w:b w:val="0"/>
          <w:bCs w:val="0"/>
          <w:color w:val="000000" w:themeColor="text1"/>
          <w:sz w:val="21"/>
          <w:szCs w:val="21"/>
          <w:highlight w:val="none"/>
          <w14:textFill>
            <w14:solidFill>
              <w14:schemeClr w14:val="tx1"/>
            </w14:solidFill>
          </w14:textFill>
        </w:rPr>
        <w:t>《直流电能测量设备第2部分:间接接入静止式电能表(0.2级、0.5级和1级)》</w:t>
      </w:r>
    </w:p>
    <w:p w14:paraId="4851218E">
      <w:pPr>
        <w:spacing w:line="360" w:lineRule="auto"/>
        <w:ind w:left="6" w:leftChars="3" w:firstLine="420" w:firstLineChars="200"/>
        <w:rPr>
          <w:rFonts w:hint="default" w:ascii="黑体" w:hAnsi="黑体" w:eastAsia="黑体" w:cs="黑体"/>
          <w:b w:val="0"/>
          <w:bCs w:val="0"/>
          <w:color w:val="000000" w:themeColor="text1"/>
          <w:sz w:val="21"/>
          <w:szCs w:val="21"/>
          <w:highlight w:val="none"/>
          <w:lang w:val="en-US" w:eastAsia="zh-CN"/>
          <w14:textFill>
            <w14:solidFill>
              <w14:schemeClr w14:val="tx1"/>
            </w14:solidFill>
          </w14:textFill>
        </w:rPr>
      </w:pPr>
      <w:r>
        <w:rPr>
          <w:rFonts w:hint="eastAsia" w:ascii="黑体" w:hAnsi="黑体" w:eastAsia="黑体" w:cs="黑体"/>
          <w:b w:val="0"/>
          <w:bCs w:val="0"/>
          <w:color w:val="000000" w:themeColor="text1"/>
          <w:sz w:val="21"/>
          <w:szCs w:val="21"/>
          <w:highlight w:val="none"/>
          <w14:textFill>
            <w14:solidFill>
              <w14:schemeClr w14:val="tx1"/>
            </w14:solidFill>
          </w14:textFill>
        </w:rPr>
        <w:t>G</w:t>
      </w:r>
      <w:r>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t xml:space="preserve">B/T 19862-2025      </w:t>
      </w:r>
      <w:r>
        <w:rPr>
          <w:rFonts w:hint="eastAsia" w:ascii="黑体" w:hAnsi="黑体" w:eastAsia="黑体" w:cs="黑体"/>
          <w:b w:val="0"/>
          <w:bCs w:val="0"/>
          <w:color w:val="000000" w:themeColor="text1"/>
          <w:sz w:val="21"/>
          <w:szCs w:val="21"/>
          <w:highlight w:val="none"/>
          <w14:textFill>
            <w14:solidFill>
              <w14:schemeClr w14:val="tx1"/>
            </w14:solidFill>
          </w14:textFill>
        </w:rPr>
        <w:t>《电能质量监测</w:t>
      </w:r>
      <w:r>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t>设备通用要求</w:t>
      </w:r>
      <w:r>
        <w:rPr>
          <w:rFonts w:hint="eastAsia" w:ascii="黑体" w:hAnsi="黑体" w:eastAsia="黑体" w:cs="黑体"/>
          <w:b w:val="0"/>
          <w:bCs w:val="0"/>
          <w:color w:val="000000" w:themeColor="text1"/>
          <w:sz w:val="21"/>
          <w:szCs w:val="21"/>
          <w:highlight w:val="none"/>
          <w14:textFill>
            <w14:solidFill>
              <w14:schemeClr w14:val="tx1"/>
            </w14:solidFill>
          </w14:textFill>
        </w:rPr>
        <w:t>》</w:t>
      </w:r>
    </w:p>
    <w:p w14:paraId="0B35950F">
      <w:pPr>
        <w:spacing w:line="360" w:lineRule="auto"/>
        <w:ind w:left="6" w:leftChars="3" w:firstLine="420" w:firstLineChars="200"/>
        <w:rPr>
          <w:rFonts w:hint="default" w:ascii="黑体" w:hAnsi="黑体" w:eastAsia="黑体" w:cs="黑体"/>
          <w:b w:val="0"/>
          <w:bCs w:val="0"/>
          <w:color w:val="000000" w:themeColor="text1"/>
          <w:sz w:val="21"/>
          <w:szCs w:val="21"/>
          <w:highlight w:val="none"/>
          <w:lang w:val="en-US" w:eastAsia="zh-CN"/>
          <w14:textFill>
            <w14:solidFill>
              <w14:schemeClr w14:val="tx1"/>
            </w14:solidFill>
          </w14:textFill>
        </w:rPr>
      </w:pPr>
      <w:r>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t xml:space="preserve">IEC60044-8：2002      </w:t>
      </w:r>
      <w:r>
        <w:rPr>
          <w:rFonts w:hint="eastAsia" w:ascii="黑体" w:hAnsi="黑体" w:eastAsia="黑体" w:cs="黑体"/>
          <w:b w:val="0"/>
          <w:bCs w:val="0"/>
          <w:color w:val="000000" w:themeColor="text1"/>
          <w:sz w:val="21"/>
          <w:szCs w:val="21"/>
          <w:highlight w:val="none"/>
          <w14:textFill>
            <w14:solidFill>
              <w14:schemeClr w14:val="tx1"/>
            </w14:solidFill>
          </w14:textFill>
        </w:rPr>
        <w:t>互感器</w:t>
      </w:r>
      <w:r>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t xml:space="preserve"> </w:t>
      </w:r>
      <w:r>
        <w:rPr>
          <w:rFonts w:hint="eastAsia" w:ascii="黑体" w:hAnsi="黑体" w:eastAsia="黑体" w:cs="黑体"/>
          <w:b w:val="0"/>
          <w:bCs w:val="0"/>
          <w:color w:val="000000" w:themeColor="text1"/>
          <w:sz w:val="21"/>
          <w:szCs w:val="21"/>
          <w:highlight w:val="none"/>
          <w14:textFill>
            <w14:solidFill>
              <w14:schemeClr w14:val="tx1"/>
            </w14:solidFill>
          </w14:textFill>
        </w:rPr>
        <w:t>第8部分:电子</w:t>
      </w:r>
      <w:r>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t>式</w:t>
      </w:r>
      <w:r>
        <w:rPr>
          <w:rFonts w:hint="eastAsia" w:ascii="黑体" w:hAnsi="黑体" w:eastAsia="黑体" w:cs="黑体"/>
          <w:b w:val="0"/>
          <w:bCs w:val="0"/>
          <w:color w:val="000000" w:themeColor="text1"/>
          <w:sz w:val="21"/>
          <w:szCs w:val="21"/>
          <w:highlight w:val="none"/>
          <w14:textFill>
            <w14:solidFill>
              <w14:schemeClr w14:val="tx1"/>
            </w14:solidFill>
          </w14:textFill>
        </w:rPr>
        <w:t>电流互感器</w:t>
      </w:r>
    </w:p>
    <w:p w14:paraId="3E455A4E">
      <w:pPr>
        <w:spacing w:line="360" w:lineRule="auto"/>
        <w:ind w:left="2732" w:leftChars="201" w:hanging="2310" w:hangingChars="1100"/>
        <w:rPr>
          <w:rFonts w:hint="default" w:ascii="黑体" w:hAnsi="黑体" w:eastAsia="黑体" w:cs="黑体"/>
          <w:b w:val="0"/>
          <w:bCs w:val="0"/>
          <w:color w:val="000000" w:themeColor="text1"/>
          <w:sz w:val="21"/>
          <w:szCs w:val="21"/>
          <w:highlight w:val="none"/>
          <w:lang w:val="en-US" w:eastAsia="zh-CN"/>
          <w14:textFill>
            <w14:solidFill>
              <w14:schemeClr w14:val="tx1"/>
            </w14:solidFill>
          </w14:textFill>
        </w:rPr>
      </w:pPr>
      <w:r>
        <w:rPr>
          <w:rFonts w:hint="eastAsia" w:ascii="黑体" w:hAnsi="黑体" w:eastAsia="黑体" w:cs="黑体"/>
          <w:b w:val="0"/>
          <w:bCs w:val="0"/>
          <w:color w:val="000000" w:themeColor="text1"/>
          <w:sz w:val="21"/>
          <w:szCs w:val="21"/>
          <w:highlight w:val="none"/>
          <w14:textFill>
            <w14:solidFill>
              <w14:schemeClr w14:val="tx1"/>
            </w14:solidFill>
          </w14:textFill>
        </w:rPr>
        <w:t>GB/T</w:t>
      </w:r>
      <w:r>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t>17215.211-2021    电测量设备(交流)通用要求、试验和试验条件 第11部分:测量设备</w:t>
      </w:r>
    </w:p>
    <w:p w14:paraId="10368313">
      <w:pPr>
        <w:spacing w:line="360" w:lineRule="auto"/>
        <w:ind w:left="6" w:leftChars="3" w:firstLine="420" w:firstLineChars="200"/>
        <w:rPr>
          <w:rFonts w:hint="default" w:ascii="黑体" w:hAnsi="黑体" w:eastAsia="黑体" w:cs="黑体"/>
          <w:b w:val="0"/>
          <w:bCs w:val="0"/>
          <w:color w:val="000000" w:themeColor="text1"/>
          <w:sz w:val="21"/>
          <w:szCs w:val="21"/>
          <w:highlight w:val="none"/>
          <w:lang w:val="en-US" w:eastAsia="zh-CN"/>
          <w14:textFill>
            <w14:solidFill>
              <w14:schemeClr w14:val="tx1"/>
            </w14:solidFill>
          </w14:textFill>
        </w:rPr>
      </w:pPr>
      <w:r>
        <w:rPr>
          <w:rFonts w:hint="eastAsia" w:ascii="黑体" w:hAnsi="黑体" w:eastAsia="黑体" w:cs="黑体"/>
          <w:b w:val="0"/>
          <w:bCs w:val="0"/>
          <w:color w:val="000000" w:themeColor="text1"/>
          <w:sz w:val="21"/>
          <w:szCs w:val="21"/>
          <w:highlight w:val="none"/>
          <w14:textFill>
            <w14:solidFill>
              <w14:schemeClr w14:val="tx1"/>
            </w14:solidFill>
          </w14:textFill>
        </w:rPr>
        <w:t>《中国南方电网公司关口电能计量装置配置及验收技术规范》</w:t>
      </w:r>
    </w:p>
    <w:p w14:paraId="68AC0D4C">
      <w:pPr>
        <w:spacing w:line="360" w:lineRule="auto"/>
        <w:ind w:left="6" w:leftChars="3" w:firstLine="420" w:firstLineChars="200"/>
        <w:rPr>
          <w:rFonts w:hint="default" w:ascii="黑体" w:hAnsi="黑体" w:eastAsia="黑体" w:cs="黑体"/>
          <w:b w:val="0"/>
          <w:bCs w:val="0"/>
          <w:color w:val="000000" w:themeColor="text1"/>
          <w:sz w:val="21"/>
          <w:szCs w:val="21"/>
          <w:highlight w:val="none"/>
          <w:lang w:val="en-US" w:eastAsia="zh-CN"/>
          <w14:textFill>
            <w14:solidFill>
              <w14:schemeClr w14:val="tx1"/>
            </w14:solidFill>
          </w14:textFill>
        </w:rPr>
      </w:pPr>
      <w:r>
        <w:rPr>
          <w:rFonts w:hint="eastAsia" w:ascii="黑体" w:hAnsi="黑体" w:eastAsia="黑体" w:cs="黑体"/>
          <w:b w:val="0"/>
          <w:bCs w:val="0"/>
          <w:color w:val="000000" w:themeColor="text1"/>
          <w:sz w:val="21"/>
          <w:szCs w:val="21"/>
          <w:highlight w:val="none"/>
          <w14:textFill>
            <w14:solidFill>
              <w14:schemeClr w14:val="tx1"/>
            </w14:solidFill>
          </w14:textFill>
        </w:rPr>
        <w:t>《中国南方电网公司500kV变电站电能计量装置典型设计》</w:t>
      </w:r>
    </w:p>
    <w:p w14:paraId="4183049D">
      <w:pPr>
        <w:numPr>
          <w:ilvl w:val="1"/>
          <w:numId w:val="6"/>
        </w:numPr>
        <w:spacing w:before="120" w:after="120" w:line="288" w:lineRule="auto"/>
        <w:ind w:left="567" w:leftChars="0" w:hanging="567" w:firstLineChars="0"/>
        <w:jc w:val="left"/>
        <w:rPr>
          <w:rStyle w:val="93"/>
          <w:rFonts w:hint="eastAsia" w:ascii="黑体" w:hAnsi="黑体" w:eastAsia="黑体" w:cs="黑体"/>
          <w:b w:val="0"/>
          <w:bCs/>
          <w:color w:val="000000" w:themeColor="text1"/>
          <w:sz w:val="24"/>
          <w:szCs w:val="24"/>
          <w:highlight w:val="none"/>
          <w14:textFill>
            <w14:solidFill>
              <w14:schemeClr w14:val="tx1"/>
            </w14:solidFill>
          </w14:textFill>
        </w:rPr>
      </w:pPr>
      <w:bookmarkStart w:id="22" w:name="_Toc1654"/>
      <w:bookmarkStart w:id="23" w:name="_Toc23158"/>
      <w:bookmarkStart w:id="24" w:name="_Toc9508"/>
      <w:bookmarkStart w:id="25" w:name="_Toc21802"/>
      <w:r>
        <w:rPr>
          <w:rStyle w:val="93"/>
          <w:rFonts w:hint="eastAsia" w:ascii="黑体" w:hAnsi="黑体" w:eastAsia="黑体" w:cs="黑体"/>
          <w:b w:val="0"/>
          <w:bCs/>
          <w:color w:val="000000" w:themeColor="text1"/>
          <w:sz w:val="24"/>
          <w:szCs w:val="24"/>
          <w:highlight w:val="none"/>
          <w14:textFill>
            <w14:solidFill>
              <w14:schemeClr w14:val="tx1"/>
            </w14:solidFill>
          </w14:textFill>
        </w:rPr>
        <w:t>术语和定义</w:t>
      </w:r>
    </w:p>
    <w:bookmarkEnd w:id="22"/>
    <w:bookmarkEnd w:id="23"/>
    <w:bookmarkEnd w:id="24"/>
    <w:bookmarkEnd w:id="25"/>
    <w:p w14:paraId="4C264744">
      <w:pPr>
        <w:spacing w:before="120" w:after="120" w:line="288" w:lineRule="auto"/>
        <w:ind w:lef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1.3.1 </w:t>
      </w:r>
      <w:r>
        <w:rPr>
          <w:rFonts w:hint="eastAsia" w:ascii="宋体" w:hAnsi="宋体" w:cs="宋体"/>
          <w:color w:val="000000" w:themeColor="text1"/>
          <w:sz w:val="21"/>
          <w:szCs w:val="21"/>
          <w:highlight w:val="none"/>
          <w:lang w:eastAsia="zh-CN"/>
          <w14:textFill>
            <w14:solidFill>
              <w14:schemeClr w14:val="tx1"/>
            </w14:solidFill>
          </w14:textFill>
        </w:rPr>
        <w:t>安装式数字直流电能表</w:t>
      </w:r>
      <w:r>
        <w:rPr>
          <w:rFonts w:hint="eastAsia" w:ascii="宋体" w:hAnsi="宋体" w:eastAsia="宋体" w:cs="宋体"/>
          <w:color w:val="000000" w:themeColor="text1"/>
          <w:sz w:val="21"/>
          <w:szCs w:val="21"/>
          <w:highlight w:val="none"/>
          <w14:textFill>
            <w14:solidFill>
              <w14:schemeClr w14:val="tx1"/>
            </w14:solidFill>
          </w14:textFill>
        </w:rPr>
        <w:t>：安装在电能计量柜（计量屏）内</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满足直流互感器及合并单元通讯协议的数字直流电能表</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主要用于各类直流电力系统的精确计量与智能化管理。</w:t>
      </w:r>
    </w:p>
    <w:p w14:paraId="7D92D00B">
      <w:pPr>
        <w:spacing w:before="120" w:after="120" w:line="288" w:lineRule="auto"/>
        <w:ind w:lef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1.3.2 代加工：中标人（</w:t>
      </w:r>
      <w:r>
        <w:rPr>
          <w:rFonts w:hint="eastAsia" w:ascii="宋体" w:hAnsi="宋体" w:eastAsia="宋体" w:cs="宋体"/>
          <w:color w:val="000000" w:themeColor="text1"/>
          <w:sz w:val="21"/>
          <w:szCs w:val="21"/>
          <w:highlight w:val="none"/>
          <w:lang w:eastAsia="zh-CN"/>
          <w14:textFill>
            <w14:solidFill>
              <w14:schemeClr w14:val="tx1"/>
            </w14:solidFill>
          </w14:textFill>
        </w:rPr>
        <w:t>投标方</w:t>
      </w:r>
      <w:r>
        <w:rPr>
          <w:rFonts w:hint="eastAsia" w:ascii="宋体" w:hAnsi="宋体" w:eastAsia="宋体" w:cs="宋体"/>
          <w:color w:val="000000" w:themeColor="text1"/>
          <w:sz w:val="21"/>
          <w:szCs w:val="21"/>
          <w:highlight w:val="none"/>
          <w14:textFill>
            <w14:solidFill>
              <w14:schemeClr w14:val="tx1"/>
            </w14:solidFill>
          </w14:textFill>
        </w:rPr>
        <w:t>）按照招标人提供的技术图纸、参数要求、质量标准，自行采购符合要求的原材料，完成</w:t>
      </w:r>
      <w:r>
        <w:rPr>
          <w:rFonts w:hint="eastAsia" w:ascii="宋体" w:hAnsi="宋体" w:cs="宋体"/>
          <w:color w:val="000000" w:themeColor="text1"/>
          <w:sz w:val="21"/>
          <w:szCs w:val="21"/>
          <w:highlight w:val="none"/>
          <w:lang w:eastAsia="zh-CN"/>
          <w14:textFill>
            <w14:solidFill>
              <w14:schemeClr w14:val="tx1"/>
            </w14:solidFill>
          </w14:textFill>
        </w:rPr>
        <w:t>安装式数字直流电能表</w:t>
      </w:r>
      <w:r>
        <w:rPr>
          <w:rFonts w:hint="eastAsia" w:ascii="宋体" w:hAnsi="宋体" w:eastAsia="宋体" w:cs="宋体"/>
          <w:color w:val="000000" w:themeColor="text1"/>
          <w:sz w:val="21"/>
          <w:szCs w:val="21"/>
          <w:highlight w:val="none"/>
          <w14:textFill>
            <w14:solidFill>
              <w14:schemeClr w14:val="tx1"/>
            </w14:solidFill>
          </w14:textFill>
        </w:rPr>
        <w:t>的生产、加工、组装、检验、包装</w:t>
      </w:r>
      <w:r>
        <w:rPr>
          <w:rFonts w:hint="eastAsia" w:ascii="宋体" w:hAnsi="宋体" w:eastAsia="宋体" w:cs="宋体"/>
          <w:color w:val="000000" w:themeColor="text1"/>
          <w:sz w:val="21"/>
          <w:szCs w:val="21"/>
          <w:highlight w:val="none"/>
          <w:lang w:val="en-US" w:eastAsia="zh-CN"/>
          <w14:textFill>
            <w14:solidFill>
              <w14:schemeClr w14:val="tx1"/>
            </w14:solidFill>
          </w14:textFill>
        </w:rPr>
        <w:t>等</w:t>
      </w:r>
      <w:r>
        <w:rPr>
          <w:rFonts w:hint="eastAsia" w:ascii="宋体" w:hAnsi="宋体" w:eastAsia="宋体" w:cs="宋体"/>
          <w:color w:val="000000" w:themeColor="text1"/>
          <w:sz w:val="21"/>
          <w:szCs w:val="21"/>
          <w:highlight w:val="none"/>
          <w14:textFill>
            <w14:solidFill>
              <w14:schemeClr w14:val="tx1"/>
            </w14:solidFill>
          </w14:textFill>
        </w:rPr>
        <w:t>，并按订单要求交付招标人的全部过程。</w:t>
      </w:r>
    </w:p>
    <w:p w14:paraId="7409AB9E">
      <w:pPr>
        <w:spacing w:before="120" w:after="120" w:line="288" w:lineRule="auto"/>
        <w:ind w:lef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1.3.3 框架采购：招标人通过招标确定中标人，签订框架合作协议，约定合作期限、产品标准、价格原则、订单流程、质量要求等核心条款，在协议有效期内，招标人根据实际需求下达分批代加工订单，中标人按订单执行的采购模式。</w:t>
      </w:r>
    </w:p>
    <w:p w14:paraId="15D6AF84">
      <w:pPr>
        <w:spacing w:before="120" w:after="120" w:line="288" w:lineRule="auto"/>
        <w:ind w:lef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1.3.4 质量追溯：</w:t>
      </w:r>
      <w:r>
        <w:rPr>
          <w:rFonts w:hint="eastAsia" w:ascii="宋体" w:hAnsi="宋体" w:eastAsia="宋体" w:cs="宋体"/>
          <w:color w:val="000000" w:themeColor="text1"/>
          <w:sz w:val="21"/>
          <w:szCs w:val="21"/>
          <w:highlight w:val="none"/>
          <w:lang w:eastAsia="zh-CN"/>
          <w14:textFill>
            <w14:solidFill>
              <w14:schemeClr w14:val="tx1"/>
            </w14:solidFill>
          </w14:textFill>
        </w:rPr>
        <w:t>投标方</w:t>
      </w:r>
      <w:r>
        <w:rPr>
          <w:rFonts w:hint="eastAsia" w:ascii="宋体" w:hAnsi="宋体" w:eastAsia="宋体" w:cs="宋体"/>
          <w:color w:val="000000" w:themeColor="text1"/>
          <w:sz w:val="21"/>
          <w:szCs w:val="21"/>
          <w:highlight w:val="none"/>
          <w14:textFill>
            <w14:solidFill>
              <w14:schemeClr w14:val="tx1"/>
            </w14:solidFill>
          </w14:textFill>
        </w:rPr>
        <w:t>建立完善的质量追溯体系，实现原材料采购、生产加工、检验检测、交付等全流程可追溯，确保出现质量问题时可快速定位、排查原因。</w:t>
      </w:r>
    </w:p>
    <w:p w14:paraId="41F84D59">
      <w:pPr>
        <w:numPr>
          <w:ilvl w:val="1"/>
          <w:numId w:val="6"/>
        </w:numPr>
        <w:spacing w:before="120" w:after="120" w:line="288" w:lineRule="auto"/>
        <w:ind w:left="567" w:leftChars="0" w:hanging="567" w:firstLineChars="0"/>
        <w:jc w:val="left"/>
        <w:rPr>
          <w:rStyle w:val="93"/>
          <w:rFonts w:hint="eastAsia" w:ascii="黑体" w:hAnsi="黑体" w:eastAsia="黑体" w:cs="黑体"/>
          <w:b w:val="0"/>
          <w:bCs/>
          <w:color w:val="000000" w:themeColor="text1"/>
          <w:sz w:val="24"/>
          <w:szCs w:val="24"/>
          <w:highlight w:val="none"/>
          <w14:textFill>
            <w14:solidFill>
              <w14:schemeClr w14:val="tx1"/>
            </w14:solidFill>
          </w14:textFill>
        </w:rPr>
      </w:pPr>
      <w:bookmarkStart w:id="26" w:name="_Toc7055"/>
      <w:bookmarkStart w:id="27" w:name="_Toc11213"/>
      <w:bookmarkStart w:id="28" w:name="_Toc11309"/>
      <w:bookmarkStart w:id="29" w:name="_Toc4311"/>
      <w:r>
        <w:rPr>
          <w:rStyle w:val="93"/>
          <w:rFonts w:hint="eastAsia" w:ascii="黑体" w:hAnsi="黑体" w:eastAsia="黑体" w:cs="黑体"/>
          <w:b w:val="0"/>
          <w:bCs/>
          <w:color w:val="000000" w:themeColor="text1"/>
          <w:sz w:val="24"/>
          <w:szCs w:val="24"/>
          <w:highlight w:val="none"/>
          <w14:textFill>
            <w14:solidFill>
              <w14:schemeClr w14:val="tx1"/>
            </w14:solidFill>
          </w14:textFill>
        </w:rPr>
        <w:t>总体技术原则</w:t>
      </w:r>
    </w:p>
    <w:bookmarkEnd w:id="26"/>
    <w:bookmarkEnd w:id="27"/>
    <w:bookmarkEnd w:id="28"/>
    <w:bookmarkEnd w:id="29"/>
    <w:p w14:paraId="5B3516CF">
      <w:pPr>
        <w:spacing w:before="120" w:after="120" w:line="288" w:lineRule="auto"/>
        <w:ind w:lef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1.4.1 </w:t>
      </w:r>
      <w:r>
        <w:rPr>
          <w:rFonts w:hint="eastAsia" w:ascii="宋体" w:hAnsi="宋体" w:eastAsia="宋体" w:cs="宋体"/>
          <w:color w:val="000000" w:themeColor="text1"/>
          <w:sz w:val="21"/>
          <w:szCs w:val="21"/>
          <w:highlight w:val="none"/>
          <w:lang w:eastAsia="zh-CN"/>
          <w14:textFill>
            <w14:solidFill>
              <w14:schemeClr w14:val="tx1"/>
            </w14:solidFill>
          </w14:textFill>
        </w:rPr>
        <w:t>投标方</w:t>
      </w:r>
      <w:r>
        <w:rPr>
          <w:rFonts w:hint="eastAsia" w:ascii="宋体" w:hAnsi="宋体" w:eastAsia="宋体" w:cs="宋体"/>
          <w:color w:val="000000" w:themeColor="text1"/>
          <w:sz w:val="21"/>
          <w:szCs w:val="21"/>
          <w:highlight w:val="none"/>
          <w14:textFill>
            <w14:solidFill>
              <w14:schemeClr w14:val="tx1"/>
            </w14:solidFill>
          </w14:textFill>
        </w:rPr>
        <w:t>须具备完善的生产体系和质量管控体系，能够独立完成本规范约定的全部代加工工作。</w:t>
      </w:r>
    </w:p>
    <w:p w14:paraId="0193E6B0">
      <w:pPr>
        <w:spacing w:before="120" w:after="120" w:line="288" w:lineRule="auto"/>
        <w:ind w:lef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1.4.2 代加工产品须为全新、合格产品，无翻新、无二手、无返修部件，所有原材料、零部件均符合国家相关标准及本规范要求，严禁使用不合格原材料、劣质零部件。</w:t>
      </w:r>
    </w:p>
    <w:p w14:paraId="1AF8169A">
      <w:pPr>
        <w:spacing w:before="120" w:after="120" w:line="288" w:lineRule="auto"/>
        <w:ind w:lef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1.4.3 代加工过程须严格遵循招标人提供的技术图纸、加工工艺要求，确保产品结构、尺寸、性能、外观等全部符合标准，机械强度裕度充足，安全可靠。</w:t>
      </w:r>
    </w:p>
    <w:p w14:paraId="68342DC4">
      <w:pPr>
        <w:spacing w:before="120" w:after="120" w:line="288" w:lineRule="auto"/>
        <w:ind w:lef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1.4.4 </w:t>
      </w:r>
      <w:r>
        <w:rPr>
          <w:rFonts w:hint="eastAsia" w:ascii="宋体" w:hAnsi="宋体" w:eastAsia="宋体" w:cs="宋体"/>
          <w:color w:val="000000" w:themeColor="text1"/>
          <w:sz w:val="21"/>
          <w:szCs w:val="21"/>
          <w:highlight w:val="none"/>
          <w:lang w:eastAsia="zh-CN"/>
          <w14:textFill>
            <w14:solidFill>
              <w14:schemeClr w14:val="tx1"/>
            </w14:solidFill>
          </w14:textFill>
        </w:rPr>
        <w:t>投标方</w:t>
      </w:r>
      <w:r>
        <w:rPr>
          <w:rFonts w:hint="eastAsia" w:ascii="宋体" w:hAnsi="宋体" w:eastAsia="宋体" w:cs="宋体"/>
          <w:color w:val="000000" w:themeColor="text1"/>
          <w:sz w:val="21"/>
          <w:szCs w:val="21"/>
          <w:highlight w:val="none"/>
          <w14:textFill>
            <w14:solidFill>
              <w14:schemeClr w14:val="tx1"/>
            </w14:solidFill>
          </w14:textFill>
        </w:rPr>
        <w:t>须具备充足的生产产能，能够快速响应招标人的分批订单需求，确保订单交付及时，无逾期交付情况。</w:t>
      </w:r>
    </w:p>
    <w:p w14:paraId="377ACEAF">
      <w:pPr>
        <w:spacing w:before="120" w:after="120" w:line="288" w:lineRule="auto"/>
        <w:ind w:lef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1.4.5 </w:t>
      </w:r>
      <w:r>
        <w:rPr>
          <w:rFonts w:hint="eastAsia" w:ascii="宋体" w:hAnsi="宋体" w:eastAsia="宋体" w:cs="宋体"/>
          <w:color w:val="000000" w:themeColor="text1"/>
          <w:sz w:val="21"/>
          <w:szCs w:val="21"/>
          <w:highlight w:val="none"/>
          <w:lang w:eastAsia="zh-CN"/>
          <w14:textFill>
            <w14:solidFill>
              <w14:schemeClr w14:val="tx1"/>
            </w14:solidFill>
          </w14:textFill>
        </w:rPr>
        <w:t>投标方</w:t>
      </w:r>
      <w:r>
        <w:rPr>
          <w:rFonts w:hint="eastAsia" w:ascii="宋体" w:hAnsi="宋体" w:eastAsia="宋体" w:cs="宋体"/>
          <w:color w:val="000000" w:themeColor="text1"/>
          <w:sz w:val="21"/>
          <w:szCs w:val="21"/>
          <w:highlight w:val="none"/>
          <w14:textFill>
            <w14:solidFill>
              <w14:schemeClr w14:val="tx1"/>
            </w14:solidFill>
          </w14:textFill>
        </w:rPr>
        <w:t>须建立完善的质量追溯体系和售后服务体系，确保产品质量可追溯、售后响应及时，能够妥善处理产品质量问题。</w:t>
      </w:r>
    </w:p>
    <w:p w14:paraId="689193A7">
      <w:pPr>
        <w:spacing w:before="120" w:after="120" w:line="288" w:lineRule="auto"/>
        <w:ind w:lef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1.4.6 所有代加工工作须符合国家安全生产、环保要求，生产过程无安全隐患、无环境污染。</w:t>
      </w:r>
    </w:p>
    <w:p w14:paraId="70BD8F73">
      <w:pPr>
        <w:numPr>
          <w:ilvl w:val="1"/>
          <w:numId w:val="6"/>
        </w:numPr>
        <w:spacing w:before="120" w:after="120" w:line="288" w:lineRule="auto"/>
        <w:ind w:left="567" w:leftChars="0" w:hanging="567" w:firstLineChars="0"/>
        <w:jc w:val="left"/>
        <w:rPr>
          <w:rStyle w:val="93"/>
          <w:rFonts w:hint="eastAsia" w:ascii="黑体" w:hAnsi="黑体" w:eastAsia="黑体" w:cs="黑体"/>
          <w:b w:val="0"/>
          <w:bCs/>
          <w:color w:val="000000" w:themeColor="text1"/>
          <w:sz w:val="24"/>
          <w:szCs w:val="24"/>
          <w:highlight w:val="none"/>
          <w14:textFill>
            <w14:solidFill>
              <w14:schemeClr w14:val="tx1"/>
            </w14:solidFill>
          </w14:textFill>
        </w:rPr>
      </w:pPr>
      <w:bookmarkStart w:id="30" w:name="_Toc13651"/>
      <w:bookmarkStart w:id="31" w:name="_Toc13096"/>
      <w:bookmarkStart w:id="32" w:name="_Toc26684"/>
      <w:bookmarkStart w:id="33" w:name="_Toc22760"/>
      <w:r>
        <w:rPr>
          <w:rStyle w:val="93"/>
          <w:rFonts w:hint="eastAsia" w:ascii="黑体" w:hAnsi="黑体" w:eastAsia="黑体" w:cs="黑体"/>
          <w:b w:val="0"/>
          <w:bCs/>
          <w:color w:val="000000" w:themeColor="text1"/>
          <w:sz w:val="24"/>
          <w:szCs w:val="24"/>
          <w:highlight w:val="none"/>
          <w14:textFill>
            <w14:solidFill>
              <w14:schemeClr w14:val="tx1"/>
            </w14:solidFill>
          </w14:textFill>
        </w:rPr>
        <w:t>框架采购约定</w:t>
      </w:r>
    </w:p>
    <w:bookmarkEnd w:id="30"/>
    <w:bookmarkEnd w:id="31"/>
    <w:bookmarkEnd w:id="32"/>
    <w:bookmarkEnd w:id="33"/>
    <w:p w14:paraId="164DAC5E">
      <w:pPr>
        <w:spacing w:before="120" w:after="120" w:line="288" w:lineRule="auto"/>
        <w:ind w:lef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1.5.1 框架合作期限：自框架协议签订生效之日起</w:t>
      </w:r>
      <w:r>
        <w:rPr>
          <w:rFonts w:hint="eastAsia" w:ascii="宋体" w:hAnsi="宋体" w:cs="宋体"/>
          <w:color w:val="000000" w:themeColor="text1"/>
          <w:sz w:val="21"/>
          <w:szCs w:val="21"/>
          <w:highlight w:val="none"/>
          <w:u w:val="singl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年，期满后可根据双方合作情况，</w:t>
      </w:r>
      <w:r>
        <w:rPr>
          <w:rFonts w:hint="eastAsia" w:ascii="宋体" w:hAnsi="宋体" w:cs="宋体"/>
          <w:color w:val="000000" w:themeColor="text1"/>
          <w:sz w:val="21"/>
          <w:szCs w:val="21"/>
          <w:highlight w:val="none"/>
          <w:lang w:val="en-US" w:eastAsia="zh-CN"/>
          <w14:textFill>
            <w14:solidFill>
              <w14:schemeClr w14:val="tx1"/>
            </w14:solidFill>
          </w14:textFill>
        </w:rPr>
        <w:t>由招标方决定续签合同或重新招标</w:t>
      </w:r>
      <w:r>
        <w:rPr>
          <w:rFonts w:hint="eastAsia" w:ascii="宋体" w:hAnsi="宋体" w:eastAsia="宋体" w:cs="宋体"/>
          <w:color w:val="000000" w:themeColor="text1"/>
          <w:sz w:val="21"/>
          <w:szCs w:val="21"/>
          <w:highlight w:val="none"/>
          <w14:textFill>
            <w14:solidFill>
              <w14:schemeClr w14:val="tx1"/>
            </w14:solidFill>
          </w14:textFill>
        </w:rPr>
        <w:t>。</w:t>
      </w:r>
    </w:p>
    <w:p w14:paraId="3E0C0502">
      <w:pPr>
        <w:spacing w:before="120" w:after="120" w:line="288" w:lineRule="auto"/>
        <w:ind w:lef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1.5.2 订单下达：招标人根据实际需求</w:t>
      </w:r>
      <w:r>
        <w:rPr>
          <w:rFonts w:hint="eastAsia" w:ascii="宋体" w:hAnsi="宋体" w:cs="宋体"/>
          <w:color w:val="000000" w:themeColor="text1"/>
          <w:sz w:val="21"/>
          <w:szCs w:val="21"/>
          <w:highlight w:val="none"/>
          <w:lang w:val="en-US" w:eastAsia="zh-CN"/>
          <w14:textFill>
            <w14:solidFill>
              <w14:schemeClr w14:val="tx1"/>
            </w14:solidFill>
          </w14:textFill>
        </w:rPr>
        <w:t>通知</w:t>
      </w:r>
      <w:r>
        <w:rPr>
          <w:rFonts w:hint="eastAsia" w:ascii="宋体" w:hAnsi="宋体" w:eastAsia="宋体" w:cs="宋体"/>
          <w:color w:val="000000" w:themeColor="text1"/>
          <w:sz w:val="21"/>
          <w:szCs w:val="21"/>
          <w:highlight w:val="none"/>
          <w:lang w:eastAsia="zh-CN"/>
          <w14:textFill>
            <w14:solidFill>
              <w14:schemeClr w14:val="tx1"/>
            </w14:solidFill>
          </w14:textFill>
        </w:rPr>
        <w:t>投标方</w:t>
      </w:r>
      <w:r>
        <w:rPr>
          <w:rFonts w:hint="eastAsia" w:ascii="宋体" w:hAnsi="宋体" w:eastAsia="宋体" w:cs="宋体"/>
          <w:color w:val="000000" w:themeColor="text1"/>
          <w:sz w:val="21"/>
          <w:szCs w:val="21"/>
          <w:highlight w:val="none"/>
          <w14:textFill>
            <w14:solidFill>
              <w14:schemeClr w14:val="tx1"/>
            </w14:solidFill>
          </w14:textFill>
        </w:rPr>
        <w:t>，明确产品数量、交付时间、交付地点、特殊要求等内容。</w:t>
      </w:r>
    </w:p>
    <w:p w14:paraId="25CAF773">
      <w:pPr>
        <w:spacing w:before="120" w:after="120" w:line="288" w:lineRule="auto"/>
        <w:ind w:left="0"/>
        <w:jc w:val="left"/>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1.5.3 订单响应：</w:t>
      </w:r>
      <w:r>
        <w:rPr>
          <w:rFonts w:hint="eastAsia" w:ascii="宋体" w:hAnsi="宋体" w:eastAsia="宋体" w:cs="宋体"/>
          <w:color w:val="000000" w:themeColor="text1"/>
          <w:sz w:val="21"/>
          <w:szCs w:val="21"/>
          <w:highlight w:val="none"/>
          <w:lang w:eastAsia="zh-CN"/>
          <w14:textFill>
            <w14:solidFill>
              <w14:schemeClr w14:val="tx1"/>
            </w14:solidFill>
          </w14:textFill>
        </w:rPr>
        <w:t>投标方</w:t>
      </w:r>
      <w:r>
        <w:rPr>
          <w:rFonts w:hint="eastAsia" w:ascii="宋体" w:hAnsi="宋体" w:eastAsia="宋体" w:cs="宋体"/>
          <w:color w:val="000000" w:themeColor="text1"/>
          <w:sz w:val="21"/>
          <w:szCs w:val="21"/>
          <w:highlight w:val="none"/>
          <w14:textFill>
            <w14:solidFill>
              <w14:schemeClr w14:val="tx1"/>
            </w14:solidFill>
          </w14:textFill>
        </w:rPr>
        <w:t>收到</w:t>
      </w:r>
      <w:r>
        <w:rPr>
          <w:rFonts w:hint="eastAsia" w:ascii="宋体" w:hAnsi="宋体" w:cs="宋体"/>
          <w:color w:val="000000" w:themeColor="text1"/>
          <w:sz w:val="21"/>
          <w:szCs w:val="21"/>
          <w:highlight w:val="none"/>
          <w:lang w:val="en-US" w:eastAsia="zh-CN"/>
          <w14:textFill>
            <w14:solidFill>
              <w14:schemeClr w14:val="tx1"/>
            </w14:solidFill>
          </w14:textFill>
        </w:rPr>
        <w:t>通知</w:t>
      </w:r>
      <w:r>
        <w:rPr>
          <w:rFonts w:hint="eastAsia" w:ascii="宋体" w:hAnsi="宋体" w:eastAsia="宋体" w:cs="宋体"/>
          <w:color w:val="000000" w:themeColor="text1"/>
          <w:sz w:val="21"/>
          <w:szCs w:val="21"/>
          <w:highlight w:val="none"/>
          <w14:textFill>
            <w14:solidFill>
              <w14:schemeClr w14:val="tx1"/>
            </w14:solidFill>
          </w14:textFill>
        </w:rPr>
        <w:t>后，须在</w:t>
      </w:r>
      <w:r>
        <w:rPr>
          <w:rFonts w:hint="eastAsia" w:ascii="宋体" w:hAnsi="宋体" w:cs="宋体"/>
          <w:color w:val="000000" w:themeColor="text1"/>
          <w:sz w:val="21"/>
          <w:szCs w:val="21"/>
          <w:highlight w:val="none"/>
          <w:u w:val="single"/>
          <w:lang w:val="en-US" w:eastAsia="zh-CN"/>
          <w14:textFill>
            <w14:solidFill>
              <w14:schemeClr w14:val="tx1"/>
            </w14:solidFill>
          </w14:textFill>
        </w:rPr>
        <w:t>20</w:t>
      </w:r>
      <w:r>
        <w:rPr>
          <w:rFonts w:hint="eastAsia" w:ascii="宋体" w:hAnsi="宋体" w:eastAsia="宋体" w:cs="宋体"/>
          <w:color w:val="000000" w:themeColor="text1"/>
          <w:sz w:val="21"/>
          <w:szCs w:val="21"/>
          <w:highlight w:val="none"/>
          <w14:textFill>
            <w14:solidFill>
              <w14:schemeClr w14:val="tx1"/>
            </w14:solidFill>
          </w14:textFill>
        </w:rPr>
        <w:t>个</w:t>
      </w:r>
      <w:r>
        <w:rPr>
          <w:rFonts w:hint="eastAsia" w:ascii="宋体" w:hAnsi="宋体" w:cs="宋体"/>
          <w:color w:val="000000" w:themeColor="text1"/>
          <w:sz w:val="21"/>
          <w:szCs w:val="21"/>
          <w:highlight w:val="none"/>
          <w:lang w:val="en-US" w:eastAsia="zh-CN"/>
          <w14:textFill>
            <w14:solidFill>
              <w14:schemeClr w14:val="tx1"/>
            </w14:solidFill>
          </w14:textFill>
        </w:rPr>
        <w:t>自然</w:t>
      </w:r>
      <w:r>
        <w:rPr>
          <w:rFonts w:hint="eastAsia" w:ascii="宋体" w:hAnsi="宋体" w:eastAsia="宋体" w:cs="宋体"/>
          <w:color w:val="000000" w:themeColor="text1"/>
          <w:sz w:val="21"/>
          <w:szCs w:val="21"/>
          <w:highlight w:val="none"/>
          <w14:textFill>
            <w14:solidFill>
              <w14:schemeClr w14:val="tx1"/>
            </w14:solidFill>
          </w14:textFill>
        </w:rPr>
        <w:t>日</w:t>
      </w:r>
      <w:r>
        <w:rPr>
          <w:rFonts w:hint="eastAsia" w:ascii="宋体" w:hAnsi="宋体" w:cs="宋体"/>
          <w:color w:val="000000" w:themeColor="text1"/>
          <w:sz w:val="21"/>
          <w:szCs w:val="21"/>
          <w:highlight w:val="none"/>
          <w:lang w:val="en-US" w:eastAsia="zh-CN"/>
          <w14:textFill>
            <w14:solidFill>
              <w14:schemeClr w14:val="tx1"/>
            </w14:solidFill>
          </w14:textFill>
        </w:rPr>
        <w:t>完成生产并交付。</w:t>
      </w:r>
    </w:p>
    <w:p w14:paraId="4B4EE317">
      <w:pPr>
        <w:spacing w:before="120" w:after="120" w:line="288" w:lineRule="auto"/>
        <w:ind w:lef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 xml:space="preserve"> 产能保障：</w:t>
      </w:r>
      <w:r>
        <w:rPr>
          <w:rFonts w:hint="eastAsia" w:ascii="宋体" w:hAnsi="宋体" w:eastAsia="宋体" w:cs="宋体"/>
          <w:color w:val="000000" w:themeColor="text1"/>
          <w:sz w:val="21"/>
          <w:szCs w:val="21"/>
          <w:highlight w:val="none"/>
          <w:lang w:eastAsia="zh-CN"/>
          <w14:textFill>
            <w14:solidFill>
              <w14:schemeClr w14:val="tx1"/>
            </w14:solidFill>
          </w14:textFill>
        </w:rPr>
        <w:t>投标方</w:t>
      </w:r>
      <w:r>
        <w:rPr>
          <w:rFonts w:hint="eastAsia" w:ascii="宋体" w:hAnsi="宋体" w:eastAsia="宋体" w:cs="宋体"/>
          <w:color w:val="000000" w:themeColor="text1"/>
          <w:sz w:val="21"/>
          <w:szCs w:val="21"/>
          <w:highlight w:val="none"/>
          <w14:textFill>
            <w14:solidFill>
              <w14:schemeClr w14:val="tx1"/>
            </w14:solidFill>
          </w14:textFill>
        </w:rPr>
        <w:t>须保障框架合作期间，具备满足招标人订单需求的产能，若招标人有紧急订单，</w:t>
      </w:r>
      <w:r>
        <w:rPr>
          <w:rFonts w:hint="eastAsia" w:ascii="宋体" w:hAnsi="宋体" w:eastAsia="宋体" w:cs="宋体"/>
          <w:color w:val="000000" w:themeColor="text1"/>
          <w:sz w:val="21"/>
          <w:szCs w:val="21"/>
          <w:highlight w:val="none"/>
          <w:lang w:eastAsia="zh-CN"/>
          <w14:textFill>
            <w14:solidFill>
              <w14:schemeClr w14:val="tx1"/>
            </w14:solidFill>
          </w14:textFill>
        </w:rPr>
        <w:t>投标方</w:t>
      </w:r>
      <w:r>
        <w:rPr>
          <w:rFonts w:hint="eastAsia" w:ascii="宋体" w:hAnsi="宋体" w:eastAsia="宋体" w:cs="宋体"/>
          <w:color w:val="000000" w:themeColor="text1"/>
          <w:sz w:val="21"/>
          <w:szCs w:val="21"/>
          <w:highlight w:val="none"/>
          <w14:textFill>
            <w14:solidFill>
              <w14:schemeClr w14:val="tx1"/>
            </w14:solidFill>
          </w14:textFill>
        </w:rPr>
        <w:t>须优先安排生产，确保按时交付。</w:t>
      </w:r>
    </w:p>
    <w:p w14:paraId="5E6C879F">
      <w:pPr>
        <w:spacing w:before="120" w:after="120" w:line="288" w:lineRule="auto"/>
        <w:ind w:left="0"/>
        <w:jc w:val="lef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1.5.5 合同签订之后，中标方根据招标方提供的技术资料在20个自然日内试制一台样机，如样机不能满足技术规范书的要求，招标方有权终止合同，且制造样机的成本由中标方自行承担。</w:t>
      </w:r>
    </w:p>
    <w:p w14:paraId="21A7902C">
      <w:pPr>
        <w:pStyle w:val="2"/>
        <w:numPr>
          <w:ilvl w:val="0"/>
          <w:numId w:val="0"/>
        </w:numPr>
        <w:bidi w:val="0"/>
        <w:ind w:leftChars="0"/>
        <w:rPr>
          <w:rFonts w:hint="eastAsia" w:ascii="宋体" w:hAnsi="宋体" w:eastAsia="宋体" w:cs="宋体"/>
          <w:color w:val="000000" w:themeColor="text1"/>
          <w:sz w:val="24"/>
          <w:szCs w:val="24"/>
          <w:highlight w:val="none"/>
          <w14:textFill>
            <w14:solidFill>
              <w14:schemeClr w14:val="tx1"/>
            </w14:solidFill>
          </w14:textFill>
        </w:rPr>
      </w:pPr>
      <w:bookmarkStart w:id="34" w:name="_Toc13023"/>
      <w:bookmarkStart w:id="35" w:name="_Toc8921"/>
      <w:bookmarkStart w:id="36" w:name="_Toc21252"/>
      <w:bookmarkStart w:id="37" w:name="_Toc25804"/>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项目概况及代加工要求</w:t>
      </w:r>
      <w:bookmarkEnd w:id="34"/>
      <w:bookmarkEnd w:id="35"/>
      <w:bookmarkEnd w:id="36"/>
      <w:bookmarkEnd w:id="37"/>
    </w:p>
    <w:p w14:paraId="6866AA21">
      <w:pPr>
        <w:pStyle w:val="3"/>
        <w:numPr>
          <w:ilvl w:val="1"/>
          <w:numId w:val="7"/>
        </w:numPr>
        <w:bidi w:val="0"/>
        <w:ind w:left="567" w:leftChars="0" w:hanging="567" w:firstLineChars="0"/>
        <w:rPr>
          <w:rFonts w:hint="eastAsia" w:ascii="黑体" w:hAnsi="黑体" w:eastAsia="黑体" w:cs="黑体"/>
          <w:color w:val="000000" w:themeColor="text1"/>
          <w:sz w:val="24"/>
          <w:szCs w:val="24"/>
          <w:highlight w:val="none"/>
          <w14:textFill>
            <w14:solidFill>
              <w14:schemeClr w14:val="tx1"/>
            </w14:solidFill>
          </w14:textFill>
        </w:rPr>
      </w:pPr>
      <w:bookmarkStart w:id="38" w:name="_Toc29175"/>
      <w:bookmarkStart w:id="39" w:name="_Toc25795"/>
      <w:bookmarkStart w:id="40" w:name="_Toc12101"/>
      <w:bookmarkStart w:id="41" w:name="_Toc16277"/>
      <w:r>
        <w:rPr>
          <w:rFonts w:hint="eastAsia" w:ascii="黑体" w:hAnsi="黑体" w:eastAsia="黑体" w:cs="黑体"/>
          <w:color w:val="000000" w:themeColor="text1"/>
          <w:sz w:val="24"/>
          <w:szCs w:val="24"/>
          <w:highlight w:val="none"/>
          <w14:textFill>
            <w14:solidFill>
              <w14:schemeClr w14:val="tx1"/>
            </w14:solidFill>
          </w14:textFill>
        </w:rPr>
        <w:t>项目概况</w:t>
      </w:r>
      <w:bookmarkEnd w:id="38"/>
      <w:bookmarkEnd w:id="39"/>
      <w:bookmarkEnd w:id="40"/>
      <w:bookmarkEnd w:id="41"/>
    </w:p>
    <w:p w14:paraId="31ABEC1F">
      <w:pPr>
        <w:keepNext w:val="0"/>
        <w:keepLines w:val="0"/>
        <w:pageBreakBefore w:val="0"/>
        <w:widowControl w:val="0"/>
        <w:kinsoku/>
        <w:wordWrap/>
        <w:overflowPunct/>
        <w:topLinePunct w:val="0"/>
        <w:autoSpaceDE/>
        <w:autoSpaceDN/>
        <w:bidi w:val="0"/>
        <w:adjustRightInd/>
        <w:snapToGrid/>
        <w:spacing w:before="120" w:after="120" w:line="288" w:lineRule="auto"/>
        <w:ind w:left="0"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本项目为广东天广能源科技发展有限公司安装式数字直流电能表2026—2028年生产代工框架采购，招标人通过招标确定合格代加工方，建立长期框架合作关系，用于满足招标人所需</w:t>
      </w:r>
      <w:r>
        <w:rPr>
          <w:rFonts w:hint="eastAsia" w:ascii="宋体" w:hAnsi="宋体" w:cs="宋体"/>
          <w:color w:val="000000" w:themeColor="text1"/>
          <w:sz w:val="21"/>
          <w:szCs w:val="21"/>
          <w:highlight w:val="none"/>
          <w:lang w:eastAsia="zh-CN"/>
          <w14:textFill>
            <w14:solidFill>
              <w14:schemeClr w14:val="tx1"/>
            </w14:solidFill>
          </w14:textFill>
        </w:rPr>
        <w:t>安装式数字直流电能表</w:t>
      </w:r>
      <w:r>
        <w:rPr>
          <w:rFonts w:hint="eastAsia" w:ascii="宋体" w:hAnsi="宋体" w:eastAsia="宋体" w:cs="宋体"/>
          <w:color w:val="000000" w:themeColor="text1"/>
          <w:sz w:val="21"/>
          <w:szCs w:val="21"/>
          <w:highlight w:val="none"/>
          <w14:textFill>
            <w14:solidFill>
              <w14:schemeClr w14:val="tx1"/>
            </w14:solidFill>
          </w14:textFill>
        </w:rPr>
        <w:t>的批量代加工需求。代加工产品主要解决</w:t>
      </w:r>
      <w:r>
        <w:rPr>
          <w:rFonts w:hint="eastAsia" w:ascii="宋体" w:hAnsi="宋体" w:eastAsia="宋体" w:cs="宋体"/>
          <w:color w:val="000000" w:themeColor="text1"/>
          <w:sz w:val="21"/>
          <w:szCs w:val="21"/>
          <w:highlight w:val="none"/>
          <w:lang w:val="en-US" w:eastAsia="zh-CN"/>
          <w14:textFill>
            <w14:solidFill>
              <w14:schemeClr w14:val="tx1"/>
            </w14:solidFill>
          </w14:textFill>
        </w:rPr>
        <w:t>现有</w:t>
      </w:r>
      <w:r>
        <w:rPr>
          <w:rFonts w:hint="eastAsia" w:ascii="宋体" w:hAnsi="宋体" w:eastAsia="宋体" w:cs="宋体"/>
          <w:color w:val="000000" w:themeColor="text1"/>
          <w:sz w:val="21"/>
          <w:szCs w:val="21"/>
          <w:highlight w:val="none"/>
          <w14:textFill>
            <w14:solidFill>
              <w14:schemeClr w14:val="tx1"/>
            </w14:solidFill>
          </w14:textFill>
        </w:rPr>
        <w:t>直流电能表</w:t>
      </w:r>
      <w:r>
        <w:rPr>
          <w:rFonts w:hint="eastAsia" w:ascii="宋体" w:hAnsi="宋体" w:eastAsia="宋体" w:cs="宋体"/>
          <w:color w:val="000000" w:themeColor="text1"/>
          <w:sz w:val="21"/>
          <w:szCs w:val="21"/>
          <w:highlight w:val="none"/>
          <w:lang w:val="en-US" w:eastAsia="zh-CN"/>
          <w14:textFill>
            <w14:solidFill>
              <w14:schemeClr w14:val="tx1"/>
            </w14:solidFill>
          </w14:textFill>
        </w:rPr>
        <w:t>在超高压直流输电系统中测量</w:t>
      </w:r>
      <w:r>
        <w:rPr>
          <w:rFonts w:hint="eastAsia" w:ascii="宋体" w:hAnsi="宋体" w:eastAsia="宋体" w:cs="宋体"/>
          <w:color w:val="000000" w:themeColor="text1"/>
          <w:sz w:val="21"/>
          <w:szCs w:val="21"/>
          <w:highlight w:val="none"/>
          <w14:textFill>
            <w14:solidFill>
              <w14:schemeClr w14:val="tx1"/>
            </w14:solidFill>
          </w14:textFill>
        </w:rPr>
        <w:t>精度</w:t>
      </w:r>
      <w:r>
        <w:rPr>
          <w:rFonts w:hint="eastAsia" w:ascii="宋体" w:hAnsi="宋体" w:eastAsia="宋体" w:cs="宋体"/>
          <w:color w:val="000000" w:themeColor="text1"/>
          <w:sz w:val="21"/>
          <w:szCs w:val="21"/>
          <w:highlight w:val="none"/>
          <w:lang w:val="en-US" w:eastAsia="zh-CN"/>
          <w14:textFill>
            <w14:solidFill>
              <w14:schemeClr w14:val="tx1"/>
            </w14:solidFill>
          </w14:textFill>
        </w:rPr>
        <w:t>不足</w:t>
      </w:r>
      <w:r>
        <w:rPr>
          <w:rFonts w:hint="eastAsia" w:ascii="宋体" w:hAnsi="宋体" w:eastAsia="宋体" w:cs="宋体"/>
          <w:color w:val="000000" w:themeColor="text1"/>
          <w:sz w:val="21"/>
          <w:szCs w:val="21"/>
          <w:highlight w:val="none"/>
          <w14:textFill>
            <w14:solidFill>
              <w14:schemeClr w14:val="tx1"/>
            </w14:solidFill>
          </w14:textFill>
        </w:rPr>
        <w:t>、通信协议兼容性差及功能扩展受限等问题，用于各类直流电力系统的精确计量与智能化管理</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为直流电能的精准贸易结算与高效运维提供可靠保障。</w:t>
      </w:r>
    </w:p>
    <w:p w14:paraId="63326BB6">
      <w:pPr>
        <w:pStyle w:val="3"/>
        <w:numPr>
          <w:ilvl w:val="1"/>
          <w:numId w:val="7"/>
        </w:numPr>
        <w:bidi w:val="0"/>
        <w:ind w:left="567" w:leftChars="0" w:hanging="567" w:firstLineChars="0"/>
        <w:rPr>
          <w:rFonts w:hint="eastAsia" w:ascii="黑体" w:hAnsi="黑体" w:eastAsia="黑体" w:cs="黑体"/>
          <w:color w:val="000000" w:themeColor="text1"/>
          <w:sz w:val="24"/>
          <w:szCs w:val="24"/>
          <w:highlight w:val="none"/>
          <w14:textFill>
            <w14:solidFill>
              <w14:schemeClr w14:val="tx1"/>
            </w14:solidFill>
          </w14:textFill>
        </w:rPr>
      </w:pPr>
      <w:bookmarkStart w:id="42" w:name="_Toc30232"/>
      <w:bookmarkStart w:id="43" w:name="_Toc699"/>
      <w:bookmarkStart w:id="44" w:name="_Toc20037"/>
      <w:bookmarkStart w:id="45" w:name="_Toc3783"/>
      <w:r>
        <w:rPr>
          <w:rFonts w:hint="eastAsia" w:ascii="黑体" w:hAnsi="黑体" w:eastAsia="黑体" w:cs="黑体"/>
          <w:color w:val="000000" w:themeColor="text1"/>
          <w:sz w:val="24"/>
          <w:szCs w:val="24"/>
          <w:highlight w:val="none"/>
          <w14:textFill>
            <w14:solidFill>
              <w14:schemeClr w14:val="tx1"/>
            </w14:solidFill>
          </w14:textFill>
        </w:rPr>
        <w:t>代加工核心要求</w:t>
      </w:r>
      <w:bookmarkEnd w:id="42"/>
      <w:bookmarkEnd w:id="43"/>
      <w:bookmarkEnd w:id="44"/>
      <w:bookmarkEnd w:id="45"/>
    </w:p>
    <w:p w14:paraId="36A2F809">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2.2.1 代加工方须严格按照招标人提供的技术图纸、参数标准、加工工艺要求进行生产加工，不得擅自修改产品结构、尺寸、材质及加工工艺，若需调整，须提前书面报备招标人，经招标人书面同意后方可实施。</w:t>
      </w:r>
    </w:p>
    <w:p w14:paraId="3A7770B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2.2.2 代加工方负责原材料的采购、检验、储存，所有原材料须符合国家相关标准及本规范要求，且须提供原材料合格证明、检验报告等相关资料，接受招标人的抽查。</w:t>
      </w:r>
    </w:p>
    <w:p w14:paraId="5C37049B">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2.2.3 代加工方须建立完善的生产过程管控体系，对生产加工的每一道工序进行严格检验，确保产品质量符合标准，杜绝不合格产品出厂。</w:t>
      </w:r>
    </w:p>
    <w:p w14:paraId="135214B5">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2.2.4 框架合作期间，代加工方须配合招标人完成产品质量抽查、工艺核查、产能验证等工作，提供必要的生产记录、检验报告等相关资料。</w:t>
      </w:r>
    </w:p>
    <w:p w14:paraId="5D25E1B4">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2.2.5 代加工方须严格遵守框架合作协议约定，履行订单交付、售后保障等义务。</w:t>
      </w:r>
    </w:p>
    <w:p w14:paraId="0E9927EF">
      <w:pPr>
        <w:pStyle w:val="3"/>
        <w:numPr>
          <w:ilvl w:val="1"/>
          <w:numId w:val="7"/>
        </w:numPr>
        <w:bidi w:val="0"/>
        <w:ind w:left="567" w:leftChars="0" w:hanging="567" w:firstLineChars="0"/>
        <w:rPr>
          <w:rFonts w:hint="eastAsia" w:ascii="黑体" w:hAnsi="黑体" w:eastAsia="黑体" w:cs="黑体"/>
          <w:color w:val="000000" w:themeColor="text1"/>
          <w:sz w:val="24"/>
          <w:szCs w:val="24"/>
          <w:highlight w:val="none"/>
          <w14:textFill>
            <w14:solidFill>
              <w14:schemeClr w14:val="tx1"/>
            </w14:solidFill>
          </w14:textFill>
        </w:rPr>
      </w:pPr>
      <w:bookmarkStart w:id="46" w:name="_Toc21477"/>
      <w:bookmarkStart w:id="47" w:name="_Toc21418"/>
      <w:bookmarkStart w:id="48" w:name="_Toc1865"/>
      <w:bookmarkStart w:id="49" w:name="_Toc8601"/>
      <w:r>
        <w:rPr>
          <w:rFonts w:hint="eastAsia" w:ascii="黑体" w:hAnsi="黑体" w:eastAsia="黑体" w:cs="黑体"/>
          <w:color w:val="000000" w:themeColor="text1"/>
          <w:sz w:val="24"/>
          <w:szCs w:val="24"/>
          <w:highlight w:val="none"/>
          <w14:textFill>
            <w14:solidFill>
              <w14:schemeClr w14:val="tx1"/>
            </w14:solidFill>
          </w14:textFill>
        </w:rPr>
        <w:t>现场及生产环境要求</w:t>
      </w:r>
      <w:bookmarkEnd w:id="46"/>
      <w:bookmarkEnd w:id="47"/>
      <w:bookmarkEnd w:id="48"/>
      <w:bookmarkEnd w:id="49"/>
    </w:p>
    <w:p w14:paraId="3CE48DD3">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2.3.1 代加工方的生产车间须具备良好的生产环境，整洁、通风、干燥，无粉尘、油污污染，符合安全生产、环保要求。</w:t>
      </w:r>
    </w:p>
    <w:p w14:paraId="0F588E1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2.3.2 生产车间须配备必要的防尘、防潮、防腐蚀设施，确保原材料、零部件及成品不受损坏，保证产品质量。</w:t>
      </w:r>
    </w:p>
    <w:p w14:paraId="2407DD4D">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2.3.3 生产设备须定期维护、校准，确保设备运行正常，加工精度满足要求，无设备故障导致的产品质量问题。</w:t>
      </w:r>
    </w:p>
    <w:p w14:paraId="08F25C6D">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2.3.4 产品储存环境须干燥、通风、防潮、防腐蚀、防重压，避免产品结构变形、零部件损坏、表面氧化。</w:t>
      </w:r>
    </w:p>
    <w:p w14:paraId="1913EB84">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2.3.5 生产现场须建立完善的安全生产管理制度，配备必要的安全防护设施，作业人员须持证上岗，杜绝安全生产事故。</w:t>
      </w:r>
    </w:p>
    <w:p w14:paraId="5A8FA448">
      <w:pPr>
        <w:pStyle w:val="3"/>
        <w:numPr>
          <w:ilvl w:val="1"/>
          <w:numId w:val="7"/>
        </w:numPr>
        <w:bidi w:val="0"/>
        <w:ind w:left="567" w:leftChars="0" w:hanging="567" w:firstLineChars="0"/>
        <w:rPr>
          <w:rFonts w:hint="eastAsia" w:ascii="黑体" w:hAnsi="黑体" w:eastAsia="黑体" w:cs="黑体"/>
          <w:color w:val="000000" w:themeColor="text1"/>
          <w:sz w:val="24"/>
          <w:szCs w:val="24"/>
          <w:highlight w:val="none"/>
          <w14:textFill>
            <w14:solidFill>
              <w14:schemeClr w14:val="tx1"/>
            </w14:solidFill>
          </w14:textFill>
        </w:rPr>
      </w:pPr>
      <w:bookmarkStart w:id="50" w:name="_Toc5630"/>
      <w:r>
        <w:rPr>
          <w:rFonts w:hint="eastAsia" w:ascii="黑体" w:hAnsi="黑体" w:eastAsia="黑体" w:cs="黑体"/>
          <w:color w:val="000000" w:themeColor="text1"/>
          <w:sz w:val="24"/>
          <w:szCs w:val="24"/>
          <w:highlight w:val="none"/>
          <w:lang w:val="en-US" w:eastAsia="zh-CN"/>
          <w14:textFill>
            <w14:solidFill>
              <w14:schemeClr w14:val="tx1"/>
            </w14:solidFill>
          </w14:textFill>
        </w:rPr>
        <w:t>供货范围一览表</w:t>
      </w:r>
      <w:bookmarkEnd w:id="50"/>
    </w:p>
    <w:p w14:paraId="789C3561">
      <w:pPr>
        <w:keepNext w:val="0"/>
        <w:keepLines w:val="0"/>
        <w:pageBreakBefore w:val="0"/>
        <w:widowControl w:val="0"/>
        <w:kinsoku/>
        <w:wordWrap/>
        <w:overflowPunct/>
        <w:topLinePunct w:val="0"/>
        <w:autoSpaceDE/>
        <w:autoSpaceDN/>
        <w:bidi w:val="0"/>
        <w:adjustRightInd/>
        <w:snapToGrid/>
        <w:spacing w:before="120" w:after="120" w:line="288" w:lineRule="auto"/>
        <w:ind w:firstLine="420" w:firstLineChars="200"/>
        <w:jc w:val="left"/>
        <w:textAlignment w:val="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投标方提供的</w:t>
      </w:r>
      <w:r>
        <w:rPr>
          <w:rFonts w:hint="eastAsia" w:ascii="宋体" w:hAnsi="宋体" w:cs="宋体"/>
          <w:color w:val="000000" w:themeColor="text1"/>
          <w:sz w:val="21"/>
          <w:szCs w:val="21"/>
          <w:highlight w:val="none"/>
          <w:lang w:val="en-US" w:eastAsia="zh-CN"/>
          <w14:textFill>
            <w14:solidFill>
              <w14:schemeClr w14:val="tx1"/>
            </w14:solidFill>
          </w14:textFill>
        </w:rPr>
        <w:t>货物为</w:t>
      </w:r>
      <w:r>
        <w:rPr>
          <w:rFonts w:hint="eastAsia" w:ascii="宋体" w:hAnsi="宋体" w:cs="宋体"/>
          <w:color w:val="000000" w:themeColor="text1"/>
          <w:sz w:val="21"/>
          <w:szCs w:val="21"/>
          <w:highlight w:val="none"/>
          <w:lang w:eastAsia="zh-CN"/>
          <w14:textFill>
            <w14:solidFill>
              <w14:schemeClr w14:val="tx1"/>
            </w14:solidFill>
          </w14:textFill>
        </w:rPr>
        <w:t>安装式数字直流电能表</w:t>
      </w:r>
      <w:r>
        <w:rPr>
          <w:rFonts w:hint="eastAsia" w:ascii="宋体" w:hAnsi="宋体" w:cs="宋体"/>
          <w:color w:val="000000" w:themeColor="text1"/>
          <w:sz w:val="21"/>
          <w:szCs w:val="21"/>
          <w:highlight w:val="none"/>
          <w:lang w:val="en-US" w:eastAsia="zh-CN"/>
          <w14:textFill>
            <w14:solidFill>
              <w14:schemeClr w14:val="tx1"/>
            </w14:solidFill>
          </w14:textFill>
        </w:rPr>
        <w:t>成品，主要原材料以及规格参数见表2.1：</w:t>
      </w:r>
    </w:p>
    <w:p w14:paraId="6A8ADB68">
      <w:pPr>
        <w:keepNext w:val="0"/>
        <w:keepLines w:val="0"/>
        <w:pageBreakBefore w:val="0"/>
        <w:widowControl w:val="0"/>
        <w:kinsoku/>
        <w:wordWrap/>
        <w:overflowPunct/>
        <w:topLinePunct w:val="0"/>
        <w:autoSpaceDE/>
        <w:autoSpaceDN/>
        <w:bidi w:val="0"/>
        <w:adjustRightInd/>
        <w:snapToGrid/>
        <w:spacing w:before="120" w:after="120" w:line="288" w:lineRule="auto"/>
        <w:ind w:firstLine="422" w:firstLineChars="200"/>
        <w:jc w:val="center"/>
        <w:textAlignment w:val="auto"/>
        <w:rPr>
          <w:rFonts w:hint="default"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表2.1安装式数字直流电能表供货一览表</w:t>
      </w:r>
    </w:p>
    <w:tbl>
      <w:tblPr>
        <w:tblStyle w:val="29"/>
        <w:tblW w:w="82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1"/>
        <w:gridCol w:w="1040"/>
        <w:gridCol w:w="707"/>
        <w:gridCol w:w="2442"/>
        <w:gridCol w:w="787"/>
        <w:gridCol w:w="1946"/>
        <w:gridCol w:w="826"/>
      </w:tblGrid>
      <w:tr w14:paraId="3B054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1" w:type="dxa"/>
            <w:vMerge w:val="restart"/>
            <w:tcBorders>
              <w:top w:val="single" w:color="auto" w:sz="8" w:space="0"/>
              <w:left w:val="single" w:color="auto" w:sz="8" w:space="0"/>
            </w:tcBorders>
            <w:vAlign w:val="center"/>
          </w:tcPr>
          <w:p w14:paraId="27ECBF7A">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cs="宋体"/>
                <w:color w:val="000000" w:themeColor="text1"/>
                <w:sz w:val="18"/>
                <w:szCs w:val="18"/>
                <w:highlight w:val="none"/>
                <w:vertAlign w:val="baseline"/>
                <w:lang w:val="en-US" w:eastAsia="zh-CN"/>
                <w14:textFill>
                  <w14:solidFill>
                    <w14:schemeClr w14:val="tx1"/>
                  </w14:solidFill>
                </w14:textFill>
              </w:rPr>
              <w:t>序号</w:t>
            </w:r>
          </w:p>
        </w:tc>
        <w:tc>
          <w:tcPr>
            <w:tcW w:w="1040" w:type="dxa"/>
            <w:vMerge w:val="restart"/>
            <w:tcBorders>
              <w:top w:val="single" w:color="auto" w:sz="8" w:space="0"/>
            </w:tcBorders>
            <w:vAlign w:val="center"/>
          </w:tcPr>
          <w:p w14:paraId="234ED150">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cs="宋体"/>
                <w:color w:val="000000" w:themeColor="text1"/>
                <w:sz w:val="18"/>
                <w:szCs w:val="18"/>
                <w:highlight w:val="none"/>
                <w:vertAlign w:val="baseline"/>
                <w:lang w:val="en-US" w:eastAsia="zh-CN"/>
                <w14:textFill>
                  <w14:solidFill>
                    <w14:schemeClr w14:val="tx1"/>
                  </w14:solidFill>
                </w14:textFill>
              </w:rPr>
              <w:t>名称</w:t>
            </w:r>
          </w:p>
        </w:tc>
        <w:tc>
          <w:tcPr>
            <w:tcW w:w="707" w:type="dxa"/>
            <w:vMerge w:val="restart"/>
            <w:tcBorders>
              <w:top w:val="single" w:color="auto" w:sz="8" w:space="0"/>
            </w:tcBorders>
            <w:shd w:val="clear" w:color="auto" w:fill="auto"/>
            <w:vAlign w:val="center"/>
          </w:tcPr>
          <w:p w14:paraId="720D5AEC">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default" w:ascii="宋体" w:hAnsi="宋体" w:eastAsia="宋体" w:cs="宋体"/>
                <w:color w:val="000000" w:themeColor="text1"/>
                <w:kern w:val="2"/>
                <w:sz w:val="18"/>
                <w:szCs w:val="18"/>
                <w:highlight w:val="none"/>
                <w:vertAlign w:val="baseline"/>
                <w:lang w:val="en-US" w:eastAsia="zh-CN" w:bidi="ar-SA"/>
                <w14:textFill>
                  <w14:solidFill>
                    <w14:schemeClr w14:val="tx1"/>
                  </w14:solidFill>
                </w14:textFill>
              </w:rPr>
            </w:pPr>
            <w:r>
              <w:rPr>
                <w:spacing w:val="-5"/>
                <w:sz w:val="18"/>
                <w:szCs w:val="18"/>
              </w:rPr>
              <w:t>单位</w:t>
            </w:r>
          </w:p>
        </w:tc>
        <w:tc>
          <w:tcPr>
            <w:tcW w:w="3229" w:type="dxa"/>
            <w:gridSpan w:val="2"/>
            <w:tcBorders>
              <w:top w:val="single" w:color="auto" w:sz="8" w:space="0"/>
              <w:right w:val="single" w:color="auto" w:sz="8" w:space="0"/>
            </w:tcBorders>
            <w:vAlign w:val="center"/>
          </w:tcPr>
          <w:p w14:paraId="4201E40B">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spacing w:val="-5"/>
                <w:sz w:val="18"/>
                <w:szCs w:val="18"/>
              </w:rPr>
            </w:pPr>
            <w:r>
              <w:rPr>
                <w:rFonts w:hint="eastAsia"/>
                <w:spacing w:val="-3"/>
                <w:sz w:val="18"/>
                <w:szCs w:val="18"/>
                <w:lang w:val="en-US" w:eastAsia="zh-CN"/>
              </w:rPr>
              <w:t>项目要求</w:t>
            </w:r>
          </w:p>
        </w:tc>
        <w:tc>
          <w:tcPr>
            <w:tcW w:w="2772" w:type="dxa"/>
            <w:gridSpan w:val="2"/>
            <w:tcBorders>
              <w:top w:val="single" w:color="auto" w:sz="8" w:space="0"/>
              <w:right w:val="single" w:color="auto" w:sz="8" w:space="0"/>
            </w:tcBorders>
            <w:vAlign w:val="center"/>
          </w:tcPr>
          <w:p w14:paraId="08C3C747">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spacing w:val="-5"/>
                <w:sz w:val="18"/>
                <w:szCs w:val="18"/>
              </w:rPr>
            </w:pPr>
            <w:r>
              <w:rPr>
                <w:rFonts w:hint="eastAsia" w:ascii="宋体" w:hAnsi="宋体"/>
                <w:sz w:val="18"/>
                <w:szCs w:val="18"/>
              </w:rPr>
              <w:t>投标方保证</w:t>
            </w:r>
          </w:p>
        </w:tc>
      </w:tr>
      <w:tr w14:paraId="07294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1" w:type="dxa"/>
            <w:vMerge w:val="continue"/>
            <w:tcBorders>
              <w:left w:val="single" w:color="auto" w:sz="8" w:space="0"/>
            </w:tcBorders>
            <w:vAlign w:val="center"/>
          </w:tcPr>
          <w:p w14:paraId="3DF70DC9">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c>
          <w:tcPr>
            <w:tcW w:w="1040" w:type="dxa"/>
            <w:vMerge w:val="continue"/>
            <w:vAlign w:val="center"/>
          </w:tcPr>
          <w:p w14:paraId="15AE257D">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c>
          <w:tcPr>
            <w:tcW w:w="707" w:type="dxa"/>
            <w:vMerge w:val="continue"/>
            <w:shd w:val="clear" w:color="auto" w:fill="auto"/>
            <w:vAlign w:val="center"/>
          </w:tcPr>
          <w:p w14:paraId="20C4F89A">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default" w:ascii="宋体" w:hAnsi="宋体" w:eastAsia="宋体" w:cs="宋体"/>
                <w:color w:val="000000" w:themeColor="text1"/>
                <w:kern w:val="2"/>
                <w:sz w:val="18"/>
                <w:szCs w:val="18"/>
                <w:highlight w:val="none"/>
                <w:vertAlign w:val="baseline"/>
                <w:lang w:val="en-US" w:eastAsia="zh-CN" w:bidi="ar-SA"/>
                <w14:textFill>
                  <w14:solidFill>
                    <w14:schemeClr w14:val="tx1"/>
                  </w14:solidFill>
                </w14:textFill>
              </w:rPr>
            </w:pPr>
          </w:p>
        </w:tc>
        <w:tc>
          <w:tcPr>
            <w:tcW w:w="2442" w:type="dxa"/>
            <w:tcBorders>
              <w:top w:val="single" w:color="auto" w:sz="8" w:space="0"/>
            </w:tcBorders>
            <w:vAlign w:val="center"/>
          </w:tcPr>
          <w:p w14:paraId="3CDC8AE1">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spacing w:val="-3"/>
                <w:sz w:val="18"/>
                <w:szCs w:val="18"/>
              </w:rPr>
              <w:t>规格型号</w:t>
            </w:r>
          </w:p>
        </w:tc>
        <w:tc>
          <w:tcPr>
            <w:tcW w:w="787" w:type="dxa"/>
            <w:tcBorders>
              <w:top w:val="single" w:color="auto" w:sz="8" w:space="0"/>
              <w:right w:val="single" w:color="auto" w:sz="8" w:space="0"/>
            </w:tcBorders>
            <w:vAlign w:val="center"/>
          </w:tcPr>
          <w:p w14:paraId="417037FA">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default" w:ascii="宋体" w:hAnsi="宋体" w:eastAsia="宋体" w:cs="宋体"/>
                <w:color w:val="000000" w:themeColor="text1"/>
                <w:sz w:val="18"/>
                <w:szCs w:val="18"/>
                <w:highlight w:val="none"/>
                <w:vertAlign w:val="baseline"/>
                <w14:textFill>
                  <w14:solidFill>
                    <w14:schemeClr w14:val="tx1"/>
                  </w14:solidFill>
                </w14:textFill>
              </w:rPr>
            </w:pPr>
            <w:r>
              <w:rPr>
                <w:spacing w:val="-5"/>
                <w:sz w:val="18"/>
                <w:szCs w:val="18"/>
              </w:rPr>
              <w:t>数量</w:t>
            </w:r>
          </w:p>
        </w:tc>
        <w:tc>
          <w:tcPr>
            <w:tcW w:w="1946" w:type="dxa"/>
            <w:tcBorders>
              <w:top w:val="single" w:color="auto" w:sz="8" w:space="0"/>
              <w:right w:val="single" w:color="auto" w:sz="8" w:space="0"/>
            </w:tcBorders>
            <w:vAlign w:val="center"/>
          </w:tcPr>
          <w:p w14:paraId="36FDA5B5">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spacing w:val="-5"/>
                <w:sz w:val="18"/>
                <w:szCs w:val="18"/>
              </w:rPr>
            </w:pPr>
            <w:r>
              <w:rPr>
                <w:spacing w:val="-3"/>
                <w:sz w:val="18"/>
                <w:szCs w:val="18"/>
              </w:rPr>
              <w:t>规格型号</w:t>
            </w:r>
          </w:p>
        </w:tc>
        <w:tc>
          <w:tcPr>
            <w:tcW w:w="826" w:type="dxa"/>
            <w:tcBorders>
              <w:top w:val="single" w:color="auto" w:sz="8" w:space="0"/>
              <w:right w:val="single" w:color="auto" w:sz="8" w:space="0"/>
            </w:tcBorders>
            <w:vAlign w:val="center"/>
          </w:tcPr>
          <w:p w14:paraId="24A1ACF7">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spacing w:val="-5"/>
                <w:sz w:val="18"/>
                <w:szCs w:val="18"/>
              </w:rPr>
            </w:pPr>
            <w:r>
              <w:rPr>
                <w:spacing w:val="-5"/>
                <w:sz w:val="18"/>
                <w:szCs w:val="18"/>
              </w:rPr>
              <w:t>数量</w:t>
            </w:r>
          </w:p>
        </w:tc>
      </w:tr>
      <w:tr w14:paraId="58CBB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1" w:type="dxa"/>
            <w:tcBorders>
              <w:left w:val="single" w:color="auto" w:sz="8" w:space="0"/>
            </w:tcBorders>
            <w:vAlign w:val="center"/>
          </w:tcPr>
          <w:p w14:paraId="31D0D541">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c>
          <w:tcPr>
            <w:tcW w:w="1040" w:type="dxa"/>
            <w:shd w:val="clear" w:color="auto" w:fill="auto"/>
            <w:vAlign w:val="center"/>
          </w:tcPr>
          <w:p w14:paraId="03691CFA">
            <w:pPr>
              <w:pStyle w:val="97"/>
              <w:spacing w:before="72" w:line="220" w:lineRule="auto"/>
              <w:ind w:left="174" w:leftChars="0"/>
              <w:rPr>
                <w:rFonts w:hint="eastAsia" w:ascii="宋体" w:hAnsi="宋体" w:eastAsia="宋体" w:cs="宋体"/>
                <w:kern w:val="2"/>
                <w:sz w:val="18"/>
                <w:szCs w:val="18"/>
                <w:lang w:val="en-US" w:eastAsia="en-US" w:bidi="ar-SA"/>
              </w:rPr>
            </w:pPr>
            <w:r>
              <w:rPr>
                <w:rFonts w:hint="eastAsia" w:ascii="宋体" w:hAnsi="宋体" w:eastAsia="宋体" w:cs="宋体"/>
                <w:spacing w:val="-1"/>
                <w:sz w:val="18"/>
                <w:szCs w:val="18"/>
              </w:rPr>
              <w:t>FT3 接口模块</w:t>
            </w:r>
          </w:p>
        </w:tc>
        <w:tc>
          <w:tcPr>
            <w:tcW w:w="707" w:type="dxa"/>
            <w:shd w:val="clear" w:color="auto" w:fill="auto"/>
            <w:vAlign w:val="center"/>
          </w:tcPr>
          <w:p w14:paraId="69BD5FFE">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kern w:val="2"/>
                <w:sz w:val="18"/>
                <w:szCs w:val="18"/>
                <w:lang w:val="en-US" w:eastAsia="en-US" w:bidi="ar-SA"/>
              </w:rPr>
            </w:pPr>
            <w:r>
              <w:rPr>
                <w:rFonts w:hint="eastAsia" w:ascii="宋体" w:hAnsi="宋体" w:eastAsia="宋体" w:cs="宋体"/>
                <w:sz w:val="18"/>
                <w:szCs w:val="18"/>
              </w:rPr>
              <w:t>块</w:t>
            </w:r>
          </w:p>
        </w:tc>
        <w:tc>
          <w:tcPr>
            <w:tcW w:w="2442" w:type="dxa"/>
            <w:shd w:val="clear" w:color="auto" w:fill="auto"/>
            <w:vAlign w:val="center"/>
          </w:tcPr>
          <w:p w14:paraId="24790433">
            <w:pPr>
              <w:pStyle w:val="97"/>
              <w:spacing w:before="110" w:line="228" w:lineRule="auto"/>
              <w:ind w:left="123"/>
              <w:jc w:val="left"/>
              <w:rPr>
                <w:rFonts w:hint="eastAsia" w:ascii="宋体" w:hAnsi="宋体" w:eastAsia="宋体" w:cs="宋体"/>
                <w:sz w:val="18"/>
                <w:szCs w:val="18"/>
              </w:rPr>
            </w:pPr>
            <w:r>
              <w:rPr>
                <w:rFonts w:hint="eastAsia" w:ascii="宋体" w:hAnsi="宋体" w:eastAsia="宋体" w:cs="宋体"/>
                <w:spacing w:val="6"/>
                <w:sz w:val="18"/>
                <w:szCs w:val="18"/>
              </w:rPr>
              <w:t>物理接口：</w:t>
            </w:r>
            <w:r>
              <w:rPr>
                <w:rFonts w:hint="eastAsia" w:ascii="宋体" w:hAnsi="宋体" w:eastAsia="宋体" w:cs="宋体"/>
                <w:sz w:val="18"/>
                <w:szCs w:val="18"/>
              </w:rPr>
              <w:t>ST</w:t>
            </w:r>
            <w:r>
              <w:rPr>
                <w:rFonts w:hint="eastAsia" w:ascii="宋体" w:hAnsi="宋体" w:eastAsia="宋体" w:cs="宋体"/>
                <w:spacing w:val="-20"/>
                <w:sz w:val="18"/>
                <w:szCs w:val="18"/>
              </w:rPr>
              <w:t xml:space="preserve"> </w:t>
            </w:r>
            <w:r>
              <w:rPr>
                <w:rFonts w:hint="eastAsia" w:ascii="宋体" w:hAnsi="宋体" w:eastAsia="宋体" w:cs="宋体"/>
                <w:spacing w:val="6"/>
                <w:sz w:val="18"/>
                <w:szCs w:val="18"/>
              </w:rPr>
              <w:t>多模光纤接口</w:t>
            </w:r>
          </w:p>
          <w:p w14:paraId="597E67C9">
            <w:pPr>
              <w:pStyle w:val="97"/>
              <w:spacing w:before="65" w:line="228" w:lineRule="auto"/>
              <w:ind w:left="123"/>
              <w:jc w:val="left"/>
              <w:rPr>
                <w:rFonts w:hint="eastAsia" w:ascii="宋体" w:hAnsi="宋体" w:eastAsia="宋体" w:cs="宋体"/>
                <w:sz w:val="18"/>
                <w:szCs w:val="18"/>
              </w:rPr>
            </w:pPr>
            <w:r>
              <w:rPr>
                <w:rFonts w:hint="eastAsia" w:ascii="宋体" w:hAnsi="宋体" w:eastAsia="宋体" w:cs="宋体"/>
                <w:spacing w:val="7"/>
                <w:sz w:val="18"/>
                <w:szCs w:val="18"/>
              </w:rPr>
              <w:t>通信协议：</w:t>
            </w:r>
            <w:r>
              <w:rPr>
                <w:rFonts w:hint="eastAsia" w:ascii="宋体" w:hAnsi="宋体" w:eastAsia="宋体" w:cs="宋体"/>
                <w:sz w:val="18"/>
                <w:szCs w:val="18"/>
              </w:rPr>
              <w:t>IEC</w:t>
            </w:r>
            <w:r>
              <w:rPr>
                <w:rFonts w:hint="eastAsia" w:ascii="宋体" w:hAnsi="宋体" w:eastAsia="宋体" w:cs="宋体"/>
                <w:spacing w:val="7"/>
                <w:sz w:val="18"/>
                <w:szCs w:val="18"/>
              </w:rPr>
              <w:t xml:space="preserve"> 60044-8</w:t>
            </w:r>
          </w:p>
          <w:p w14:paraId="1A57172E">
            <w:pPr>
              <w:pStyle w:val="97"/>
              <w:spacing w:before="64" w:line="223" w:lineRule="auto"/>
              <w:ind w:left="122"/>
              <w:jc w:val="left"/>
              <w:rPr>
                <w:rFonts w:hint="eastAsia" w:ascii="宋体" w:hAnsi="宋体" w:eastAsia="宋体" w:cs="宋体"/>
                <w:sz w:val="18"/>
                <w:szCs w:val="18"/>
              </w:rPr>
            </w:pPr>
            <w:r>
              <w:rPr>
                <w:rFonts w:hint="eastAsia" w:ascii="宋体" w:hAnsi="宋体" w:eastAsia="宋体" w:cs="宋体"/>
                <w:spacing w:val="4"/>
                <w:sz w:val="18"/>
                <w:szCs w:val="18"/>
              </w:rPr>
              <w:t>传输速率：2.5</w:t>
            </w:r>
            <w:r>
              <w:rPr>
                <w:rFonts w:hint="eastAsia" w:ascii="宋体" w:hAnsi="宋体" w:eastAsia="宋体" w:cs="宋体"/>
                <w:spacing w:val="-46"/>
                <w:sz w:val="18"/>
                <w:szCs w:val="18"/>
              </w:rPr>
              <w:t xml:space="preserve"> </w:t>
            </w:r>
            <w:r>
              <w:rPr>
                <w:rFonts w:hint="eastAsia" w:ascii="宋体" w:hAnsi="宋体" w:eastAsia="宋体" w:cs="宋体"/>
                <w:sz w:val="18"/>
                <w:szCs w:val="18"/>
              </w:rPr>
              <w:t>Mbps</w:t>
            </w:r>
            <w:r>
              <w:rPr>
                <w:rFonts w:hint="eastAsia" w:ascii="宋体" w:hAnsi="宋体" w:eastAsia="宋体" w:cs="宋体"/>
                <w:spacing w:val="4"/>
                <w:sz w:val="18"/>
                <w:szCs w:val="18"/>
              </w:rPr>
              <w:t>/10</w:t>
            </w:r>
            <w:r>
              <w:rPr>
                <w:rFonts w:hint="eastAsia" w:ascii="宋体" w:hAnsi="宋体" w:eastAsia="宋体" w:cs="宋体"/>
                <w:spacing w:val="-46"/>
                <w:sz w:val="18"/>
                <w:szCs w:val="18"/>
              </w:rPr>
              <w:t xml:space="preserve"> </w:t>
            </w:r>
            <w:r>
              <w:rPr>
                <w:rFonts w:hint="eastAsia" w:ascii="宋体" w:hAnsi="宋体" w:eastAsia="宋体" w:cs="宋体"/>
                <w:sz w:val="18"/>
                <w:szCs w:val="18"/>
              </w:rPr>
              <w:t>Mbps</w:t>
            </w:r>
          </w:p>
          <w:p w14:paraId="1E306CAD">
            <w:pPr>
              <w:pStyle w:val="97"/>
              <w:spacing w:before="71" w:line="228" w:lineRule="auto"/>
              <w:ind w:left="124"/>
              <w:jc w:val="left"/>
              <w:rPr>
                <w:rFonts w:hint="eastAsia" w:ascii="宋体" w:hAnsi="宋体" w:eastAsia="宋体" w:cs="宋体"/>
                <w:sz w:val="18"/>
                <w:szCs w:val="18"/>
              </w:rPr>
            </w:pPr>
            <w:r>
              <w:rPr>
                <w:rFonts w:hint="eastAsia" w:ascii="宋体" w:hAnsi="宋体" w:eastAsia="宋体" w:cs="宋体"/>
                <w:spacing w:val="7"/>
                <w:sz w:val="18"/>
                <w:szCs w:val="18"/>
              </w:rPr>
              <w:t>波长：820</w:t>
            </w:r>
            <w:r>
              <w:rPr>
                <w:rFonts w:hint="eastAsia" w:ascii="宋体" w:hAnsi="宋体" w:eastAsia="宋体" w:cs="宋体"/>
                <w:sz w:val="18"/>
                <w:szCs w:val="18"/>
              </w:rPr>
              <w:t>nm</w:t>
            </w:r>
          </w:p>
          <w:p w14:paraId="325B4F5F">
            <w:pPr>
              <w:pStyle w:val="97"/>
              <w:spacing w:before="64" w:line="225" w:lineRule="auto"/>
              <w:ind w:left="122"/>
              <w:jc w:val="left"/>
              <w:rPr>
                <w:rFonts w:hint="eastAsia" w:ascii="宋体" w:hAnsi="宋体" w:eastAsia="宋体" w:cs="宋体"/>
                <w:kern w:val="2"/>
                <w:sz w:val="18"/>
                <w:szCs w:val="18"/>
                <w:lang w:val="en-US" w:eastAsia="en-US" w:bidi="ar-SA"/>
              </w:rPr>
            </w:pPr>
            <w:r>
              <w:rPr>
                <w:rFonts w:hint="eastAsia" w:ascii="宋体" w:hAnsi="宋体" w:eastAsia="宋体" w:cs="宋体"/>
                <w:spacing w:val="8"/>
                <w:sz w:val="18"/>
                <w:szCs w:val="18"/>
              </w:rPr>
              <w:t>采样率支持：支持</w:t>
            </w:r>
            <w:r>
              <w:rPr>
                <w:rFonts w:hint="eastAsia" w:ascii="宋体" w:hAnsi="宋体" w:eastAsia="宋体" w:cs="宋体"/>
                <w:spacing w:val="-32"/>
                <w:sz w:val="18"/>
                <w:szCs w:val="18"/>
              </w:rPr>
              <w:t xml:space="preserve"> </w:t>
            </w:r>
            <w:r>
              <w:rPr>
                <w:rFonts w:hint="eastAsia" w:ascii="宋体" w:hAnsi="宋体" w:eastAsia="宋体" w:cs="宋体"/>
                <w:spacing w:val="8"/>
                <w:sz w:val="18"/>
                <w:szCs w:val="18"/>
              </w:rPr>
              <w:t>4</w:t>
            </w:r>
            <w:r>
              <w:rPr>
                <w:rFonts w:hint="eastAsia" w:ascii="宋体" w:hAnsi="宋体" w:eastAsia="宋体" w:cs="宋体"/>
                <w:sz w:val="18"/>
                <w:szCs w:val="18"/>
              </w:rPr>
              <w:t>kHz</w:t>
            </w:r>
            <w:r>
              <w:rPr>
                <w:rFonts w:hint="eastAsia" w:ascii="宋体" w:hAnsi="宋体" w:eastAsia="宋体" w:cs="宋体"/>
                <w:spacing w:val="8"/>
                <w:sz w:val="18"/>
                <w:szCs w:val="18"/>
              </w:rPr>
              <w:t>,</w:t>
            </w:r>
            <w:r>
              <w:rPr>
                <w:rFonts w:hint="eastAsia" w:ascii="宋体" w:hAnsi="宋体" w:eastAsia="宋体" w:cs="宋体"/>
                <w:spacing w:val="6"/>
                <w:sz w:val="18"/>
                <w:szCs w:val="18"/>
              </w:rPr>
              <w:t>12.8</w:t>
            </w:r>
            <w:r>
              <w:rPr>
                <w:rFonts w:hint="eastAsia" w:ascii="宋体" w:hAnsi="宋体" w:eastAsia="宋体" w:cs="宋体"/>
                <w:sz w:val="18"/>
                <w:szCs w:val="18"/>
              </w:rPr>
              <w:t>kHz</w:t>
            </w:r>
            <w:r>
              <w:rPr>
                <w:rFonts w:hint="eastAsia" w:ascii="宋体" w:hAnsi="宋体" w:eastAsia="宋体" w:cs="宋体"/>
                <w:spacing w:val="-32"/>
                <w:sz w:val="18"/>
                <w:szCs w:val="18"/>
              </w:rPr>
              <w:t xml:space="preserve"> </w:t>
            </w:r>
            <w:r>
              <w:rPr>
                <w:rFonts w:hint="eastAsia" w:ascii="宋体" w:hAnsi="宋体" w:eastAsia="宋体" w:cs="宋体"/>
                <w:spacing w:val="6"/>
                <w:sz w:val="18"/>
                <w:szCs w:val="18"/>
              </w:rPr>
              <w:t>等常用采样率解析</w:t>
            </w:r>
            <w:r>
              <w:rPr>
                <w:rFonts w:hint="eastAsia" w:ascii="宋体" w:hAnsi="宋体" w:eastAsia="宋体" w:cs="宋体"/>
                <w:spacing w:val="1"/>
                <w:sz w:val="18"/>
                <w:szCs w:val="18"/>
              </w:rPr>
              <w:t>通道数：1</w:t>
            </w:r>
            <w:r>
              <w:rPr>
                <w:rFonts w:hint="eastAsia" w:ascii="宋体" w:hAnsi="宋体" w:eastAsia="宋体" w:cs="宋体"/>
                <w:spacing w:val="-32"/>
                <w:sz w:val="18"/>
                <w:szCs w:val="18"/>
              </w:rPr>
              <w:t xml:space="preserve"> </w:t>
            </w:r>
            <w:r>
              <w:rPr>
                <w:rFonts w:hint="eastAsia" w:ascii="宋体" w:hAnsi="宋体" w:eastAsia="宋体" w:cs="宋体"/>
                <w:spacing w:val="1"/>
                <w:sz w:val="18"/>
                <w:szCs w:val="18"/>
              </w:rPr>
              <w:t>收</w:t>
            </w:r>
            <w:r>
              <w:rPr>
                <w:rFonts w:hint="eastAsia" w:ascii="宋体" w:hAnsi="宋体" w:eastAsia="宋体" w:cs="宋体"/>
                <w:spacing w:val="-21"/>
                <w:sz w:val="18"/>
                <w:szCs w:val="18"/>
              </w:rPr>
              <w:t xml:space="preserve"> </w:t>
            </w:r>
            <w:r>
              <w:rPr>
                <w:rFonts w:hint="eastAsia" w:ascii="宋体" w:hAnsi="宋体" w:eastAsia="宋体" w:cs="宋体"/>
                <w:spacing w:val="1"/>
                <w:sz w:val="18"/>
                <w:szCs w:val="18"/>
              </w:rPr>
              <w:t>1</w:t>
            </w:r>
            <w:r>
              <w:rPr>
                <w:rFonts w:hint="eastAsia" w:ascii="宋体" w:hAnsi="宋体" w:eastAsia="宋体" w:cs="宋体"/>
                <w:spacing w:val="-37"/>
                <w:sz w:val="18"/>
                <w:szCs w:val="18"/>
              </w:rPr>
              <w:t xml:space="preserve"> </w:t>
            </w:r>
            <w:r>
              <w:rPr>
                <w:rFonts w:hint="eastAsia" w:ascii="宋体" w:hAnsi="宋体" w:eastAsia="宋体" w:cs="宋体"/>
                <w:spacing w:val="1"/>
                <w:sz w:val="18"/>
                <w:szCs w:val="18"/>
              </w:rPr>
              <w:t>发</w:t>
            </w:r>
          </w:p>
        </w:tc>
        <w:tc>
          <w:tcPr>
            <w:tcW w:w="787" w:type="dxa"/>
            <w:tcBorders>
              <w:right w:val="single" w:color="auto" w:sz="8" w:space="0"/>
            </w:tcBorders>
            <w:vAlign w:val="center"/>
          </w:tcPr>
          <w:p w14:paraId="12164E73">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1</w:t>
            </w:r>
          </w:p>
        </w:tc>
        <w:tc>
          <w:tcPr>
            <w:tcW w:w="1946" w:type="dxa"/>
            <w:tcBorders>
              <w:right w:val="single" w:color="auto" w:sz="8" w:space="0"/>
            </w:tcBorders>
            <w:vAlign w:val="center"/>
          </w:tcPr>
          <w:p w14:paraId="796A962A">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c>
          <w:tcPr>
            <w:tcW w:w="826" w:type="dxa"/>
            <w:tcBorders>
              <w:right w:val="single" w:color="auto" w:sz="8" w:space="0"/>
            </w:tcBorders>
            <w:vAlign w:val="center"/>
          </w:tcPr>
          <w:p w14:paraId="708BBC8E">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r>
      <w:tr w14:paraId="50611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1" w:type="dxa"/>
            <w:tcBorders>
              <w:left w:val="single" w:color="auto" w:sz="8" w:space="0"/>
            </w:tcBorders>
            <w:vAlign w:val="center"/>
          </w:tcPr>
          <w:p w14:paraId="0FDDA7DB">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p>
        </w:tc>
        <w:tc>
          <w:tcPr>
            <w:tcW w:w="1040" w:type="dxa"/>
            <w:vAlign w:val="center"/>
          </w:tcPr>
          <w:p w14:paraId="5DA3B4EF">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spacing w:val="-6"/>
                <w:sz w:val="18"/>
                <w:szCs w:val="18"/>
              </w:rPr>
              <w:t>电能计量模块</w:t>
            </w:r>
          </w:p>
        </w:tc>
        <w:tc>
          <w:tcPr>
            <w:tcW w:w="707" w:type="dxa"/>
            <w:shd w:val="clear" w:color="auto" w:fill="auto"/>
            <w:vAlign w:val="center"/>
          </w:tcPr>
          <w:p w14:paraId="4DCE706F">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kern w:val="2"/>
                <w:sz w:val="18"/>
                <w:szCs w:val="18"/>
                <w:highlight w:val="none"/>
                <w:vertAlign w:val="baseline"/>
                <w:lang w:val="en-US" w:eastAsia="zh-CN" w:bidi="ar-SA"/>
                <w14:textFill>
                  <w14:solidFill>
                    <w14:schemeClr w14:val="tx1"/>
                  </w14:solidFill>
                </w14:textFill>
              </w:rPr>
            </w:pPr>
            <w:r>
              <w:rPr>
                <w:rFonts w:hint="eastAsia" w:ascii="宋体" w:hAnsi="宋体" w:eastAsia="宋体" w:cs="宋体"/>
                <w:sz w:val="18"/>
                <w:szCs w:val="18"/>
              </w:rPr>
              <w:t>块</w:t>
            </w:r>
          </w:p>
        </w:tc>
        <w:tc>
          <w:tcPr>
            <w:tcW w:w="2442" w:type="dxa"/>
            <w:vAlign w:val="center"/>
          </w:tcPr>
          <w:p w14:paraId="05C790D7">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处理器架构：高性能 DSP + FPGA 架构</w:t>
            </w:r>
          </w:p>
          <w:p w14:paraId="681AC9DC">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测量对象： 直流电压、直流电流、直流功率、直流电能精度等级：有功 0.2S 级/无功 0.5 级 (符合 GB/T 33708或 IEC 62053-22)</w:t>
            </w:r>
          </w:p>
          <w:p w14:paraId="63F48BB5">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动态范围： 电流 1%In -120%In 范围内误差满足精度要求</w:t>
            </w:r>
          </w:p>
        </w:tc>
        <w:tc>
          <w:tcPr>
            <w:tcW w:w="787" w:type="dxa"/>
            <w:tcBorders>
              <w:right w:val="single" w:color="auto" w:sz="8" w:space="0"/>
            </w:tcBorders>
            <w:vAlign w:val="center"/>
          </w:tcPr>
          <w:p w14:paraId="0B142D53">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sz w:val="18"/>
                <w:szCs w:val="18"/>
              </w:rPr>
              <w:t>1</w:t>
            </w:r>
          </w:p>
        </w:tc>
        <w:tc>
          <w:tcPr>
            <w:tcW w:w="1946" w:type="dxa"/>
            <w:tcBorders>
              <w:right w:val="single" w:color="auto" w:sz="8" w:space="0"/>
            </w:tcBorders>
            <w:vAlign w:val="center"/>
          </w:tcPr>
          <w:p w14:paraId="4AF3E296">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sz w:val="18"/>
                <w:szCs w:val="18"/>
              </w:rPr>
            </w:pPr>
          </w:p>
        </w:tc>
        <w:tc>
          <w:tcPr>
            <w:tcW w:w="826" w:type="dxa"/>
            <w:tcBorders>
              <w:right w:val="single" w:color="auto" w:sz="8" w:space="0"/>
            </w:tcBorders>
            <w:vAlign w:val="center"/>
          </w:tcPr>
          <w:p w14:paraId="48917E64">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sz w:val="18"/>
                <w:szCs w:val="18"/>
              </w:rPr>
            </w:pPr>
          </w:p>
        </w:tc>
      </w:tr>
      <w:tr w14:paraId="1A81B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1" w:type="dxa"/>
            <w:tcBorders>
              <w:left w:val="single" w:color="auto" w:sz="8" w:space="0"/>
            </w:tcBorders>
            <w:vAlign w:val="center"/>
          </w:tcPr>
          <w:p w14:paraId="6BE2666D">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p>
        </w:tc>
        <w:tc>
          <w:tcPr>
            <w:tcW w:w="1040" w:type="dxa"/>
            <w:vAlign w:val="center"/>
          </w:tcPr>
          <w:p w14:paraId="01EECDDD">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spacing w:val="-6"/>
                <w:sz w:val="18"/>
                <w:szCs w:val="18"/>
              </w:rPr>
              <w:t>电能质量模块</w:t>
            </w:r>
          </w:p>
        </w:tc>
        <w:tc>
          <w:tcPr>
            <w:tcW w:w="707" w:type="dxa"/>
            <w:shd w:val="clear" w:color="auto" w:fill="auto"/>
            <w:vAlign w:val="center"/>
          </w:tcPr>
          <w:p w14:paraId="578F5DBC">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kern w:val="2"/>
                <w:sz w:val="18"/>
                <w:szCs w:val="18"/>
                <w:highlight w:val="none"/>
                <w:vertAlign w:val="baseline"/>
                <w:lang w:val="en-US" w:eastAsia="zh-CN" w:bidi="ar-SA"/>
                <w14:textFill>
                  <w14:solidFill>
                    <w14:schemeClr w14:val="tx1"/>
                  </w14:solidFill>
                </w14:textFill>
              </w:rPr>
            </w:pPr>
            <w:r>
              <w:rPr>
                <w:rFonts w:hint="eastAsia" w:ascii="宋体" w:hAnsi="宋体" w:eastAsia="宋体" w:cs="宋体"/>
                <w:sz w:val="18"/>
                <w:szCs w:val="18"/>
              </w:rPr>
              <w:t>块</w:t>
            </w:r>
          </w:p>
        </w:tc>
        <w:tc>
          <w:tcPr>
            <w:tcW w:w="2442" w:type="dxa"/>
            <w:vAlign w:val="center"/>
          </w:tcPr>
          <w:p w14:paraId="1F94B97A">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监测功能：直流纹波系数、电压偏差、电压暂降/暂升、瞬态过电压</w:t>
            </w:r>
          </w:p>
          <w:p w14:paraId="6796478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频率响应：DC ~ 2kHz (针对纹波分析优化)</w:t>
            </w:r>
          </w:p>
          <w:p w14:paraId="3210B4D7">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事件记录：能够记录扰动发生时刻的波形录波</w:t>
            </w:r>
          </w:p>
          <w:p w14:paraId="529E220A">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统计功能：提供 95% 概率大值、最大值、最小值统计</w:t>
            </w:r>
          </w:p>
        </w:tc>
        <w:tc>
          <w:tcPr>
            <w:tcW w:w="787" w:type="dxa"/>
            <w:tcBorders>
              <w:right w:val="single" w:color="auto" w:sz="8" w:space="0"/>
            </w:tcBorders>
            <w:vAlign w:val="center"/>
          </w:tcPr>
          <w:p w14:paraId="54E2343D">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sz w:val="18"/>
                <w:szCs w:val="18"/>
              </w:rPr>
              <w:t>1</w:t>
            </w:r>
          </w:p>
        </w:tc>
        <w:tc>
          <w:tcPr>
            <w:tcW w:w="1946" w:type="dxa"/>
            <w:tcBorders>
              <w:right w:val="single" w:color="auto" w:sz="8" w:space="0"/>
            </w:tcBorders>
            <w:vAlign w:val="center"/>
          </w:tcPr>
          <w:p w14:paraId="2E912DAA">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sz w:val="18"/>
                <w:szCs w:val="18"/>
              </w:rPr>
            </w:pPr>
          </w:p>
        </w:tc>
        <w:tc>
          <w:tcPr>
            <w:tcW w:w="826" w:type="dxa"/>
            <w:tcBorders>
              <w:right w:val="single" w:color="auto" w:sz="8" w:space="0"/>
            </w:tcBorders>
            <w:vAlign w:val="center"/>
          </w:tcPr>
          <w:p w14:paraId="2728108E">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sz w:val="18"/>
                <w:szCs w:val="18"/>
              </w:rPr>
            </w:pPr>
          </w:p>
        </w:tc>
      </w:tr>
      <w:tr w14:paraId="4DB68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1" w:type="dxa"/>
            <w:tcBorders>
              <w:left w:val="single" w:color="auto" w:sz="8" w:space="0"/>
            </w:tcBorders>
            <w:vAlign w:val="center"/>
          </w:tcPr>
          <w:p w14:paraId="23388860">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p>
        </w:tc>
        <w:tc>
          <w:tcPr>
            <w:tcW w:w="1040" w:type="dxa"/>
            <w:vAlign w:val="center"/>
          </w:tcPr>
          <w:p w14:paraId="70919C0F">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spacing w:val="-3"/>
                <w:sz w:val="18"/>
                <w:szCs w:val="18"/>
              </w:rPr>
              <w:t>智能电能表管</w:t>
            </w:r>
            <w:r>
              <w:rPr>
                <w:rFonts w:hint="eastAsia" w:ascii="宋体" w:hAnsi="宋体" w:eastAsia="宋体" w:cs="宋体"/>
                <w:spacing w:val="-4"/>
                <w:sz w:val="18"/>
                <w:szCs w:val="18"/>
              </w:rPr>
              <w:t>理模块</w:t>
            </w:r>
          </w:p>
        </w:tc>
        <w:tc>
          <w:tcPr>
            <w:tcW w:w="707" w:type="dxa"/>
            <w:shd w:val="clear" w:color="auto" w:fill="auto"/>
            <w:vAlign w:val="center"/>
          </w:tcPr>
          <w:p w14:paraId="14714278">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kern w:val="2"/>
                <w:sz w:val="18"/>
                <w:szCs w:val="18"/>
                <w:highlight w:val="none"/>
                <w:vertAlign w:val="baseline"/>
                <w:lang w:val="en-US" w:eastAsia="zh-CN" w:bidi="ar-SA"/>
                <w14:textFill>
                  <w14:solidFill>
                    <w14:schemeClr w14:val="tx1"/>
                  </w14:solidFill>
                </w14:textFill>
              </w:rPr>
            </w:pPr>
            <w:r>
              <w:rPr>
                <w:rFonts w:hint="eastAsia" w:ascii="宋体" w:hAnsi="宋体" w:eastAsia="宋体" w:cs="宋体"/>
                <w:sz w:val="18"/>
                <w:szCs w:val="18"/>
              </w:rPr>
              <w:t>块</w:t>
            </w:r>
          </w:p>
        </w:tc>
        <w:tc>
          <w:tcPr>
            <w:tcW w:w="2442" w:type="dxa"/>
            <w:vAlign w:val="center"/>
          </w:tcPr>
          <w:p w14:paraId="2F18284A">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操作系统：RTOS</w:t>
            </w:r>
          </w:p>
          <w:p w14:paraId="51C7FAA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时钟精度：内置 RTC，日误差 &lt; 0.5s/d</w:t>
            </w:r>
          </w:p>
          <w:p w14:paraId="29CF2496">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安全认证：支持国密算法加密，具备硬件安全模块</w:t>
            </w:r>
          </w:p>
          <w:p w14:paraId="6C894657">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看门狗：独立硬件看门狗，防止死机</w:t>
            </w:r>
          </w:p>
        </w:tc>
        <w:tc>
          <w:tcPr>
            <w:tcW w:w="787" w:type="dxa"/>
            <w:tcBorders>
              <w:right w:val="single" w:color="auto" w:sz="8" w:space="0"/>
            </w:tcBorders>
            <w:shd w:val="clear" w:color="auto" w:fill="auto"/>
            <w:vAlign w:val="center"/>
          </w:tcPr>
          <w:p w14:paraId="6DF98B88">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kern w:val="2"/>
                <w:sz w:val="18"/>
                <w:szCs w:val="18"/>
                <w:highlight w:val="none"/>
                <w:vertAlign w:val="baseline"/>
                <w:lang w:val="en-US" w:eastAsia="zh-CN" w:bidi="ar-SA"/>
                <w14:textFill>
                  <w14:solidFill>
                    <w14:schemeClr w14:val="tx1"/>
                  </w14:solidFill>
                </w14:textFill>
              </w:rPr>
            </w:pPr>
            <w:r>
              <w:rPr>
                <w:rFonts w:hint="eastAsia" w:ascii="宋体" w:hAnsi="宋体" w:eastAsia="宋体" w:cs="宋体"/>
                <w:sz w:val="18"/>
                <w:szCs w:val="18"/>
              </w:rPr>
              <w:t>1</w:t>
            </w:r>
          </w:p>
        </w:tc>
        <w:tc>
          <w:tcPr>
            <w:tcW w:w="1946" w:type="dxa"/>
            <w:tcBorders>
              <w:right w:val="single" w:color="auto" w:sz="8" w:space="0"/>
            </w:tcBorders>
            <w:shd w:val="clear" w:color="auto" w:fill="auto"/>
            <w:vAlign w:val="center"/>
          </w:tcPr>
          <w:p w14:paraId="7BF02C3E">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sz w:val="18"/>
                <w:szCs w:val="18"/>
              </w:rPr>
            </w:pPr>
          </w:p>
        </w:tc>
        <w:tc>
          <w:tcPr>
            <w:tcW w:w="826" w:type="dxa"/>
            <w:tcBorders>
              <w:right w:val="single" w:color="auto" w:sz="8" w:space="0"/>
            </w:tcBorders>
            <w:shd w:val="clear" w:color="auto" w:fill="auto"/>
            <w:vAlign w:val="center"/>
          </w:tcPr>
          <w:p w14:paraId="5AB206C6">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sz w:val="18"/>
                <w:szCs w:val="18"/>
              </w:rPr>
            </w:pPr>
          </w:p>
        </w:tc>
      </w:tr>
      <w:tr w14:paraId="7FA60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1" w:type="dxa"/>
            <w:tcBorders>
              <w:left w:val="single" w:color="auto" w:sz="8" w:space="0"/>
            </w:tcBorders>
            <w:vAlign w:val="center"/>
          </w:tcPr>
          <w:p w14:paraId="2DFCAA2D">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p>
        </w:tc>
        <w:tc>
          <w:tcPr>
            <w:tcW w:w="1040" w:type="dxa"/>
            <w:vAlign w:val="center"/>
          </w:tcPr>
          <w:p w14:paraId="7A1A07D7">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spacing w:val="-4"/>
                <w:sz w:val="18"/>
                <w:szCs w:val="18"/>
              </w:rPr>
              <w:t>显示模块</w:t>
            </w:r>
          </w:p>
        </w:tc>
        <w:tc>
          <w:tcPr>
            <w:tcW w:w="707" w:type="dxa"/>
            <w:shd w:val="clear" w:color="auto" w:fill="auto"/>
            <w:vAlign w:val="center"/>
          </w:tcPr>
          <w:p w14:paraId="2107BD99">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kern w:val="2"/>
                <w:sz w:val="18"/>
                <w:szCs w:val="18"/>
                <w:highlight w:val="none"/>
                <w:vertAlign w:val="baseline"/>
                <w:lang w:val="en-US" w:eastAsia="zh-CN" w:bidi="ar-SA"/>
                <w14:textFill>
                  <w14:solidFill>
                    <w14:schemeClr w14:val="tx1"/>
                  </w14:solidFill>
                </w14:textFill>
              </w:rPr>
            </w:pPr>
            <w:r>
              <w:rPr>
                <w:rFonts w:hint="eastAsia" w:ascii="宋体" w:hAnsi="宋体" w:eastAsia="宋体" w:cs="宋体"/>
                <w:sz w:val="18"/>
                <w:szCs w:val="18"/>
              </w:rPr>
              <w:t>块</w:t>
            </w:r>
          </w:p>
        </w:tc>
        <w:tc>
          <w:tcPr>
            <w:tcW w:w="2442" w:type="dxa"/>
            <w:vAlign w:val="center"/>
          </w:tcPr>
          <w:p w14:paraId="2FC57D06">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屏幕类型：点阵黑白屏，COG，白底黑字</w:t>
            </w:r>
          </w:p>
          <w:p w14:paraId="30A41D04">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分辨率：256*160</w:t>
            </w:r>
          </w:p>
          <w:p w14:paraId="5BD646CD">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接口：4 线 SPI 串行接口</w:t>
            </w:r>
          </w:p>
          <w:p w14:paraId="6579573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背光寿命：&gt; 50,000 小时</w:t>
            </w:r>
          </w:p>
        </w:tc>
        <w:tc>
          <w:tcPr>
            <w:tcW w:w="787" w:type="dxa"/>
            <w:tcBorders>
              <w:right w:val="single" w:color="auto" w:sz="8" w:space="0"/>
            </w:tcBorders>
            <w:vAlign w:val="center"/>
          </w:tcPr>
          <w:p w14:paraId="08D0D564">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1</w:t>
            </w:r>
          </w:p>
        </w:tc>
        <w:tc>
          <w:tcPr>
            <w:tcW w:w="1946" w:type="dxa"/>
            <w:tcBorders>
              <w:right w:val="single" w:color="auto" w:sz="8" w:space="0"/>
            </w:tcBorders>
            <w:vAlign w:val="center"/>
          </w:tcPr>
          <w:p w14:paraId="2F703123">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c>
          <w:tcPr>
            <w:tcW w:w="826" w:type="dxa"/>
            <w:tcBorders>
              <w:right w:val="single" w:color="auto" w:sz="8" w:space="0"/>
            </w:tcBorders>
            <w:vAlign w:val="center"/>
          </w:tcPr>
          <w:p w14:paraId="3B24CA3B">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r>
      <w:tr w14:paraId="12520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1" w:type="dxa"/>
            <w:tcBorders>
              <w:left w:val="single" w:color="auto" w:sz="8" w:space="0"/>
            </w:tcBorders>
            <w:vAlign w:val="center"/>
          </w:tcPr>
          <w:p w14:paraId="1BF79849">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p>
        </w:tc>
        <w:tc>
          <w:tcPr>
            <w:tcW w:w="1040" w:type="dxa"/>
            <w:vAlign w:val="center"/>
          </w:tcPr>
          <w:p w14:paraId="5635F512">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spacing w:val="-2"/>
                <w:sz w:val="18"/>
                <w:szCs w:val="18"/>
              </w:rPr>
              <w:t>通讯模块</w:t>
            </w:r>
          </w:p>
        </w:tc>
        <w:tc>
          <w:tcPr>
            <w:tcW w:w="707" w:type="dxa"/>
            <w:shd w:val="clear" w:color="auto" w:fill="auto"/>
            <w:vAlign w:val="center"/>
          </w:tcPr>
          <w:p w14:paraId="2825633B">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kern w:val="2"/>
                <w:sz w:val="18"/>
                <w:szCs w:val="18"/>
                <w:highlight w:val="none"/>
                <w:vertAlign w:val="baseline"/>
                <w:lang w:val="en-US" w:eastAsia="zh-CN" w:bidi="ar-SA"/>
                <w14:textFill>
                  <w14:solidFill>
                    <w14:schemeClr w14:val="tx1"/>
                  </w14:solidFill>
                </w14:textFill>
              </w:rPr>
            </w:pPr>
            <w:r>
              <w:rPr>
                <w:rFonts w:hint="eastAsia" w:ascii="宋体" w:hAnsi="宋体" w:eastAsia="宋体" w:cs="宋体"/>
                <w:sz w:val="18"/>
                <w:szCs w:val="18"/>
              </w:rPr>
              <w:t>块</w:t>
            </w:r>
          </w:p>
        </w:tc>
        <w:tc>
          <w:tcPr>
            <w:tcW w:w="2442" w:type="dxa"/>
            <w:vAlign w:val="center"/>
          </w:tcPr>
          <w:p w14:paraId="596E182B">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物理接口：2 路 RS-485</w:t>
            </w:r>
          </w:p>
          <w:p w14:paraId="50538FBF">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通信协议：DL/T 645</w:t>
            </w:r>
          </w:p>
          <w:p w14:paraId="4B96D914">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波特率：1200、2400、4800、 9600、19200bps，默认值为 9600bps</w:t>
            </w:r>
          </w:p>
          <w:p w14:paraId="67BA0F07">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红外通讯：载波频率 38kHz、通信距离≤10 米、默认波特率 1200bps</w:t>
            </w:r>
          </w:p>
        </w:tc>
        <w:tc>
          <w:tcPr>
            <w:tcW w:w="787" w:type="dxa"/>
            <w:tcBorders>
              <w:right w:val="single" w:color="auto" w:sz="8" w:space="0"/>
            </w:tcBorders>
            <w:vAlign w:val="center"/>
          </w:tcPr>
          <w:p w14:paraId="354797AC">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sz w:val="18"/>
                <w:szCs w:val="18"/>
              </w:rPr>
              <w:t>1</w:t>
            </w:r>
          </w:p>
        </w:tc>
        <w:tc>
          <w:tcPr>
            <w:tcW w:w="1946" w:type="dxa"/>
            <w:tcBorders>
              <w:right w:val="single" w:color="auto" w:sz="8" w:space="0"/>
            </w:tcBorders>
            <w:vAlign w:val="center"/>
          </w:tcPr>
          <w:p w14:paraId="0EB1BACA">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sz w:val="18"/>
                <w:szCs w:val="18"/>
              </w:rPr>
            </w:pPr>
          </w:p>
        </w:tc>
        <w:tc>
          <w:tcPr>
            <w:tcW w:w="826" w:type="dxa"/>
            <w:tcBorders>
              <w:right w:val="single" w:color="auto" w:sz="8" w:space="0"/>
            </w:tcBorders>
            <w:vAlign w:val="center"/>
          </w:tcPr>
          <w:p w14:paraId="311A1E57">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sz w:val="18"/>
                <w:szCs w:val="18"/>
              </w:rPr>
            </w:pPr>
          </w:p>
        </w:tc>
      </w:tr>
      <w:tr w14:paraId="4AF6E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1" w:type="dxa"/>
            <w:tcBorders>
              <w:left w:val="single" w:color="auto" w:sz="8" w:space="0"/>
            </w:tcBorders>
            <w:vAlign w:val="center"/>
          </w:tcPr>
          <w:p w14:paraId="05CCF37F">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p>
        </w:tc>
        <w:tc>
          <w:tcPr>
            <w:tcW w:w="1040" w:type="dxa"/>
            <w:vAlign w:val="center"/>
          </w:tcPr>
          <w:p w14:paraId="52D607F5">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spacing w:val="-9"/>
                <w:sz w:val="18"/>
                <w:szCs w:val="18"/>
              </w:rPr>
              <w:t>电源模块</w:t>
            </w:r>
          </w:p>
        </w:tc>
        <w:tc>
          <w:tcPr>
            <w:tcW w:w="707" w:type="dxa"/>
            <w:shd w:val="clear" w:color="auto" w:fill="auto"/>
            <w:vAlign w:val="center"/>
          </w:tcPr>
          <w:p w14:paraId="699ECEDA">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kern w:val="2"/>
                <w:sz w:val="18"/>
                <w:szCs w:val="18"/>
                <w:highlight w:val="none"/>
                <w:vertAlign w:val="baseline"/>
                <w:lang w:val="en-US" w:eastAsia="zh-CN" w:bidi="ar-SA"/>
                <w14:textFill>
                  <w14:solidFill>
                    <w14:schemeClr w14:val="tx1"/>
                  </w14:solidFill>
                </w14:textFill>
              </w:rPr>
            </w:pPr>
            <w:r>
              <w:rPr>
                <w:rFonts w:hint="eastAsia" w:ascii="宋体" w:hAnsi="宋体" w:eastAsia="宋体" w:cs="宋体"/>
                <w:sz w:val="18"/>
                <w:szCs w:val="18"/>
              </w:rPr>
              <w:t>块</w:t>
            </w:r>
          </w:p>
        </w:tc>
        <w:tc>
          <w:tcPr>
            <w:tcW w:w="2442" w:type="dxa"/>
            <w:vAlign w:val="center"/>
          </w:tcPr>
          <w:p w14:paraId="6E58FBF5">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输入电压范围：85 ~305VAC/100 ~430VDC</w:t>
            </w:r>
          </w:p>
          <w:p w14:paraId="78901C2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输出电压：15VDC</w:t>
            </w:r>
          </w:p>
          <w:p w14:paraId="1BBEE0BD">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输出功率：10W</w:t>
            </w:r>
          </w:p>
          <w:p w14:paraId="229AA79D">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隔离电压：4000VAC</w:t>
            </w:r>
          </w:p>
        </w:tc>
        <w:tc>
          <w:tcPr>
            <w:tcW w:w="787" w:type="dxa"/>
            <w:tcBorders>
              <w:right w:val="single" w:color="auto" w:sz="8" w:space="0"/>
            </w:tcBorders>
            <w:vAlign w:val="center"/>
          </w:tcPr>
          <w:p w14:paraId="6B62CA45">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sz w:val="18"/>
                <w:szCs w:val="18"/>
              </w:rPr>
              <w:t>2</w:t>
            </w:r>
          </w:p>
        </w:tc>
        <w:tc>
          <w:tcPr>
            <w:tcW w:w="1946" w:type="dxa"/>
            <w:tcBorders>
              <w:right w:val="single" w:color="auto" w:sz="8" w:space="0"/>
            </w:tcBorders>
            <w:vAlign w:val="center"/>
          </w:tcPr>
          <w:p w14:paraId="68A6A242">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sz w:val="18"/>
                <w:szCs w:val="18"/>
              </w:rPr>
            </w:pPr>
          </w:p>
        </w:tc>
        <w:tc>
          <w:tcPr>
            <w:tcW w:w="826" w:type="dxa"/>
            <w:tcBorders>
              <w:right w:val="single" w:color="auto" w:sz="8" w:space="0"/>
            </w:tcBorders>
            <w:vAlign w:val="center"/>
          </w:tcPr>
          <w:p w14:paraId="42E3292A">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sz w:val="18"/>
                <w:szCs w:val="18"/>
              </w:rPr>
            </w:pPr>
          </w:p>
        </w:tc>
      </w:tr>
      <w:tr w14:paraId="02B6B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1" w:type="dxa"/>
            <w:tcBorders>
              <w:left w:val="single" w:color="auto" w:sz="8" w:space="0"/>
              <w:bottom w:val="single" w:color="auto" w:sz="8" w:space="0"/>
            </w:tcBorders>
            <w:vAlign w:val="center"/>
          </w:tcPr>
          <w:p w14:paraId="043137F8">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p>
        </w:tc>
        <w:tc>
          <w:tcPr>
            <w:tcW w:w="1040" w:type="dxa"/>
            <w:tcBorders>
              <w:bottom w:val="single" w:color="auto" w:sz="8" w:space="0"/>
            </w:tcBorders>
            <w:vAlign w:val="center"/>
          </w:tcPr>
          <w:p w14:paraId="791593F8">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spacing w:val="-3"/>
                <w:sz w:val="18"/>
                <w:szCs w:val="18"/>
              </w:rPr>
              <w:t>外壳及配件</w:t>
            </w:r>
          </w:p>
        </w:tc>
        <w:tc>
          <w:tcPr>
            <w:tcW w:w="707" w:type="dxa"/>
            <w:tcBorders>
              <w:bottom w:val="single" w:color="auto" w:sz="8" w:space="0"/>
            </w:tcBorders>
            <w:shd w:val="clear" w:color="auto" w:fill="auto"/>
            <w:vAlign w:val="center"/>
          </w:tcPr>
          <w:p w14:paraId="28BBFC57">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kern w:val="2"/>
                <w:sz w:val="18"/>
                <w:szCs w:val="18"/>
                <w:highlight w:val="none"/>
                <w:vertAlign w:val="baseline"/>
                <w:lang w:val="en-US" w:eastAsia="zh-CN" w:bidi="ar-SA"/>
                <w14:textFill>
                  <w14:solidFill>
                    <w14:schemeClr w14:val="tx1"/>
                  </w14:solidFill>
                </w14:textFill>
              </w:rPr>
            </w:pPr>
            <w:r>
              <w:rPr>
                <w:rFonts w:hint="eastAsia" w:ascii="宋体" w:hAnsi="宋体" w:eastAsia="宋体" w:cs="宋体"/>
                <w:sz w:val="18"/>
                <w:szCs w:val="18"/>
              </w:rPr>
              <w:t>套</w:t>
            </w:r>
          </w:p>
        </w:tc>
        <w:tc>
          <w:tcPr>
            <w:tcW w:w="2442" w:type="dxa"/>
            <w:tcBorders>
              <w:bottom w:val="single" w:color="auto" w:sz="8" w:space="0"/>
            </w:tcBorders>
            <w:vAlign w:val="center"/>
          </w:tcPr>
          <w:p w14:paraId="262B7FE7">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主体尺寸：290mm（高） × 170mm（宽） ×85mm（厚）</w:t>
            </w:r>
          </w:p>
          <w:p w14:paraId="53667027">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主体材质：PC+10%GF（聚碳酸酯+10%玻璃纤维）</w:t>
            </w:r>
          </w:p>
          <w:p w14:paraId="3CE9DBE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r>
              <w:rPr>
                <w:rFonts w:hint="eastAsia" w:ascii="宋体" w:hAnsi="宋体" w:eastAsia="宋体" w:cs="宋体"/>
                <w:color w:val="000000" w:themeColor="text1"/>
                <w:sz w:val="18"/>
                <w:szCs w:val="18"/>
                <w:highlight w:val="none"/>
                <w:vertAlign w:val="baseline"/>
                <w14:textFill>
                  <w14:solidFill>
                    <w14:schemeClr w14:val="tx1"/>
                  </w14:solidFill>
                </w14:textFill>
              </w:rPr>
              <w:t>防护等级：IP54</w:t>
            </w:r>
          </w:p>
        </w:tc>
        <w:tc>
          <w:tcPr>
            <w:tcW w:w="787" w:type="dxa"/>
            <w:tcBorders>
              <w:bottom w:val="single" w:color="auto" w:sz="8" w:space="0"/>
              <w:right w:val="single" w:color="auto" w:sz="8" w:space="0"/>
            </w:tcBorders>
            <w:vAlign w:val="center"/>
          </w:tcPr>
          <w:p w14:paraId="1FA74512">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1</w:t>
            </w:r>
          </w:p>
        </w:tc>
        <w:tc>
          <w:tcPr>
            <w:tcW w:w="1946" w:type="dxa"/>
            <w:tcBorders>
              <w:bottom w:val="single" w:color="auto" w:sz="8" w:space="0"/>
              <w:right w:val="single" w:color="auto" w:sz="8" w:space="0"/>
            </w:tcBorders>
            <w:vAlign w:val="center"/>
          </w:tcPr>
          <w:p w14:paraId="4E5C3667">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c>
          <w:tcPr>
            <w:tcW w:w="826" w:type="dxa"/>
            <w:tcBorders>
              <w:bottom w:val="single" w:color="auto" w:sz="8" w:space="0"/>
              <w:right w:val="single" w:color="auto" w:sz="8" w:space="0"/>
            </w:tcBorders>
            <w:vAlign w:val="center"/>
          </w:tcPr>
          <w:p w14:paraId="7A4EF074">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r>
    </w:tbl>
    <w:p w14:paraId="728ACBC6">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p>
    <w:p w14:paraId="3B05DF22">
      <w:pPr>
        <w:pStyle w:val="2"/>
        <w:numPr>
          <w:ilvl w:val="0"/>
          <w:numId w:val="0"/>
        </w:numPr>
        <w:bidi w:val="0"/>
        <w:ind w:leftChars="0"/>
        <w:rPr>
          <w:rFonts w:hint="eastAsia" w:ascii="宋体" w:hAnsi="宋体" w:eastAsia="宋体" w:cs="宋体"/>
          <w:color w:val="000000" w:themeColor="text1"/>
          <w:sz w:val="24"/>
          <w:szCs w:val="24"/>
          <w:highlight w:val="none"/>
          <w14:textFill>
            <w14:solidFill>
              <w14:schemeClr w14:val="tx1"/>
            </w14:solidFill>
          </w14:textFill>
        </w:rPr>
      </w:pPr>
      <w:bookmarkStart w:id="51" w:name="_Toc1819"/>
      <w:bookmarkStart w:id="52" w:name="_Toc32585"/>
      <w:bookmarkStart w:id="53" w:name="_Toc17339"/>
      <w:bookmarkStart w:id="54" w:name="_Toc4598"/>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代加工范围及内容</w:t>
      </w:r>
      <w:bookmarkEnd w:id="51"/>
      <w:bookmarkEnd w:id="52"/>
      <w:bookmarkEnd w:id="53"/>
      <w:bookmarkEnd w:id="54"/>
    </w:p>
    <w:p w14:paraId="2ADFC9CF">
      <w:pPr>
        <w:keepNext w:val="0"/>
        <w:keepLines w:val="0"/>
        <w:pageBreakBefore w:val="0"/>
        <w:widowControl w:val="0"/>
        <w:kinsoku/>
        <w:wordWrap/>
        <w:overflowPunct/>
        <w:topLinePunct w:val="0"/>
        <w:autoSpaceDE/>
        <w:autoSpaceDN/>
        <w:bidi w:val="0"/>
        <w:adjustRightInd/>
        <w:snapToGrid/>
        <w:spacing w:before="120" w:after="120" w:line="288"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本次框架采购代加工范围涵盖</w:t>
      </w:r>
      <w:r>
        <w:rPr>
          <w:rFonts w:hint="eastAsia" w:ascii="宋体" w:hAnsi="宋体" w:cs="宋体"/>
          <w:color w:val="000000" w:themeColor="text1"/>
          <w:sz w:val="21"/>
          <w:szCs w:val="21"/>
          <w:highlight w:val="none"/>
          <w:lang w:eastAsia="zh-CN"/>
          <w14:textFill>
            <w14:solidFill>
              <w14:schemeClr w14:val="tx1"/>
            </w14:solidFill>
          </w14:textFill>
        </w:rPr>
        <w:t>安装式数字直流电能表</w:t>
      </w:r>
      <w:r>
        <w:rPr>
          <w:rFonts w:hint="eastAsia" w:ascii="宋体" w:hAnsi="宋体" w:eastAsia="宋体" w:cs="宋体"/>
          <w:color w:val="000000" w:themeColor="text1"/>
          <w:sz w:val="21"/>
          <w:szCs w:val="21"/>
          <w:highlight w:val="none"/>
          <w14:textFill>
            <w14:solidFill>
              <w14:schemeClr w14:val="tx1"/>
            </w14:solidFill>
          </w14:textFill>
        </w:rPr>
        <w:t>的全部生产加工及相关配套服务，具体内容如下：</w:t>
      </w:r>
    </w:p>
    <w:p w14:paraId="43416377">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3.1</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 原材料采购：代加工方负责采购</w:t>
      </w:r>
      <w:r>
        <w:rPr>
          <w:rFonts w:hint="eastAsia" w:ascii="宋体" w:hAnsi="宋体" w:cs="宋体"/>
          <w:color w:val="000000" w:themeColor="text1"/>
          <w:sz w:val="21"/>
          <w:szCs w:val="21"/>
          <w:highlight w:val="none"/>
          <w:lang w:eastAsia="zh-CN"/>
          <w14:textFill>
            <w14:solidFill>
              <w14:schemeClr w14:val="tx1"/>
            </w14:solidFill>
          </w14:textFill>
        </w:rPr>
        <w:t>安装式数字直流电能表</w:t>
      </w:r>
      <w:r>
        <w:rPr>
          <w:rFonts w:hint="eastAsia" w:ascii="宋体" w:hAnsi="宋体" w:eastAsia="宋体" w:cs="宋体"/>
          <w:color w:val="000000" w:themeColor="text1"/>
          <w:sz w:val="21"/>
          <w:szCs w:val="21"/>
          <w:highlight w:val="none"/>
          <w14:textFill>
            <w14:solidFill>
              <w14:schemeClr w14:val="tx1"/>
            </w14:solidFill>
          </w14:textFill>
        </w:rPr>
        <w:t>生产所需的全部原材料、零部件，包括但不限于：</w:t>
      </w:r>
      <w:r>
        <w:rPr>
          <w:rFonts w:hint="eastAsia" w:ascii="宋体" w:hAnsi="宋体" w:eastAsia="宋体" w:cs="宋体"/>
          <w:color w:val="000000" w:themeColor="text1"/>
          <w:sz w:val="21"/>
          <w:szCs w:val="21"/>
          <w:highlight w:val="none"/>
          <w:lang w:val="en-US" w:eastAsia="zh-CN"/>
          <w14:textFill>
            <w14:solidFill>
              <w14:schemeClr w14:val="tx1"/>
            </w14:solidFill>
          </w14:textFill>
        </w:rPr>
        <w:t>FT3接口模块、电能计量模块、电能质量模块、智能电能表管理模块、显示模块、通讯模块、电源模块、外壳及配件</w:t>
      </w:r>
      <w:r>
        <w:rPr>
          <w:rFonts w:hint="eastAsia" w:ascii="宋体" w:hAnsi="宋体" w:eastAsia="宋体" w:cs="宋体"/>
          <w:color w:val="000000" w:themeColor="text1"/>
          <w:sz w:val="21"/>
          <w:szCs w:val="21"/>
          <w:highlight w:val="none"/>
          <w14:textFill>
            <w14:solidFill>
              <w14:schemeClr w14:val="tx1"/>
            </w14:solidFill>
          </w14:textFill>
        </w:rPr>
        <w:t>、包装材料（纸箱、泡沫、防潮袋）等，所有原材料须符合本规范及招标人要求。</w:t>
      </w:r>
    </w:p>
    <w:p w14:paraId="6D681B71">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3.2</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 生产加工：按照招标人提供的技术图纸、加工工艺要求，完成</w:t>
      </w:r>
      <w:r>
        <w:rPr>
          <w:rFonts w:hint="eastAsia" w:ascii="宋体" w:hAnsi="宋体" w:cs="宋体"/>
          <w:color w:val="000000" w:themeColor="text1"/>
          <w:sz w:val="21"/>
          <w:szCs w:val="21"/>
          <w:highlight w:val="none"/>
          <w:lang w:eastAsia="zh-CN"/>
          <w14:textFill>
            <w14:solidFill>
              <w14:schemeClr w14:val="tx1"/>
            </w14:solidFill>
          </w14:textFill>
        </w:rPr>
        <w:t>安装式数字直流电能表</w:t>
      </w:r>
      <w:r>
        <w:rPr>
          <w:rFonts w:hint="eastAsia" w:ascii="宋体" w:hAnsi="宋体" w:eastAsia="宋体" w:cs="宋体"/>
          <w:color w:val="000000" w:themeColor="text1"/>
          <w:sz w:val="21"/>
          <w:szCs w:val="21"/>
          <w:highlight w:val="none"/>
          <w14:textFill>
            <w14:solidFill>
              <w14:schemeClr w14:val="tx1"/>
            </w14:solidFill>
          </w14:textFill>
        </w:rPr>
        <w:t>的</w:t>
      </w:r>
      <w:r>
        <w:rPr>
          <w:rFonts w:hint="eastAsia" w:ascii="宋体" w:hAnsi="宋体" w:eastAsia="宋体" w:cs="宋体"/>
          <w:color w:val="000000" w:themeColor="text1"/>
          <w:sz w:val="21"/>
          <w:szCs w:val="21"/>
          <w:highlight w:val="none"/>
          <w:lang w:val="en-US" w:eastAsia="zh-CN"/>
          <w14:textFill>
            <w14:solidFill>
              <w14:schemeClr w14:val="tx1"/>
            </w14:solidFill>
          </w14:textFill>
        </w:rPr>
        <w:t>FT3接口模块、电能计量模块、电能质量模块、智能电能表管理模块、显示模块、通讯模块、电源模块、外壳及配件的制造、整机装配</w:t>
      </w:r>
      <w:r>
        <w:rPr>
          <w:rFonts w:hint="eastAsia" w:ascii="宋体" w:hAnsi="宋体" w:cs="宋体"/>
          <w:color w:val="000000" w:themeColor="text1"/>
          <w:sz w:val="21"/>
          <w:szCs w:val="21"/>
          <w:highlight w:val="none"/>
          <w:lang w:val="en-US" w:eastAsia="zh-CN"/>
          <w14:textFill>
            <w14:solidFill>
              <w14:schemeClr w14:val="tx1"/>
            </w14:solidFill>
          </w14:textFill>
        </w:rPr>
        <w:t>、精度调校、最终检测与包装</w:t>
      </w:r>
      <w:r>
        <w:rPr>
          <w:rFonts w:hint="eastAsia" w:ascii="宋体" w:hAnsi="宋体" w:eastAsia="宋体" w:cs="宋体"/>
          <w:color w:val="000000" w:themeColor="text1"/>
          <w:sz w:val="21"/>
          <w:szCs w:val="21"/>
          <w:highlight w:val="none"/>
          <w14:textFill>
            <w14:solidFill>
              <w14:schemeClr w14:val="tx1"/>
            </w14:solidFill>
          </w14:textFill>
        </w:rPr>
        <w:t>等全部生产加工工序。</w:t>
      </w:r>
    </w:p>
    <w:p w14:paraId="20B9F35F">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3.3</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 质量检验：负责原材料检验、过程检验、出厂检验</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第三方检测试验</w:t>
      </w:r>
      <w:r>
        <w:rPr>
          <w:rFonts w:hint="eastAsia" w:ascii="宋体" w:hAnsi="宋体" w:eastAsia="宋体" w:cs="宋体"/>
          <w:color w:val="000000" w:themeColor="text1"/>
          <w:sz w:val="21"/>
          <w:szCs w:val="21"/>
          <w:highlight w:val="none"/>
          <w14:textFill>
            <w14:solidFill>
              <w14:schemeClr w14:val="tx1"/>
            </w14:solidFill>
          </w14:textFill>
        </w:rPr>
        <w:t>等全流程检验工作，出具检验报告，确保产品质量符合标准。</w:t>
      </w:r>
    </w:p>
    <w:p w14:paraId="79523A4F">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3.4</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 包装交付：按照本规范要求，完成产品的包装、标识，按订单要求将产品运输至招标人指定地点，承担全部运输、装卸费用及风险。</w:t>
      </w:r>
    </w:p>
    <w:p w14:paraId="5831FE0D">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3.5</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 技术资料交付：随货交付产品出厂合格证、检验报告、使用说明书、零部件清单、质保卡等全套技术资料，满足招标人验收及使用需求。</w:t>
      </w:r>
    </w:p>
    <w:p w14:paraId="0A73D379">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3.6</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 技术服务及培训：提供现场安装调试指导、操作培训、售后技术支持、故障处理等服务，配合招标人完成产品验收工作。</w:t>
      </w:r>
    </w:p>
    <w:p w14:paraId="3F5D1551">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3.7</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 售后保障：按照本规范及框架协议约定，提供产品质保、维修、配件供应等售后保障服务。</w:t>
      </w:r>
    </w:p>
    <w:p w14:paraId="19B1558A">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3.8</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 框架合作配合：配合招标人完成订单下达、质量抽查、产能验证、工艺核查等工作，提供必要的生产记录、检验报告等资料。</w:t>
      </w:r>
    </w:p>
    <w:p w14:paraId="39F31B16">
      <w:pPr>
        <w:pStyle w:val="2"/>
        <w:numPr>
          <w:ilvl w:val="0"/>
          <w:numId w:val="0"/>
        </w:numPr>
        <w:bidi w:val="0"/>
        <w:ind w:leftChars="0"/>
        <w:rPr>
          <w:rFonts w:hint="eastAsia" w:ascii="宋体" w:hAnsi="宋体" w:eastAsia="宋体" w:cs="宋体"/>
          <w:color w:val="000000" w:themeColor="text1"/>
          <w:sz w:val="24"/>
          <w:szCs w:val="24"/>
          <w:highlight w:val="none"/>
          <w14:textFill>
            <w14:solidFill>
              <w14:schemeClr w14:val="tx1"/>
            </w14:solidFill>
          </w14:textFill>
        </w:rPr>
      </w:pPr>
      <w:bookmarkStart w:id="55" w:name="_Toc28215"/>
      <w:bookmarkStart w:id="56" w:name="_Toc6263"/>
      <w:bookmarkStart w:id="57" w:name="_Toc23703"/>
      <w:bookmarkStart w:id="58" w:name="_Toc9912"/>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详细技术及代加工要求</w:t>
      </w:r>
      <w:bookmarkEnd w:id="55"/>
      <w:bookmarkEnd w:id="56"/>
      <w:bookmarkEnd w:id="57"/>
      <w:bookmarkEnd w:id="58"/>
    </w:p>
    <w:p w14:paraId="19A577B8">
      <w:pPr>
        <w:pStyle w:val="3"/>
        <w:numPr>
          <w:ilvl w:val="1"/>
          <w:numId w:val="0"/>
        </w:numPr>
        <w:bidi w:val="0"/>
        <w:ind w:leftChars="0"/>
        <w:rPr>
          <w:rFonts w:hint="eastAsia" w:ascii="黑体" w:hAnsi="黑体" w:eastAsia="黑体" w:cs="黑体"/>
          <w:color w:val="000000" w:themeColor="text1"/>
          <w:sz w:val="24"/>
          <w:szCs w:val="24"/>
          <w:highlight w:val="none"/>
          <w14:textFill>
            <w14:solidFill>
              <w14:schemeClr w14:val="tx1"/>
            </w14:solidFill>
          </w14:textFill>
        </w:rPr>
      </w:pPr>
      <w:bookmarkStart w:id="59" w:name="_Toc32488"/>
      <w:bookmarkStart w:id="60" w:name="_Toc19074"/>
      <w:bookmarkStart w:id="61" w:name="_Toc20390"/>
      <w:bookmarkStart w:id="62" w:name="_Toc10010"/>
      <w:r>
        <w:rPr>
          <w:rFonts w:hint="default" w:ascii="Times New Roman" w:hAnsi="Times New Roman" w:eastAsia="黑体" w:cs="Times New Roman"/>
          <w:color w:val="000000" w:themeColor="text1"/>
          <w:sz w:val="24"/>
          <w:szCs w:val="24"/>
          <w:highlight w:val="none"/>
          <w14:textFill>
            <w14:solidFill>
              <w14:schemeClr w14:val="tx1"/>
            </w14:solidFill>
          </w14:textFill>
        </w:rPr>
        <w:t>4.1</w:t>
      </w:r>
      <w:r>
        <w:rPr>
          <w:rFonts w:hint="eastAsia" w:ascii="Times New Roman" w:eastAsia="黑体" w:cs="Times New Roman"/>
          <w:color w:val="000000" w:themeColor="text1"/>
          <w:sz w:val="24"/>
          <w:szCs w:val="24"/>
          <w:highlight w:val="none"/>
          <w:lang w:val="en-US" w:eastAsia="zh-CN"/>
          <w14:textFill>
            <w14:solidFill>
              <w14:schemeClr w14:val="tx1"/>
            </w14:solidFill>
          </w14:textFill>
        </w:rPr>
        <w:t>.</w:t>
      </w:r>
      <w:r>
        <w:rPr>
          <w:rFonts w:hint="default" w:ascii="Times New Roman" w:hAnsi="Times New Roman" w:eastAsia="黑体" w:cs="Times New Roman"/>
          <w:color w:val="000000" w:themeColor="text1"/>
          <w:sz w:val="24"/>
          <w:szCs w:val="24"/>
          <w:highlight w:val="none"/>
          <w14:textFill>
            <w14:solidFill>
              <w14:schemeClr w14:val="tx1"/>
            </w14:solidFill>
          </w14:textFill>
        </w:rPr>
        <w:t xml:space="preserve"> </w:t>
      </w:r>
      <w:r>
        <w:rPr>
          <w:rFonts w:hint="eastAsia" w:ascii="黑体" w:hAnsi="黑体" w:eastAsia="黑体" w:cs="黑体"/>
          <w:color w:val="000000" w:themeColor="text1"/>
          <w:sz w:val="24"/>
          <w:szCs w:val="24"/>
          <w:highlight w:val="none"/>
          <w14:textFill>
            <w14:solidFill>
              <w14:schemeClr w14:val="tx1"/>
            </w14:solidFill>
          </w14:textFill>
        </w:rPr>
        <w:t>代加工生产能力要求</w:t>
      </w:r>
      <w:bookmarkEnd w:id="59"/>
      <w:bookmarkEnd w:id="60"/>
      <w:bookmarkEnd w:id="61"/>
      <w:bookmarkEnd w:id="62"/>
    </w:p>
    <w:p w14:paraId="6673F739">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4.1.1代加工方须具备</w:t>
      </w:r>
      <w:r>
        <w:rPr>
          <w:rFonts w:hint="eastAsia" w:ascii="宋体" w:hAnsi="宋体" w:cs="宋体"/>
          <w:color w:val="000000" w:themeColor="text1"/>
          <w:sz w:val="21"/>
          <w:szCs w:val="21"/>
          <w:highlight w:val="none"/>
          <w:lang w:val="en-US" w:eastAsia="zh-CN"/>
          <w14:textFill>
            <w14:solidFill>
              <w14:schemeClr w14:val="tx1"/>
            </w14:solidFill>
          </w14:textFill>
        </w:rPr>
        <w:t>以下设备：</w:t>
      </w:r>
      <w:r>
        <w:rPr>
          <w:rFonts w:hint="eastAsia" w:ascii="宋体" w:hAnsi="宋体" w:eastAsia="宋体" w:cs="宋体"/>
          <w:color w:val="000000" w:themeColor="text1"/>
          <w:sz w:val="21"/>
          <w:szCs w:val="21"/>
          <w:highlight w:val="none"/>
          <w14:textFill>
            <w14:solidFill>
              <w14:schemeClr w14:val="tx1"/>
            </w14:solidFill>
          </w14:textFill>
        </w:rPr>
        <w:t>交直流校表仪≥1台、电能表校验装置≥1台、电磁兼容设备（群脉冲发生器）≥1台、绝缘电阻测试仪≥1台、老化试验设备≥1台。</w:t>
      </w:r>
    </w:p>
    <w:p w14:paraId="563C474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bookmarkStart w:id="63" w:name="_Toc21682"/>
      <w:bookmarkStart w:id="64" w:name="_Toc23996"/>
      <w:bookmarkStart w:id="65" w:name="_Toc6899"/>
      <w:bookmarkStart w:id="66" w:name="_Toc1677"/>
      <w:r>
        <w:rPr>
          <w:rFonts w:hint="eastAsia" w:ascii="宋体" w:hAnsi="宋体" w:eastAsia="宋体" w:cs="宋体"/>
          <w:color w:val="000000" w:themeColor="text1"/>
          <w:sz w:val="21"/>
          <w:szCs w:val="21"/>
          <w14:textFill>
            <w14:solidFill>
              <w14:schemeClr w14:val="tx1"/>
            </w14:solidFill>
          </w14:textFill>
        </w:rPr>
        <w:t>4.1.</w:t>
      </w:r>
      <w:r>
        <w:rPr>
          <w:rFonts w:hint="eastAsia" w:ascii="宋体" w:hAnsi="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代加工方须</w:t>
      </w:r>
      <w:r>
        <w:rPr>
          <w:rFonts w:hint="eastAsia" w:ascii="宋体" w:hAnsi="宋体" w:cs="宋体"/>
          <w:color w:val="000000" w:themeColor="text1"/>
          <w:sz w:val="21"/>
          <w:szCs w:val="21"/>
          <w:highlight w:val="none"/>
          <w:lang w:val="en-US" w:eastAsia="zh-CN"/>
          <w14:textFill>
            <w14:solidFill>
              <w14:schemeClr w14:val="tx1"/>
            </w14:solidFill>
          </w14:textFill>
        </w:rPr>
        <w:t>为本项目</w:t>
      </w:r>
      <w:r>
        <w:rPr>
          <w:rFonts w:hint="eastAsia" w:ascii="宋体" w:hAnsi="宋体" w:eastAsia="宋体" w:cs="宋体"/>
          <w:color w:val="000000" w:themeColor="text1"/>
          <w:sz w:val="21"/>
          <w:szCs w:val="21"/>
          <w:highlight w:val="none"/>
          <w14:textFill>
            <w14:solidFill>
              <w14:schemeClr w14:val="tx1"/>
            </w14:solidFill>
          </w14:textFill>
        </w:rPr>
        <w:t>配备</w:t>
      </w:r>
      <w:r>
        <w:rPr>
          <w:rFonts w:hint="eastAsia" w:ascii="宋体" w:hAnsi="宋体" w:cs="宋体"/>
          <w:color w:val="000000" w:themeColor="text1"/>
          <w:sz w:val="21"/>
          <w:szCs w:val="21"/>
          <w:highlight w:val="none"/>
          <w:lang w:val="en-US" w:eastAsia="zh-CN"/>
          <w14:textFill>
            <w14:solidFill>
              <w14:schemeClr w14:val="tx1"/>
            </w14:solidFill>
          </w14:textFill>
        </w:rPr>
        <w:t>不少于12人的生产</w:t>
      </w:r>
      <w:r>
        <w:rPr>
          <w:rFonts w:hint="eastAsia" w:ascii="宋体" w:hAnsi="宋体" w:eastAsia="宋体" w:cs="宋体"/>
          <w:color w:val="000000" w:themeColor="text1"/>
          <w:sz w:val="21"/>
          <w:szCs w:val="21"/>
          <w:highlight w:val="none"/>
          <w14:textFill>
            <w14:solidFill>
              <w14:schemeClr w14:val="tx1"/>
            </w14:solidFill>
          </w14:textFill>
        </w:rPr>
        <w:t>团队，</w:t>
      </w:r>
      <w:r>
        <w:rPr>
          <w:rFonts w:hint="eastAsia" w:ascii="宋体" w:hAnsi="宋体" w:cs="宋体"/>
          <w:color w:val="000000" w:themeColor="text1"/>
          <w:sz w:val="21"/>
          <w:szCs w:val="21"/>
          <w:highlight w:val="none"/>
          <w:lang w:val="en-US" w:eastAsia="zh-CN"/>
          <w14:textFill>
            <w14:solidFill>
              <w14:schemeClr w14:val="tx1"/>
            </w14:solidFill>
          </w14:textFill>
        </w:rPr>
        <w:t>并</w:t>
      </w:r>
      <w:r>
        <w:rPr>
          <w:rFonts w:hint="eastAsia" w:ascii="宋体" w:hAnsi="宋体" w:eastAsia="宋体" w:cs="宋体"/>
          <w:color w:val="000000" w:themeColor="text1"/>
          <w:sz w:val="21"/>
          <w:szCs w:val="21"/>
          <w:highlight w:val="none"/>
          <w14:textFill>
            <w14:solidFill>
              <w14:schemeClr w14:val="tx1"/>
            </w14:solidFill>
          </w14:textFill>
        </w:rPr>
        <w:t>熟练掌握生产加工工艺。</w:t>
      </w:r>
    </w:p>
    <w:p w14:paraId="44792E3F">
      <w:pPr>
        <w:pStyle w:val="3"/>
        <w:numPr>
          <w:ilvl w:val="1"/>
          <w:numId w:val="0"/>
        </w:numPr>
        <w:bidi w:val="0"/>
        <w:ind w:leftChars="0"/>
        <w:rPr>
          <w:rFonts w:hint="eastAsia" w:ascii="黑体" w:hAnsi="黑体" w:eastAsia="黑体" w:cs="黑体"/>
          <w:color w:val="000000" w:themeColor="text1"/>
          <w:sz w:val="24"/>
          <w:szCs w:val="24"/>
          <w:highlight w:val="none"/>
          <w14:textFill>
            <w14:solidFill>
              <w14:schemeClr w14:val="tx1"/>
            </w14:solidFill>
          </w14:textFill>
        </w:rPr>
      </w:pPr>
      <w:r>
        <w:rPr>
          <w:rFonts w:hint="default" w:ascii="Times New Roman" w:hAnsi="Times New Roman" w:eastAsia="黑体" w:cs="Times New Roman"/>
          <w:color w:val="000000" w:themeColor="text1"/>
          <w:sz w:val="24"/>
          <w:szCs w:val="24"/>
          <w:highlight w:val="none"/>
          <w:lang w:val="en-US" w:eastAsia="zh-CN"/>
          <w14:textFill>
            <w14:solidFill>
              <w14:schemeClr w14:val="tx1"/>
            </w14:solidFill>
          </w14:textFill>
        </w:rPr>
        <w:t>4.2</w:t>
      </w:r>
      <w:r>
        <w:rPr>
          <w:rFonts w:hint="eastAsia" w:ascii="Times New Roman" w:eastAsia="黑体" w:cs="Times New Roman"/>
          <w:color w:val="000000" w:themeColor="text1"/>
          <w:sz w:val="24"/>
          <w:szCs w:val="24"/>
          <w:highlight w:val="none"/>
          <w:lang w:val="en-US" w:eastAsia="zh-CN"/>
          <w14:textFill>
            <w14:solidFill>
              <w14:schemeClr w14:val="tx1"/>
            </w14:solidFill>
          </w14:textFill>
        </w:rPr>
        <w:t xml:space="preserve">. </w:t>
      </w:r>
      <w:r>
        <w:rPr>
          <w:rFonts w:hint="eastAsia" w:ascii="黑体" w:hAnsi="黑体" w:eastAsia="黑体" w:cs="黑体"/>
          <w:color w:val="000000" w:themeColor="text1"/>
          <w:sz w:val="24"/>
          <w:szCs w:val="24"/>
          <w:highlight w:val="none"/>
          <w14:textFill>
            <w14:solidFill>
              <w14:schemeClr w14:val="tx1"/>
            </w14:solidFill>
          </w14:textFill>
        </w:rPr>
        <w:t>原材料采购及管控要求</w:t>
      </w:r>
      <w:bookmarkEnd w:id="63"/>
      <w:bookmarkEnd w:id="64"/>
      <w:bookmarkEnd w:id="65"/>
      <w:bookmarkEnd w:id="66"/>
    </w:p>
    <w:p w14:paraId="4A7484DC">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4.2.1 代加工方采购的所有原材料须符合国家相关标准及本规范要求，优先选用行业知名品牌原材料，</w:t>
      </w:r>
      <w:r>
        <w:rPr>
          <w:rFonts w:hint="eastAsia" w:ascii="宋体" w:hAnsi="宋体" w:cs="宋体"/>
          <w:color w:val="000000" w:themeColor="text1"/>
          <w:sz w:val="21"/>
          <w:szCs w:val="21"/>
          <w:highlight w:val="none"/>
          <w:lang w:val="en-US" w:eastAsia="zh-CN"/>
          <w14:textFill>
            <w14:solidFill>
              <w14:schemeClr w14:val="tx1"/>
            </w14:solidFill>
          </w14:textFill>
        </w:rPr>
        <w:t>招标方不定期抽查原材料是否满足要求</w:t>
      </w:r>
      <w:r>
        <w:rPr>
          <w:rFonts w:hint="eastAsia" w:ascii="宋体" w:hAnsi="宋体" w:eastAsia="宋体" w:cs="宋体"/>
          <w:color w:val="000000" w:themeColor="text1"/>
          <w:sz w:val="21"/>
          <w:szCs w:val="21"/>
          <w:highlight w:val="none"/>
          <w14:textFill>
            <w14:solidFill>
              <w14:schemeClr w14:val="tx1"/>
            </w14:solidFill>
          </w14:textFill>
        </w:rPr>
        <w:t>。</w:t>
      </w:r>
    </w:p>
    <w:p w14:paraId="021FBFA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4.2.2 </w:t>
      </w:r>
      <w:r>
        <w:rPr>
          <w:rFonts w:hint="eastAsia" w:ascii="宋体" w:hAnsi="宋体" w:eastAsia="宋体" w:cs="宋体"/>
          <w:color w:val="000000" w:themeColor="text1"/>
          <w:sz w:val="21"/>
          <w:szCs w:val="21"/>
          <w:highlight w:val="none"/>
          <w:lang w:val="en-US" w:eastAsia="zh-CN"/>
          <w14:textFill>
            <w14:solidFill>
              <w14:schemeClr w14:val="tx1"/>
            </w14:solidFill>
          </w14:textFill>
        </w:rPr>
        <w:t>FT3 接口模块</w:t>
      </w:r>
      <w:r>
        <w:rPr>
          <w:rFonts w:hint="eastAsia" w:ascii="宋体" w:hAnsi="宋体" w:eastAsia="宋体" w:cs="宋体"/>
          <w:color w:val="000000" w:themeColor="text1"/>
          <w:sz w:val="21"/>
          <w:szCs w:val="21"/>
          <w:highlight w:val="none"/>
          <w14:textFill>
            <w14:solidFill>
              <w14:schemeClr w14:val="tx1"/>
            </w14:solidFill>
          </w14:textFill>
        </w:rPr>
        <w:t>：采用</w:t>
      </w:r>
      <w:r>
        <w:rPr>
          <w:rFonts w:hint="eastAsia" w:ascii="宋体" w:hAnsi="宋体" w:cs="宋体"/>
          <w:color w:val="000000" w:themeColor="text1"/>
          <w:sz w:val="21"/>
          <w:szCs w:val="21"/>
          <w:highlight w:val="none"/>
          <w:lang w:val="en-US" w:eastAsia="zh-CN"/>
          <w14:textFill>
            <w14:solidFill>
              <w14:schemeClr w14:val="tx1"/>
            </w14:solidFill>
          </w14:textFill>
        </w:rPr>
        <w:t>ST多模光纤接口</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1收1发，</w:t>
      </w:r>
      <w:r>
        <w:rPr>
          <w:rFonts w:hint="eastAsia" w:ascii="宋体" w:hAnsi="宋体" w:eastAsia="宋体" w:cs="宋体"/>
          <w:color w:val="000000" w:themeColor="text1"/>
          <w:sz w:val="21"/>
          <w:szCs w:val="21"/>
          <w:highlight w:val="none"/>
          <w14:textFill>
            <w14:solidFill>
              <w14:schemeClr w14:val="tx1"/>
            </w14:solidFill>
          </w14:textFill>
        </w:rPr>
        <w:t>光耦/隔离芯片应具备良好的温度稳定性和抗干扰能力</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通信规约为</w:t>
      </w:r>
      <w:r>
        <w:rPr>
          <w:rFonts w:hint="eastAsia" w:ascii="宋体" w:hAnsi="宋体" w:cs="宋体"/>
          <w:color w:val="000000" w:themeColor="text1"/>
          <w:szCs w:val="21"/>
          <w:highlight w:val="none"/>
          <w14:textFill>
            <w14:solidFill>
              <w14:schemeClr w14:val="tx1"/>
            </w14:solidFill>
          </w14:textFill>
        </w:rPr>
        <w:t>IEC 60044-8</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FT3</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符合本规范要求</w:t>
      </w:r>
      <w:r>
        <w:rPr>
          <w:rFonts w:hint="eastAsia" w:ascii="宋体" w:hAnsi="宋体" w:eastAsia="宋体" w:cs="宋体"/>
          <w:color w:val="000000" w:themeColor="text1"/>
          <w:sz w:val="21"/>
          <w:szCs w:val="21"/>
          <w:highlight w:val="none"/>
          <w14:textFill>
            <w14:solidFill>
              <w14:schemeClr w14:val="tx1"/>
            </w14:solidFill>
          </w14:textFill>
        </w:rPr>
        <w:t>。</w:t>
      </w:r>
    </w:p>
    <w:p w14:paraId="2B597781">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4.2.3</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电能计量模块</w:t>
      </w:r>
      <w:r>
        <w:rPr>
          <w:rFonts w:hint="eastAsia" w:ascii="宋体" w:hAnsi="宋体" w:eastAsia="宋体" w:cs="宋体"/>
          <w:color w:val="000000" w:themeColor="text1"/>
          <w:sz w:val="21"/>
          <w:szCs w:val="21"/>
          <w:highlight w:val="none"/>
          <w14:textFill>
            <w14:solidFill>
              <w14:schemeClr w14:val="tx1"/>
            </w14:solidFill>
          </w14:textFill>
        </w:rPr>
        <w:t>：采用高精度计量芯片，</w:t>
      </w:r>
      <w:r>
        <w:rPr>
          <w:rFonts w:hint="eastAsia" w:ascii="宋体" w:hAnsi="宋体" w:eastAsia="宋体" w:cs="宋体"/>
          <w:i w:val="0"/>
          <w:iCs w:val="0"/>
          <w:caps w:val="0"/>
          <w:color w:val="000000" w:themeColor="text1"/>
          <w:spacing w:val="0"/>
          <w:sz w:val="21"/>
          <w:szCs w:val="21"/>
          <w:highlight w:val="none"/>
          <w:shd w:val="clear"/>
          <w14:textFill>
            <w14:solidFill>
              <w14:schemeClr w14:val="tx1"/>
            </w14:solidFill>
          </w14:textFill>
        </w:rPr>
        <w:t>计量芯片应采用行业知名品牌</w:t>
      </w:r>
      <w:r>
        <w:rPr>
          <w:rFonts w:hint="eastAsia" w:ascii="宋体" w:hAnsi="宋体" w:eastAsia="宋体" w:cs="宋体"/>
          <w:i w:val="0"/>
          <w:iCs w:val="0"/>
          <w:caps w:val="0"/>
          <w:color w:val="000000" w:themeColor="text1"/>
          <w:spacing w:val="0"/>
          <w:sz w:val="21"/>
          <w:szCs w:val="21"/>
          <w:highlight w:val="none"/>
          <w:shd w:val="clear"/>
          <w:lang w:eastAsia="zh-CN"/>
          <w14:textFill>
            <w14:solidFill>
              <w14:schemeClr w14:val="tx1"/>
            </w14:solidFill>
          </w14:textFill>
        </w:rPr>
        <w:t>，</w:t>
      </w:r>
      <w:r>
        <w:rPr>
          <w:rFonts w:hint="eastAsia" w:ascii="宋体" w:hAnsi="宋体" w:cs="宋体"/>
          <w:i w:val="0"/>
          <w:iCs w:val="0"/>
          <w:caps w:val="0"/>
          <w:color w:val="000000" w:themeColor="text1"/>
          <w:spacing w:val="0"/>
          <w:sz w:val="21"/>
          <w:szCs w:val="21"/>
          <w:highlight w:val="none"/>
          <w:shd w:val="clear"/>
          <w:lang w:val="en-US" w:eastAsia="zh-CN"/>
          <w14:textFill>
            <w14:solidFill>
              <w14:schemeClr w14:val="tx1"/>
            </w14:solidFill>
          </w14:textFill>
        </w:rPr>
        <w:t>计量精度等级为0.2S级，</w:t>
      </w:r>
      <w:r>
        <w:rPr>
          <w:rFonts w:hint="eastAsia" w:ascii="宋体" w:hAnsi="宋体" w:eastAsia="宋体" w:cs="宋体"/>
          <w:color w:val="000000" w:themeColor="text1"/>
          <w:sz w:val="21"/>
          <w:szCs w:val="21"/>
          <w:highlight w:val="none"/>
          <w14:textFill>
            <w14:solidFill>
              <w14:schemeClr w14:val="tx1"/>
            </w14:solidFill>
          </w14:textFill>
        </w:rPr>
        <w:t>具备良好的温度稳定性和抗干扰能力</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符合本规范要求</w:t>
      </w:r>
      <w:r>
        <w:rPr>
          <w:rFonts w:hint="eastAsia" w:ascii="宋体" w:hAnsi="宋体" w:eastAsia="宋体" w:cs="宋体"/>
          <w:i w:val="0"/>
          <w:iCs w:val="0"/>
          <w:caps w:val="0"/>
          <w:color w:val="000000" w:themeColor="text1"/>
          <w:spacing w:val="0"/>
          <w:sz w:val="21"/>
          <w:szCs w:val="21"/>
          <w:highlight w:val="none"/>
          <w:shd w:val="clear"/>
          <w:lang w:eastAsia="zh-CN"/>
          <w14:textFill>
            <w14:solidFill>
              <w14:schemeClr w14:val="tx1"/>
            </w14:solidFill>
          </w14:textFill>
        </w:rPr>
        <w:t>。</w:t>
      </w:r>
    </w:p>
    <w:p w14:paraId="2C92C25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4.2.4 电能质量模块：</w:t>
      </w:r>
      <w:r>
        <w:rPr>
          <w:rFonts w:hint="eastAsia" w:ascii="宋体" w:hAnsi="宋体" w:cs="宋体"/>
          <w:color w:val="000000" w:themeColor="text1"/>
          <w:sz w:val="21"/>
          <w:szCs w:val="21"/>
          <w:highlight w:val="none"/>
          <w:lang w:val="en-US" w:eastAsia="zh-CN"/>
          <w14:textFill>
            <w14:solidFill>
              <w14:schemeClr w14:val="tx1"/>
            </w14:solidFill>
          </w14:textFill>
        </w:rPr>
        <w:t>采用</w:t>
      </w:r>
      <w:r>
        <w:rPr>
          <w:rFonts w:hint="eastAsia" w:ascii="宋体" w:hAnsi="宋体" w:cs="宋体"/>
          <w:color w:val="000000" w:themeColor="text1"/>
          <w:szCs w:val="21"/>
          <w:highlight w:val="none"/>
          <w14:textFill>
            <w14:solidFill>
              <w14:schemeClr w14:val="tx1"/>
            </w14:solidFill>
          </w14:textFill>
        </w:rPr>
        <w:t>高性能 DSP</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应支持2~50次谐波分析及暂态事件检测。</w:t>
      </w:r>
    </w:p>
    <w:p w14:paraId="78ED4C3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4.2.5 智能电能表管理模块：</w:t>
      </w:r>
      <w:r>
        <w:rPr>
          <w:rFonts w:hint="eastAsia" w:ascii="宋体" w:hAnsi="宋体" w:cs="宋体"/>
          <w:color w:val="000000" w:themeColor="text1"/>
          <w:sz w:val="21"/>
          <w:szCs w:val="21"/>
          <w:highlight w:val="none"/>
          <w:lang w:val="en-US" w:eastAsia="zh-CN"/>
          <w14:textFill>
            <w14:solidFill>
              <w14:schemeClr w14:val="tx1"/>
            </w14:solidFill>
          </w14:textFill>
        </w:rPr>
        <w:t>模块包含的</w:t>
      </w:r>
      <w:r>
        <w:rPr>
          <w:rFonts w:hint="eastAsia" w:ascii="宋体" w:hAnsi="宋体" w:eastAsia="宋体" w:cs="宋体"/>
          <w:color w:val="000000" w:themeColor="text1"/>
          <w:sz w:val="21"/>
          <w:szCs w:val="21"/>
          <w:highlight w:val="none"/>
          <w:lang w:val="en-US" w:eastAsia="zh-CN"/>
          <w14:textFill>
            <w14:solidFill>
              <w14:schemeClr w14:val="tx1"/>
            </w14:solidFill>
          </w14:textFill>
        </w:rPr>
        <w:t>主控MCU、RTC时钟芯片、存储芯片（Flash/EEPROM）、电源管理芯片等须符合国家相关标准及本规范要求</w:t>
      </w:r>
      <w:r>
        <w:rPr>
          <w:rFonts w:hint="eastAsia" w:ascii="宋体" w:hAnsi="宋体" w:cs="宋体"/>
          <w:color w:val="000000" w:themeColor="text1"/>
          <w:sz w:val="21"/>
          <w:szCs w:val="21"/>
          <w:highlight w:val="none"/>
          <w:lang w:val="en-US" w:eastAsia="zh-CN"/>
          <w14:textFill>
            <w14:solidFill>
              <w14:schemeClr w14:val="tx1"/>
            </w14:solidFill>
          </w14:textFill>
        </w:rPr>
        <w:t>，RTC时钟芯片日计时误差≤±0.5 s/d，时钟芯片供电的电池，须确保时钟芯片正确运行十年以上</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p w14:paraId="189D554D">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4.2.6 通讯模块：RS-485通信芯片、隔离器件、防雷保护器件、晶振等须符合本规范要求。</w:t>
      </w:r>
    </w:p>
    <w:p w14:paraId="6DA1D9D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4.2.7 电源模块：支持双路冗余供电电源</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输入电压范围：0.7Un~1.2Un</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Un=DC110V/220V</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输出电压</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15VDC</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输出功率：10W</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隔离电压：4000VAC</w:t>
      </w:r>
      <w:r>
        <w:rPr>
          <w:rFonts w:hint="eastAsia" w:ascii="宋体" w:hAnsi="宋体" w:cs="宋体"/>
          <w:color w:val="000000" w:themeColor="text1"/>
          <w:sz w:val="21"/>
          <w:szCs w:val="21"/>
          <w:highlight w:val="none"/>
          <w:lang w:val="en-US" w:eastAsia="zh-CN"/>
          <w14:textFill>
            <w14:solidFill>
              <w14:schemeClr w14:val="tx1"/>
            </w14:solidFill>
          </w14:textFill>
        </w:rPr>
        <w:t>；符合本规范要求。</w:t>
      </w:r>
    </w:p>
    <w:p w14:paraId="185B2FAD">
      <w:pPr>
        <w:keepNext w:val="0"/>
        <w:keepLines w:val="0"/>
        <w:pageBreakBefore w:val="0"/>
        <w:widowControl w:val="0"/>
        <w:kinsoku/>
        <w:wordWrap/>
        <w:overflowPunct/>
        <w:topLinePunct w:val="0"/>
        <w:autoSpaceDE/>
        <w:autoSpaceDN/>
        <w:bidi w:val="0"/>
        <w:adjustRightInd/>
        <w:snapToGrid/>
        <w:spacing w:before="0" w:after="0" w:line="24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4.2.</w:t>
      </w: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lang w:val="en-US" w:eastAsia="zh-CN"/>
          <w14:textFill>
            <w14:solidFill>
              <w14:schemeClr w14:val="tx1"/>
            </w14:solidFill>
          </w14:textFill>
        </w:rPr>
        <w:t>显示模块</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采用点阵黑白屏，COG，白底黑字，分辨率256*160，背光寿命大于 50,000小时</w:t>
      </w:r>
      <w:r>
        <w:rPr>
          <w:rFonts w:hint="eastAsia" w:ascii="宋体" w:hAnsi="宋体" w:eastAsia="宋体" w:cs="宋体"/>
          <w:color w:val="000000" w:themeColor="text1"/>
          <w:sz w:val="21"/>
          <w:szCs w:val="21"/>
          <w:highlight w:val="none"/>
          <w14:textFill>
            <w14:solidFill>
              <w14:schemeClr w14:val="tx1"/>
            </w14:solidFill>
          </w14:textFill>
        </w:rPr>
        <w:t>，显示清晰无残影，抗静电能力≥±8kV，</w:t>
      </w:r>
      <w:r>
        <w:rPr>
          <w:rFonts w:hint="eastAsia" w:ascii="宋体" w:hAnsi="宋体" w:cs="宋体"/>
          <w:color w:val="000000" w:themeColor="text1"/>
          <w:sz w:val="21"/>
          <w:szCs w:val="21"/>
          <w:highlight w:val="none"/>
          <w:lang w:val="en-US" w:eastAsia="zh-CN"/>
          <w14:textFill>
            <w14:solidFill>
              <w14:schemeClr w14:val="tx1"/>
            </w14:solidFill>
          </w14:textFill>
        </w:rPr>
        <w:t>符合本规范要求</w:t>
      </w:r>
      <w:r>
        <w:rPr>
          <w:rFonts w:hint="eastAsia" w:ascii="宋体" w:hAnsi="宋体" w:eastAsia="宋体" w:cs="宋体"/>
          <w:color w:val="000000" w:themeColor="text1"/>
          <w:sz w:val="21"/>
          <w:szCs w:val="21"/>
          <w:highlight w:val="none"/>
          <w14:textFill>
            <w14:solidFill>
              <w14:schemeClr w14:val="tx1"/>
            </w14:solidFill>
          </w14:textFill>
        </w:rPr>
        <w:t>。</w:t>
      </w:r>
    </w:p>
    <w:p w14:paraId="549CD48F">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4.2.</w:t>
      </w:r>
      <w:r>
        <w:rPr>
          <w:rFonts w:hint="eastAsia" w:ascii="宋体" w:hAnsi="宋体" w:cs="宋体"/>
          <w:color w:val="000000" w:themeColor="text1"/>
          <w:sz w:val="21"/>
          <w:szCs w:val="21"/>
          <w:highlight w:val="none"/>
          <w:lang w:val="en-US" w:eastAsia="zh-CN"/>
          <w14:textFill>
            <w14:solidFill>
              <w14:schemeClr w14:val="tx1"/>
            </w14:solidFill>
          </w14:textFill>
        </w:rPr>
        <w:t>9 外壳</w:t>
      </w:r>
      <w:r>
        <w:rPr>
          <w:rFonts w:hint="eastAsia" w:ascii="宋体" w:hAnsi="宋体" w:eastAsia="宋体" w:cs="宋体"/>
          <w:color w:val="000000" w:themeColor="text1"/>
          <w:sz w:val="21"/>
          <w:szCs w:val="21"/>
          <w:highlight w:val="none"/>
          <w14:textFill>
            <w14:solidFill>
              <w14:schemeClr w14:val="tx1"/>
            </w14:solidFill>
          </w14:textFill>
        </w:rPr>
        <w:t>：采用</w:t>
      </w:r>
      <w:r>
        <w:rPr>
          <w:rFonts w:hint="eastAsia" w:ascii="宋体" w:hAnsi="宋体" w:cs="宋体"/>
          <w:color w:val="000000" w:themeColor="text1"/>
          <w:sz w:val="21"/>
          <w:szCs w:val="21"/>
          <w:highlight w:val="none"/>
          <w:lang w:eastAsia="zh-CN"/>
          <w14:textFill>
            <w14:solidFill>
              <w14:schemeClr w14:val="tx1"/>
            </w14:solidFill>
          </w14:textFill>
        </w:rPr>
        <w:t>绝缘、阻燃、防紫外线的聚碳酸酯</w:t>
      </w:r>
      <w:r>
        <w:rPr>
          <w:rFonts w:hint="eastAsia" w:ascii="宋体" w:hAnsi="宋体" w:cs="宋体"/>
          <w:color w:val="000000" w:themeColor="text1"/>
          <w:szCs w:val="21"/>
          <w:highlight w:val="none"/>
          <w14:textFill>
            <w14:solidFill>
              <w14:schemeClr w14:val="tx1"/>
            </w14:solidFill>
          </w14:textFill>
        </w:rPr>
        <w:t>+10%玻璃纤维</w:t>
      </w:r>
      <w:r>
        <w:rPr>
          <w:rFonts w:hint="eastAsia" w:ascii="宋体" w:hAnsi="宋体" w:cs="宋体"/>
          <w:color w:val="000000" w:themeColor="text1"/>
          <w:sz w:val="21"/>
          <w:szCs w:val="21"/>
          <w:highlight w:val="none"/>
          <w:lang w:eastAsia="zh-CN"/>
          <w14:textFill>
            <w14:solidFill>
              <w14:schemeClr w14:val="tx1"/>
            </w14:solidFill>
          </w14:textFill>
        </w:rPr>
        <w:t>材质</w:t>
      </w:r>
      <w:r>
        <w:rPr>
          <w:rFonts w:hint="eastAsia" w:ascii="宋体" w:hAnsi="宋体" w:eastAsia="宋体" w:cs="宋体"/>
          <w:color w:val="000000" w:themeColor="text1"/>
          <w:sz w:val="21"/>
          <w:szCs w:val="21"/>
          <w:highlight w:val="none"/>
          <w14:textFill>
            <w14:solidFill>
              <w14:schemeClr w14:val="tx1"/>
            </w14:solidFill>
          </w14:textFill>
        </w:rPr>
        <w:t>，抗冲击、耐老化、不易变形</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符合环保</w:t>
      </w:r>
      <w:r>
        <w:rPr>
          <w:rFonts w:hint="eastAsia" w:ascii="宋体" w:hAnsi="宋体" w:cs="宋体"/>
          <w:color w:val="000000" w:themeColor="text1"/>
          <w:sz w:val="21"/>
          <w:szCs w:val="21"/>
          <w:highlight w:val="none"/>
          <w:lang w:val="en-US" w:eastAsia="zh-CN"/>
          <w14:textFill>
            <w14:solidFill>
              <w14:schemeClr w14:val="tx1"/>
            </w14:solidFill>
          </w14:textFill>
        </w:rPr>
        <w:t>及本规范</w:t>
      </w:r>
      <w:r>
        <w:rPr>
          <w:rFonts w:hint="eastAsia" w:ascii="宋体" w:hAnsi="宋体" w:eastAsia="宋体" w:cs="宋体"/>
          <w:color w:val="000000" w:themeColor="text1"/>
          <w:sz w:val="21"/>
          <w:szCs w:val="21"/>
          <w:highlight w:val="none"/>
          <w14:textFill>
            <w14:solidFill>
              <w14:schemeClr w14:val="tx1"/>
            </w14:solidFill>
          </w14:textFill>
        </w:rPr>
        <w:t>要求。</w:t>
      </w:r>
    </w:p>
    <w:p w14:paraId="6BF4F0F5">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4.2.</w:t>
      </w:r>
      <w:r>
        <w:rPr>
          <w:rFonts w:hint="eastAsia" w:ascii="宋体" w:hAnsi="宋体" w:cs="宋体"/>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lang w:val="en-US" w:eastAsia="zh-CN"/>
          <w14:textFill>
            <w14:solidFill>
              <w14:schemeClr w14:val="tx1"/>
            </w14:solidFill>
          </w14:textFill>
        </w:rPr>
        <w:t>配件</w:t>
      </w:r>
      <w:r>
        <w:rPr>
          <w:rFonts w:hint="eastAsia" w:ascii="宋体" w:hAnsi="宋体" w:eastAsia="宋体" w:cs="宋体"/>
          <w:color w:val="000000" w:themeColor="text1"/>
          <w:sz w:val="21"/>
          <w:szCs w:val="21"/>
          <w:highlight w:val="none"/>
          <w14:textFill>
            <w14:solidFill>
              <w14:schemeClr w14:val="tx1"/>
            </w14:solidFill>
          </w14:textFill>
        </w:rPr>
        <w:t>：采购的螺丝、接线端子、电池、密封圈、标签等配件符合</w:t>
      </w:r>
      <w:r>
        <w:rPr>
          <w:rFonts w:hint="eastAsia" w:ascii="宋体" w:hAnsi="宋体" w:cs="宋体"/>
          <w:color w:val="000000" w:themeColor="text1"/>
          <w:sz w:val="21"/>
          <w:szCs w:val="21"/>
          <w:highlight w:val="none"/>
          <w:lang w:val="en-US" w:eastAsia="zh-CN"/>
          <w14:textFill>
            <w14:solidFill>
              <w14:schemeClr w14:val="tx1"/>
            </w14:solidFill>
          </w14:textFill>
        </w:rPr>
        <w:t>本规范</w:t>
      </w:r>
      <w:r>
        <w:rPr>
          <w:rFonts w:hint="eastAsia" w:ascii="宋体" w:hAnsi="宋体" w:eastAsia="宋体" w:cs="宋体"/>
          <w:color w:val="000000" w:themeColor="text1"/>
          <w:sz w:val="21"/>
          <w:szCs w:val="21"/>
          <w:highlight w:val="none"/>
          <w14:textFill>
            <w14:solidFill>
              <w14:schemeClr w14:val="tx1"/>
            </w14:solidFill>
          </w14:textFill>
        </w:rPr>
        <w:t>要求。</w:t>
      </w:r>
    </w:p>
    <w:p w14:paraId="30DE595C">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4.2.</w:t>
      </w:r>
      <w:r>
        <w:rPr>
          <w:rFonts w:hint="eastAsia" w:ascii="宋体" w:hAnsi="宋体" w:cs="宋体"/>
          <w:color w:val="000000" w:themeColor="text1"/>
          <w:sz w:val="21"/>
          <w:szCs w:val="21"/>
          <w:highlight w:val="none"/>
          <w:lang w:val="en-US" w:eastAsia="zh-CN"/>
          <w14:textFill>
            <w14:solidFill>
              <w14:schemeClr w14:val="tx1"/>
            </w14:solidFill>
          </w14:textFill>
        </w:rPr>
        <w:t xml:space="preserve">11 </w:t>
      </w:r>
      <w:r>
        <w:rPr>
          <w:rFonts w:hint="eastAsia" w:ascii="宋体" w:hAnsi="宋体" w:eastAsia="宋体" w:cs="宋体"/>
          <w:color w:val="000000" w:themeColor="text1"/>
          <w:sz w:val="21"/>
          <w:szCs w:val="21"/>
          <w:highlight w:val="none"/>
          <w14:textFill>
            <w14:solidFill>
              <w14:schemeClr w14:val="tx1"/>
            </w14:solidFill>
          </w14:textFill>
        </w:rPr>
        <w:t>代加工方须建立原材料采购台账和检验台账，对每一批次原材料进行检验，检验合格后方可投入生产，检验记录须完整、可追溯，接受招标人抽查。</w:t>
      </w:r>
    </w:p>
    <w:p w14:paraId="3E96BD60">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4.2.</w:t>
      </w:r>
      <w:r>
        <w:rPr>
          <w:rFonts w:hint="eastAsia" w:ascii="宋体" w:hAnsi="宋体" w:cs="宋体"/>
          <w:color w:val="000000" w:themeColor="text1"/>
          <w:sz w:val="21"/>
          <w:szCs w:val="21"/>
          <w:highlight w:val="none"/>
          <w:lang w:val="en-US" w:eastAsia="zh-CN"/>
          <w14:textFill>
            <w14:solidFill>
              <w14:schemeClr w14:val="tx1"/>
            </w14:solidFill>
          </w14:textFill>
        </w:rPr>
        <w:t xml:space="preserve">12 </w:t>
      </w:r>
      <w:r>
        <w:rPr>
          <w:rFonts w:hint="eastAsia" w:ascii="宋体" w:hAnsi="宋体" w:eastAsia="宋体" w:cs="宋体"/>
          <w:color w:val="000000" w:themeColor="text1"/>
          <w:sz w:val="21"/>
          <w:szCs w:val="21"/>
          <w:highlight w:val="none"/>
          <w14:textFill>
            <w14:solidFill>
              <w14:schemeClr w14:val="tx1"/>
            </w14:solidFill>
          </w14:textFill>
        </w:rPr>
        <w:t>原材料储存须分类存放，做好标识，采取防潮、防腐蚀、防损坏措施，确保原材料质量不受影响。</w:t>
      </w:r>
    </w:p>
    <w:p w14:paraId="56E4C734">
      <w:pPr>
        <w:pStyle w:val="3"/>
        <w:numPr>
          <w:ilvl w:val="1"/>
          <w:numId w:val="0"/>
        </w:numPr>
        <w:rPr>
          <w:rFonts w:hint="eastAsia" w:ascii="宋体" w:hAnsi="宋体" w:eastAsia="宋体" w:cs="宋体"/>
          <w:color w:val="000000" w:themeColor="text1"/>
          <w:sz w:val="21"/>
          <w:szCs w:val="21"/>
          <w:highlight w:val="none"/>
          <w14:textFill>
            <w14:solidFill>
              <w14:schemeClr w14:val="tx1"/>
            </w14:solidFill>
          </w14:textFill>
        </w:rPr>
      </w:pPr>
      <w:bookmarkStart w:id="67" w:name="_Toc15341"/>
      <w:bookmarkStart w:id="68" w:name="_Toc14082"/>
      <w:bookmarkStart w:id="69" w:name="_Toc26034"/>
      <w:bookmarkStart w:id="70" w:name="_Toc15123"/>
      <w:r>
        <w:rPr>
          <w:rFonts w:hint="eastAsia" w:ascii="Times New Roman" w:eastAsia="黑体" w:cs="Times New Roman"/>
          <w:color w:val="000000" w:themeColor="text1"/>
          <w:sz w:val="24"/>
          <w:szCs w:val="24"/>
          <w:highlight w:val="none"/>
          <w:lang w:val="en-US" w:eastAsia="zh-CN"/>
          <w14:textFill>
            <w14:solidFill>
              <w14:schemeClr w14:val="tx1"/>
            </w14:solidFill>
          </w14:textFill>
        </w:rPr>
        <w:t xml:space="preserve">4.3. </w:t>
      </w:r>
      <w:r>
        <w:rPr>
          <w:rFonts w:hint="eastAsia" w:ascii="Times New Roman" w:hAnsi="Times New Roman" w:eastAsia="黑体" w:cs="Times New Roman"/>
          <w:color w:val="000000" w:themeColor="text1"/>
          <w:sz w:val="24"/>
          <w:szCs w:val="24"/>
          <w:highlight w:val="none"/>
          <w:lang w:val="en-US" w:eastAsia="zh-CN"/>
          <w14:textFill>
            <w14:solidFill>
              <w14:schemeClr w14:val="tx1"/>
            </w14:solidFill>
          </w14:textFill>
        </w:rPr>
        <w:t>生产工艺及加工要求</w:t>
      </w:r>
      <w:bookmarkEnd w:id="67"/>
      <w:bookmarkEnd w:id="68"/>
      <w:bookmarkEnd w:id="69"/>
      <w:bookmarkEnd w:id="70"/>
    </w:p>
    <w:p w14:paraId="56322257">
      <w:pPr>
        <w:spacing w:before="120" w:line="288"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4.3.1 代加工方须严格按照招标人提供的技术图纸、BOM清单及工艺文件进行生产加工，不得擅自修改工艺参数。</w:t>
      </w:r>
    </w:p>
    <w:p w14:paraId="10C5A9C4">
      <w:pPr>
        <w:spacing w:before="120" w:line="288"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4.3.2 SMT贴片工艺：采用全自动高精度贴片机，贴片位置精度≤±0.1mm，回流焊温区曲线符合锡膏要求，焊点饱满、无虚焊、无桥接、无立碑。</w:t>
      </w:r>
    </w:p>
    <w:p w14:paraId="525C09BB">
      <w:pPr>
        <w:spacing w:before="120" w:line="288"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4.3.3 波峰焊/手焊工艺：插件元件引脚上锡均匀，无连锡、无锡珠、无冷焊，焊接温度及时间符合工艺要求，焊接后须进行清洗或免清洗处理，确保PCB表面清洁。</w:t>
      </w:r>
    </w:p>
    <w:p w14:paraId="63C386AD">
      <w:pPr>
        <w:spacing w:before="120" w:line="288"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4.3.4 程序烧录与校准：</w:t>
      </w:r>
      <w:r>
        <w:rPr>
          <w:rFonts w:hint="eastAsia" w:ascii="宋体" w:hAnsi="宋体" w:cs="宋体"/>
          <w:color w:val="000000" w:themeColor="text1"/>
          <w:sz w:val="21"/>
          <w:szCs w:val="21"/>
          <w:highlight w:val="none"/>
          <w:lang w:val="en-US" w:eastAsia="zh-CN"/>
          <w14:textFill>
            <w14:solidFill>
              <w14:schemeClr w14:val="tx1"/>
            </w14:solidFill>
          </w14:textFill>
        </w:rPr>
        <w:t>安装式数字直流</w:t>
      </w:r>
      <w:r>
        <w:rPr>
          <w:rFonts w:hint="eastAsia" w:ascii="宋体" w:hAnsi="宋体" w:eastAsia="宋体" w:cs="宋体"/>
          <w:color w:val="000000" w:themeColor="text1"/>
          <w:sz w:val="21"/>
          <w:szCs w:val="21"/>
          <w:highlight w:val="none"/>
          <w14:textFill>
            <w14:solidFill>
              <w14:schemeClr w14:val="tx1"/>
            </w14:solidFill>
          </w14:textFill>
        </w:rPr>
        <w:t>电能表程序须使用专用烧录工装烧录，烧录后进行校表、常数测试、精度校准，校准记录完整，误差符合精度等级要求。</w:t>
      </w:r>
    </w:p>
    <w:p w14:paraId="2443DC26">
      <w:pPr>
        <w:spacing w:before="120" w:line="288"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4.3.5 老化测试工艺：成品须进行≥72小时高温带电老化，老化温度50℃±5℃，老化后复测精度及功能，确保产品长期运行的稳定性。</w:t>
      </w:r>
    </w:p>
    <w:p w14:paraId="38597451">
      <w:pPr>
        <w:spacing w:before="120" w:line="288"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4.3.6 组装工艺：组装过程规范，外壳安装紧密、卡扣到位，铭牌、条码粘贴平整牢固，螺丝紧固力矩符合要求，液晶屏安装无压伤、无歪斜。</w:t>
      </w:r>
    </w:p>
    <w:p w14:paraId="6DB900E4">
      <w:pPr>
        <w:spacing w:before="120" w:line="288"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4.3.7 出厂检验工艺：每台</w:t>
      </w:r>
      <w:r>
        <w:rPr>
          <w:rFonts w:hint="eastAsia" w:ascii="宋体" w:hAnsi="宋体" w:cs="宋体"/>
          <w:color w:val="000000" w:themeColor="text1"/>
          <w:sz w:val="21"/>
          <w:szCs w:val="21"/>
          <w:highlight w:val="none"/>
          <w:lang w:val="en-US" w:eastAsia="zh-CN"/>
          <w14:textFill>
            <w14:solidFill>
              <w14:schemeClr w14:val="tx1"/>
            </w14:solidFill>
          </w14:textFill>
        </w:rPr>
        <w:t>安装式数字直流</w:t>
      </w:r>
      <w:r>
        <w:rPr>
          <w:rFonts w:hint="eastAsia" w:ascii="宋体" w:hAnsi="宋体" w:eastAsia="宋体" w:cs="宋体"/>
          <w:color w:val="000000" w:themeColor="text1"/>
          <w:sz w:val="21"/>
          <w:szCs w:val="21"/>
          <w:highlight w:val="none"/>
          <w14:textFill>
            <w14:solidFill>
              <w14:schemeClr w14:val="tx1"/>
            </w14:solidFill>
          </w14:textFill>
        </w:rPr>
        <w:t>电能表须进行全功能测试，包括精度、绝缘电阻、交流耐压、时钟误差、通信功能等，测试数据自动上传并保存。</w:t>
      </w:r>
    </w:p>
    <w:p w14:paraId="29E1E37C">
      <w:pPr>
        <w:spacing w:before="120" w:line="288"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4.3.8 代加工方须建立生产过程管控台账，对每一道工序进行记录，包括加工人员、加工时间、工艺参数、检验结果等，确保生产过程可追溯。</w:t>
      </w:r>
    </w:p>
    <w:p w14:paraId="00979EFA">
      <w:pPr>
        <w:spacing w:before="120" w:line="288"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4.3.9 生产过程中发现不合格品，须立即隔离、标识，经分析确认后进行分类处理（返工、返修或报废），严禁流入下一道工序，不合格品处理记录须完整，接受招标人核查。</w:t>
      </w:r>
    </w:p>
    <w:p w14:paraId="7D624C29">
      <w:pPr>
        <w:pStyle w:val="12"/>
        <w:rPr>
          <w:rFonts w:hint="eastAsia" w:ascii="宋体" w:hAnsi="宋体" w:eastAsia="宋体" w:cs="宋体"/>
          <w:color w:val="000000" w:themeColor="text1"/>
          <w:sz w:val="21"/>
          <w:szCs w:val="21"/>
          <w:highlight w:val="none"/>
          <w14:textFill>
            <w14:solidFill>
              <w14:schemeClr w14:val="tx1"/>
            </w14:solidFill>
          </w14:textFill>
        </w:rPr>
      </w:pPr>
    </w:p>
    <w:p w14:paraId="1E830763">
      <w:pPr>
        <w:pStyle w:val="3"/>
        <w:numPr>
          <w:ilvl w:val="1"/>
          <w:numId w:val="0"/>
        </w:numPr>
        <w:bidi w:val="0"/>
        <w:ind w:leftChars="0"/>
        <w:rPr>
          <w:rFonts w:hint="eastAsia" w:ascii="Times New Roman" w:eastAsia="黑体" w:cs="Times New Roman"/>
          <w:color w:val="000000" w:themeColor="text1"/>
          <w:sz w:val="24"/>
          <w:szCs w:val="24"/>
          <w:highlight w:val="none"/>
          <w:lang w:val="en-US" w:eastAsia="zh-CN"/>
          <w14:textFill>
            <w14:solidFill>
              <w14:schemeClr w14:val="tx1"/>
            </w14:solidFill>
          </w14:textFill>
        </w:rPr>
      </w:pPr>
      <w:bookmarkStart w:id="71" w:name="_Toc1537"/>
      <w:bookmarkStart w:id="72" w:name="_Toc4317"/>
      <w:bookmarkStart w:id="73" w:name="_Toc13471"/>
      <w:bookmarkStart w:id="74" w:name="_Toc15799"/>
      <w:r>
        <w:rPr>
          <w:rFonts w:hint="eastAsia" w:ascii="Times New Roman" w:eastAsia="黑体" w:cs="Times New Roman"/>
          <w:color w:val="000000" w:themeColor="text1"/>
          <w:sz w:val="24"/>
          <w:szCs w:val="24"/>
          <w:highlight w:val="none"/>
          <w:lang w:val="en-US" w:eastAsia="zh-CN"/>
          <w14:textFill>
            <w14:solidFill>
              <w14:schemeClr w14:val="tx1"/>
            </w14:solidFill>
          </w14:textFill>
        </w:rPr>
        <w:t>4.4. 产品技术参数要求</w:t>
      </w:r>
      <w:bookmarkEnd w:id="71"/>
      <w:bookmarkEnd w:id="72"/>
      <w:bookmarkEnd w:id="73"/>
      <w:bookmarkEnd w:id="74"/>
    </w:p>
    <w:p w14:paraId="69DCC3F9">
      <w:pPr>
        <w:keepLines w:val="0"/>
        <w:adjustRightInd/>
        <w:snapToGrid/>
        <w:spacing w:before="120" w:after="120" w:line="288" w:lineRule="auto"/>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bookmarkStart w:id="75" w:name="_Toc22282"/>
      <w:bookmarkStart w:id="76" w:name="_Toc276492376"/>
      <w:bookmarkStart w:id="77" w:name="_Toc18150"/>
      <w:bookmarkStart w:id="78" w:name="_Toc2798"/>
      <w:bookmarkStart w:id="79" w:name="_Toc17514"/>
      <w:r>
        <w:rPr>
          <w:rFonts w:hint="eastAsia" w:ascii="宋体" w:hAnsi="宋体" w:eastAsia="宋体" w:cs="宋体"/>
          <w:color w:val="000000" w:themeColor="text1"/>
          <w:sz w:val="21"/>
          <w:szCs w:val="21"/>
          <w:highlight w:val="none"/>
          <w:lang w:val="en-US" w:eastAsia="zh-CN"/>
          <w14:textFill>
            <w14:solidFill>
              <w14:schemeClr w14:val="tx1"/>
            </w14:solidFill>
          </w14:textFill>
        </w:rPr>
        <w:t>4.4.1 基本参数</w:t>
      </w:r>
      <w:bookmarkEnd w:id="75"/>
      <w:bookmarkEnd w:id="76"/>
      <w:bookmarkEnd w:id="77"/>
      <w:bookmarkEnd w:id="78"/>
      <w:bookmarkStart w:id="80" w:name="_Toc391901435"/>
      <w:bookmarkStart w:id="81" w:name="_Toc227378489"/>
      <w:bookmarkStart w:id="82" w:name="_Toc17758"/>
      <w:bookmarkStart w:id="83" w:name="_Toc227379709"/>
      <w:bookmarkStart w:id="84" w:name="_Toc227378334"/>
      <w:bookmarkStart w:id="85" w:name="_Toc227379005"/>
      <w:bookmarkStart w:id="86" w:name="_Toc308602231"/>
      <w:bookmarkStart w:id="87" w:name="_Toc228509708"/>
      <w:bookmarkStart w:id="88" w:name="_Toc276492377"/>
      <w:bookmarkStart w:id="89" w:name="_Toc276492383"/>
      <w:bookmarkStart w:id="90" w:name="_Toc276490904"/>
    </w:p>
    <w:bookmarkEnd w:id="80"/>
    <w:bookmarkEnd w:id="81"/>
    <w:bookmarkEnd w:id="82"/>
    <w:bookmarkEnd w:id="83"/>
    <w:bookmarkEnd w:id="84"/>
    <w:bookmarkEnd w:id="85"/>
    <w:bookmarkEnd w:id="86"/>
    <w:bookmarkEnd w:id="87"/>
    <w:p w14:paraId="2FFD8EC8">
      <w:pPr>
        <w:keepLines w:val="0"/>
        <w:numPr>
          <w:ilvl w:val="0"/>
          <w:numId w:val="0"/>
        </w:numPr>
        <w:adjustRightInd/>
        <w:snapToGrid/>
        <w:spacing w:before="120" w:after="120" w:line="288" w:lineRule="auto"/>
        <w:ind w:left="425" w:leftChars="0" w:hanging="425" w:firstLineChars="0"/>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ascii="宋体" w:hAnsi="宋体" w:eastAsia="宋体" w:cs="宋体"/>
          <w:sz w:val="24"/>
          <w:szCs w:val="24"/>
        </w:rPr>
        <w:t>★</w:t>
      </w:r>
      <w:r>
        <w:rPr>
          <w:rFonts w:hint="default" w:ascii="宋体" w:hAnsi="宋体" w:eastAsia="宋体" w:cs="宋体"/>
          <w:color w:val="000000" w:themeColor="text1"/>
          <w:kern w:val="2"/>
          <w:sz w:val="21"/>
          <w:szCs w:val="21"/>
          <w:lang w:val="en-US" w:eastAsia="zh-CN" w:bidi="ar-SA"/>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精度等级:0.2S级</w:t>
      </w:r>
    </w:p>
    <w:p w14:paraId="0299FE0A">
      <w:pPr>
        <w:keepLines w:val="0"/>
        <w:numPr>
          <w:ilvl w:val="0"/>
          <w:numId w:val="0"/>
        </w:numPr>
        <w:adjustRightInd/>
        <w:snapToGrid/>
        <w:spacing w:before="120" w:after="120" w:line="288" w:lineRule="auto"/>
        <w:ind w:left="424" w:leftChars="100" w:hanging="214" w:hangingChars="102"/>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kern w:val="2"/>
          <w:sz w:val="21"/>
          <w:szCs w:val="21"/>
          <w:lang w:val="en-US" w:eastAsia="zh-CN" w:bidi="ar-SA"/>
          <w14:textFill>
            <w14:solidFill>
              <w14:schemeClr w14:val="tx1"/>
            </w14:solidFill>
          </w14:textFill>
        </w:rPr>
        <w:t>(2)</w:t>
      </w:r>
      <w:r>
        <w:rPr>
          <w:rFonts w:hint="eastAsia" w:ascii="宋体" w:hAnsi="宋体" w:eastAsia="宋体" w:cs="宋体"/>
          <w:color w:val="000000" w:themeColor="text1"/>
          <w:sz w:val="21"/>
          <w:szCs w:val="21"/>
          <w:highlight w:val="none"/>
          <w:lang w:val="en-US" w:eastAsia="zh-CN"/>
          <w14:textFill>
            <w14:solidFill>
              <w14:schemeClr w14:val="tx1"/>
            </w14:solidFill>
          </w14:textFill>
        </w:rPr>
        <w:t>采样速率:自适应前端合并单元配置</w:t>
      </w:r>
    </w:p>
    <w:p w14:paraId="7F71F479">
      <w:pPr>
        <w:keepLines w:val="0"/>
        <w:numPr>
          <w:ilvl w:val="0"/>
          <w:numId w:val="0"/>
        </w:numPr>
        <w:adjustRightInd/>
        <w:snapToGrid/>
        <w:spacing w:before="120" w:after="120" w:line="288" w:lineRule="auto"/>
        <w:ind w:left="424" w:leftChars="100" w:hanging="214" w:hangingChars="102"/>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kern w:val="2"/>
          <w:sz w:val="21"/>
          <w:szCs w:val="21"/>
          <w:lang w:val="en-US" w:eastAsia="zh-CN" w:bidi="ar-SA"/>
          <w14:textFill>
            <w14:solidFill>
              <w14:schemeClr w14:val="tx1"/>
            </w14:solidFill>
          </w14:textFill>
        </w:rPr>
        <w:t>(3)</w:t>
      </w:r>
      <w:r>
        <w:rPr>
          <w:rFonts w:hint="eastAsia" w:ascii="宋体" w:hAnsi="宋体" w:eastAsia="宋体" w:cs="宋体"/>
          <w:color w:val="000000" w:themeColor="text1"/>
          <w:sz w:val="21"/>
          <w:szCs w:val="21"/>
          <w:highlight w:val="none"/>
          <w:lang w:val="en-US" w:eastAsia="zh-CN"/>
          <w14:textFill>
            <w14:solidFill>
              <w14:schemeClr w14:val="tx1"/>
            </w14:solidFill>
          </w14:textFill>
        </w:rPr>
        <w:t>光纤接口:多模ST、1310nm、一收一发</w:t>
      </w:r>
    </w:p>
    <w:p w14:paraId="74A28525">
      <w:pPr>
        <w:keepLines w:val="0"/>
        <w:numPr>
          <w:ilvl w:val="0"/>
          <w:numId w:val="0"/>
        </w:numPr>
        <w:adjustRightInd/>
        <w:snapToGrid/>
        <w:spacing w:before="120" w:after="120" w:line="288" w:lineRule="auto"/>
        <w:ind w:left="425" w:leftChars="0" w:hanging="425" w:firstLineChars="0"/>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ascii="宋体" w:hAnsi="宋体" w:eastAsia="宋体" w:cs="宋体"/>
          <w:sz w:val="24"/>
          <w:szCs w:val="24"/>
        </w:rPr>
        <w:t>★</w:t>
      </w:r>
      <w:r>
        <w:rPr>
          <w:rFonts w:hint="default" w:ascii="宋体" w:hAnsi="宋体" w:eastAsia="宋体" w:cs="宋体"/>
          <w:color w:val="000000" w:themeColor="text1"/>
          <w:kern w:val="2"/>
          <w:sz w:val="21"/>
          <w:szCs w:val="21"/>
          <w:lang w:val="en-US" w:eastAsia="zh-CN" w:bidi="ar-SA"/>
          <w14:textFill>
            <w14:solidFill>
              <w14:schemeClr w14:val="tx1"/>
            </w14:solidFill>
          </w14:textFill>
        </w:rPr>
        <w:t>(4)</w:t>
      </w:r>
      <w:r>
        <w:rPr>
          <w:rFonts w:hint="eastAsia" w:ascii="宋体" w:hAnsi="宋体" w:eastAsia="宋体" w:cs="宋体"/>
          <w:color w:val="000000" w:themeColor="text1"/>
          <w:sz w:val="21"/>
          <w:szCs w:val="21"/>
          <w:highlight w:val="none"/>
          <w:lang w:val="en-US" w:eastAsia="zh-CN"/>
          <w14:textFill>
            <w14:solidFill>
              <w14:schemeClr w14:val="tx1"/>
            </w14:solidFill>
          </w14:textFill>
        </w:rPr>
        <w:t>通讯接口:RS485、三线制、2路</w:t>
      </w:r>
    </w:p>
    <w:p w14:paraId="2F33D330">
      <w:pPr>
        <w:keepLines w:val="0"/>
        <w:numPr>
          <w:ilvl w:val="0"/>
          <w:numId w:val="0"/>
        </w:numPr>
        <w:adjustRightInd/>
        <w:snapToGrid/>
        <w:spacing w:before="120" w:after="120" w:line="288" w:lineRule="auto"/>
        <w:ind w:left="424" w:leftChars="100" w:hanging="214" w:hangingChars="102"/>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kern w:val="2"/>
          <w:sz w:val="21"/>
          <w:szCs w:val="21"/>
          <w:lang w:val="en-US" w:eastAsia="zh-CN" w:bidi="ar-SA"/>
          <w14:textFill>
            <w14:solidFill>
              <w14:schemeClr w14:val="tx1"/>
            </w14:solidFill>
          </w14:textFill>
        </w:rPr>
        <w:t>(5)</w:t>
      </w:r>
      <w:r>
        <w:rPr>
          <w:rFonts w:hint="eastAsia" w:ascii="宋体" w:hAnsi="宋体" w:eastAsia="宋体" w:cs="宋体"/>
          <w:color w:val="000000" w:themeColor="text1"/>
          <w:sz w:val="21"/>
          <w:szCs w:val="21"/>
          <w:highlight w:val="none"/>
          <w:lang w:val="en-US" w:eastAsia="zh-CN"/>
          <w14:textFill>
            <w14:solidFill>
              <w14:schemeClr w14:val="tx1"/>
            </w14:solidFill>
          </w14:textFill>
        </w:rPr>
        <w:t>脉冲常数:40000 imp/kWh、40000 imp/kvarh</w:t>
      </w:r>
    </w:p>
    <w:p w14:paraId="27D81398">
      <w:pPr>
        <w:keepLines w:val="0"/>
        <w:numPr>
          <w:ilvl w:val="0"/>
          <w:numId w:val="0"/>
        </w:numPr>
        <w:adjustRightInd/>
        <w:snapToGrid/>
        <w:spacing w:before="120" w:after="120" w:line="288" w:lineRule="auto"/>
        <w:ind w:left="424" w:leftChars="100" w:hanging="214" w:hangingChars="102"/>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kern w:val="2"/>
          <w:sz w:val="21"/>
          <w:szCs w:val="21"/>
          <w:lang w:val="en-US" w:eastAsia="zh-CN" w:bidi="ar-SA"/>
          <w14:textFill>
            <w14:solidFill>
              <w14:schemeClr w14:val="tx1"/>
            </w14:solidFill>
          </w14:textFill>
        </w:rPr>
        <w:t>(6)</w:t>
      </w:r>
      <w:r>
        <w:rPr>
          <w:rFonts w:hint="eastAsia" w:ascii="宋体" w:hAnsi="宋体" w:eastAsia="宋体" w:cs="宋体"/>
          <w:color w:val="000000" w:themeColor="text1"/>
          <w:sz w:val="21"/>
          <w:szCs w:val="21"/>
          <w:highlight w:val="none"/>
          <w:lang w:val="en-US" w:eastAsia="zh-CN"/>
          <w14:textFill>
            <w14:solidFill>
              <w14:schemeClr w14:val="tx1"/>
            </w14:solidFill>
          </w14:textFill>
        </w:rPr>
        <w:t>脉冲容量:&lt;40mA、5V~24VDC</w:t>
      </w:r>
    </w:p>
    <w:p w14:paraId="671AD890">
      <w:pPr>
        <w:keepLines w:val="0"/>
        <w:numPr>
          <w:ilvl w:val="0"/>
          <w:numId w:val="0"/>
        </w:numPr>
        <w:adjustRightInd/>
        <w:snapToGrid/>
        <w:spacing w:before="120" w:after="120" w:line="288" w:lineRule="auto"/>
        <w:ind w:left="424" w:leftChars="100" w:hanging="214" w:hangingChars="102"/>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kern w:val="2"/>
          <w:sz w:val="21"/>
          <w:szCs w:val="21"/>
          <w:lang w:val="en-US" w:eastAsia="zh-CN" w:bidi="ar-SA"/>
          <w14:textFill>
            <w14:solidFill>
              <w14:schemeClr w14:val="tx1"/>
            </w14:solidFill>
          </w14:textFill>
        </w:rPr>
        <w:t>(7)</w:t>
      </w:r>
      <w:r>
        <w:rPr>
          <w:rFonts w:hint="eastAsia" w:ascii="宋体" w:hAnsi="宋体" w:eastAsia="宋体" w:cs="宋体"/>
          <w:color w:val="000000" w:themeColor="text1"/>
          <w:sz w:val="21"/>
          <w:szCs w:val="21"/>
          <w:highlight w:val="none"/>
          <w:lang w:val="en-US" w:eastAsia="zh-CN"/>
          <w14:textFill>
            <w14:solidFill>
              <w14:schemeClr w14:val="tx1"/>
            </w14:solidFill>
          </w14:textFill>
        </w:rPr>
        <w:t>辅助电源:0.7Un~1.2Un Un=DC110V/220V、2路冗余配置</w:t>
      </w:r>
    </w:p>
    <w:p w14:paraId="2D4B2031">
      <w:pPr>
        <w:keepLines w:val="0"/>
        <w:numPr>
          <w:ilvl w:val="0"/>
          <w:numId w:val="0"/>
        </w:numPr>
        <w:adjustRightInd/>
        <w:snapToGrid/>
        <w:spacing w:before="120" w:after="120" w:line="288" w:lineRule="auto"/>
        <w:ind w:left="424" w:leftChars="100" w:hanging="214" w:hangingChars="102"/>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kern w:val="2"/>
          <w:sz w:val="21"/>
          <w:szCs w:val="21"/>
          <w:lang w:val="en-US" w:eastAsia="zh-CN" w:bidi="ar-SA"/>
          <w14:textFill>
            <w14:solidFill>
              <w14:schemeClr w14:val="tx1"/>
            </w14:solidFill>
          </w14:textFill>
        </w:rPr>
        <w:t>(8)</w:t>
      </w:r>
      <w:r>
        <w:rPr>
          <w:rFonts w:hint="eastAsia" w:ascii="宋体" w:hAnsi="宋体" w:eastAsia="宋体" w:cs="宋体"/>
          <w:color w:val="000000" w:themeColor="text1"/>
          <w:sz w:val="21"/>
          <w:szCs w:val="21"/>
          <w:highlight w:val="none"/>
          <w:lang w:val="en-US" w:eastAsia="zh-CN"/>
          <w14:textFill>
            <w14:solidFill>
              <w14:schemeClr w14:val="tx1"/>
            </w14:solidFill>
          </w14:textFill>
        </w:rPr>
        <w:t>整机功耗:4W</w:t>
      </w:r>
    </w:p>
    <w:p w14:paraId="5D5B44CD">
      <w:pPr>
        <w:keepLines w:val="0"/>
        <w:numPr>
          <w:ilvl w:val="0"/>
          <w:numId w:val="0"/>
        </w:numPr>
        <w:adjustRightInd/>
        <w:snapToGrid/>
        <w:spacing w:before="120" w:after="120" w:line="288" w:lineRule="auto"/>
        <w:ind w:left="425" w:leftChars="0" w:hanging="425" w:firstLineChars="0"/>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ascii="宋体" w:hAnsi="宋体" w:eastAsia="宋体" w:cs="宋体"/>
          <w:sz w:val="24"/>
          <w:szCs w:val="24"/>
        </w:rPr>
        <w:t>★</w:t>
      </w:r>
      <w:r>
        <w:rPr>
          <w:rFonts w:hint="default" w:ascii="宋体" w:hAnsi="宋体" w:eastAsia="宋体" w:cs="宋体"/>
          <w:color w:val="000000" w:themeColor="text1"/>
          <w:kern w:val="2"/>
          <w:sz w:val="21"/>
          <w:szCs w:val="21"/>
          <w:lang w:val="en-US" w:eastAsia="zh-CN" w:bidi="ar-SA"/>
          <w14:textFill>
            <w14:solidFill>
              <w14:schemeClr w14:val="tx1"/>
            </w14:solidFill>
          </w14:textFill>
        </w:rPr>
        <w:t>(9)</w:t>
      </w:r>
      <w:r>
        <w:rPr>
          <w:rFonts w:hint="eastAsia" w:ascii="宋体" w:hAnsi="宋体" w:eastAsia="宋体" w:cs="宋体"/>
          <w:color w:val="000000" w:themeColor="text1"/>
          <w:sz w:val="21"/>
          <w:szCs w:val="21"/>
          <w:highlight w:val="none"/>
          <w:lang w:val="en-US" w:eastAsia="zh-CN"/>
          <w14:textFill>
            <w14:solidFill>
              <w14:schemeClr w14:val="tx1"/>
            </w14:solidFill>
          </w14:textFill>
        </w:rPr>
        <w:t>防护等级:IP54</w:t>
      </w:r>
    </w:p>
    <w:bookmarkEnd w:id="88"/>
    <w:p w14:paraId="342227E2">
      <w:pPr>
        <w:keepLines w:val="0"/>
        <w:adjustRightInd/>
        <w:snapToGrid/>
        <w:spacing w:before="120" w:after="120" w:line="288" w:lineRule="auto"/>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bookmarkStart w:id="91" w:name="_Toc32054"/>
      <w:bookmarkStart w:id="92" w:name="_Toc9640"/>
      <w:bookmarkStart w:id="93" w:name="_Toc22870"/>
      <w:r>
        <w:rPr>
          <w:rFonts w:hint="eastAsia" w:ascii="宋体" w:hAnsi="宋体" w:eastAsia="宋体" w:cs="宋体"/>
          <w:color w:val="000000" w:themeColor="text1"/>
          <w:sz w:val="21"/>
          <w:szCs w:val="21"/>
          <w:highlight w:val="none"/>
          <w:lang w:val="en-US" w:eastAsia="zh-CN"/>
          <w14:textFill>
            <w14:solidFill>
              <w14:schemeClr w14:val="tx1"/>
            </w14:solidFill>
          </w14:textFill>
        </w:rPr>
        <w:t>4.4.2 设计与结构要求</w:t>
      </w:r>
      <w:bookmarkEnd w:id="89"/>
      <w:bookmarkEnd w:id="90"/>
      <w:bookmarkEnd w:id="91"/>
      <w:bookmarkEnd w:id="92"/>
      <w:bookmarkEnd w:id="93"/>
    </w:p>
    <w:p w14:paraId="24C586DA">
      <w:pPr>
        <w:keepLines w:val="0"/>
        <w:numPr>
          <w:ilvl w:val="0"/>
          <w:numId w:val="9"/>
        </w:numPr>
        <w:adjustRightInd/>
        <w:snapToGrid/>
        <w:spacing w:before="120" w:after="120" w:line="288" w:lineRule="auto"/>
        <w:ind w:left="425" w:hanging="425" w:firstLineChars="0"/>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装置应安装在电能计量柜（计量屏）内，不得安装在活动的柜门上；</w:t>
      </w:r>
    </w:p>
    <w:p w14:paraId="5FE73F1C">
      <w:pPr>
        <w:keepLines w:val="0"/>
        <w:numPr>
          <w:ilvl w:val="0"/>
          <w:numId w:val="9"/>
        </w:numPr>
        <w:adjustRightInd/>
        <w:snapToGrid/>
        <w:spacing w:before="120" w:after="120" w:line="288" w:lineRule="auto"/>
        <w:ind w:left="425" w:hanging="425" w:firstLineChars="0"/>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装置引入计量屏的电缆标志牌应清晰、正确，排列整齐，避免交叉，备用芯线长度应留有适当的余量；</w:t>
      </w:r>
    </w:p>
    <w:p w14:paraId="1206B5DA">
      <w:pPr>
        <w:keepLines w:val="0"/>
        <w:numPr>
          <w:ilvl w:val="0"/>
          <w:numId w:val="9"/>
        </w:numPr>
        <w:adjustRightInd/>
        <w:snapToGrid/>
        <w:spacing w:before="120" w:after="120" w:line="288" w:lineRule="auto"/>
        <w:ind w:left="425" w:hanging="425" w:firstLineChars="0"/>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装置应具有FT3接口，可按照 IEC60044-8 协议规定的 FT3 数据格式进行解析；</w:t>
      </w:r>
    </w:p>
    <w:p w14:paraId="54C311C5">
      <w:pPr>
        <w:keepLines w:val="0"/>
        <w:numPr>
          <w:ilvl w:val="0"/>
          <w:numId w:val="9"/>
        </w:numPr>
        <w:adjustRightInd/>
        <w:snapToGrid/>
        <w:spacing w:before="120" w:after="120" w:line="288" w:lineRule="auto"/>
        <w:ind w:left="425" w:hanging="425" w:firstLineChars="0"/>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装置应具有两路独立的RS485通信接口；</w:t>
      </w:r>
    </w:p>
    <w:p w14:paraId="385C68A8">
      <w:pPr>
        <w:keepLines w:val="0"/>
        <w:numPr>
          <w:ilvl w:val="0"/>
          <w:numId w:val="9"/>
        </w:numPr>
        <w:adjustRightInd/>
        <w:snapToGrid/>
        <w:spacing w:before="120" w:after="120" w:line="288" w:lineRule="auto"/>
        <w:ind w:left="425" w:hanging="425" w:firstLineChars="0"/>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装置应具有电能脉冲输出接口，电能量脉冲输出宽度为：（30~96）ms；</w:t>
      </w:r>
    </w:p>
    <w:p w14:paraId="613755AB">
      <w:pPr>
        <w:keepLines w:val="0"/>
        <w:numPr>
          <w:ilvl w:val="0"/>
          <w:numId w:val="9"/>
        </w:numPr>
        <w:adjustRightInd/>
        <w:snapToGrid/>
        <w:spacing w:before="120" w:after="120" w:line="288" w:lineRule="auto"/>
        <w:ind w:left="425" w:hanging="425" w:firstLineChars="0"/>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装置上送采集器数据应能满足超高压公司计量自动化系统采集信息量要求；</w:t>
      </w:r>
    </w:p>
    <w:p w14:paraId="66D4831C">
      <w:pPr>
        <w:keepLines w:val="0"/>
        <w:numPr>
          <w:ilvl w:val="0"/>
          <w:numId w:val="9"/>
        </w:numPr>
        <w:adjustRightInd/>
        <w:snapToGrid/>
        <w:spacing w:before="120" w:after="120" w:line="288" w:lineRule="auto"/>
        <w:ind w:left="425" w:hanging="425" w:firstLineChars="0"/>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装置应支持双路冗余供电电源；</w:t>
      </w:r>
    </w:p>
    <w:p w14:paraId="7367C195">
      <w:pPr>
        <w:keepLines w:val="0"/>
        <w:numPr>
          <w:ilvl w:val="0"/>
          <w:numId w:val="9"/>
        </w:numPr>
        <w:adjustRightInd/>
        <w:snapToGrid/>
        <w:spacing w:before="120" w:after="120" w:line="288" w:lineRule="auto"/>
        <w:ind w:left="425" w:hanging="425" w:firstLineChars="0"/>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装置不应当对现有系统造成影响。</w:t>
      </w:r>
    </w:p>
    <w:p w14:paraId="7904D1BB">
      <w:pPr>
        <w:pStyle w:val="3"/>
        <w:numPr>
          <w:ilvl w:val="1"/>
          <w:numId w:val="0"/>
        </w:numPr>
        <w:rPr>
          <w:rFonts w:hint="eastAsia" w:ascii="Times New Roman" w:eastAsia="黑体" w:cs="Times New Roman"/>
          <w:color w:val="000000" w:themeColor="text1"/>
          <w:sz w:val="24"/>
          <w:szCs w:val="24"/>
          <w:highlight w:val="none"/>
          <w:lang w:val="en-US" w:eastAsia="zh-CN"/>
          <w14:textFill>
            <w14:solidFill>
              <w14:schemeClr w14:val="tx1"/>
            </w14:solidFill>
          </w14:textFill>
        </w:rPr>
      </w:pPr>
      <w:bookmarkStart w:id="94" w:name="_Toc4686"/>
      <w:bookmarkStart w:id="95" w:name="_Toc25832"/>
      <w:bookmarkStart w:id="96" w:name="_Toc23727"/>
      <w:r>
        <w:rPr>
          <w:rFonts w:hint="eastAsia" w:ascii="Times New Roman" w:eastAsia="黑体" w:cs="Times New Roman"/>
          <w:color w:val="000000" w:themeColor="text1"/>
          <w:sz w:val="24"/>
          <w:szCs w:val="24"/>
          <w:highlight w:val="none"/>
          <w:lang w:val="en-US" w:eastAsia="zh-CN"/>
          <w14:textFill>
            <w14:solidFill>
              <w14:schemeClr w14:val="tx1"/>
            </w14:solidFill>
          </w14:textFill>
        </w:rPr>
        <w:t>4.5. 图纸</w:t>
      </w:r>
      <w:bookmarkEnd w:id="79"/>
      <w:bookmarkEnd w:id="94"/>
      <w:bookmarkEnd w:id="95"/>
      <w:bookmarkEnd w:id="96"/>
    </w:p>
    <w:p w14:paraId="6127DF76">
      <w:pPr>
        <w:keepNext w:val="0"/>
        <w:keepLines w:val="0"/>
        <w:pageBreakBefore w:val="0"/>
        <w:widowControl w:val="0"/>
        <w:kinsoku/>
        <w:wordWrap/>
        <w:overflowPunct/>
        <w:topLinePunct w:val="0"/>
        <w:autoSpaceDE/>
        <w:autoSpaceDN/>
        <w:bidi w:val="0"/>
        <w:adjustRightInd/>
        <w:snapToGrid/>
        <w:spacing w:before="120" w:after="120" w:line="288" w:lineRule="auto"/>
        <w:ind w:firstLine="420" w:firstLineChars="200"/>
        <w:jc w:val="left"/>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以下外观图供参考，待中标单位确认并在双方签署保密协议后，招标方向中标单位提供详细图纸。</w:t>
      </w:r>
    </w:p>
    <w:p w14:paraId="144FA33F">
      <w:pPr>
        <w:rPr>
          <w:rFonts w:hint="eastAsia"/>
          <w:color w:val="000000" w:themeColor="text1"/>
          <w:highlight w:val="none"/>
          <w:lang w:val="en-US" w:eastAsia="zh-CN"/>
          <w14:textFill>
            <w14:solidFill>
              <w14:schemeClr w14:val="tx1"/>
            </w14:solidFill>
          </w14:textFill>
        </w:rPr>
      </w:pPr>
    </w:p>
    <w:p w14:paraId="7BF78C23">
      <w:pPr>
        <w:rPr>
          <w:rFonts w:hint="default"/>
          <w:color w:val="000000" w:themeColor="text1"/>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drawing>
          <wp:inline distT="0" distB="0" distL="114300" distR="114300">
            <wp:extent cx="4934585" cy="5434965"/>
            <wp:effectExtent l="0" t="0" r="3175" b="5715"/>
            <wp:docPr id="2" name="图片 2" descr="微信图片_20260508163118_19_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60508163118_19_501"/>
                    <pic:cNvPicPr>
                      <a:picLocks noChangeAspect="1"/>
                    </pic:cNvPicPr>
                  </pic:nvPicPr>
                  <pic:blipFill>
                    <a:blip r:embed="rId10"/>
                    <a:stretch>
                      <a:fillRect/>
                    </a:stretch>
                  </pic:blipFill>
                  <pic:spPr>
                    <a:xfrm>
                      <a:off x="0" y="0"/>
                      <a:ext cx="4934585" cy="5434965"/>
                    </a:xfrm>
                    <a:prstGeom prst="rect">
                      <a:avLst/>
                    </a:prstGeom>
                  </pic:spPr>
                </pic:pic>
              </a:graphicData>
            </a:graphic>
          </wp:inline>
        </w:drawing>
      </w:r>
    </w:p>
    <w:p w14:paraId="1BC88A7A">
      <w:pPr>
        <w:pStyle w:val="3"/>
        <w:numPr>
          <w:ilvl w:val="1"/>
          <w:numId w:val="0"/>
        </w:numPr>
        <w:bidi w:val="0"/>
        <w:ind w:leftChars="0"/>
        <w:rPr>
          <w:rFonts w:hint="eastAsia" w:ascii="Times New Roman" w:eastAsia="黑体" w:cs="Times New Roman"/>
          <w:color w:val="000000" w:themeColor="text1"/>
          <w:sz w:val="24"/>
          <w:szCs w:val="24"/>
          <w:highlight w:val="none"/>
          <w:lang w:val="en-US" w:eastAsia="zh-CN"/>
          <w14:textFill>
            <w14:solidFill>
              <w14:schemeClr w14:val="tx1"/>
            </w14:solidFill>
          </w14:textFill>
        </w:rPr>
      </w:pPr>
      <w:bookmarkStart w:id="97" w:name="_Toc17801"/>
      <w:bookmarkStart w:id="98" w:name="_Toc16609"/>
      <w:bookmarkStart w:id="99" w:name="_Toc24960"/>
      <w:bookmarkStart w:id="100" w:name="_Toc2616"/>
      <w:r>
        <w:rPr>
          <w:rFonts w:hint="eastAsia" w:ascii="Times New Roman" w:eastAsia="黑体" w:cs="Times New Roman"/>
          <w:color w:val="000000" w:themeColor="text1"/>
          <w:sz w:val="24"/>
          <w:szCs w:val="24"/>
          <w:highlight w:val="none"/>
          <w:lang w:val="en-US" w:eastAsia="zh-CN"/>
          <w14:textFill>
            <w14:solidFill>
              <w14:schemeClr w14:val="tx1"/>
            </w14:solidFill>
          </w14:textFill>
        </w:rPr>
        <w:t>4.6. 质量管控及检验要求</w:t>
      </w:r>
      <w:bookmarkEnd w:id="97"/>
      <w:bookmarkEnd w:id="98"/>
      <w:bookmarkEnd w:id="99"/>
      <w:bookmarkEnd w:id="100"/>
    </w:p>
    <w:p w14:paraId="72CA8A3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4.6</w:t>
      </w:r>
      <w:r>
        <w:rPr>
          <w:rFonts w:hint="eastAsia" w:ascii="宋体" w:hAnsi="宋体" w:eastAsia="宋体" w:cs="宋体"/>
          <w:color w:val="000000" w:themeColor="text1"/>
          <w:sz w:val="21"/>
          <w:szCs w:val="21"/>
          <w:highlight w:val="none"/>
          <w:lang w:val="en-US" w:eastAsia="zh-CN"/>
          <w14:textFill>
            <w14:solidFill>
              <w14:schemeClr w14:val="tx1"/>
            </w14:solidFill>
          </w14:textFill>
        </w:rPr>
        <w:t>.1 代加工方须建立完善的质量管控体系，覆盖原材料采购、生产加工、检验检测、包装交付等全流程，制定详细的质量管控细则和检验标准，确保产品质量符合本规范要求。</w:t>
      </w:r>
    </w:p>
    <w:p w14:paraId="316109BC">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4.6</w:t>
      </w:r>
      <w:r>
        <w:rPr>
          <w:rFonts w:hint="eastAsia" w:ascii="宋体" w:hAnsi="宋体" w:eastAsia="宋体" w:cs="宋体"/>
          <w:color w:val="000000" w:themeColor="text1"/>
          <w:sz w:val="21"/>
          <w:szCs w:val="21"/>
          <w:highlight w:val="none"/>
          <w:lang w:val="en-US" w:eastAsia="zh-CN"/>
          <w14:textFill>
            <w14:solidFill>
              <w14:schemeClr w14:val="tx1"/>
            </w14:solidFill>
          </w14:textFill>
        </w:rPr>
        <w:t>.2 原材料检验：每一批次原材料进场后，须进行全项检验，检验项目包括材质、尺寸、性能等，检验合格后方可投入生产，检验记录须完整，留存检验报告及合格证明。</w:t>
      </w:r>
    </w:p>
    <w:p w14:paraId="44F94997">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4.6</w:t>
      </w:r>
      <w:r>
        <w:rPr>
          <w:rFonts w:hint="eastAsia" w:ascii="宋体" w:hAnsi="宋体" w:eastAsia="宋体" w:cs="宋体"/>
          <w:color w:val="000000" w:themeColor="text1"/>
          <w:sz w:val="21"/>
          <w:szCs w:val="21"/>
          <w:highlight w:val="none"/>
          <w:lang w:val="en-US" w:eastAsia="zh-CN"/>
          <w14:textFill>
            <w14:solidFill>
              <w14:schemeClr w14:val="tx1"/>
            </w14:solidFill>
          </w14:textFill>
        </w:rPr>
        <w:t>.3 过程检验：对生产加工的每一道工序进行检验，包括FT3接口模块、电能计量模块、电能质量模块、智能电能表管理模块、显示模块、通讯模块、电源模块</w:t>
      </w:r>
      <w:r>
        <w:rPr>
          <w:rFonts w:hint="eastAsia" w:ascii="宋体" w:hAnsi="宋体" w:cs="宋体"/>
          <w:color w:val="000000" w:themeColor="text1"/>
          <w:sz w:val="21"/>
          <w:szCs w:val="21"/>
          <w:highlight w:val="none"/>
          <w:lang w:val="en-US" w:eastAsia="zh-CN"/>
          <w14:textFill>
            <w14:solidFill>
              <w14:schemeClr w14:val="tx1"/>
            </w14:solidFill>
          </w14:textFill>
        </w:rPr>
        <w:t>制造</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各模块</w:t>
      </w:r>
      <w:r>
        <w:rPr>
          <w:rFonts w:hint="eastAsia" w:ascii="宋体" w:hAnsi="宋体" w:eastAsia="宋体" w:cs="宋体"/>
          <w:color w:val="000000" w:themeColor="text1"/>
          <w:sz w:val="21"/>
          <w:szCs w:val="21"/>
          <w:highlight w:val="none"/>
          <w:lang w:val="en-US" w:eastAsia="zh-CN"/>
          <w14:textFill>
            <w14:solidFill>
              <w14:schemeClr w14:val="tx1"/>
            </w14:solidFill>
          </w14:textFill>
        </w:rPr>
        <w:t>联装与</w:t>
      </w:r>
      <w:r>
        <w:rPr>
          <w:rFonts w:hint="eastAsia" w:ascii="宋体" w:hAnsi="宋体" w:cs="宋体"/>
          <w:color w:val="000000" w:themeColor="text1"/>
          <w:sz w:val="21"/>
          <w:szCs w:val="21"/>
          <w:highlight w:val="none"/>
          <w:lang w:val="en-US" w:eastAsia="zh-CN"/>
          <w14:textFill>
            <w14:solidFill>
              <w14:schemeClr w14:val="tx1"/>
            </w14:solidFill>
          </w14:textFill>
        </w:rPr>
        <w:t>程序</w:t>
      </w:r>
      <w:r>
        <w:rPr>
          <w:rFonts w:hint="eastAsia" w:ascii="宋体" w:hAnsi="宋体" w:eastAsia="宋体" w:cs="宋体"/>
          <w:color w:val="000000" w:themeColor="text1"/>
          <w:sz w:val="21"/>
          <w:szCs w:val="21"/>
          <w:highlight w:val="none"/>
          <w:lang w:val="en-US" w:eastAsia="zh-CN"/>
          <w14:textFill>
            <w14:solidFill>
              <w14:schemeClr w14:val="tx1"/>
            </w14:solidFill>
          </w14:textFill>
        </w:rPr>
        <w:t>烧录、整机装配</w:t>
      </w:r>
      <w:r>
        <w:rPr>
          <w:rFonts w:hint="eastAsia" w:ascii="宋体" w:hAnsi="宋体" w:cs="宋体"/>
          <w:color w:val="000000" w:themeColor="text1"/>
          <w:sz w:val="21"/>
          <w:szCs w:val="21"/>
          <w:highlight w:val="none"/>
          <w:lang w:val="en-US" w:eastAsia="zh-CN"/>
          <w14:textFill>
            <w14:solidFill>
              <w14:schemeClr w14:val="tx1"/>
            </w14:solidFill>
          </w14:textFill>
        </w:rPr>
        <w:t>、精度调校</w:t>
      </w:r>
      <w:r>
        <w:rPr>
          <w:rFonts w:hint="eastAsia" w:ascii="宋体" w:hAnsi="宋体" w:eastAsia="宋体" w:cs="宋体"/>
          <w:color w:val="000000" w:themeColor="text1"/>
          <w:sz w:val="21"/>
          <w:szCs w:val="21"/>
          <w:highlight w:val="none"/>
          <w:lang w:val="en-US" w:eastAsia="zh-CN"/>
          <w14:textFill>
            <w14:solidFill>
              <w14:schemeClr w14:val="tx1"/>
            </w14:solidFill>
          </w14:textFill>
        </w:rPr>
        <w:t>等，检验合格后方可进入下一道工序，过程检验记录须完整、可追溯。</w:t>
      </w:r>
    </w:p>
    <w:p w14:paraId="1933BC69">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4.6</w:t>
      </w:r>
      <w:r>
        <w:rPr>
          <w:rFonts w:hint="eastAsia" w:ascii="宋体" w:hAnsi="宋体" w:eastAsia="宋体" w:cs="宋体"/>
          <w:color w:val="000000" w:themeColor="text1"/>
          <w:sz w:val="21"/>
          <w:szCs w:val="21"/>
          <w:highlight w:val="none"/>
          <w:lang w:val="en-US" w:eastAsia="zh-CN"/>
          <w14:textFill>
            <w14:solidFill>
              <w14:schemeClr w14:val="tx1"/>
            </w14:solidFill>
          </w14:textFill>
        </w:rPr>
        <w:t>.4 出厂检验：每台产品出厂前，须进行全项出厂检验，检验项目包括外观、结构、尺寸、</w:t>
      </w:r>
      <w:r>
        <w:rPr>
          <w:rFonts w:hint="eastAsia" w:ascii="宋体" w:hAnsi="宋体" w:cs="宋体"/>
          <w:color w:val="000000" w:themeColor="text1"/>
          <w:sz w:val="21"/>
          <w:szCs w:val="21"/>
          <w:highlight w:val="none"/>
          <w:lang w:val="en-US" w:eastAsia="zh-CN"/>
          <w14:textFill>
            <w14:solidFill>
              <w14:schemeClr w14:val="tx1"/>
            </w14:solidFill>
          </w14:textFill>
        </w:rPr>
        <w:t>基本功能与</w:t>
      </w:r>
      <w:r>
        <w:rPr>
          <w:rFonts w:hint="eastAsia" w:ascii="宋体" w:hAnsi="宋体" w:eastAsia="宋体" w:cs="宋体"/>
          <w:color w:val="000000" w:themeColor="text1"/>
          <w:sz w:val="21"/>
          <w:szCs w:val="21"/>
          <w:highlight w:val="none"/>
          <w:lang w:val="en-US" w:eastAsia="zh-CN"/>
          <w14:textFill>
            <w14:solidFill>
              <w14:schemeClr w14:val="tx1"/>
            </w14:solidFill>
          </w14:textFill>
        </w:rPr>
        <w:t>性能、</w:t>
      </w:r>
      <w:r>
        <w:rPr>
          <w:rFonts w:hint="eastAsia" w:ascii="宋体" w:hAnsi="宋体" w:cs="宋体"/>
          <w:color w:val="000000" w:themeColor="text1"/>
          <w:sz w:val="21"/>
          <w:szCs w:val="21"/>
          <w:highlight w:val="none"/>
          <w:lang w:val="en-US" w:eastAsia="zh-CN"/>
          <w14:textFill>
            <w14:solidFill>
              <w14:schemeClr w14:val="tx1"/>
            </w14:solidFill>
          </w14:textFill>
        </w:rPr>
        <w:t>电气安全</w:t>
      </w:r>
      <w:r>
        <w:rPr>
          <w:rFonts w:hint="eastAsia" w:ascii="宋体" w:hAnsi="宋体" w:eastAsia="宋体" w:cs="宋体"/>
          <w:color w:val="000000" w:themeColor="text1"/>
          <w:sz w:val="21"/>
          <w:szCs w:val="21"/>
          <w:highlight w:val="none"/>
          <w:lang w:val="en-US" w:eastAsia="zh-CN"/>
          <w14:textFill>
            <w14:solidFill>
              <w14:schemeClr w14:val="tx1"/>
            </w14:solidFill>
          </w14:textFill>
        </w:rPr>
        <w:t>等，检验合格后出具出厂合格证及检验报告，不合格产品严禁出厂。</w:t>
      </w:r>
    </w:p>
    <w:p w14:paraId="1104BF6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4.6</w:t>
      </w:r>
      <w:r>
        <w:rPr>
          <w:rFonts w:hint="eastAsia" w:ascii="宋体" w:hAnsi="宋体" w:eastAsia="宋体" w:cs="宋体"/>
          <w:color w:val="000000" w:themeColor="text1"/>
          <w:sz w:val="21"/>
          <w:szCs w:val="21"/>
          <w:highlight w:val="none"/>
          <w:lang w:val="en-US" w:eastAsia="zh-CN"/>
          <w14:textFill>
            <w14:solidFill>
              <w14:schemeClr w14:val="tx1"/>
            </w14:solidFill>
          </w14:textFill>
        </w:rPr>
        <w:t>.5 检验设备：代加工方配备的检验设备须定期校准，校准周期不超过1年，确保检验精度达标，提供检验设备校准报告。</w:t>
      </w:r>
    </w:p>
    <w:p w14:paraId="73BB506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4.6</w:t>
      </w:r>
      <w:r>
        <w:rPr>
          <w:rFonts w:hint="eastAsia" w:ascii="宋体" w:hAnsi="宋体" w:eastAsia="宋体" w:cs="宋体"/>
          <w:color w:val="000000" w:themeColor="text1"/>
          <w:sz w:val="21"/>
          <w:szCs w:val="21"/>
          <w:highlight w:val="none"/>
          <w:lang w:val="en-US" w:eastAsia="zh-CN"/>
          <w14:textFill>
            <w14:solidFill>
              <w14:schemeClr w14:val="tx1"/>
            </w14:solidFill>
          </w14:textFill>
        </w:rPr>
        <w:t>.6 质量追溯：建立产品质量追溯体系，每台产品配备唯一追溯码，追溯码包含产品编号、生产批次、原材料信息、加工人员、检验结果等内容，确保产品质量可追溯。</w:t>
      </w:r>
    </w:p>
    <w:p w14:paraId="0C8E409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4.6</w:t>
      </w:r>
      <w:r>
        <w:rPr>
          <w:rFonts w:hint="eastAsia" w:ascii="宋体" w:hAnsi="宋体" w:eastAsia="宋体" w:cs="宋体"/>
          <w:color w:val="000000" w:themeColor="text1"/>
          <w:sz w:val="21"/>
          <w:szCs w:val="21"/>
          <w:highlight w:val="none"/>
          <w:lang w:val="en-US" w:eastAsia="zh-CN"/>
          <w14:textFill>
            <w14:solidFill>
              <w14:schemeClr w14:val="tx1"/>
            </w14:solidFill>
          </w14:textFill>
        </w:rPr>
        <w:t>.7 框架合作期间，招标人有权对代加工方的生产过程、质量管控、检验检测等工作进行抽查，代加工方须积极配合，提供必要的生产记录、检验报告等资料。</w:t>
      </w:r>
    </w:p>
    <w:p w14:paraId="3E0CC2AF">
      <w:pPr>
        <w:pStyle w:val="3"/>
        <w:numPr>
          <w:ilvl w:val="1"/>
          <w:numId w:val="0"/>
        </w:numPr>
        <w:bidi w:val="0"/>
        <w:ind w:leftChars="0"/>
        <w:rPr>
          <w:rFonts w:hint="eastAsia" w:ascii="Times New Roman" w:eastAsia="黑体" w:cs="Times New Roman"/>
          <w:color w:val="000000" w:themeColor="text1"/>
          <w:sz w:val="24"/>
          <w:szCs w:val="24"/>
          <w:highlight w:val="none"/>
          <w:lang w:val="en-US" w:eastAsia="zh-CN"/>
          <w14:textFill>
            <w14:solidFill>
              <w14:schemeClr w14:val="tx1"/>
            </w14:solidFill>
          </w14:textFill>
        </w:rPr>
      </w:pPr>
      <w:bookmarkStart w:id="101" w:name="_Toc1029"/>
      <w:bookmarkStart w:id="102" w:name="_Toc29335"/>
      <w:bookmarkStart w:id="103" w:name="_Toc8058"/>
      <w:bookmarkStart w:id="104" w:name="_Toc14112"/>
      <w:r>
        <w:rPr>
          <w:rFonts w:hint="eastAsia" w:ascii="Times New Roman" w:eastAsia="黑体" w:cs="Times New Roman"/>
          <w:color w:val="000000" w:themeColor="text1"/>
          <w:sz w:val="24"/>
          <w:szCs w:val="24"/>
          <w:highlight w:val="none"/>
          <w:lang w:val="en-US" w:eastAsia="zh-CN"/>
          <w14:textFill>
            <w14:solidFill>
              <w14:schemeClr w14:val="tx1"/>
            </w14:solidFill>
          </w14:textFill>
        </w:rPr>
        <w:t>4.</w:t>
      </w:r>
      <w:bookmarkStart w:id="105" w:name="_Toc25447"/>
      <w:bookmarkStart w:id="106" w:name="_Toc20004"/>
      <w:r>
        <w:rPr>
          <w:rFonts w:hint="eastAsia" w:ascii="Times New Roman" w:eastAsia="黑体" w:cs="Times New Roman"/>
          <w:color w:val="000000" w:themeColor="text1"/>
          <w:sz w:val="24"/>
          <w:szCs w:val="24"/>
          <w:highlight w:val="none"/>
          <w:lang w:val="en-US" w:eastAsia="zh-CN"/>
          <w14:textFill>
            <w14:solidFill>
              <w14:schemeClr w14:val="tx1"/>
            </w14:solidFill>
          </w14:textFill>
        </w:rPr>
        <w:t>7. 企业VI标识</w:t>
      </w:r>
      <w:bookmarkEnd w:id="101"/>
      <w:bookmarkEnd w:id="102"/>
      <w:bookmarkEnd w:id="103"/>
      <w:bookmarkEnd w:id="104"/>
      <w:bookmarkEnd w:id="105"/>
      <w:bookmarkEnd w:id="106"/>
    </w:p>
    <w:p w14:paraId="3E378D55">
      <w:pPr>
        <w:keepNext w:val="0"/>
        <w:keepLines w:val="0"/>
        <w:pageBreakBefore w:val="0"/>
        <w:widowControl w:val="0"/>
        <w:kinsoku/>
        <w:wordWrap/>
        <w:overflowPunct/>
        <w:topLinePunct w:val="0"/>
        <w:autoSpaceDE/>
        <w:autoSpaceDN/>
        <w:bidi w:val="0"/>
        <w:adjustRightInd/>
        <w:snapToGrid/>
        <w:spacing w:before="120" w:after="120" w:line="288" w:lineRule="auto"/>
        <w:ind w:firstLine="420" w:firstLineChars="20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bookmarkStart w:id="107" w:name="_Toc277255901"/>
      <w:bookmarkStart w:id="108" w:name="_Toc277686859"/>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设备外立面上应有统一的中国南方电网有限责任公司企业VI标识，并符合《中国南方电网视觉识别系统管理手册》的要求。</w:t>
      </w:r>
      <w:bookmarkEnd w:id="107"/>
      <w:bookmarkEnd w:id="108"/>
    </w:p>
    <w:p w14:paraId="0C6E9F65">
      <w:pPr>
        <w:pStyle w:val="3"/>
        <w:numPr>
          <w:ilvl w:val="1"/>
          <w:numId w:val="0"/>
        </w:numPr>
        <w:bidi w:val="0"/>
        <w:ind w:leftChars="0"/>
        <w:rPr>
          <w:rFonts w:hint="eastAsia" w:ascii="Times New Roman" w:eastAsia="黑体" w:cs="Times New Roman"/>
          <w:color w:val="000000" w:themeColor="text1"/>
          <w:sz w:val="24"/>
          <w:szCs w:val="24"/>
          <w:highlight w:val="none"/>
          <w:lang w:val="en-US" w:eastAsia="zh-CN"/>
          <w14:textFill>
            <w14:solidFill>
              <w14:schemeClr w14:val="tx1"/>
            </w14:solidFill>
          </w14:textFill>
        </w:rPr>
      </w:pPr>
      <w:bookmarkStart w:id="109" w:name="_Toc25284"/>
      <w:bookmarkStart w:id="110" w:name="_Toc23504"/>
      <w:bookmarkStart w:id="111" w:name="_Toc2892"/>
      <w:bookmarkStart w:id="112" w:name="_Toc15995"/>
      <w:r>
        <w:rPr>
          <w:rFonts w:hint="eastAsia" w:ascii="Times New Roman" w:eastAsia="黑体" w:cs="Times New Roman"/>
          <w:color w:val="000000" w:themeColor="text1"/>
          <w:sz w:val="24"/>
          <w:szCs w:val="24"/>
          <w:highlight w:val="none"/>
          <w:lang w:val="en-US" w:eastAsia="zh-CN"/>
          <w14:textFill>
            <w14:solidFill>
              <w14:schemeClr w14:val="tx1"/>
            </w14:solidFill>
          </w14:textFill>
        </w:rPr>
        <w:t>4.8. 包装、标识及交付要求</w:t>
      </w:r>
      <w:bookmarkEnd w:id="109"/>
      <w:bookmarkEnd w:id="110"/>
      <w:bookmarkEnd w:id="111"/>
      <w:bookmarkEnd w:id="112"/>
    </w:p>
    <w:p w14:paraId="1208215C">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4.8</w:t>
      </w:r>
      <w:r>
        <w:rPr>
          <w:rFonts w:hint="eastAsia" w:ascii="宋体" w:hAnsi="宋体" w:eastAsia="宋体" w:cs="宋体"/>
          <w:color w:val="000000" w:themeColor="text1"/>
          <w:sz w:val="21"/>
          <w:szCs w:val="21"/>
          <w:highlight w:val="none"/>
          <w:lang w:val="en-US" w:eastAsia="zh-CN"/>
          <w14:textFill>
            <w14:solidFill>
              <w14:schemeClr w14:val="tx1"/>
            </w14:solidFill>
          </w14:textFill>
        </w:rPr>
        <w:t>.1 包装：采用专用防震防潮硬质包装箱独立包装，每台产品单独包装，内部采用柔性缓冲材料（泡沫、珍珠棉等）防护，防止运输过程中磕碰、变形、零部件损坏；包装箱材质坚固，能够承受运输过程中的挤压、震动。</w:t>
      </w:r>
    </w:p>
    <w:p w14:paraId="3E45DDD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4.8</w:t>
      </w:r>
      <w:r>
        <w:rPr>
          <w:rFonts w:hint="eastAsia" w:ascii="宋体" w:hAnsi="宋体" w:eastAsia="宋体" w:cs="宋体"/>
          <w:color w:val="000000" w:themeColor="text1"/>
          <w:sz w:val="21"/>
          <w:szCs w:val="21"/>
          <w:highlight w:val="none"/>
          <w:lang w:val="en-US" w:eastAsia="zh-CN"/>
          <w14:textFill>
            <w14:solidFill>
              <w14:schemeClr w14:val="tx1"/>
            </w14:solidFill>
          </w14:textFill>
        </w:rPr>
        <w:t>.2 标识：包装箱外须清晰标注产品名称、型号、数量、生产批次、生产日期、招标人名称、交付地点、“易碎”“向上”“防潮”“小心轻放”等储运图示标志，标识清晰、牢固，不易脱落。</w:t>
      </w:r>
    </w:p>
    <w:p w14:paraId="1473AEE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4.8</w:t>
      </w:r>
      <w:r>
        <w:rPr>
          <w:rFonts w:hint="eastAsia" w:ascii="宋体" w:hAnsi="宋体" w:eastAsia="宋体" w:cs="宋体"/>
          <w:color w:val="000000" w:themeColor="text1"/>
          <w:sz w:val="21"/>
          <w:szCs w:val="21"/>
          <w:highlight w:val="none"/>
          <w:lang w:val="en-US" w:eastAsia="zh-CN"/>
          <w14:textFill>
            <w14:solidFill>
              <w14:schemeClr w14:val="tx1"/>
            </w14:solidFill>
          </w14:textFill>
        </w:rPr>
        <w:t>.3 交付：代加工方须按订单要求的时间、地点，将产品及配套技术资料交付招标人，承担全部运输、装卸费用及风险；交付时须提供产品出厂合格证、检验报告、技术资料等相关文件，配合招标人完成验收。</w:t>
      </w:r>
    </w:p>
    <w:p w14:paraId="39A45A67">
      <w:pPr>
        <w:pStyle w:val="2"/>
        <w:numPr>
          <w:ilvl w:val="0"/>
          <w:numId w:val="0"/>
        </w:numPr>
        <w:bidi w:val="0"/>
        <w:ind w:leftChars="0"/>
        <w:rPr>
          <w:rFonts w:hint="eastAsia"/>
          <w:color w:val="000000" w:themeColor="text1"/>
          <w:sz w:val="24"/>
          <w:szCs w:val="24"/>
          <w:highlight w:val="none"/>
          <w:lang w:val="en-US" w:eastAsia="zh-CN"/>
          <w14:textFill>
            <w14:solidFill>
              <w14:schemeClr w14:val="tx1"/>
            </w14:solidFill>
          </w14:textFill>
        </w:rPr>
      </w:pPr>
      <w:bookmarkStart w:id="113" w:name="_Toc18356"/>
      <w:bookmarkStart w:id="114" w:name="_Toc29196"/>
      <w:bookmarkStart w:id="115" w:name="_Toc26183"/>
      <w:bookmarkStart w:id="116" w:name="_Toc16315"/>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val="en-US" w:eastAsia="zh-CN"/>
          <w14:textFill>
            <w14:solidFill>
              <w14:schemeClr w14:val="tx1"/>
            </w14:solidFill>
          </w14:textFill>
        </w:rPr>
        <w:t>试验与检测要求</w:t>
      </w:r>
      <w:bookmarkEnd w:id="113"/>
      <w:bookmarkEnd w:id="114"/>
      <w:bookmarkEnd w:id="115"/>
      <w:bookmarkEnd w:id="116"/>
    </w:p>
    <w:p w14:paraId="0F20242D">
      <w:pPr>
        <w:pStyle w:val="3"/>
        <w:numPr>
          <w:ilvl w:val="1"/>
          <w:numId w:val="0"/>
        </w:numPr>
        <w:bidi w:val="0"/>
        <w:ind w:leftChars="0"/>
        <w:rPr>
          <w:rFonts w:hint="eastAsia" w:ascii="Times New Roman" w:eastAsia="黑体" w:cs="Times New Roman"/>
          <w:color w:val="000000" w:themeColor="text1"/>
          <w:sz w:val="24"/>
          <w:szCs w:val="24"/>
          <w:highlight w:val="none"/>
          <w:lang w:val="en-US" w:eastAsia="zh-CN"/>
          <w14:textFill>
            <w14:solidFill>
              <w14:schemeClr w14:val="tx1"/>
            </w14:solidFill>
          </w14:textFill>
        </w:rPr>
      </w:pPr>
      <w:bookmarkStart w:id="117" w:name="_Toc10252"/>
      <w:bookmarkStart w:id="118" w:name="_Toc8302"/>
      <w:bookmarkStart w:id="119" w:name="_Toc8606"/>
      <w:bookmarkStart w:id="120" w:name="_Toc2807"/>
      <w:r>
        <w:rPr>
          <w:rFonts w:hint="eastAsia" w:ascii="Times New Roman" w:eastAsia="黑体" w:cs="Times New Roman"/>
          <w:color w:val="000000" w:themeColor="text1"/>
          <w:sz w:val="24"/>
          <w:szCs w:val="24"/>
          <w:highlight w:val="none"/>
          <w:lang w:val="en-US" w:eastAsia="zh-CN"/>
          <w14:textFill>
            <w14:solidFill>
              <w14:schemeClr w14:val="tx1"/>
            </w14:solidFill>
          </w14:textFill>
        </w:rPr>
        <w:t>5.1. 原材料检验</w:t>
      </w:r>
      <w:bookmarkEnd w:id="117"/>
      <w:bookmarkEnd w:id="118"/>
      <w:bookmarkEnd w:id="119"/>
      <w:bookmarkEnd w:id="120"/>
    </w:p>
    <w:p w14:paraId="52533BC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5.1.1 </w:t>
      </w:r>
      <w:r>
        <w:rPr>
          <w:rFonts w:hint="eastAsia" w:ascii="宋体" w:hAnsi="宋体" w:cs="宋体"/>
          <w:color w:val="000000" w:themeColor="text1"/>
          <w:sz w:val="21"/>
          <w:szCs w:val="21"/>
          <w:highlight w:val="none"/>
          <w:lang w:eastAsia="zh-CN"/>
          <w14:textFill>
            <w14:solidFill>
              <w14:schemeClr w14:val="tx1"/>
            </w14:solidFill>
          </w14:textFill>
        </w:rPr>
        <w:t>原材料</w:t>
      </w:r>
      <w:r>
        <w:rPr>
          <w:rFonts w:hint="eastAsia" w:ascii="宋体" w:hAnsi="宋体" w:cs="宋体"/>
          <w:color w:val="000000" w:themeColor="text1"/>
          <w:sz w:val="21"/>
          <w:szCs w:val="21"/>
          <w:highlight w:val="none"/>
          <w14:textFill>
            <w14:solidFill>
              <w14:schemeClr w14:val="tx1"/>
            </w14:solidFill>
          </w14:textFill>
        </w:rPr>
        <w:t>的包装、型号、</w:t>
      </w:r>
      <w:r>
        <w:rPr>
          <w:rFonts w:hint="eastAsia" w:ascii="宋体" w:hAnsi="宋体" w:cs="宋体"/>
          <w:color w:val="000000" w:themeColor="text1"/>
          <w:sz w:val="21"/>
          <w:szCs w:val="21"/>
          <w:highlight w:val="none"/>
          <w:lang w:eastAsia="zh-CN"/>
          <w14:textFill>
            <w14:solidFill>
              <w14:schemeClr w14:val="tx1"/>
            </w14:solidFill>
          </w14:textFill>
        </w:rPr>
        <w:t>规格、</w:t>
      </w:r>
      <w:r>
        <w:rPr>
          <w:rFonts w:hint="eastAsia" w:ascii="宋体" w:hAnsi="宋体" w:cs="宋体"/>
          <w:color w:val="000000" w:themeColor="text1"/>
          <w:sz w:val="21"/>
          <w:szCs w:val="21"/>
          <w:highlight w:val="none"/>
          <w14:textFill>
            <w14:solidFill>
              <w14:schemeClr w14:val="tx1"/>
            </w14:solidFill>
          </w14:textFill>
        </w:rPr>
        <w:t>代号、标识、外观、形状进行</w:t>
      </w:r>
      <w:r>
        <w:rPr>
          <w:rFonts w:hint="eastAsia" w:ascii="宋体" w:hAnsi="宋体" w:cs="宋体"/>
          <w:color w:val="000000" w:themeColor="text1"/>
          <w:sz w:val="21"/>
          <w:szCs w:val="21"/>
          <w:highlight w:val="none"/>
          <w:lang w:val="en-US" w:eastAsia="zh-CN"/>
          <w14:textFill>
            <w14:solidFill>
              <w14:schemeClr w14:val="tx1"/>
            </w14:solidFill>
          </w14:textFill>
        </w:rPr>
        <w:t>目测，做好相关检验记录。</w:t>
      </w:r>
    </w:p>
    <w:p w14:paraId="529C7EA9">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5.1.2 </w:t>
      </w:r>
      <w:r>
        <w:rPr>
          <w:rFonts w:hint="eastAsia" w:ascii="宋体" w:hAnsi="宋体" w:cs="宋体"/>
          <w:color w:val="000000" w:themeColor="text1"/>
          <w:sz w:val="21"/>
          <w:szCs w:val="21"/>
          <w:highlight w:val="none"/>
          <w:lang w:val="en-US" w:eastAsia="zh-CN"/>
          <w14:textFill>
            <w14:solidFill>
              <w14:schemeClr w14:val="tx1"/>
            </w14:solidFill>
          </w14:textFill>
        </w:rPr>
        <w:t>使用</w:t>
      </w:r>
      <w:r>
        <w:rPr>
          <w:rFonts w:hint="eastAsia" w:ascii="宋体" w:hAnsi="宋体" w:eastAsia="宋体" w:cs="宋体"/>
          <w:color w:val="000000" w:themeColor="text1"/>
          <w:sz w:val="21"/>
          <w:szCs w:val="21"/>
          <w:highlight w:val="none"/>
          <w:lang w:val="en-US" w:eastAsia="zh-CN"/>
          <w14:textFill>
            <w14:solidFill>
              <w14:schemeClr w14:val="tx1"/>
            </w14:solidFill>
          </w14:textFill>
        </w:rPr>
        <w:t>工装夹具对原材料的一些特定性能进行检测</w:t>
      </w:r>
      <w:r>
        <w:rPr>
          <w:rFonts w:hint="eastAsia" w:ascii="宋体" w:hAnsi="宋体" w:cs="宋体"/>
          <w:color w:val="000000" w:themeColor="text1"/>
          <w:sz w:val="21"/>
          <w:szCs w:val="21"/>
          <w:highlight w:val="none"/>
          <w:lang w:val="en-US" w:eastAsia="zh-CN"/>
          <w14:textFill>
            <w14:solidFill>
              <w14:schemeClr w14:val="tx1"/>
            </w14:solidFill>
          </w14:textFill>
        </w:rPr>
        <w:t>，符合相关</w:t>
      </w:r>
      <w:r>
        <w:rPr>
          <w:rFonts w:hint="eastAsia" w:ascii="宋体" w:hAnsi="宋体" w:eastAsia="宋体" w:cs="宋体"/>
          <w:color w:val="000000" w:themeColor="text1"/>
          <w:sz w:val="21"/>
          <w:szCs w:val="21"/>
          <w:highlight w:val="none"/>
          <w:lang w:val="en-US" w:eastAsia="zh-CN"/>
          <w14:textFill>
            <w14:solidFill>
              <w14:schemeClr w14:val="tx1"/>
            </w14:solidFill>
          </w14:textFill>
        </w:rPr>
        <w:t>标准及本规范要求，</w:t>
      </w:r>
      <w:r>
        <w:rPr>
          <w:rFonts w:hint="eastAsia" w:ascii="宋体" w:hAnsi="宋体" w:cs="宋体"/>
          <w:color w:val="000000" w:themeColor="text1"/>
          <w:sz w:val="21"/>
          <w:szCs w:val="21"/>
          <w:highlight w:val="none"/>
          <w:lang w:val="en-US" w:eastAsia="zh-CN"/>
          <w14:textFill>
            <w14:solidFill>
              <w14:schemeClr w14:val="tx1"/>
            </w14:solidFill>
          </w14:textFill>
        </w:rPr>
        <w:t>做好相关检验记录</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p w14:paraId="7422DB6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5.1.3 </w:t>
      </w:r>
      <w:r>
        <w:rPr>
          <w:rFonts w:hint="eastAsia" w:ascii="宋体" w:hAnsi="宋体" w:cs="宋体"/>
          <w:color w:val="000000" w:themeColor="text1"/>
          <w:sz w:val="21"/>
          <w:szCs w:val="21"/>
          <w:highlight w:val="none"/>
          <w:lang w:val="en-US" w:eastAsia="zh-CN"/>
          <w14:textFill>
            <w14:solidFill>
              <w14:schemeClr w14:val="tx1"/>
            </w14:solidFill>
          </w14:textFill>
        </w:rPr>
        <w:t>使用</w:t>
      </w:r>
      <w:r>
        <w:rPr>
          <w:rFonts w:hint="eastAsia" w:ascii="宋体" w:hAnsi="宋体" w:eastAsia="宋体" w:cs="宋体"/>
          <w:color w:val="000000" w:themeColor="text1"/>
          <w:sz w:val="21"/>
          <w:szCs w:val="21"/>
          <w:highlight w:val="none"/>
          <w:lang w:val="en-US" w:eastAsia="zh-CN"/>
          <w14:textFill>
            <w14:solidFill>
              <w14:schemeClr w14:val="tx1"/>
            </w14:solidFill>
          </w14:textFill>
        </w:rPr>
        <w:t>测量设备及标准量具对原材料的一些特定性能进行检测</w:t>
      </w:r>
      <w:r>
        <w:rPr>
          <w:rFonts w:hint="eastAsia" w:ascii="宋体" w:hAnsi="宋体" w:cs="宋体"/>
          <w:color w:val="000000" w:themeColor="text1"/>
          <w:sz w:val="21"/>
          <w:szCs w:val="21"/>
          <w:highlight w:val="none"/>
          <w:lang w:val="en-US" w:eastAsia="zh-CN"/>
          <w14:textFill>
            <w14:solidFill>
              <w14:schemeClr w14:val="tx1"/>
            </w14:solidFill>
          </w14:textFill>
        </w:rPr>
        <w:t>，符合相关</w:t>
      </w:r>
      <w:r>
        <w:rPr>
          <w:rFonts w:hint="eastAsia" w:ascii="宋体" w:hAnsi="宋体" w:eastAsia="宋体" w:cs="宋体"/>
          <w:color w:val="000000" w:themeColor="text1"/>
          <w:sz w:val="21"/>
          <w:szCs w:val="21"/>
          <w:highlight w:val="none"/>
          <w:lang w:val="en-US" w:eastAsia="zh-CN"/>
          <w14:textFill>
            <w14:solidFill>
              <w14:schemeClr w14:val="tx1"/>
            </w14:solidFill>
          </w14:textFill>
        </w:rPr>
        <w:t>标准及本规范要求，</w:t>
      </w:r>
      <w:r>
        <w:rPr>
          <w:rFonts w:hint="eastAsia" w:ascii="宋体" w:hAnsi="宋体" w:cs="宋体"/>
          <w:color w:val="000000" w:themeColor="text1"/>
          <w:sz w:val="21"/>
          <w:szCs w:val="21"/>
          <w:highlight w:val="none"/>
          <w:lang w:val="en-US" w:eastAsia="zh-CN"/>
          <w14:textFill>
            <w14:solidFill>
              <w14:schemeClr w14:val="tx1"/>
            </w14:solidFill>
          </w14:textFill>
        </w:rPr>
        <w:t>做好相关检验记录</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p w14:paraId="206F909F">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5.1.4 其他原材料：按相关标准及本规范要求进行对应项目检验，确保合格。</w:t>
      </w:r>
    </w:p>
    <w:p w14:paraId="03DBB064">
      <w:pPr>
        <w:pStyle w:val="3"/>
        <w:numPr>
          <w:ilvl w:val="1"/>
          <w:numId w:val="0"/>
        </w:numPr>
        <w:bidi w:val="0"/>
        <w:ind w:leftChars="0"/>
        <w:rPr>
          <w:rFonts w:hint="eastAsia" w:ascii="Times New Roman" w:eastAsia="黑体" w:cs="Times New Roman"/>
          <w:color w:val="000000" w:themeColor="text1"/>
          <w:sz w:val="24"/>
          <w:szCs w:val="24"/>
          <w:highlight w:val="none"/>
          <w:lang w:val="en-US" w:eastAsia="zh-CN"/>
          <w14:textFill>
            <w14:solidFill>
              <w14:schemeClr w14:val="tx1"/>
            </w14:solidFill>
          </w14:textFill>
        </w:rPr>
      </w:pPr>
      <w:bookmarkStart w:id="121" w:name="_Toc9272"/>
      <w:bookmarkStart w:id="122" w:name="_Toc2353"/>
      <w:bookmarkStart w:id="123" w:name="_Toc30932"/>
      <w:bookmarkStart w:id="124" w:name="_Toc6762"/>
      <w:r>
        <w:rPr>
          <w:rFonts w:hint="eastAsia" w:ascii="Times New Roman" w:eastAsia="黑体" w:cs="Times New Roman"/>
          <w:color w:val="000000" w:themeColor="text1"/>
          <w:sz w:val="24"/>
          <w:szCs w:val="24"/>
          <w:highlight w:val="none"/>
          <w:lang w:val="en-US" w:eastAsia="zh-CN"/>
          <w14:textFill>
            <w14:solidFill>
              <w14:schemeClr w14:val="tx1"/>
            </w14:solidFill>
          </w14:textFill>
        </w:rPr>
        <w:t>5.2. 过程检验</w:t>
      </w:r>
      <w:bookmarkEnd w:id="121"/>
      <w:bookmarkEnd w:id="122"/>
      <w:bookmarkEnd w:id="123"/>
      <w:bookmarkEnd w:id="124"/>
    </w:p>
    <w:p w14:paraId="4CB4C1B8">
      <w:pPr>
        <w:widowControl w:val="0"/>
        <w:spacing w:before="120" w:after="120" w:line="288" w:lineRule="auto"/>
        <w:jc w:val="left"/>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b w:val="0"/>
          <w:bCs w:val="0"/>
          <w:i w:val="0"/>
          <w:iCs w:val="0"/>
          <w:caps w:val="0"/>
          <w:color w:val="000000" w:themeColor="text1"/>
          <w:spacing w:val="0"/>
          <w:sz w:val="21"/>
          <w:szCs w:val="21"/>
          <w:highlight w:val="none"/>
          <w:shd w:val="clear"/>
          <w14:textFill>
            <w14:solidFill>
              <w14:schemeClr w14:val="tx1"/>
            </w14:solidFill>
          </w14:textFill>
        </w:rPr>
        <w:t xml:space="preserve">5.2.1 </w:t>
      </w:r>
      <w:r>
        <w:rPr>
          <w:rFonts w:hint="eastAsia" w:ascii="宋体" w:hAnsi="宋体" w:cs="宋体"/>
          <w:b w:val="0"/>
          <w:bCs w:val="0"/>
          <w:i w:val="0"/>
          <w:iCs w:val="0"/>
          <w:caps w:val="0"/>
          <w:color w:val="000000" w:themeColor="text1"/>
          <w:spacing w:val="0"/>
          <w:sz w:val="21"/>
          <w:szCs w:val="21"/>
          <w:highlight w:val="none"/>
          <w:shd w:val="clear"/>
          <w:lang w:val="en-US" w:eastAsia="zh-CN"/>
          <w14:textFill>
            <w14:solidFill>
              <w14:schemeClr w14:val="tx1"/>
            </w14:solidFill>
          </w14:textFill>
        </w:rPr>
        <w:t>模块</w:t>
      </w:r>
      <w:r>
        <w:rPr>
          <w:rFonts w:hint="eastAsia" w:ascii="宋体" w:hAnsi="宋体" w:eastAsia="宋体" w:cs="宋体"/>
          <w:b w:val="0"/>
          <w:bCs w:val="0"/>
          <w:i w:val="0"/>
          <w:iCs w:val="0"/>
          <w:caps w:val="0"/>
          <w:color w:val="000000" w:themeColor="text1"/>
          <w:spacing w:val="0"/>
          <w:sz w:val="21"/>
          <w:szCs w:val="21"/>
          <w:highlight w:val="none"/>
          <w:shd w:val="clear"/>
          <w14:textFill>
            <w14:solidFill>
              <w14:schemeClr w14:val="tx1"/>
            </w14:solidFill>
          </w14:textFill>
        </w:rPr>
        <w:t>检验</w:t>
      </w:r>
      <w:r>
        <w:rPr>
          <w:rFonts w:hint="eastAsia" w:ascii="宋体" w:hAnsi="宋体" w:eastAsia="宋体" w:cs="宋体"/>
          <w:i w:val="0"/>
          <w:iCs w:val="0"/>
          <w:caps w:val="0"/>
          <w:color w:val="000000" w:themeColor="text1"/>
          <w:spacing w:val="0"/>
          <w:sz w:val="21"/>
          <w:szCs w:val="21"/>
          <w:highlight w:val="none"/>
          <w:shd w:val="clear"/>
          <w14:textFill>
            <w14:solidFill>
              <w14:schemeClr w14:val="tx1"/>
            </w14:solidFill>
          </w14:textFill>
        </w:rPr>
        <w:t>：检验</w:t>
      </w:r>
      <w:r>
        <w:rPr>
          <w:rFonts w:hint="eastAsia" w:ascii="宋体" w:hAnsi="宋体" w:cs="宋体"/>
          <w:i w:val="0"/>
          <w:iCs w:val="0"/>
          <w:caps w:val="0"/>
          <w:color w:val="000000" w:themeColor="text1"/>
          <w:spacing w:val="0"/>
          <w:sz w:val="21"/>
          <w:szCs w:val="21"/>
          <w:highlight w:val="none"/>
          <w:shd w:val="clear"/>
          <w:lang w:val="en-US" w:eastAsia="zh-CN"/>
          <w14:textFill>
            <w14:solidFill>
              <w14:schemeClr w14:val="tx1"/>
            </w14:solidFill>
          </w14:textFill>
        </w:rPr>
        <w:t>模块</w:t>
      </w:r>
      <w:r>
        <w:rPr>
          <w:rFonts w:hint="eastAsia" w:ascii="宋体" w:hAnsi="宋体" w:eastAsia="宋体" w:cs="宋体"/>
          <w:i w:val="0"/>
          <w:iCs w:val="0"/>
          <w:caps w:val="0"/>
          <w:color w:val="000000" w:themeColor="text1"/>
          <w:spacing w:val="0"/>
          <w:sz w:val="21"/>
          <w:szCs w:val="21"/>
          <w:highlight w:val="none"/>
          <w:shd w:val="clear"/>
          <w14:textFill>
            <w14:solidFill>
              <w14:schemeClr w14:val="tx1"/>
            </w14:solidFill>
          </w14:textFill>
        </w:rPr>
        <w:t>PCB板焊接质量，包括焊点外观、润湿性、无虚焊、无连焊、无锡珠、无气孔、无裂纹等</w:t>
      </w:r>
      <w:r>
        <w:rPr>
          <w:rFonts w:hint="eastAsia" w:ascii="宋体" w:hAnsi="宋体" w:cs="宋体"/>
          <w:i w:val="0"/>
          <w:iCs w:val="0"/>
          <w:caps w:val="0"/>
          <w:color w:val="000000" w:themeColor="text1"/>
          <w:spacing w:val="0"/>
          <w:sz w:val="21"/>
          <w:szCs w:val="21"/>
          <w:highlight w:val="none"/>
          <w:shd w:val="clear"/>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1"/>
          <w:szCs w:val="21"/>
          <w:highlight w:val="none"/>
          <w:shd w:val="clear"/>
          <w14:textFill>
            <w14:solidFill>
              <w14:schemeClr w14:val="tx1"/>
            </w14:solidFill>
          </w14:textFill>
        </w:rPr>
        <w:t>确保焊接质量符合</w:t>
      </w:r>
      <w:r>
        <w:rPr>
          <w:rFonts w:hint="eastAsia" w:ascii="宋体" w:hAnsi="宋体" w:eastAsia="宋体" w:cs="宋体"/>
          <w:i w:val="0"/>
          <w:iCs w:val="0"/>
          <w:caps w:val="0"/>
          <w:color w:val="000000" w:themeColor="text1"/>
          <w:spacing w:val="0"/>
          <w:sz w:val="21"/>
          <w:szCs w:val="21"/>
          <w:highlight w:val="none"/>
          <w:shd w:val="clear"/>
          <w:lang w:val="en-US" w:eastAsia="zh-CN"/>
          <w14:textFill>
            <w14:solidFill>
              <w14:schemeClr w14:val="tx1"/>
            </w14:solidFill>
          </w14:textFill>
        </w:rPr>
        <w:t>本规范要求</w:t>
      </w:r>
      <w:r>
        <w:rPr>
          <w:rFonts w:hint="eastAsia" w:ascii="宋体" w:hAnsi="宋体" w:eastAsia="宋体" w:cs="宋体"/>
          <w:i w:val="0"/>
          <w:iCs w:val="0"/>
          <w:caps w:val="0"/>
          <w:color w:val="000000" w:themeColor="text1"/>
          <w:spacing w:val="0"/>
          <w:sz w:val="21"/>
          <w:szCs w:val="21"/>
          <w:highlight w:val="none"/>
          <w:shd w:val="clear"/>
          <w14:textFill>
            <w14:solidFill>
              <w14:schemeClr w14:val="tx1"/>
            </w14:solidFill>
          </w14:textFill>
        </w:rPr>
        <w:t>。</w:t>
      </w:r>
    </w:p>
    <w:p w14:paraId="2AAC1289">
      <w:pPr>
        <w:widowControl w:val="0"/>
        <w:spacing w:before="120" w:after="120" w:line="288" w:lineRule="auto"/>
        <w:jc w:val="left"/>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b w:val="0"/>
          <w:bCs w:val="0"/>
          <w:i w:val="0"/>
          <w:iCs w:val="0"/>
          <w:caps w:val="0"/>
          <w:color w:val="000000" w:themeColor="text1"/>
          <w:spacing w:val="0"/>
          <w:sz w:val="21"/>
          <w:szCs w:val="21"/>
          <w:highlight w:val="none"/>
          <w:shd w:val="clear"/>
          <w14:textFill>
            <w14:solidFill>
              <w14:schemeClr w14:val="tx1"/>
            </w14:solidFill>
          </w14:textFill>
        </w:rPr>
        <w:t>5.2.2 机加工检验</w:t>
      </w:r>
      <w:r>
        <w:rPr>
          <w:rFonts w:hint="eastAsia" w:ascii="宋体" w:hAnsi="宋体" w:eastAsia="宋体" w:cs="宋体"/>
          <w:i w:val="0"/>
          <w:iCs w:val="0"/>
          <w:caps w:val="0"/>
          <w:color w:val="000000" w:themeColor="text1"/>
          <w:spacing w:val="0"/>
          <w:sz w:val="21"/>
          <w:szCs w:val="21"/>
          <w:highlight w:val="none"/>
          <w:shd w:val="clear"/>
          <w14:textFill>
            <w14:solidFill>
              <w14:schemeClr w14:val="tx1"/>
            </w14:solidFill>
          </w14:textFill>
        </w:rPr>
        <w:t>：检验外壳（塑料或铝合金）、接线端子、结构支架等零部件的加工尺寸、精度、表面光洁度、螺纹质量等，符合图纸及模具要求。</w:t>
      </w:r>
    </w:p>
    <w:p w14:paraId="413CC15B">
      <w:pPr>
        <w:widowControl w:val="0"/>
        <w:spacing w:before="120" w:after="120" w:line="288" w:lineRule="auto"/>
        <w:jc w:val="left"/>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b w:val="0"/>
          <w:bCs w:val="0"/>
          <w:i w:val="0"/>
          <w:iCs w:val="0"/>
          <w:caps w:val="0"/>
          <w:color w:val="000000" w:themeColor="text1"/>
          <w:spacing w:val="0"/>
          <w:sz w:val="21"/>
          <w:szCs w:val="21"/>
          <w:highlight w:val="none"/>
          <w:shd w:val="clear"/>
          <w14:textFill>
            <w14:solidFill>
              <w14:schemeClr w14:val="tx1"/>
            </w14:solidFill>
          </w14:textFill>
        </w:rPr>
        <w:t>5.2.3 表面处理检验</w:t>
      </w:r>
      <w:r>
        <w:rPr>
          <w:rFonts w:hint="eastAsia" w:ascii="宋体" w:hAnsi="宋体" w:eastAsia="宋体" w:cs="宋体"/>
          <w:i w:val="0"/>
          <w:iCs w:val="0"/>
          <w:caps w:val="0"/>
          <w:color w:val="000000" w:themeColor="text1"/>
          <w:spacing w:val="0"/>
          <w:sz w:val="21"/>
          <w:szCs w:val="21"/>
          <w:highlight w:val="none"/>
          <w:shd w:val="clear"/>
          <w14:textFill>
            <w14:solidFill>
              <w14:schemeClr w14:val="tx1"/>
            </w14:solidFill>
          </w14:textFill>
        </w:rPr>
        <w:t>：检验外壳涂层（如喷塑、氧化、电镀）的厚度、均匀性、附着力，以及铭牌、激光刻印或标签的清晰度与牢固度，符合本规范要求。</w:t>
      </w:r>
    </w:p>
    <w:p w14:paraId="7A35D0A1">
      <w:pPr>
        <w:widowControl w:val="0"/>
        <w:spacing w:before="120" w:after="120" w:line="288" w:lineRule="auto"/>
        <w:jc w:val="left"/>
        <w:rPr>
          <w:rFonts w:hint="eastAsia" w:ascii="宋体" w:hAnsi="宋体" w:eastAsia="宋体" w:cs="宋体"/>
          <w:i w:val="0"/>
          <w:iCs w:val="0"/>
          <w:cap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b w:val="0"/>
          <w:bCs w:val="0"/>
          <w:i w:val="0"/>
          <w:iCs w:val="0"/>
          <w:caps w:val="0"/>
          <w:color w:val="000000" w:themeColor="text1"/>
          <w:spacing w:val="0"/>
          <w:sz w:val="21"/>
          <w:szCs w:val="21"/>
          <w:highlight w:val="none"/>
          <w:shd w:val="clear"/>
          <w14:textFill>
            <w14:solidFill>
              <w14:schemeClr w14:val="tx1"/>
            </w14:solidFill>
          </w14:textFill>
        </w:rPr>
        <w:t>5.2.4 组装检验</w:t>
      </w:r>
      <w:r>
        <w:rPr>
          <w:rFonts w:hint="eastAsia" w:ascii="宋体" w:hAnsi="宋体" w:eastAsia="宋体" w:cs="宋体"/>
          <w:i w:val="0"/>
          <w:iCs w:val="0"/>
          <w:caps w:val="0"/>
          <w:color w:val="000000" w:themeColor="text1"/>
          <w:spacing w:val="0"/>
          <w:sz w:val="21"/>
          <w:szCs w:val="21"/>
          <w:highlight w:val="none"/>
          <w:shd w:val="clear"/>
          <w14:textFill>
            <w14:solidFill>
              <w14:schemeClr w14:val="tx1"/>
            </w14:solidFill>
          </w14:textFill>
        </w:rPr>
        <w:t>：检验各部件（</w:t>
      </w:r>
      <w:r>
        <w:rPr>
          <w:rFonts w:hint="eastAsia" w:ascii="宋体" w:hAnsi="宋体" w:cs="宋体"/>
          <w:i w:val="0"/>
          <w:iCs w:val="0"/>
          <w:caps w:val="0"/>
          <w:color w:val="000000" w:themeColor="text1"/>
          <w:spacing w:val="0"/>
          <w:sz w:val="21"/>
          <w:szCs w:val="21"/>
          <w:highlight w:val="none"/>
          <w:shd w:val="clear"/>
          <w:lang w:val="en-US" w:eastAsia="zh-CN"/>
          <w14:textFill>
            <w14:solidFill>
              <w14:schemeClr w14:val="tx1"/>
            </w14:solidFill>
          </w14:textFill>
        </w:rPr>
        <w:t>各模块</w:t>
      </w:r>
      <w:r>
        <w:rPr>
          <w:rFonts w:hint="eastAsia" w:ascii="宋体" w:hAnsi="宋体" w:eastAsia="宋体" w:cs="宋体"/>
          <w:i w:val="0"/>
          <w:iCs w:val="0"/>
          <w:caps w:val="0"/>
          <w:color w:val="000000" w:themeColor="text1"/>
          <w:spacing w:val="0"/>
          <w:sz w:val="21"/>
          <w:szCs w:val="21"/>
          <w:highlight w:val="none"/>
          <w:shd w:val="clear"/>
          <w14:textFill>
            <w14:solidFill>
              <w14:schemeClr w14:val="tx1"/>
            </w14:solidFill>
          </w14:textFill>
        </w:rPr>
        <w:t>组件、显示屏、按键、电池、继电器、接线端子等）安装牢固度，螺丝紧固力矩，封印及防拆机构可靠性，接线端子锁紧性能，显示模块对位准确性，整机密封性（满足IP防护等级要求），以及通电后的基本功能（如显示、脉冲输出、通信等），符合本规范要求</w:t>
      </w:r>
      <w:r>
        <w:rPr>
          <w:rFonts w:hint="eastAsia" w:ascii="宋体" w:hAnsi="宋体" w:eastAsia="宋体" w:cs="宋体"/>
          <w:i w:val="0"/>
          <w:iCs w:val="0"/>
          <w:caps w:val="0"/>
          <w:color w:val="000000" w:themeColor="text1"/>
          <w:spacing w:val="0"/>
          <w:sz w:val="21"/>
          <w:szCs w:val="21"/>
          <w:highlight w:val="none"/>
          <w:shd w:val="clear"/>
          <w:lang w:eastAsia="zh-CN"/>
          <w14:textFill>
            <w14:solidFill>
              <w14:schemeClr w14:val="tx1"/>
            </w14:solidFill>
          </w14:textFill>
        </w:rPr>
        <w:t>。</w:t>
      </w:r>
    </w:p>
    <w:p w14:paraId="6D8BEB7B">
      <w:pPr>
        <w:pStyle w:val="3"/>
        <w:numPr>
          <w:ilvl w:val="1"/>
          <w:numId w:val="0"/>
        </w:numPr>
        <w:bidi w:val="0"/>
        <w:ind w:leftChars="0"/>
        <w:rPr>
          <w:rFonts w:hint="eastAsia" w:ascii="Times New Roman" w:eastAsia="黑体" w:cs="Times New Roman"/>
          <w:color w:val="000000" w:themeColor="text1"/>
          <w:sz w:val="24"/>
          <w:szCs w:val="24"/>
          <w:highlight w:val="none"/>
          <w:lang w:val="en-US" w:eastAsia="zh-CN"/>
          <w14:textFill>
            <w14:solidFill>
              <w14:schemeClr w14:val="tx1"/>
            </w14:solidFill>
          </w14:textFill>
        </w:rPr>
      </w:pPr>
      <w:bookmarkStart w:id="125" w:name="_Toc25105"/>
      <w:bookmarkStart w:id="126" w:name="_Toc19267"/>
      <w:bookmarkStart w:id="127" w:name="_Toc1682"/>
      <w:bookmarkStart w:id="128" w:name="_Toc28021"/>
      <w:r>
        <w:rPr>
          <w:rFonts w:hint="eastAsia" w:ascii="Times New Roman" w:eastAsia="黑体" w:cs="Times New Roman"/>
          <w:color w:val="000000" w:themeColor="text1"/>
          <w:sz w:val="24"/>
          <w:szCs w:val="24"/>
          <w:highlight w:val="none"/>
          <w:lang w:val="en-US" w:eastAsia="zh-CN"/>
          <w14:textFill>
            <w14:solidFill>
              <w14:schemeClr w14:val="tx1"/>
            </w14:solidFill>
          </w14:textFill>
        </w:rPr>
        <w:t>5.3. 出厂试验</w:t>
      </w:r>
      <w:bookmarkEnd w:id="125"/>
      <w:bookmarkEnd w:id="126"/>
      <w:bookmarkEnd w:id="127"/>
      <w:bookmarkEnd w:id="128"/>
    </w:p>
    <w:p w14:paraId="42940AE4">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每台设备出厂前均完成全项出厂试验，试验项目及要求如下：</w:t>
      </w:r>
    </w:p>
    <w:p w14:paraId="199BC439">
      <w:pPr>
        <w:spacing w:before="120" w:line="288" w:lineRule="auto"/>
        <w:jc w:val="left"/>
        <w:outlineLvl w:val="9"/>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5.3.1 </w:t>
      </w:r>
      <w:r>
        <w:rPr>
          <w:rFonts w:hint="eastAsia" w:ascii="宋体" w:hAnsi="宋体" w:eastAsia="宋体" w:cs="宋体"/>
          <w:color w:val="000000" w:themeColor="text1"/>
          <w:szCs w:val="21"/>
          <w:highlight w:val="none"/>
          <w14:textFill>
            <w14:solidFill>
              <w14:schemeClr w14:val="tx1"/>
            </w14:solidFill>
          </w14:textFill>
        </w:rPr>
        <w:t>结构和外观检查</w:t>
      </w:r>
    </w:p>
    <w:p w14:paraId="16543A5A">
      <w:pPr>
        <w:pStyle w:val="12"/>
        <w:numPr>
          <w:ilvl w:val="0"/>
          <w:numId w:val="10"/>
        </w:numPr>
        <w:ind w:left="420" w:hanging="42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外壳、端子、铭牌、按钮、液晶屏等无破损、无污渍、无划痕，安装牢固、无错装漏装；</w:t>
      </w:r>
    </w:p>
    <w:p w14:paraId="64579C11">
      <w:pPr>
        <w:pStyle w:val="12"/>
        <w:numPr>
          <w:ilvl w:val="0"/>
          <w:numId w:val="10"/>
        </w:numPr>
        <w:ind w:left="420" w:hanging="42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铭牌参数、条码信息与订货要求一致，字迹清晰、粘贴平整；</w:t>
      </w:r>
    </w:p>
    <w:p w14:paraId="1C7C011E">
      <w:pPr>
        <w:pStyle w:val="12"/>
        <w:numPr>
          <w:ilvl w:val="0"/>
          <w:numId w:val="10"/>
        </w:numPr>
        <w:ind w:left="420" w:hanging="42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铅封、防拆封签完好，封印位置符合图纸要求；</w:t>
      </w:r>
    </w:p>
    <w:p w14:paraId="4788951A">
      <w:pPr>
        <w:pStyle w:val="12"/>
        <w:numPr>
          <w:ilvl w:val="0"/>
          <w:numId w:val="10"/>
        </w:numPr>
        <w:ind w:left="420" w:hanging="42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显示屏</w:t>
      </w:r>
      <w:r>
        <w:rPr>
          <w:rFonts w:hint="eastAsia" w:ascii="宋体" w:hAnsi="宋体" w:cs="宋体"/>
          <w:color w:val="000000" w:themeColor="text1"/>
          <w:szCs w:val="21"/>
          <w:highlight w:val="none"/>
          <w14:textFill>
            <w14:solidFill>
              <w14:schemeClr w14:val="tx1"/>
            </w14:solidFill>
          </w14:textFill>
        </w:rPr>
        <w:t>显示完整、无缺划、无显示异常，背光均匀可读。</w:t>
      </w:r>
    </w:p>
    <w:p w14:paraId="2204F77B">
      <w:pPr>
        <w:keepNext w:val="0"/>
        <w:keepLines w:val="0"/>
        <w:pageBreakBefore w:val="0"/>
        <w:kinsoku/>
        <w:wordWrap/>
        <w:overflowPunct/>
        <w:topLinePunct w:val="0"/>
        <w:autoSpaceDE/>
        <w:autoSpaceDN/>
        <w:bidi w:val="0"/>
        <w:adjustRightInd/>
        <w:snapToGrid/>
        <w:spacing w:before="120" w:after="120" w:line="288" w:lineRule="auto"/>
        <w:jc w:val="left"/>
        <w:textAlignment w:val="auto"/>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5.3.2</w:t>
      </w:r>
      <w:r>
        <w:rPr>
          <w:rFonts w:hint="eastAsia" w:ascii="宋体" w:hAnsi="宋体" w:eastAsia="宋体" w:cs="宋体"/>
          <w:color w:val="000000" w:themeColor="text1"/>
          <w:szCs w:val="21"/>
          <w:highlight w:val="none"/>
          <w14:textFill>
            <w14:solidFill>
              <w14:schemeClr w14:val="tx1"/>
            </w14:solidFill>
          </w14:textFill>
        </w:rPr>
        <w:t xml:space="preserve"> 基本功能试验</w:t>
      </w:r>
    </w:p>
    <w:p w14:paraId="03DBB32B">
      <w:pPr>
        <w:widowControl w:val="0"/>
        <w:numPr>
          <w:ilvl w:val="0"/>
          <w:numId w:val="11"/>
        </w:numPr>
        <w:spacing w:before="120" w:after="120" w:line="288" w:lineRule="auto"/>
        <w:ind w:left="425" w:hanging="425"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基本误差测试</w:t>
      </w:r>
    </w:p>
    <w:p w14:paraId="01592FCC">
      <w:pPr>
        <w:pStyle w:val="12"/>
        <w:ind w:firstLine="420" w:firstLineChars="20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在参比电压、参比频率、额定电流及相应功率因数条件下，各负载点误差均不超出准确度等级允许范围</w:t>
      </w:r>
      <w:r>
        <w:rPr>
          <w:rFonts w:hint="eastAsia" w:ascii="宋体" w:hAnsi="宋体" w:cs="宋体"/>
          <w:color w:val="000000" w:themeColor="text1"/>
          <w:szCs w:val="21"/>
          <w:highlight w:val="none"/>
          <w:lang w:eastAsia="zh-CN"/>
          <w14:textFill>
            <w14:solidFill>
              <w14:schemeClr w14:val="tx1"/>
            </w14:solidFill>
          </w14:textFill>
        </w:rPr>
        <w:t>。</w:t>
      </w:r>
    </w:p>
    <w:p w14:paraId="1319A3D4">
      <w:pPr>
        <w:numPr>
          <w:ilvl w:val="0"/>
          <w:numId w:val="11"/>
        </w:numPr>
        <w:spacing w:before="120" w:line="288" w:lineRule="auto"/>
        <w:ind w:left="425" w:hanging="425"/>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起动与潜动试验</w:t>
      </w:r>
    </w:p>
    <w:p w14:paraId="3108108A">
      <w:pPr>
        <w:numPr>
          <w:ilvl w:val="0"/>
          <w:numId w:val="12"/>
        </w:numPr>
        <w:spacing w:before="120" w:line="288" w:lineRule="auto"/>
        <w:ind w:left="420" w:hanging="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起动试验：在额定电压、额定频率及规定起动电流下，</w:t>
      </w:r>
      <w:r>
        <w:rPr>
          <w:rFonts w:hint="eastAsia" w:ascii="宋体" w:hAnsi="宋体" w:eastAsia="宋体" w:cs="宋体"/>
          <w:color w:val="000000" w:themeColor="text1"/>
          <w:szCs w:val="21"/>
          <w:highlight w:val="none"/>
          <w:lang w:val="en-US" w:eastAsia="zh-CN"/>
          <w14:textFill>
            <w14:solidFill>
              <w14:schemeClr w14:val="tx1"/>
            </w14:solidFill>
          </w14:textFill>
        </w:rPr>
        <w:t>安装式数字直流</w:t>
      </w:r>
      <w:r>
        <w:rPr>
          <w:rFonts w:hint="eastAsia" w:ascii="宋体" w:hAnsi="宋体" w:eastAsia="宋体" w:cs="宋体"/>
          <w:color w:val="000000" w:themeColor="text1"/>
          <w:szCs w:val="21"/>
          <w:highlight w:val="none"/>
          <w14:textFill>
            <w14:solidFill>
              <w14:schemeClr w14:val="tx1"/>
            </w14:solidFill>
          </w14:textFill>
        </w:rPr>
        <w:t>电能表应连续计量，不应出现停走或丢脉冲现象；</w:t>
      </w:r>
    </w:p>
    <w:p w14:paraId="1F4D8857">
      <w:pPr>
        <w:numPr>
          <w:ilvl w:val="0"/>
          <w:numId w:val="12"/>
        </w:numPr>
        <w:spacing w:before="120" w:line="288" w:lineRule="auto"/>
        <w:ind w:left="420" w:hanging="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潜动试验：电压回路施加参比电压，电流回路无负载时，</w:t>
      </w:r>
      <w:r>
        <w:rPr>
          <w:rFonts w:hint="eastAsia" w:ascii="宋体" w:hAnsi="宋体" w:eastAsia="宋体" w:cs="宋体"/>
          <w:color w:val="000000" w:themeColor="text1"/>
          <w:szCs w:val="21"/>
          <w:highlight w:val="none"/>
          <w:lang w:val="en-US" w:eastAsia="zh-CN"/>
          <w14:textFill>
            <w14:solidFill>
              <w14:schemeClr w14:val="tx1"/>
            </w14:solidFill>
          </w14:textFill>
        </w:rPr>
        <w:t>安装式数字直流</w:t>
      </w:r>
      <w:r>
        <w:rPr>
          <w:rFonts w:hint="eastAsia" w:ascii="宋体" w:hAnsi="宋体" w:eastAsia="宋体" w:cs="宋体"/>
          <w:color w:val="000000" w:themeColor="text1"/>
          <w:szCs w:val="21"/>
          <w:highlight w:val="none"/>
          <w14:textFill>
            <w14:solidFill>
              <w14:schemeClr w14:val="tx1"/>
            </w14:solidFill>
          </w14:textFill>
        </w:rPr>
        <w:t>电能表不应产生多于一个脉冲的非正常输出。</w:t>
      </w:r>
    </w:p>
    <w:p w14:paraId="3BD685F1">
      <w:pPr>
        <w:widowControl w:val="0"/>
        <w:numPr>
          <w:ilvl w:val="0"/>
          <w:numId w:val="11"/>
        </w:numPr>
        <w:spacing w:before="120" w:after="120" w:line="288" w:lineRule="auto"/>
        <w:ind w:left="425" w:hanging="425"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仪表常数试验</w:t>
      </w:r>
    </w:p>
    <w:p w14:paraId="66E9BACD">
      <w:pPr>
        <w:pStyle w:val="12"/>
        <w:ind w:firstLine="420" w:firstLineChars="2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输出脉冲常数应与铭牌标称值及协议一致，误差不超过±0.1%。</w:t>
      </w:r>
    </w:p>
    <w:p w14:paraId="597570DC">
      <w:pPr>
        <w:widowControl w:val="0"/>
        <w:numPr>
          <w:ilvl w:val="0"/>
          <w:numId w:val="11"/>
        </w:numPr>
        <w:spacing w:before="120" w:after="120" w:line="288" w:lineRule="auto"/>
        <w:ind w:left="425" w:hanging="425"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走字试验</w:t>
      </w:r>
    </w:p>
    <w:p w14:paraId="16536A28">
      <w:pPr>
        <w:pStyle w:val="12"/>
        <w:ind w:firstLine="420" w:firstLineChars="2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连续累计运行一定走字数，累计电能量与标准表比对误差符合精度要求，无跳字、卡字、进位错误等异常。</w:t>
      </w:r>
    </w:p>
    <w:p w14:paraId="01F3779B">
      <w:pPr>
        <w:widowControl w:val="0"/>
        <w:numPr>
          <w:ilvl w:val="0"/>
          <w:numId w:val="11"/>
        </w:numPr>
        <w:spacing w:before="120" w:after="120" w:line="288" w:lineRule="auto"/>
        <w:ind w:left="425" w:hanging="425"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需量示值误差验证</w:t>
      </w:r>
    </w:p>
    <w:p w14:paraId="5605BA6B">
      <w:pPr>
        <w:pStyle w:val="12"/>
        <w:spacing w:line="288" w:lineRule="auto"/>
        <w:ind w:firstLine="420" w:firstLineChars="200"/>
        <w:rPr>
          <w:rFonts w:hint="default"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在额定电流及需量周期条件下，需量示值误差满足准确度等级要求。</w:t>
      </w:r>
    </w:p>
    <w:p w14:paraId="11C49BB0">
      <w:pPr>
        <w:widowControl w:val="0"/>
        <w:numPr>
          <w:ilvl w:val="0"/>
          <w:numId w:val="11"/>
        </w:numPr>
        <w:spacing w:before="120" w:after="120" w:line="288" w:lineRule="auto"/>
        <w:ind w:left="425" w:hanging="425"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通信</w:t>
      </w:r>
      <w:r>
        <w:rPr>
          <w:rFonts w:hint="eastAsia" w:ascii="宋体" w:hAnsi="宋体" w:eastAsia="宋体" w:cs="宋体"/>
          <w:color w:val="000000" w:themeColor="text1"/>
          <w:szCs w:val="21"/>
          <w:highlight w:val="none"/>
          <w:lang w:val="en-US" w:eastAsia="zh-CN"/>
          <w14:textFill>
            <w14:solidFill>
              <w14:schemeClr w14:val="tx1"/>
            </w14:solidFill>
          </w14:textFill>
        </w:rPr>
        <w:t>协议一致性验证</w:t>
      </w:r>
    </w:p>
    <w:p w14:paraId="1ADBFB61">
      <w:pPr>
        <w:pStyle w:val="12"/>
        <w:spacing w:line="288" w:lineRule="auto"/>
        <w:ind w:firstLine="420" w:firstLineChars="200"/>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t>RS485通信接口，在额定电压下进行协议帧收发测试，通信规约符合DL/T645-2007协议格式规定，数据读取与设置功能正常。</w:t>
      </w:r>
    </w:p>
    <w:p w14:paraId="25AA393C">
      <w:pPr>
        <w:pStyle w:val="12"/>
        <w:spacing w:line="288" w:lineRule="auto"/>
        <w:ind w:firstLine="420" w:firstLineChars="200"/>
        <w:rPr>
          <w:rFonts w:hint="default" w:ascii="宋体" w:hAnsi="宋体" w:eastAsia="宋体" w:cs="宋体"/>
          <w:color w:val="000000" w:themeColor="text1"/>
          <w:sz w:val="21"/>
          <w:szCs w:val="21"/>
          <w:highlight w:val="none"/>
          <w:lang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FT3收发接口进行协议帧收发测试，通讯规约符合</w:t>
      </w:r>
      <w:r>
        <w:rPr>
          <w:rFonts w:hint="default" w:ascii="宋体" w:hAnsi="宋体" w:eastAsia="宋体" w:cs="宋体"/>
          <w:color w:val="000000" w:themeColor="text1"/>
          <w:sz w:val="21"/>
          <w:szCs w:val="21"/>
          <w:highlight w:val="none"/>
          <w14:textFill>
            <w14:solidFill>
              <w14:schemeClr w14:val="tx1"/>
            </w14:solidFill>
          </w14:textFill>
        </w:rPr>
        <w:t>IEC60044-8</w:t>
      </w:r>
      <w:r>
        <w:rPr>
          <w:rFonts w:hint="default" w:ascii="宋体" w:hAnsi="宋体" w:eastAsia="宋体" w:cs="宋体"/>
          <w:color w:val="000000" w:themeColor="text1"/>
          <w:sz w:val="21"/>
          <w:szCs w:val="21"/>
          <w:highlight w:val="none"/>
          <w:lang w:val="en-US" w:eastAsia="zh-CN"/>
          <w14:textFill>
            <w14:solidFill>
              <w14:schemeClr w14:val="tx1"/>
            </w14:solidFill>
          </w14:textFill>
        </w:rPr>
        <w:t>中</w:t>
      </w:r>
      <w:r>
        <w:rPr>
          <w:rFonts w:hint="default" w:ascii="宋体" w:hAnsi="宋体" w:eastAsia="宋体" w:cs="宋体"/>
          <w:color w:val="000000" w:themeColor="text1"/>
          <w:szCs w:val="21"/>
          <w:highlight w:val="none"/>
          <w14:textFill>
            <w14:solidFill>
              <w14:schemeClr w14:val="tx1"/>
            </w14:solidFill>
          </w14:textFill>
        </w:rPr>
        <w:t>定义的FT3采样值传输协议</w:t>
      </w:r>
      <w:r>
        <w:rPr>
          <w:rFonts w:hint="default" w:ascii="宋体" w:hAnsi="宋体" w:eastAsia="宋体" w:cs="宋体"/>
          <w:color w:val="000000" w:themeColor="text1"/>
          <w:szCs w:val="21"/>
          <w:highlight w:val="none"/>
          <w:lang w:eastAsia="zh-CN"/>
          <w14:textFill>
            <w14:solidFill>
              <w14:schemeClr w14:val="tx1"/>
            </w14:solidFill>
          </w14:textFill>
        </w:rPr>
        <w:t>。</w:t>
      </w:r>
    </w:p>
    <w:p w14:paraId="47D34048">
      <w:pPr>
        <w:keepNext w:val="0"/>
        <w:keepLines w:val="0"/>
        <w:pageBreakBefore w:val="0"/>
        <w:numPr>
          <w:ilvl w:val="0"/>
          <w:numId w:val="11"/>
        </w:numPr>
        <w:kinsoku/>
        <w:wordWrap/>
        <w:overflowPunct/>
        <w:topLinePunct w:val="0"/>
        <w:autoSpaceDE/>
        <w:autoSpaceDN/>
        <w:bidi w:val="0"/>
        <w:adjustRightInd/>
        <w:snapToGrid/>
        <w:spacing w:before="120" w:after="120" w:line="288" w:lineRule="auto"/>
        <w:ind w:left="425" w:hanging="425"/>
        <w:jc w:val="left"/>
        <w:textAlignment w:val="auto"/>
        <w:outlineLvl w:val="9"/>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绝缘电阻试验</w:t>
      </w:r>
    </w:p>
    <w:p w14:paraId="78AF3711">
      <w:pPr>
        <w:pStyle w:val="12"/>
        <w:spacing w:line="288" w:lineRule="auto"/>
        <w:ind w:firstLine="420" w:firstLineChars="200"/>
        <w:rPr>
          <w:rFonts w:hint="default" w:ascii="宋体" w:hAnsi="宋体" w:cs="宋体"/>
          <w:color w:val="000000" w:themeColor="text1"/>
          <w:szCs w:val="21"/>
          <w:highlight w:val="none"/>
          <w:lang w:val="en-US" w:eastAsia="zh-CN"/>
          <w14:textFill>
            <w14:solidFill>
              <w14:schemeClr w14:val="tx1"/>
            </w14:solidFill>
          </w14:textFill>
        </w:rPr>
      </w:pPr>
      <w:r>
        <w:rPr>
          <w:rFonts w:hint="default" w:ascii="宋体" w:hAnsi="宋体" w:cs="宋体"/>
          <w:color w:val="000000" w:themeColor="text1"/>
          <w:szCs w:val="21"/>
          <w:highlight w:val="none"/>
          <w:lang w:val="en-US" w:eastAsia="zh-CN"/>
          <w14:textFill>
            <w14:solidFill>
              <w14:schemeClr w14:val="tx1"/>
            </w14:solidFill>
          </w14:textFill>
        </w:rPr>
        <w:t>对辅助电源电子对机壳(地)、输入端子对辅助电源端子以及输入端子对机壳(地)的绝缘电阻，阻值应不低于100MΩ。</w:t>
      </w:r>
    </w:p>
    <w:p w14:paraId="0F08CEB8">
      <w:pPr>
        <w:keepNext w:val="0"/>
        <w:keepLines w:val="0"/>
        <w:pageBreakBefore w:val="0"/>
        <w:kinsoku/>
        <w:wordWrap/>
        <w:overflowPunct/>
        <w:topLinePunct w:val="0"/>
        <w:autoSpaceDE/>
        <w:autoSpaceDN/>
        <w:bidi w:val="0"/>
        <w:adjustRightInd/>
        <w:snapToGrid/>
        <w:spacing w:before="120" w:after="120" w:line="288" w:lineRule="auto"/>
        <w:jc w:val="left"/>
        <w:textAlignment w:val="auto"/>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5</w:t>
      </w:r>
      <w:r>
        <w:rPr>
          <w:rFonts w:hint="eastAsia" w:ascii="宋体" w:hAnsi="宋体" w:eastAsia="宋体" w:cs="宋体"/>
          <w:color w:val="000000" w:themeColor="text1"/>
          <w:szCs w:val="21"/>
          <w:highlight w:val="none"/>
          <w14:textFill>
            <w14:solidFill>
              <w14:schemeClr w14:val="tx1"/>
            </w14:solidFill>
          </w14:textFill>
        </w:rPr>
        <w:t>.3.3 连续通电试验</w:t>
      </w:r>
    </w:p>
    <w:p w14:paraId="68A8383C">
      <w:pPr>
        <w:pStyle w:val="12"/>
        <w:spacing w:line="288" w:lineRule="auto"/>
        <w:ind w:firstLine="420" w:firstLineChars="200"/>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Cs w:val="21"/>
          <w:highlight w:val="none"/>
          <w14:textFill>
            <w14:solidFill>
              <w14:schemeClr w14:val="tx1"/>
            </w14:solidFill>
          </w14:textFill>
        </w:rPr>
        <w:t>在专门的老化室或老化线上，环境温度应按照GB/T 17215.303-2022标准要求，加温至不低于55℃（或依据具体产品规范设定更高温度）。在此温度条件下，对</w:t>
      </w:r>
      <w:r>
        <w:rPr>
          <w:rFonts w:hint="default" w:ascii="宋体" w:hAnsi="宋体" w:eastAsia="宋体" w:cs="宋体"/>
          <w:color w:val="000000" w:themeColor="text1"/>
          <w:szCs w:val="21"/>
          <w:highlight w:val="none"/>
          <w:lang w:val="en-US" w:eastAsia="zh-CN"/>
          <w14:textFill>
            <w14:solidFill>
              <w14:schemeClr w14:val="tx1"/>
            </w14:solidFill>
          </w14:textFill>
        </w:rPr>
        <w:t>安装式数字直流</w:t>
      </w:r>
      <w:r>
        <w:rPr>
          <w:rFonts w:hint="default" w:ascii="宋体" w:hAnsi="宋体" w:eastAsia="宋体" w:cs="宋体"/>
          <w:color w:val="000000" w:themeColor="text1"/>
          <w:szCs w:val="21"/>
          <w:highlight w:val="none"/>
          <w14:textFill>
            <w14:solidFill>
              <w14:schemeClr w14:val="tx1"/>
            </w14:solidFill>
          </w14:textFill>
        </w:rPr>
        <w:t>电能表施加额定电压与额定电流，连续通电运行72小时。老化周期结束后，被试电能表需在恢复正常环境条件后，重新进行基本误差测试、功能验证及相关性能检查，各项指标均满足标准及技术规范要求，方可判定为合格。</w:t>
      </w:r>
    </w:p>
    <w:p w14:paraId="052B5875">
      <w:pPr>
        <w:pStyle w:val="3"/>
        <w:numPr>
          <w:ilvl w:val="1"/>
          <w:numId w:val="0"/>
        </w:numPr>
        <w:bidi w:val="0"/>
        <w:ind w:leftChars="0"/>
        <w:rPr>
          <w:rFonts w:hint="eastAsia" w:ascii="Times New Roman" w:eastAsia="黑体" w:cs="Times New Roman"/>
          <w:color w:val="000000" w:themeColor="text1"/>
          <w:sz w:val="24"/>
          <w:szCs w:val="24"/>
          <w:highlight w:val="none"/>
          <w:lang w:val="en-US" w:eastAsia="zh-CN"/>
          <w14:textFill>
            <w14:solidFill>
              <w14:schemeClr w14:val="tx1"/>
            </w14:solidFill>
          </w14:textFill>
        </w:rPr>
      </w:pPr>
      <w:bookmarkStart w:id="129" w:name="_Toc26822"/>
      <w:bookmarkStart w:id="130" w:name="_Toc30450"/>
      <w:bookmarkStart w:id="131" w:name="_Toc20382"/>
      <w:bookmarkStart w:id="132" w:name="_Toc21366"/>
      <w:r>
        <w:rPr>
          <w:rFonts w:hint="eastAsia" w:ascii="Times New Roman" w:eastAsia="黑体" w:cs="Times New Roman"/>
          <w:color w:val="000000" w:themeColor="text1"/>
          <w:sz w:val="24"/>
          <w:szCs w:val="24"/>
          <w:highlight w:val="none"/>
          <w:lang w:val="en-US" w:eastAsia="zh-CN"/>
          <w14:textFill>
            <w14:solidFill>
              <w14:schemeClr w14:val="tx1"/>
            </w14:solidFill>
          </w14:textFill>
        </w:rPr>
        <w:t>5.4. 第三方检测试验</w:t>
      </w:r>
      <w:bookmarkEnd w:id="129"/>
      <w:bookmarkEnd w:id="130"/>
      <w:bookmarkEnd w:id="131"/>
      <w:bookmarkEnd w:id="132"/>
    </w:p>
    <w:p w14:paraId="08C16AC7">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5.4.1 代加工方须提供第三方权威检测机构依据GB/T 17215.303-2022 《交流电测量设备 特殊要求 第3部分：数字化电能表》和GB/T 33708-2017《静止式直流电能表》及本规范要求完成的</w:t>
      </w:r>
      <w:r>
        <w:rPr>
          <w:rFonts w:hint="eastAsia" w:ascii="宋体" w:hAnsi="宋体" w:cs="宋体"/>
          <w:color w:val="000000" w:themeColor="text1"/>
          <w:sz w:val="21"/>
          <w:szCs w:val="21"/>
          <w:highlight w:val="none"/>
          <w:lang w:val="en-US" w:eastAsia="zh-CN"/>
          <w14:textFill>
            <w14:solidFill>
              <w14:schemeClr w14:val="tx1"/>
            </w14:solidFill>
          </w14:textFill>
        </w:rPr>
        <w:t>第三方</w:t>
      </w:r>
      <w:r>
        <w:rPr>
          <w:rFonts w:hint="eastAsia" w:ascii="宋体" w:hAnsi="宋体" w:eastAsia="宋体" w:cs="宋体"/>
          <w:color w:val="000000" w:themeColor="text1"/>
          <w:sz w:val="21"/>
          <w:szCs w:val="21"/>
          <w:highlight w:val="none"/>
          <w:lang w:val="en-US" w:eastAsia="zh-CN"/>
          <w14:textFill>
            <w14:solidFill>
              <w14:schemeClr w14:val="tx1"/>
            </w14:solidFill>
          </w14:textFill>
        </w:rPr>
        <w:t>试验报告，报告真实有效、可核查，试验项目覆盖产品全部技术参数及安全性能指标。</w:t>
      </w:r>
    </w:p>
    <w:p w14:paraId="0CB39A96">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5.4.2 框架合作期间，若产品结构、材质、工艺等发生重大变更，代加工方须重新进行</w:t>
      </w:r>
      <w:r>
        <w:rPr>
          <w:rFonts w:hint="eastAsia" w:ascii="宋体" w:hAnsi="宋体" w:cs="宋体"/>
          <w:color w:val="000000" w:themeColor="text1"/>
          <w:sz w:val="21"/>
          <w:szCs w:val="21"/>
          <w:highlight w:val="none"/>
          <w:lang w:val="en-US" w:eastAsia="zh-CN"/>
          <w14:textFill>
            <w14:solidFill>
              <w14:schemeClr w14:val="tx1"/>
            </w14:solidFill>
          </w14:textFill>
        </w:rPr>
        <w:t>第三方检测试验</w:t>
      </w:r>
      <w:r>
        <w:rPr>
          <w:rFonts w:hint="eastAsia" w:ascii="宋体" w:hAnsi="宋体" w:eastAsia="宋体" w:cs="宋体"/>
          <w:color w:val="000000" w:themeColor="text1"/>
          <w:sz w:val="21"/>
          <w:szCs w:val="21"/>
          <w:highlight w:val="none"/>
          <w:lang w:val="en-US" w:eastAsia="zh-CN"/>
          <w14:textFill>
            <w14:solidFill>
              <w14:schemeClr w14:val="tx1"/>
            </w14:solidFill>
          </w14:textFill>
        </w:rPr>
        <w:t>，提供新的</w:t>
      </w:r>
      <w:r>
        <w:rPr>
          <w:rFonts w:hint="eastAsia" w:ascii="宋体" w:hAnsi="宋体" w:cs="宋体"/>
          <w:color w:val="000000" w:themeColor="text1"/>
          <w:sz w:val="21"/>
          <w:szCs w:val="21"/>
          <w:highlight w:val="none"/>
          <w:lang w:val="en-US" w:eastAsia="zh-CN"/>
          <w14:textFill>
            <w14:solidFill>
              <w14:schemeClr w14:val="tx1"/>
            </w14:solidFill>
          </w14:textFill>
        </w:rPr>
        <w:t>第三方检测试验</w:t>
      </w:r>
      <w:r>
        <w:rPr>
          <w:rFonts w:hint="eastAsia" w:ascii="宋体" w:hAnsi="宋体" w:eastAsia="宋体" w:cs="宋体"/>
          <w:color w:val="000000" w:themeColor="text1"/>
          <w:sz w:val="21"/>
          <w:szCs w:val="21"/>
          <w:highlight w:val="none"/>
          <w:lang w:val="en-US" w:eastAsia="zh-CN"/>
          <w14:textFill>
            <w14:solidFill>
              <w14:schemeClr w14:val="tx1"/>
            </w14:solidFill>
          </w14:textFill>
        </w:rPr>
        <w:t>报告，经招标人确认后方可继续生产。</w:t>
      </w:r>
    </w:p>
    <w:p w14:paraId="6CB5D7AB">
      <w:pPr>
        <w:pStyle w:val="3"/>
        <w:numPr>
          <w:ilvl w:val="1"/>
          <w:numId w:val="0"/>
        </w:numPr>
        <w:bidi w:val="0"/>
        <w:ind w:leftChars="0"/>
        <w:rPr>
          <w:rFonts w:hint="eastAsia" w:ascii="Times New Roman" w:eastAsia="黑体" w:cs="Times New Roman"/>
          <w:color w:val="000000" w:themeColor="text1"/>
          <w:sz w:val="24"/>
          <w:szCs w:val="24"/>
          <w:highlight w:val="none"/>
          <w:lang w:val="en-US" w:eastAsia="zh-CN"/>
          <w14:textFill>
            <w14:solidFill>
              <w14:schemeClr w14:val="tx1"/>
            </w14:solidFill>
          </w14:textFill>
        </w:rPr>
      </w:pPr>
      <w:bookmarkStart w:id="133" w:name="_Toc18784"/>
      <w:bookmarkStart w:id="134" w:name="_Toc15574"/>
      <w:bookmarkStart w:id="135" w:name="_Toc26405"/>
      <w:bookmarkStart w:id="136" w:name="_Toc31864"/>
      <w:r>
        <w:rPr>
          <w:rFonts w:hint="eastAsia" w:ascii="Times New Roman" w:eastAsia="黑体" w:cs="Times New Roman"/>
          <w:color w:val="000000" w:themeColor="text1"/>
          <w:sz w:val="24"/>
          <w:szCs w:val="24"/>
          <w:highlight w:val="none"/>
          <w:lang w:val="en-US" w:eastAsia="zh-CN"/>
          <w14:textFill>
            <w14:solidFill>
              <w14:schemeClr w14:val="tx1"/>
            </w14:solidFill>
          </w14:textFill>
        </w:rPr>
        <w:t>5.5. 到货验收试验</w:t>
      </w:r>
      <w:bookmarkEnd w:id="133"/>
      <w:bookmarkEnd w:id="134"/>
      <w:bookmarkEnd w:id="135"/>
      <w:bookmarkEnd w:id="136"/>
    </w:p>
    <w:p w14:paraId="4475C890">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设备到货后，招标人现场开展验收试验，代加工方须配合，试验项目如下：</w:t>
      </w:r>
    </w:p>
    <w:p w14:paraId="1EFB0D93">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5.5.1 外观、结构、配置完整性核查：检查产品外观、结构是否完整，零部件是否齐全，无缺项、无损坏。</w:t>
      </w:r>
    </w:p>
    <w:p w14:paraId="18F0C255">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5.5.2 参数核查：</w:t>
      </w:r>
      <w:r>
        <w:rPr>
          <w:rFonts w:hint="eastAsia"/>
          <w:strike w:val="0"/>
          <w:dstrike w:val="0"/>
          <w:color w:val="000000" w:themeColor="text1"/>
          <w:highlight w:val="none"/>
          <w14:textFill>
            <w14:solidFill>
              <w14:schemeClr w14:val="tx1"/>
            </w14:solidFill>
          </w14:textFill>
        </w:rPr>
        <w:t>产品名称、型号、规格、准确度等级、出厂编号范围</w:t>
      </w:r>
      <w:r>
        <w:rPr>
          <w:rFonts w:hint="eastAsia" w:ascii="宋体" w:hAnsi="宋体" w:eastAsia="宋体" w:cs="宋体"/>
          <w:color w:val="000000" w:themeColor="text1"/>
          <w:sz w:val="21"/>
          <w:szCs w:val="21"/>
          <w:highlight w:val="none"/>
          <w:lang w:val="en-US" w:eastAsia="zh-CN"/>
          <w14:textFill>
            <w14:solidFill>
              <w14:schemeClr w14:val="tx1"/>
            </w14:solidFill>
          </w14:textFill>
        </w:rPr>
        <w:t>，符合本规范要求。</w:t>
      </w:r>
    </w:p>
    <w:p w14:paraId="54E93E05">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5.5.3 功能测试：测试需量测量、实时显示、时钟、测量及监测、事件记录等功能，符合本规范要求。</w:t>
      </w:r>
    </w:p>
    <w:p w14:paraId="55330BE9">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5.5.4 安全防护测试：随机抽取电表，打开接线端子盖和上盖，重点观察有无明显的制造缝隙、密封圈是否完好、壳体有无变形或裂纹。</w:t>
      </w:r>
    </w:p>
    <w:p w14:paraId="7056084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5.5.5 技术资料核查：检查出厂合格证、检验报告、使用说明书等技术资料是否完整、规范。</w:t>
      </w:r>
    </w:p>
    <w:p w14:paraId="0986E637">
      <w:pPr>
        <w:pStyle w:val="3"/>
        <w:numPr>
          <w:ilvl w:val="1"/>
          <w:numId w:val="0"/>
        </w:numPr>
        <w:bidi w:val="0"/>
        <w:ind w:leftChars="0"/>
        <w:rPr>
          <w:rFonts w:hint="eastAsia" w:ascii="Times New Roman" w:eastAsia="黑体" w:cs="Times New Roman"/>
          <w:color w:val="000000" w:themeColor="text1"/>
          <w:sz w:val="24"/>
          <w:szCs w:val="24"/>
          <w:highlight w:val="none"/>
          <w:lang w:val="en-US" w:eastAsia="zh-CN"/>
          <w14:textFill>
            <w14:solidFill>
              <w14:schemeClr w14:val="tx1"/>
            </w14:solidFill>
          </w14:textFill>
        </w:rPr>
      </w:pPr>
      <w:bookmarkStart w:id="137" w:name="_Toc8369"/>
      <w:bookmarkStart w:id="138" w:name="_Toc22105"/>
      <w:bookmarkStart w:id="139" w:name="_Toc17552"/>
      <w:bookmarkStart w:id="140" w:name="_Toc5404"/>
      <w:r>
        <w:rPr>
          <w:rFonts w:hint="eastAsia" w:ascii="Times New Roman" w:eastAsia="黑体" w:cs="Times New Roman"/>
          <w:color w:val="000000" w:themeColor="text1"/>
          <w:sz w:val="24"/>
          <w:szCs w:val="24"/>
          <w:highlight w:val="none"/>
          <w:lang w:val="en-US" w:eastAsia="zh-CN"/>
          <w14:textFill>
            <w14:solidFill>
              <w14:schemeClr w14:val="tx1"/>
            </w14:solidFill>
          </w14:textFill>
        </w:rPr>
        <w:t>5.6. 合格判定标准</w:t>
      </w:r>
      <w:bookmarkEnd w:id="137"/>
      <w:bookmarkEnd w:id="138"/>
      <w:bookmarkEnd w:id="139"/>
      <w:bookmarkEnd w:id="140"/>
    </w:p>
    <w:p w14:paraId="4C6FC0DF">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5.6.1 原材料检验、过程检验、出厂试验、</w:t>
      </w:r>
      <w:r>
        <w:rPr>
          <w:rFonts w:hint="eastAsia" w:ascii="宋体" w:hAnsi="宋体" w:cs="宋体"/>
          <w:color w:val="000000" w:themeColor="text1"/>
          <w:sz w:val="21"/>
          <w:szCs w:val="21"/>
          <w:highlight w:val="none"/>
          <w:lang w:val="en-US" w:eastAsia="zh-CN"/>
          <w14:textFill>
            <w14:solidFill>
              <w14:schemeClr w14:val="tx1"/>
            </w14:solidFill>
          </w14:textFill>
        </w:rPr>
        <w:t>第三方检测试验</w:t>
      </w:r>
      <w:r>
        <w:rPr>
          <w:rFonts w:hint="eastAsia" w:ascii="宋体" w:hAnsi="宋体" w:eastAsia="宋体" w:cs="宋体"/>
          <w:color w:val="000000" w:themeColor="text1"/>
          <w:sz w:val="21"/>
          <w:szCs w:val="21"/>
          <w:highlight w:val="none"/>
          <w:lang w:val="en-US" w:eastAsia="zh-CN"/>
          <w14:textFill>
            <w14:solidFill>
              <w14:schemeClr w14:val="tx1"/>
            </w14:solidFill>
          </w14:textFill>
        </w:rPr>
        <w:t>、到货验收试验所有项目，全部满足本规范及行业标准要求，无不合格项，方可判定合格。</w:t>
      </w:r>
    </w:p>
    <w:p w14:paraId="3C8D46A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5.6.2 若任意一项试验项目不合格，代加工方须在招标人规定的期限内整改，重新进行检验试验，直至合格；若整改后仍不合格，招标人有权拒收该批次产品，解除订单，并追究代加工方的违约责任。</w:t>
      </w:r>
    </w:p>
    <w:p w14:paraId="210D01F5">
      <w:pPr>
        <w:pStyle w:val="2"/>
        <w:numPr>
          <w:ilvl w:val="0"/>
          <w:numId w:val="0"/>
        </w:numPr>
        <w:bidi w:val="0"/>
        <w:ind w:leftChars="0"/>
        <w:rPr>
          <w:rFonts w:hint="eastAsia"/>
          <w:color w:val="000000" w:themeColor="text1"/>
          <w:sz w:val="24"/>
          <w:szCs w:val="24"/>
          <w:highlight w:val="none"/>
          <w:lang w:val="en-US" w:eastAsia="zh-CN"/>
          <w14:textFill>
            <w14:solidFill>
              <w14:schemeClr w14:val="tx1"/>
            </w14:solidFill>
          </w14:textFill>
        </w:rPr>
      </w:pPr>
      <w:bookmarkStart w:id="141" w:name="_Toc20917"/>
      <w:bookmarkStart w:id="142" w:name="_Toc1489"/>
      <w:bookmarkStart w:id="143" w:name="_Toc21652"/>
      <w:bookmarkStart w:id="144" w:name="_Toc25096"/>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6 </w:t>
      </w:r>
      <w:r>
        <w:rPr>
          <w:rFonts w:hint="eastAsia"/>
          <w:color w:val="000000" w:themeColor="text1"/>
          <w:sz w:val="24"/>
          <w:szCs w:val="24"/>
          <w:highlight w:val="none"/>
          <w:lang w:val="en-US" w:eastAsia="zh-CN"/>
          <w14:textFill>
            <w14:solidFill>
              <w14:schemeClr w14:val="tx1"/>
            </w14:solidFill>
          </w14:textFill>
        </w:rPr>
        <w:t>质量保证要求</w:t>
      </w:r>
      <w:bookmarkEnd w:id="141"/>
      <w:bookmarkEnd w:id="142"/>
      <w:bookmarkEnd w:id="143"/>
      <w:bookmarkEnd w:id="144"/>
    </w:p>
    <w:p w14:paraId="3B35FB24">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6.1</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代加工方须保证所生产的产品符合本规范、国家及行业相关标准，质量合格、性能可靠，无材料缺陷、焊接缺陷、元器件隐患，满足长期稳定运行及各类电网环境使用要求。</w:t>
      </w:r>
    </w:p>
    <w:p w14:paraId="7DAB1070">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6.2</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整机质保期：≥24个月，自设备到货验收合格之日起计算；质保期内，若产品出现非人为损坏的质量问题（包括原材料质量、加工质量、零部件质量等），代加工方须免费维修、免费更换整机及配件，无偿上门处理，承担全部维修、更换费用及运输费用。</w:t>
      </w:r>
    </w:p>
    <w:p w14:paraId="2148CDF5">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6.3</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质保期内，产品出现质量缺陷，代加工方须在48小时内响应，72小时内完成现场处理；若无法现场处理，须提供临时替代产品，确保招标人正常使用，待故障产品修复后更换。</w:t>
      </w:r>
    </w:p>
    <w:p w14:paraId="400DEDB6">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6.4 若因代加工方原材料质量、加工工艺等问题，导致产品出现重大质量事故，代加工方须承担全部责任，赔偿招标人因此造成的全部损失，招标人有权终止框架合作协议。</w:t>
      </w:r>
    </w:p>
    <w:p w14:paraId="21819ED7">
      <w:pPr>
        <w:pStyle w:val="2"/>
        <w:numPr>
          <w:ilvl w:val="0"/>
          <w:numId w:val="0"/>
        </w:numPr>
        <w:bidi w:val="0"/>
        <w:ind w:leftChars="0"/>
        <w:rPr>
          <w:rFonts w:hint="eastAsia"/>
          <w:color w:val="000000" w:themeColor="text1"/>
          <w:sz w:val="24"/>
          <w:szCs w:val="24"/>
          <w:highlight w:val="none"/>
          <w:lang w:val="en-US" w:eastAsia="zh-CN"/>
          <w14:textFill>
            <w14:solidFill>
              <w14:schemeClr w14:val="tx1"/>
            </w14:solidFill>
          </w14:textFill>
        </w:rPr>
      </w:pPr>
      <w:bookmarkStart w:id="145" w:name="_Toc6504"/>
      <w:bookmarkStart w:id="146" w:name="_Toc5284"/>
      <w:bookmarkStart w:id="147" w:name="_Toc13155"/>
      <w:bookmarkStart w:id="148" w:name="_Toc19507"/>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7</w:t>
      </w:r>
      <w:r>
        <w:rPr>
          <w:rFonts w:hint="eastAsia"/>
          <w:color w:val="000000" w:themeColor="text1"/>
          <w:sz w:val="24"/>
          <w:szCs w:val="24"/>
          <w:highlight w:val="none"/>
          <w:lang w:val="en-US" w:eastAsia="zh-CN"/>
          <w14:textFill>
            <w14:solidFill>
              <w14:schemeClr w14:val="tx1"/>
            </w14:solidFill>
          </w14:textFill>
        </w:rPr>
        <w:t xml:space="preserve"> 包装、运输及储存要求</w:t>
      </w:r>
      <w:bookmarkEnd w:id="145"/>
      <w:bookmarkEnd w:id="146"/>
      <w:bookmarkEnd w:id="147"/>
      <w:bookmarkEnd w:id="148"/>
    </w:p>
    <w:p w14:paraId="6032BC6C">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7.1</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包装：严格按照本规范4.</w:t>
      </w: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lang w:val="en-US" w:eastAsia="zh-CN"/>
          <w14:textFill>
            <w14:solidFill>
              <w14:schemeClr w14:val="tx1"/>
            </w14:solidFill>
          </w14:textFill>
        </w:rPr>
        <w:t>.1条要求执行，确保产品在运输过程中不受损坏；包装材料须符合环保要求，可回收利用。</w:t>
      </w:r>
    </w:p>
    <w:p w14:paraId="06129C21">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7.2</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运输：代加工方选择合适的运输方式（如物流、快递），确保产品按时、安全交付；运输过程中须采取防震、防潮、防挤压、防碰撞措施，避免产品结构变形、零部件损坏；运输费用、装卸费用、运输风险全部由代加工方承担。</w:t>
      </w:r>
    </w:p>
    <w:p w14:paraId="4B9BA510">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7.3</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储存：代加工方的产品储存环境须干燥、通风、防潮、防腐蚀、防重压、防阳光直射，产品摆放整齐，做好标识；长期储存的产品，须定期检查、维护，确保产品质量不受影响。</w:t>
      </w:r>
    </w:p>
    <w:p w14:paraId="78C72D5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7.4</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包装箱须具备重复收纳功能，便于招标人库房存放、重复使用。</w:t>
      </w:r>
    </w:p>
    <w:p w14:paraId="20A16FB9">
      <w:pPr>
        <w:pStyle w:val="2"/>
        <w:numPr>
          <w:ilvl w:val="0"/>
          <w:numId w:val="0"/>
        </w:numPr>
        <w:bidi w:val="0"/>
        <w:ind w:leftChars="0"/>
        <w:rPr>
          <w:rFonts w:hint="eastAsia"/>
          <w:color w:val="000000" w:themeColor="text1"/>
          <w:sz w:val="24"/>
          <w:szCs w:val="24"/>
          <w:highlight w:val="none"/>
          <w:lang w:val="en-US" w:eastAsia="zh-CN"/>
          <w14:textFill>
            <w14:solidFill>
              <w14:schemeClr w14:val="tx1"/>
            </w14:solidFill>
          </w14:textFill>
        </w:rPr>
      </w:pPr>
      <w:bookmarkStart w:id="149" w:name="_Toc12489"/>
      <w:bookmarkStart w:id="150" w:name="_Toc18205"/>
      <w:bookmarkStart w:id="151" w:name="_Toc24651"/>
      <w:bookmarkStart w:id="152" w:name="_Toc26015"/>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8</w:t>
      </w:r>
      <w:r>
        <w:rPr>
          <w:rFonts w:hint="eastAsia"/>
          <w:color w:val="000000" w:themeColor="text1"/>
          <w:sz w:val="24"/>
          <w:szCs w:val="24"/>
          <w:highlight w:val="none"/>
          <w:lang w:val="en-US" w:eastAsia="zh-CN"/>
          <w14:textFill>
            <w14:solidFill>
              <w14:schemeClr w14:val="tx1"/>
            </w14:solidFill>
          </w14:textFill>
        </w:rPr>
        <w:t xml:space="preserve"> 安装、调试及技术支持要求</w:t>
      </w:r>
      <w:bookmarkEnd w:id="149"/>
      <w:bookmarkEnd w:id="150"/>
      <w:bookmarkEnd w:id="151"/>
      <w:bookmarkEnd w:id="152"/>
    </w:p>
    <w:p w14:paraId="05CC4F06">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8.1</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代加工方</w:t>
      </w:r>
      <w:r>
        <w:rPr>
          <w:rFonts w:hint="eastAsia" w:ascii="宋体" w:hAnsi="宋体" w:cs="宋体"/>
          <w:color w:val="000000" w:themeColor="text1"/>
          <w:sz w:val="21"/>
          <w:szCs w:val="21"/>
          <w:highlight w:val="none"/>
          <w:lang w:val="en-US" w:eastAsia="zh-CN"/>
          <w14:textFill>
            <w14:solidFill>
              <w14:schemeClr w14:val="tx1"/>
            </w14:solidFill>
          </w14:textFill>
        </w:rPr>
        <w:t>需</w:t>
      </w:r>
      <w:r>
        <w:rPr>
          <w:rFonts w:hint="eastAsia" w:ascii="宋体" w:hAnsi="宋体" w:eastAsia="宋体" w:cs="宋体"/>
          <w:color w:val="000000" w:themeColor="text1"/>
          <w:sz w:val="21"/>
          <w:szCs w:val="21"/>
          <w:highlight w:val="none"/>
          <w:lang w:val="en-US" w:eastAsia="zh-CN"/>
          <w14:textFill>
            <w14:solidFill>
              <w14:schemeClr w14:val="tx1"/>
            </w14:solidFill>
          </w14:textFill>
        </w:rPr>
        <w:t>提供产品调试指导服务，</w:t>
      </w:r>
      <w:r>
        <w:rPr>
          <w:rFonts w:hint="eastAsia" w:ascii="宋体" w:hAnsi="宋体" w:cs="宋体"/>
          <w:color w:val="000000" w:themeColor="text1"/>
          <w:sz w:val="21"/>
          <w:szCs w:val="21"/>
          <w:highlight w:val="none"/>
          <w:lang w:val="en-US" w:eastAsia="zh-CN"/>
          <w14:textFill>
            <w14:solidFill>
              <w14:schemeClr w14:val="tx1"/>
            </w14:solidFill>
          </w14:textFill>
        </w:rPr>
        <w:t>如有必要需</w:t>
      </w:r>
      <w:r>
        <w:rPr>
          <w:rFonts w:hint="eastAsia" w:ascii="宋体" w:hAnsi="宋体" w:eastAsia="宋体" w:cs="宋体"/>
          <w:color w:val="000000" w:themeColor="text1"/>
          <w:sz w:val="21"/>
          <w:szCs w:val="21"/>
          <w:highlight w:val="none"/>
          <w:lang w:val="en-US" w:eastAsia="zh-CN"/>
          <w14:textFill>
            <w14:solidFill>
              <w14:schemeClr w14:val="tx1"/>
            </w14:solidFill>
          </w14:textFill>
        </w:rPr>
        <w:t>派遣专业技术人员现场指导招标人进行产品悬挂安装，应依据招标方提供的参数开展调试工作，以证实安装式数字直流电能表计量准确、功能正常</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确保产品安装规范、调试合格，能够正常使用。</w:t>
      </w:r>
    </w:p>
    <w:p w14:paraId="6111DD85">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8.2</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安装、调试过程中，代加工方技术人员</w:t>
      </w:r>
      <w:r>
        <w:rPr>
          <w:rFonts w:hint="eastAsia" w:ascii="宋体" w:hAnsi="宋体" w:cs="宋体"/>
          <w:color w:val="000000" w:themeColor="text1"/>
          <w:sz w:val="21"/>
          <w:szCs w:val="21"/>
          <w:highlight w:val="none"/>
          <w:lang w:val="en-US" w:eastAsia="zh-CN"/>
          <w14:textFill>
            <w14:solidFill>
              <w14:schemeClr w14:val="tx1"/>
            </w14:solidFill>
          </w14:textFill>
        </w:rPr>
        <w:t>需</w:t>
      </w:r>
      <w:r>
        <w:rPr>
          <w:rFonts w:hint="eastAsia" w:ascii="宋体" w:hAnsi="宋体" w:eastAsia="宋体" w:cs="宋体"/>
          <w:color w:val="000000" w:themeColor="text1"/>
          <w:sz w:val="21"/>
          <w:szCs w:val="21"/>
          <w:highlight w:val="none"/>
          <w:lang w:val="en-US" w:eastAsia="zh-CN"/>
          <w14:textFill>
            <w14:solidFill>
              <w14:schemeClr w14:val="tx1"/>
            </w14:solidFill>
          </w14:textFill>
        </w:rPr>
        <w:t>向招标人操作、运维人员讲解产品结构、安装要点、操作方法、注意事项等，确保相关人员掌握基本操作技能。</w:t>
      </w:r>
    </w:p>
    <w:p w14:paraId="1D4F3F27">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8.3</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框架合作期间，代加工方须提供24小时远程技术支持服务，及时解答招标人产品使用、维护、故障处理等方面的疑问；若出现无法远程解决的故障，</w:t>
      </w:r>
      <w:r>
        <w:rPr>
          <w:rFonts w:hint="eastAsia" w:ascii="宋体" w:hAnsi="宋体" w:cs="宋体"/>
          <w:color w:val="000000" w:themeColor="text1"/>
          <w:sz w:val="21"/>
          <w:szCs w:val="21"/>
          <w:highlight w:val="none"/>
          <w:lang w:val="en-US" w:eastAsia="zh-CN"/>
          <w14:textFill>
            <w14:solidFill>
              <w14:schemeClr w14:val="tx1"/>
            </w14:solidFill>
          </w14:textFill>
        </w:rPr>
        <w:t>需</w:t>
      </w:r>
      <w:r>
        <w:rPr>
          <w:rFonts w:hint="eastAsia" w:ascii="宋体" w:hAnsi="宋体" w:eastAsia="宋体" w:cs="宋体"/>
          <w:color w:val="000000" w:themeColor="text1"/>
          <w:sz w:val="21"/>
          <w:szCs w:val="21"/>
          <w:highlight w:val="none"/>
          <w:lang w:val="en-US" w:eastAsia="zh-CN"/>
          <w14:textFill>
            <w14:solidFill>
              <w14:schemeClr w14:val="tx1"/>
            </w14:solidFill>
          </w14:textFill>
        </w:rPr>
        <w:t>派遣技术人员现场处理。</w:t>
      </w:r>
    </w:p>
    <w:p w14:paraId="3FAF27C3">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8.4</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代加工方</w:t>
      </w:r>
      <w:r>
        <w:rPr>
          <w:rFonts w:hint="eastAsia" w:ascii="宋体" w:hAnsi="宋体" w:cs="宋体"/>
          <w:color w:val="000000" w:themeColor="text1"/>
          <w:sz w:val="21"/>
          <w:szCs w:val="21"/>
          <w:highlight w:val="none"/>
          <w:lang w:val="en-US" w:eastAsia="zh-CN"/>
          <w14:textFill>
            <w14:solidFill>
              <w14:schemeClr w14:val="tx1"/>
            </w14:solidFill>
          </w14:textFill>
        </w:rPr>
        <w:t>需</w:t>
      </w:r>
      <w:r>
        <w:rPr>
          <w:rFonts w:hint="eastAsia" w:ascii="宋体" w:hAnsi="宋体" w:eastAsia="宋体" w:cs="宋体"/>
          <w:color w:val="000000" w:themeColor="text1"/>
          <w:sz w:val="21"/>
          <w:szCs w:val="21"/>
          <w:highlight w:val="none"/>
          <w:lang w:val="en-US" w:eastAsia="zh-CN"/>
          <w14:textFill>
            <w14:solidFill>
              <w14:schemeClr w14:val="tx1"/>
            </w14:solidFill>
          </w14:textFill>
        </w:rPr>
        <w:t>提供产品维护保养指导，指导招标人做好产品日常维护保养工作，延长产品使用寿命。</w:t>
      </w:r>
    </w:p>
    <w:p w14:paraId="66971910">
      <w:pPr>
        <w:pStyle w:val="2"/>
        <w:numPr>
          <w:ilvl w:val="0"/>
          <w:numId w:val="0"/>
        </w:numPr>
        <w:bidi w:val="0"/>
        <w:ind w:leftChars="0"/>
        <w:rPr>
          <w:rFonts w:hint="eastAsia"/>
          <w:color w:val="000000" w:themeColor="text1"/>
          <w:sz w:val="24"/>
          <w:szCs w:val="24"/>
          <w:highlight w:val="none"/>
          <w:lang w:val="en-US" w:eastAsia="zh-CN"/>
          <w14:textFill>
            <w14:solidFill>
              <w14:schemeClr w14:val="tx1"/>
            </w14:solidFill>
          </w14:textFill>
        </w:rPr>
      </w:pPr>
      <w:bookmarkStart w:id="153" w:name="_Toc10838"/>
      <w:bookmarkStart w:id="154" w:name="_Toc23761"/>
      <w:bookmarkStart w:id="155" w:name="_Toc7479"/>
      <w:bookmarkStart w:id="156" w:name="_Toc15069"/>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9</w:t>
      </w:r>
      <w:r>
        <w:rPr>
          <w:rFonts w:hint="eastAsia"/>
          <w:color w:val="000000" w:themeColor="text1"/>
          <w:sz w:val="24"/>
          <w:szCs w:val="24"/>
          <w:highlight w:val="none"/>
          <w:lang w:val="en-US" w:eastAsia="zh-CN"/>
          <w14:textFill>
            <w14:solidFill>
              <w14:schemeClr w14:val="tx1"/>
            </w14:solidFill>
          </w14:textFill>
        </w:rPr>
        <w:t xml:space="preserve"> 交付技术资料要求</w:t>
      </w:r>
      <w:bookmarkEnd w:id="153"/>
      <w:bookmarkEnd w:id="154"/>
      <w:bookmarkEnd w:id="155"/>
      <w:bookmarkEnd w:id="156"/>
    </w:p>
    <w:p w14:paraId="3B091509">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代加工方须随每批订单产品，交付完整的技术资料，资料须完整、规范、清晰，具体如下：</w:t>
      </w:r>
    </w:p>
    <w:p w14:paraId="6521BB2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9.1 产品出厂合格证（每台产品1份，加盖代加工方公章）；</w:t>
      </w:r>
    </w:p>
    <w:p w14:paraId="0ADA1CFD">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9.2 全项出厂试验检测报告（每批订单1份，加盖代加工方公章）；</w:t>
      </w:r>
    </w:p>
    <w:p w14:paraId="63CB754B">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9.3 第三方</w:t>
      </w:r>
      <w:r>
        <w:rPr>
          <w:rFonts w:hint="eastAsia" w:ascii="宋体" w:hAnsi="宋体" w:cs="宋体"/>
          <w:color w:val="000000" w:themeColor="text1"/>
          <w:sz w:val="21"/>
          <w:szCs w:val="21"/>
          <w:highlight w:val="none"/>
          <w:lang w:val="en-US" w:eastAsia="zh-CN"/>
          <w14:textFill>
            <w14:solidFill>
              <w14:schemeClr w14:val="tx1"/>
            </w14:solidFill>
          </w14:textFill>
        </w:rPr>
        <w:t>检测</w:t>
      </w:r>
      <w:r>
        <w:rPr>
          <w:rFonts w:hint="eastAsia" w:ascii="宋体" w:hAnsi="宋体" w:eastAsia="宋体" w:cs="宋体"/>
          <w:color w:val="000000" w:themeColor="text1"/>
          <w:sz w:val="21"/>
          <w:szCs w:val="21"/>
          <w:highlight w:val="none"/>
          <w:lang w:val="en-US" w:eastAsia="zh-CN"/>
          <w14:textFill>
            <w14:solidFill>
              <w14:schemeClr w14:val="tx1"/>
            </w14:solidFill>
          </w14:textFill>
        </w:rPr>
        <w:t>试验报告复印件（加盖代加工方公章，每批订单1份）；</w:t>
      </w:r>
    </w:p>
    <w:p w14:paraId="4F56806A">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9.4 详细产品使用维护说明书（含结构图纸、操作步骤、保养规范、故障排查方法）；</w:t>
      </w:r>
    </w:p>
    <w:p w14:paraId="38AAD607">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9.5 产品质保卡、零部件清单；</w:t>
      </w:r>
    </w:p>
    <w:p w14:paraId="411F953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9.6 设备安装示意图</w:t>
      </w:r>
      <w:r>
        <w:rPr>
          <w:rFonts w:hint="eastAsia" w:ascii="宋体" w:hAnsi="宋体" w:cs="宋体"/>
          <w:color w:val="000000" w:themeColor="text1"/>
          <w:sz w:val="21"/>
          <w:szCs w:val="21"/>
          <w:highlight w:val="none"/>
          <w:lang w:val="en-US" w:eastAsia="zh-CN"/>
          <w14:textFill>
            <w14:solidFill>
              <w14:schemeClr w14:val="tx1"/>
            </w14:solidFill>
          </w14:textFill>
        </w:rPr>
        <w:t>。</w:t>
      </w:r>
    </w:p>
    <w:p w14:paraId="03502D4D">
      <w:pPr>
        <w:pStyle w:val="2"/>
        <w:numPr>
          <w:ilvl w:val="0"/>
          <w:numId w:val="0"/>
        </w:numPr>
        <w:bidi w:val="0"/>
        <w:ind w:leftChars="0"/>
        <w:rPr>
          <w:rFonts w:hint="eastAsia"/>
          <w:color w:val="000000" w:themeColor="text1"/>
          <w:sz w:val="24"/>
          <w:szCs w:val="24"/>
          <w:highlight w:val="none"/>
          <w:lang w:val="en-US" w:eastAsia="zh-CN"/>
          <w14:textFill>
            <w14:solidFill>
              <w14:schemeClr w14:val="tx1"/>
            </w14:solidFill>
          </w14:textFill>
        </w:rPr>
      </w:pPr>
      <w:bookmarkStart w:id="157" w:name="_Toc22033"/>
      <w:bookmarkStart w:id="158" w:name="_Toc12168"/>
      <w:bookmarkStart w:id="159" w:name="_Toc30594"/>
      <w:bookmarkStart w:id="160" w:name="_Toc11786"/>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10</w:t>
      </w:r>
      <w:r>
        <w:rPr>
          <w:rFonts w:hint="eastAsia"/>
          <w:color w:val="000000" w:themeColor="text1"/>
          <w:sz w:val="24"/>
          <w:szCs w:val="24"/>
          <w:highlight w:val="none"/>
          <w:lang w:val="en-US" w:eastAsia="zh-CN"/>
          <w14:textFill>
            <w14:solidFill>
              <w14:schemeClr w14:val="tx1"/>
            </w14:solidFill>
          </w14:textFill>
        </w:rPr>
        <w:t xml:space="preserve"> 验收标准及验收流程</w:t>
      </w:r>
      <w:bookmarkEnd w:id="157"/>
      <w:bookmarkEnd w:id="158"/>
      <w:bookmarkEnd w:id="159"/>
      <w:bookmarkEnd w:id="160"/>
    </w:p>
    <w:p w14:paraId="2F19227F">
      <w:pPr>
        <w:pStyle w:val="3"/>
        <w:numPr>
          <w:ilvl w:val="1"/>
          <w:numId w:val="0"/>
        </w:numPr>
        <w:bidi w:val="0"/>
        <w:ind w:leftChars="0"/>
        <w:rPr>
          <w:rFonts w:hint="eastAsia" w:ascii="Times New Roman" w:eastAsia="黑体" w:cs="Times New Roman"/>
          <w:color w:val="000000" w:themeColor="text1"/>
          <w:sz w:val="24"/>
          <w:szCs w:val="24"/>
          <w:highlight w:val="none"/>
          <w:lang w:val="en-US" w:eastAsia="zh-CN"/>
          <w14:textFill>
            <w14:solidFill>
              <w14:schemeClr w14:val="tx1"/>
            </w14:solidFill>
          </w14:textFill>
        </w:rPr>
      </w:pPr>
      <w:bookmarkStart w:id="161" w:name="_Toc26805"/>
      <w:bookmarkStart w:id="162" w:name="_Toc19849"/>
      <w:bookmarkStart w:id="163" w:name="_Toc19260"/>
      <w:bookmarkStart w:id="164" w:name="_Toc17258"/>
      <w:r>
        <w:rPr>
          <w:rFonts w:hint="eastAsia" w:ascii="Times New Roman" w:eastAsia="黑体" w:cs="Times New Roman"/>
          <w:color w:val="000000" w:themeColor="text1"/>
          <w:sz w:val="24"/>
          <w:szCs w:val="24"/>
          <w:highlight w:val="none"/>
          <w:lang w:val="en-US" w:eastAsia="zh-CN"/>
          <w14:textFill>
            <w14:solidFill>
              <w14:schemeClr w14:val="tx1"/>
            </w14:solidFill>
          </w14:textFill>
        </w:rPr>
        <w:t>10.1. 验收依据</w:t>
      </w:r>
      <w:bookmarkEnd w:id="161"/>
      <w:bookmarkEnd w:id="162"/>
      <w:bookmarkEnd w:id="163"/>
      <w:bookmarkEnd w:id="164"/>
    </w:p>
    <w:p w14:paraId="4858710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本技术规范书、国家及电力行业现行标准、DL/T 636-2017、招标人提供的技术图纸、加工工艺文件、投标承诺参数、框架合作协议、代加工订单约定条款。</w:t>
      </w:r>
    </w:p>
    <w:p w14:paraId="3D39DB84">
      <w:pPr>
        <w:pStyle w:val="3"/>
        <w:numPr>
          <w:ilvl w:val="1"/>
          <w:numId w:val="0"/>
        </w:numPr>
        <w:bidi w:val="0"/>
        <w:ind w:leftChars="0"/>
        <w:rPr>
          <w:rFonts w:hint="eastAsia" w:ascii="Times New Roman" w:eastAsia="黑体" w:cs="Times New Roman"/>
          <w:color w:val="000000" w:themeColor="text1"/>
          <w:sz w:val="24"/>
          <w:szCs w:val="24"/>
          <w:highlight w:val="none"/>
          <w:lang w:val="en-US" w:eastAsia="zh-CN"/>
          <w14:textFill>
            <w14:solidFill>
              <w14:schemeClr w14:val="tx1"/>
            </w14:solidFill>
          </w14:textFill>
        </w:rPr>
      </w:pPr>
      <w:bookmarkStart w:id="165" w:name="_Toc20820"/>
      <w:bookmarkStart w:id="166" w:name="_Toc15542"/>
      <w:bookmarkStart w:id="167" w:name="_Toc4919"/>
      <w:bookmarkStart w:id="168" w:name="_Toc13294"/>
      <w:r>
        <w:rPr>
          <w:rFonts w:hint="eastAsia" w:ascii="Times New Roman" w:eastAsia="黑体" w:cs="Times New Roman"/>
          <w:color w:val="000000" w:themeColor="text1"/>
          <w:sz w:val="24"/>
          <w:szCs w:val="24"/>
          <w:highlight w:val="none"/>
          <w:lang w:val="en-US" w:eastAsia="zh-CN"/>
          <w14:textFill>
            <w14:solidFill>
              <w14:schemeClr w14:val="tx1"/>
            </w14:solidFill>
          </w14:textFill>
        </w:rPr>
        <w:t>10.2. 验收阶段</w:t>
      </w:r>
      <w:bookmarkEnd w:id="165"/>
      <w:bookmarkEnd w:id="166"/>
      <w:bookmarkEnd w:id="167"/>
      <w:bookmarkEnd w:id="168"/>
    </w:p>
    <w:p w14:paraId="389127D9">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lang w:val="en-US" w:eastAsia="zh-CN"/>
          <w14:textFill>
            <w14:solidFill>
              <w14:schemeClr w14:val="tx1"/>
            </w14:solidFill>
          </w14:textFill>
        </w:rPr>
        <w:t>.2.1 到货验收：产品到货后，招标人组织相关人员，对产品外观、结构、配置完整性、技术资料完整性进行核查，代加工方须配合。</w:t>
      </w:r>
    </w:p>
    <w:p w14:paraId="414331A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lang w:val="en-US" w:eastAsia="zh-CN"/>
          <w14:textFill>
            <w14:solidFill>
              <w14:schemeClr w14:val="tx1"/>
            </w14:solidFill>
          </w14:textFill>
        </w:rPr>
        <w:t>.2.2 现场性能验收：到货验收合格后，开展现场性能验收，对产品技术参数、需量测量、实时显示、时钟、测量及监测、事件记录等功能进行实测，代加工方须提供必要的测试条件和技术支持。</w:t>
      </w:r>
    </w:p>
    <w:p w14:paraId="303E07C9">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lang w:val="en-US" w:eastAsia="zh-CN"/>
          <w14:textFill>
            <w14:solidFill>
              <w14:schemeClr w14:val="tx1"/>
            </w14:solidFill>
          </w14:textFill>
        </w:rPr>
        <w:t>.2.3 综合验收：到货验收、现场性能验收全部合格后，招标人组织综合验收，签署验收合格文件；若验收过程中发现不合格项，代加工方须按要求整改，重新验收，直至合格。</w:t>
      </w:r>
    </w:p>
    <w:p w14:paraId="7C19C087">
      <w:pPr>
        <w:pStyle w:val="3"/>
        <w:numPr>
          <w:ilvl w:val="1"/>
          <w:numId w:val="0"/>
        </w:numPr>
        <w:bidi w:val="0"/>
        <w:ind w:leftChars="0"/>
        <w:rPr>
          <w:rFonts w:hint="eastAsia" w:ascii="Times New Roman" w:eastAsia="黑体" w:cs="Times New Roman"/>
          <w:color w:val="000000" w:themeColor="text1"/>
          <w:sz w:val="24"/>
          <w:szCs w:val="24"/>
          <w:highlight w:val="none"/>
          <w:lang w:val="en-US" w:eastAsia="zh-CN"/>
          <w14:textFill>
            <w14:solidFill>
              <w14:schemeClr w14:val="tx1"/>
            </w14:solidFill>
          </w14:textFill>
        </w:rPr>
      </w:pPr>
      <w:bookmarkStart w:id="169" w:name="_Toc5014"/>
      <w:bookmarkStart w:id="170" w:name="_Toc25140"/>
      <w:bookmarkStart w:id="171" w:name="_Toc5115"/>
      <w:bookmarkStart w:id="172" w:name="_Toc32754"/>
      <w:r>
        <w:rPr>
          <w:rFonts w:hint="eastAsia" w:ascii="Times New Roman" w:eastAsia="黑体" w:cs="Times New Roman"/>
          <w:color w:val="000000" w:themeColor="text1"/>
          <w:sz w:val="24"/>
          <w:szCs w:val="24"/>
          <w:highlight w:val="none"/>
          <w:lang w:val="en-US" w:eastAsia="zh-CN"/>
          <w14:textFill>
            <w14:solidFill>
              <w14:schemeClr w14:val="tx1"/>
            </w14:solidFill>
          </w14:textFill>
        </w:rPr>
        <w:t>10.3. 验收合格判定</w:t>
      </w:r>
      <w:bookmarkEnd w:id="169"/>
      <w:bookmarkEnd w:id="170"/>
      <w:bookmarkEnd w:id="171"/>
      <w:bookmarkEnd w:id="172"/>
    </w:p>
    <w:p w14:paraId="0B83372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lang w:val="en-US" w:eastAsia="zh-CN"/>
          <w14:textFill>
            <w14:solidFill>
              <w14:schemeClr w14:val="tx1"/>
            </w14:solidFill>
          </w14:textFill>
        </w:rPr>
        <w:t>.3.1 产品为全新原厂合格产品，无翻新、无二手、无返修部件，配置齐全无缺项。</w:t>
      </w:r>
    </w:p>
    <w:p w14:paraId="55064DF3">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lang w:val="en-US" w:eastAsia="zh-CN"/>
          <w14:textFill>
            <w14:solidFill>
              <w14:schemeClr w14:val="tx1"/>
            </w14:solidFill>
          </w14:textFill>
        </w:rPr>
        <w:t>.3.2 所有技术参数、结构、功能、安全指标全部满足本规范全部条款要求。</w:t>
      </w:r>
    </w:p>
    <w:p w14:paraId="397A0E5B">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lang w:val="en-US" w:eastAsia="zh-CN"/>
          <w14:textFill>
            <w14:solidFill>
              <w14:schemeClr w14:val="tx1"/>
            </w14:solidFill>
          </w14:textFill>
        </w:rPr>
        <w:t>.3.3 原材料检验、过程检验、出厂试验、</w:t>
      </w:r>
      <w:r>
        <w:rPr>
          <w:rFonts w:hint="eastAsia" w:ascii="宋体" w:hAnsi="宋体" w:cs="宋体"/>
          <w:color w:val="000000" w:themeColor="text1"/>
          <w:sz w:val="21"/>
          <w:szCs w:val="21"/>
          <w:highlight w:val="none"/>
          <w:lang w:val="en-US" w:eastAsia="zh-CN"/>
          <w14:textFill>
            <w14:solidFill>
              <w14:schemeClr w14:val="tx1"/>
            </w14:solidFill>
          </w14:textFill>
        </w:rPr>
        <w:t>第三方</w:t>
      </w:r>
      <w:r>
        <w:rPr>
          <w:rFonts w:hint="eastAsia" w:ascii="宋体" w:hAnsi="宋体" w:eastAsia="宋体" w:cs="宋体"/>
          <w:color w:val="000000" w:themeColor="text1"/>
          <w:sz w:val="21"/>
          <w:szCs w:val="21"/>
          <w:highlight w:val="none"/>
          <w:lang w:val="en-US" w:eastAsia="zh-CN"/>
          <w14:textFill>
            <w14:solidFill>
              <w14:schemeClr w14:val="tx1"/>
            </w14:solidFill>
          </w14:textFill>
        </w:rPr>
        <w:t>试验、到货验收试验全部合格，检验报告完整、规范。</w:t>
      </w:r>
    </w:p>
    <w:p w14:paraId="21D9399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lang w:val="en-US" w:eastAsia="zh-CN"/>
          <w14:textFill>
            <w14:solidFill>
              <w14:schemeClr w14:val="tx1"/>
            </w14:solidFill>
          </w14:textFill>
        </w:rPr>
        <w:t>.3.4 技术资料完整、齐全，符合本规范要求。</w:t>
      </w:r>
    </w:p>
    <w:p w14:paraId="28E364FF">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lang w:val="en-US" w:eastAsia="zh-CN"/>
          <w14:textFill>
            <w14:solidFill>
              <w14:schemeClr w14:val="tx1"/>
            </w14:solidFill>
          </w14:textFill>
        </w:rPr>
        <w:t>.3.5 代加工过程符合本规范要求，生产记录、质量追溯台账完整可追溯。</w:t>
      </w:r>
    </w:p>
    <w:p w14:paraId="66DC53E0">
      <w:pPr>
        <w:pStyle w:val="3"/>
        <w:numPr>
          <w:ilvl w:val="1"/>
          <w:numId w:val="0"/>
        </w:numPr>
        <w:bidi w:val="0"/>
        <w:ind w:leftChars="0"/>
        <w:rPr>
          <w:rFonts w:hint="eastAsia" w:ascii="Times New Roman" w:eastAsia="黑体" w:cs="Times New Roman"/>
          <w:color w:val="000000" w:themeColor="text1"/>
          <w:sz w:val="24"/>
          <w:szCs w:val="24"/>
          <w:highlight w:val="none"/>
          <w:lang w:val="en-US" w:eastAsia="zh-CN"/>
          <w14:textFill>
            <w14:solidFill>
              <w14:schemeClr w14:val="tx1"/>
            </w14:solidFill>
          </w14:textFill>
        </w:rPr>
      </w:pPr>
      <w:bookmarkStart w:id="173" w:name="_Toc25494"/>
      <w:bookmarkStart w:id="174" w:name="_Toc28452"/>
      <w:bookmarkStart w:id="175" w:name="_Toc2802"/>
      <w:bookmarkStart w:id="176" w:name="_Toc25656"/>
      <w:r>
        <w:rPr>
          <w:rFonts w:hint="eastAsia" w:ascii="Times New Roman" w:eastAsia="黑体" w:cs="Times New Roman"/>
          <w:color w:val="000000" w:themeColor="text1"/>
          <w:sz w:val="24"/>
          <w:szCs w:val="24"/>
          <w:highlight w:val="none"/>
          <w:lang w:val="en-US" w:eastAsia="zh-CN"/>
          <w14:textFill>
            <w14:solidFill>
              <w14:schemeClr w14:val="tx1"/>
            </w14:solidFill>
          </w14:textFill>
        </w:rPr>
        <w:t>10.4. 不合格处理</w:t>
      </w:r>
      <w:bookmarkEnd w:id="173"/>
      <w:bookmarkEnd w:id="174"/>
      <w:bookmarkEnd w:id="175"/>
      <w:bookmarkEnd w:id="176"/>
    </w:p>
    <w:p w14:paraId="5D92AF11">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lang w:val="en-US" w:eastAsia="zh-CN"/>
          <w14:textFill>
            <w14:solidFill>
              <w14:schemeClr w14:val="tx1"/>
            </w14:solidFill>
          </w14:textFill>
        </w:rPr>
        <w:t>.4.1 验收过程中，若发现任意一项指标不满足要求，招标人有权暂停验收，要求代加工方在</w:t>
      </w:r>
      <w:r>
        <w:rPr>
          <w:rFonts w:hint="eastAsia" w:ascii="宋体" w:hAnsi="宋体" w:cs="宋体"/>
          <w:color w:val="000000" w:themeColor="text1"/>
          <w:sz w:val="21"/>
          <w:szCs w:val="21"/>
          <w:highlight w:val="none"/>
          <w:u w:val="singl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lang w:val="en-US" w:eastAsia="zh-CN"/>
          <w14:textFill>
            <w14:solidFill>
              <w14:schemeClr w14:val="tx1"/>
            </w14:solidFill>
          </w14:textFill>
        </w:rPr>
        <w:t>个工作日内整改，代加工方须承担全部整改费用；整改后重新验收，直至合格。</w:t>
      </w:r>
    </w:p>
    <w:p w14:paraId="1275BC2B">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lang w:val="en-US" w:eastAsia="zh-CN"/>
          <w14:textFill>
            <w14:solidFill>
              <w14:schemeClr w14:val="tx1"/>
            </w14:solidFill>
          </w14:textFill>
        </w:rPr>
        <w:t>.4.2 若代加工方整改后仍无法满足验收要求，招标人有权拒收该批次产品，解除订单，要求代加工方退还全部货款，并承担相应的违约责任；若情节严重，招标人有权终止框架合作协议。</w:t>
      </w:r>
    </w:p>
    <w:p w14:paraId="53DCB0F3">
      <w:pPr>
        <w:pStyle w:val="2"/>
        <w:numPr>
          <w:ilvl w:val="0"/>
          <w:numId w:val="0"/>
        </w:numPr>
        <w:bidi w:val="0"/>
        <w:ind w:leftChars="0"/>
        <w:rPr>
          <w:rFonts w:hint="eastAsia"/>
          <w:color w:val="000000" w:themeColor="text1"/>
          <w:sz w:val="24"/>
          <w:szCs w:val="24"/>
          <w:highlight w:val="none"/>
          <w:lang w:val="en-US" w:eastAsia="zh-CN"/>
          <w14:textFill>
            <w14:solidFill>
              <w14:schemeClr w14:val="tx1"/>
            </w14:solidFill>
          </w14:textFill>
        </w:rPr>
      </w:pPr>
      <w:bookmarkStart w:id="177" w:name="_Toc31600"/>
      <w:bookmarkStart w:id="178" w:name="_Toc11832"/>
      <w:bookmarkStart w:id="179" w:name="_Toc5030"/>
      <w:bookmarkStart w:id="180" w:name="_Toc18629"/>
      <w:r>
        <w:rPr>
          <w:rFonts w:hint="eastAsia"/>
          <w:color w:val="000000" w:themeColor="text1"/>
          <w:sz w:val="24"/>
          <w:szCs w:val="24"/>
          <w:highlight w:val="none"/>
          <w:lang w:val="en-US" w:eastAsia="zh-CN"/>
          <w14:textFill>
            <w14:solidFill>
              <w14:schemeClr w14:val="tx1"/>
            </w14:solidFill>
          </w14:textFill>
        </w:rPr>
        <w:t>11 框架采购专项要求</w:t>
      </w:r>
      <w:bookmarkEnd w:id="177"/>
      <w:bookmarkEnd w:id="178"/>
      <w:bookmarkEnd w:id="179"/>
      <w:bookmarkEnd w:id="180"/>
    </w:p>
    <w:p w14:paraId="5FE0C550">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订单响应：招标人</w:t>
      </w:r>
      <w:r>
        <w:rPr>
          <w:rFonts w:hint="eastAsia" w:ascii="宋体" w:hAnsi="宋体" w:cs="宋体"/>
          <w:color w:val="000000" w:themeColor="text1"/>
          <w:sz w:val="21"/>
          <w:szCs w:val="21"/>
          <w:highlight w:val="none"/>
          <w:lang w:val="en-US" w:eastAsia="zh-CN"/>
          <w14:textFill>
            <w14:solidFill>
              <w14:schemeClr w14:val="tx1"/>
            </w14:solidFill>
          </w14:textFill>
        </w:rPr>
        <w:t>通知</w:t>
      </w:r>
      <w:r>
        <w:rPr>
          <w:rFonts w:hint="eastAsia" w:ascii="宋体" w:hAnsi="宋体" w:eastAsia="宋体" w:cs="宋体"/>
          <w:color w:val="000000" w:themeColor="text1"/>
          <w:sz w:val="21"/>
          <w:szCs w:val="21"/>
          <w:highlight w:val="none"/>
          <w:lang w:val="en-US" w:eastAsia="zh-CN"/>
          <w14:textFill>
            <w14:solidFill>
              <w14:schemeClr w14:val="tx1"/>
            </w14:solidFill>
          </w14:textFill>
        </w:rPr>
        <w:t>代加工方交付时间、交付数量、交付地点等关键信息</w:t>
      </w:r>
      <w:r>
        <w:rPr>
          <w:rFonts w:hint="eastAsia" w:ascii="宋体" w:hAnsi="宋体" w:cs="宋体"/>
          <w:color w:val="000000" w:themeColor="text1"/>
          <w:sz w:val="21"/>
          <w:szCs w:val="21"/>
          <w:highlight w:val="none"/>
          <w:lang w:val="en-US" w:eastAsia="zh-CN"/>
          <w14:textFill>
            <w14:solidFill>
              <w14:schemeClr w14:val="tx1"/>
            </w14:solidFill>
          </w14:textFill>
        </w:rPr>
        <w:t>，代加工方应在收到通知后20个自然日内完成生产并交付。</w:t>
      </w:r>
    </w:p>
    <w:p w14:paraId="610527D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产能保障：代加工方须保障框架合作期间，具备满足招标人订单需求的产能，若招标人有紧急订单（如应急检修所需），代加工方须优先安排生产，确保在招标人要求的时间内交付，不得逾期。</w:t>
      </w:r>
    </w:p>
    <w:p w14:paraId="4F14D82D">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订单变更：招标人可根据实际需求，对已下达的订单进行变更（如数量、交付时间等），须提前告知代加工方，代加工方须积极配合，调整生产计划，确保变更后订单顺利交付；若因订单变更产生额外费用，双方协商承担。</w:t>
      </w:r>
    </w:p>
    <w:p w14:paraId="1B46FDA7">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履约考核：框架合作期间，招标人将对代加工方的履约情况进行考核，考核指标包括订单响应速度、交付及时性、产品质量、售后服务等；考核不合格的，招标人有权暂停下达订单，要求代加工方整改；整改后仍不合格的，招标人有权终止框架合作协议。</w:t>
      </w:r>
    </w:p>
    <w:p w14:paraId="65686D45">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转包分包：代加工方不得将本次代加工业务转包、分包给第三方，不得擅自委托第三方生产加工，若违反，招标人有权终止框架合作协议，追究代加工方的违约责任。</w:t>
      </w:r>
    </w:p>
    <w:p w14:paraId="24E3824B">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合作终止：框架合作协议期满，双方未续签的，协议自动终止；若代加工方违反本规范及框架协议约定，招标人有权提前终止协议，代加工方须承担相应的违约责任。</w:t>
      </w:r>
    </w:p>
    <w:p w14:paraId="11535203">
      <w:pPr>
        <w:pStyle w:val="2"/>
        <w:numPr>
          <w:ilvl w:val="0"/>
          <w:numId w:val="0"/>
        </w:numPr>
        <w:bidi w:val="0"/>
        <w:ind w:leftChars="0"/>
        <w:rPr>
          <w:rFonts w:hint="eastAsia"/>
          <w:color w:val="000000" w:themeColor="text1"/>
          <w:sz w:val="24"/>
          <w:szCs w:val="24"/>
          <w:highlight w:val="none"/>
          <w:lang w:val="en-US" w:eastAsia="zh-CN"/>
          <w14:textFill>
            <w14:solidFill>
              <w14:schemeClr w14:val="tx1"/>
            </w14:solidFill>
          </w14:textFill>
        </w:rPr>
      </w:pPr>
      <w:bookmarkStart w:id="181" w:name="_Toc13870"/>
      <w:bookmarkStart w:id="182" w:name="_Toc31528"/>
      <w:bookmarkStart w:id="183" w:name="_Toc857"/>
      <w:bookmarkStart w:id="184" w:name="_Toc29877"/>
      <w:r>
        <w:rPr>
          <w:rFonts w:hint="eastAsia"/>
          <w:color w:val="000000" w:themeColor="text1"/>
          <w:sz w:val="24"/>
          <w:szCs w:val="24"/>
          <w:highlight w:val="none"/>
          <w:lang w:val="en-US" w:eastAsia="zh-CN"/>
          <w14:textFill>
            <w14:solidFill>
              <w14:schemeClr w14:val="tx1"/>
            </w14:solidFill>
          </w14:textFill>
        </w:rPr>
        <w:t>12 其他要求</w:t>
      </w:r>
      <w:bookmarkEnd w:id="181"/>
      <w:bookmarkEnd w:id="182"/>
      <w:bookmarkEnd w:id="183"/>
      <w:bookmarkEnd w:id="184"/>
    </w:p>
    <w:p w14:paraId="610F0E03">
      <w:pPr>
        <w:pStyle w:val="3"/>
        <w:numPr>
          <w:ilvl w:val="1"/>
          <w:numId w:val="0"/>
        </w:numPr>
        <w:bidi w:val="0"/>
        <w:ind w:leftChars="0"/>
        <w:rPr>
          <w:rFonts w:hint="eastAsia" w:ascii="Times New Roman" w:eastAsia="黑体" w:cs="Times New Roman"/>
          <w:color w:val="000000" w:themeColor="text1"/>
          <w:sz w:val="24"/>
          <w:szCs w:val="24"/>
          <w:highlight w:val="none"/>
          <w:lang w:val="en-US" w:eastAsia="zh-CN"/>
          <w14:textFill>
            <w14:solidFill>
              <w14:schemeClr w14:val="tx1"/>
            </w14:solidFill>
          </w14:textFill>
        </w:rPr>
      </w:pPr>
      <w:bookmarkStart w:id="185" w:name="_Toc21597"/>
      <w:bookmarkStart w:id="186" w:name="_Toc11099"/>
      <w:bookmarkStart w:id="187" w:name="_Toc16590"/>
      <w:bookmarkStart w:id="188" w:name="_Toc3404"/>
      <w:r>
        <w:rPr>
          <w:rFonts w:hint="eastAsia" w:ascii="Times New Roman" w:eastAsia="黑体" w:cs="Times New Roman"/>
          <w:color w:val="000000" w:themeColor="text1"/>
          <w:sz w:val="24"/>
          <w:szCs w:val="24"/>
          <w:highlight w:val="none"/>
          <w:lang w:val="en-US" w:eastAsia="zh-CN"/>
          <w14:textFill>
            <w14:solidFill>
              <w14:schemeClr w14:val="tx1"/>
            </w14:solidFill>
          </w14:textFill>
        </w:rPr>
        <w:t>12.1. 知识产权</w:t>
      </w:r>
      <w:bookmarkEnd w:id="185"/>
      <w:bookmarkEnd w:id="186"/>
      <w:bookmarkEnd w:id="187"/>
      <w:bookmarkEnd w:id="188"/>
    </w:p>
    <w:p w14:paraId="3C681C97">
      <w:pPr>
        <w:keepNext w:val="0"/>
        <w:keepLines w:val="0"/>
        <w:pageBreakBefore w:val="0"/>
        <w:widowControl w:val="0"/>
        <w:kinsoku/>
        <w:wordWrap/>
        <w:overflowPunct/>
        <w:topLinePunct w:val="0"/>
        <w:autoSpaceDE/>
        <w:autoSpaceDN/>
        <w:bidi w:val="0"/>
        <w:adjustRightInd/>
        <w:snapToGrid/>
        <w:spacing w:before="120" w:after="120" w:line="288" w:lineRule="auto"/>
        <w:ind w:firstLine="420" w:firstLineChars="20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代加工方须保证所投代加工服务、使用的原材料、生产的产品无任何知识产权纠纷、专利侵权问题，若产生相关争议，全部责任由代加工方承担，且须赔偿招标人因此造成的全部损失（包括但不限于律师费、诉讼费、赔偿金等）。</w:t>
      </w:r>
    </w:p>
    <w:p w14:paraId="585ACC6E">
      <w:pPr>
        <w:pStyle w:val="3"/>
        <w:numPr>
          <w:ilvl w:val="1"/>
          <w:numId w:val="0"/>
        </w:numPr>
        <w:bidi w:val="0"/>
        <w:ind w:leftChars="0"/>
        <w:rPr>
          <w:rFonts w:hint="eastAsia" w:ascii="Times New Roman" w:eastAsia="黑体" w:cs="Times New Roman"/>
          <w:color w:val="000000" w:themeColor="text1"/>
          <w:sz w:val="24"/>
          <w:szCs w:val="24"/>
          <w:highlight w:val="none"/>
          <w:lang w:val="en-US" w:eastAsia="zh-CN"/>
          <w14:textFill>
            <w14:solidFill>
              <w14:schemeClr w14:val="tx1"/>
            </w14:solidFill>
          </w14:textFill>
        </w:rPr>
      </w:pPr>
      <w:bookmarkStart w:id="189" w:name="_Toc12996"/>
      <w:bookmarkStart w:id="190" w:name="_Toc9431"/>
      <w:bookmarkStart w:id="191" w:name="_Toc5809"/>
      <w:bookmarkStart w:id="192" w:name="_Toc11544"/>
      <w:r>
        <w:rPr>
          <w:rFonts w:hint="eastAsia" w:ascii="Times New Roman" w:eastAsia="黑体" w:cs="Times New Roman"/>
          <w:color w:val="000000" w:themeColor="text1"/>
          <w:sz w:val="24"/>
          <w:szCs w:val="24"/>
          <w:highlight w:val="none"/>
          <w:lang w:val="en-US" w:eastAsia="zh-CN"/>
          <w14:textFill>
            <w14:solidFill>
              <w14:schemeClr w14:val="tx1"/>
            </w14:solidFill>
          </w14:textFill>
        </w:rPr>
        <w:t>12.2. 保密要求</w:t>
      </w:r>
      <w:bookmarkEnd w:id="189"/>
      <w:bookmarkEnd w:id="190"/>
      <w:bookmarkEnd w:id="191"/>
      <w:bookmarkEnd w:id="192"/>
    </w:p>
    <w:p w14:paraId="491B3291">
      <w:pPr>
        <w:keepNext w:val="0"/>
        <w:keepLines w:val="0"/>
        <w:pageBreakBefore w:val="0"/>
        <w:widowControl w:val="0"/>
        <w:kinsoku/>
        <w:wordWrap/>
        <w:overflowPunct/>
        <w:topLinePunct w:val="0"/>
        <w:autoSpaceDE/>
        <w:autoSpaceDN/>
        <w:bidi w:val="0"/>
        <w:adjustRightInd/>
        <w:snapToGrid/>
        <w:spacing w:before="120" w:after="120" w:line="288" w:lineRule="auto"/>
        <w:ind w:firstLine="420" w:firstLineChars="200"/>
        <w:jc w:val="left"/>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双方对本次框架采购所有</w:t>
      </w:r>
      <w:r>
        <w:rPr>
          <w:rFonts w:hint="eastAsia" w:ascii="宋体" w:hAnsi="宋体" w:cs="宋体"/>
          <w:color w:val="000000" w:themeColor="text1"/>
          <w:sz w:val="21"/>
          <w:szCs w:val="21"/>
          <w:highlight w:val="none"/>
          <w:lang w:val="en-US" w:eastAsia="zh-CN"/>
          <w14:textFill>
            <w14:solidFill>
              <w14:schemeClr w14:val="tx1"/>
            </w14:solidFill>
          </w14:textFill>
        </w:rPr>
        <w:t>资料及信息保密。</w:t>
      </w:r>
    </w:p>
    <w:p w14:paraId="0D6FD2F8">
      <w:pPr>
        <w:pStyle w:val="2"/>
        <w:numPr>
          <w:ilvl w:val="0"/>
          <w:numId w:val="0"/>
        </w:numPr>
        <w:bidi w:val="0"/>
        <w:ind w:leftChars="0"/>
        <w:rPr>
          <w:rFonts w:hint="eastAsia"/>
          <w:color w:val="000000" w:themeColor="text1"/>
          <w:sz w:val="24"/>
          <w:szCs w:val="24"/>
          <w:highlight w:val="none"/>
          <w:lang w:val="en-US" w:eastAsia="zh-CN"/>
          <w14:textFill>
            <w14:solidFill>
              <w14:schemeClr w14:val="tx1"/>
            </w14:solidFill>
          </w14:textFill>
        </w:rPr>
      </w:pPr>
      <w:bookmarkStart w:id="193" w:name="_Toc4235"/>
      <w:bookmarkStart w:id="194" w:name="_Toc26453"/>
      <w:bookmarkStart w:id="195" w:name="_Toc27316"/>
      <w:bookmarkStart w:id="196" w:name="_Toc28040"/>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1</w:t>
      </w:r>
      <w:r>
        <w:rPr>
          <w:rFonts w:hint="eastAsia" w:ascii="Times New Roman" w:cs="Times New Roman"/>
          <w:color w:val="000000" w:themeColor="text1"/>
          <w:sz w:val="24"/>
          <w:szCs w:val="24"/>
          <w:highlight w:val="none"/>
          <w:lang w:val="en-US" w:eastAsia="zh-CN"/>
          <w14:textFill>
            <w14:solidFill>
              <w14:schemeClr w14:val="tx1"/>
            </w14:solidFill>
          </w14:textFill>
        </w:rPr>
        <w:t xml:space="preserve">3 </w:t>
      </w:r>
      <w:r>
        <w:rPr>
          <w:rFonts w:hint="eastAsia"/>
          <w:color w:val="000000" w:themeColor="text1"/>
          <w:sz w:val="24"/>
          <w:szCs w:val="24"/>
          <w:highlight w:val="none"/>
          <w:lang w:val="en-US" w:eastAsia="zh-CN"/>
          <w14:textFill>
            <w14:solidFill>
              <w14:schemeClr w14:val="tx1"/>
            </w14:solidFill>
          </w14:textFill>
        </w:rPr>
        <w:t>设备技术参数和性能要求响应表</w:t>
      </w:r>
      <w:bookmarkEnd w:id="193"/>
      <w:bookmarkEnd w:id="194"/>
      <w:bookmarkEnd w:id="195"/>
      <w:bookmarkEnd w:id="196"/>
    </w:p>
    <w:p w14:paraId="06855930">
      <w:pPr>
        <w:adjustRightInd w:val="0"/>
        <w:snapToGrid w:val="0"/>
        <w:spacing w:line="360" w:lineRule="auto"/>
        <w:ind w:firstLine="412" w:firstLineChars="200"/>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投标方应认真逐项填写所供设备技术参数和性能要求响应表（见表</w:t>
      </w:r>
      <w:r>
        <w:rPr>
          <w:rFonts w:hint="eastAsia" w:ascii="宋体" w:hAnsi="宋体" w:cs="宋体"/>
          <w:color w:val="000000" w:themeColor="text1"/>
          <w:spacing w:val="-2"/>
          <w:sz w:val="21"/>
          <w:szCs w:val="21"/>
          <w:highlight w:val="none"/>
          <w:lang w:eastAsia="zh-CN"/>
          <w14:textFill>
            <w14:solidFill>
              <w14:schemeClr w14:val="tx1"/>
            </w14:solidFill>
          </w14:textFill>
        </w:rPr>
        <w:t>1</w:t>
      </w:r>
      <w:r>
        <w:rPr>
          <w:rFonts w:hint="eastAsia" w:ascii="宋体" w:hAnsi="宋体" w:cs="宋体"/>
          <w:color w:val="000000" w:themeColor="text1"/>
          <w:spacing w:val="-2"/>
          <w:sz w:val="21"/>
          <w:szCs w:val="21"/>
          <w:highlight w:val="none"/>
          <w:lang w:val="en-US" w:eastAsia="zh-CN"/>
          <w14:textFill>
            <w14:solidFill>
              <w14:schemeClr w14:val="tx1"/>
            </w14:solidFill>
          </w14:textFill>
        </w:rPr>
        <w:t>3.1</w:t>
      </w:r>
      <w:r>
        <w:rPr>
          <w:rFonts w:hint="eastAsia" w:ascii="宋体" w:hAnsi="宋体" w:eastAsia="宋体" w:cs="宋体"/>
          <w:color w:val="000000" w:themeColor="text1"/>
          <w:spacing w:val="-2"/>
          <w:sz w:val="21"/>
          <w:szCs w:val="21"/>
          <w:highlight w:val="none"/>
          <w14:textFill>
            <w14:solidFill>
              <w14:schemeClr w14:val="tx1"/>
            </w14:solidFill>
          </w14:textFill>
        </w:rPr>
        <w:t>）中“投标方保证值”栏，不能空格，也不能以“响应”两字代替，不允许改动本表内 “投标方保证值”栏之外的数值。如有差异，请填写技术差异表。</w:t>
      </w:r>
    </w:p>
    <w:p w14:paraId="78AFCA42">
      <w:pPr>
        <w:adjustRightInd w:val="0"/>
        <w:snapToGrid w:val="0"/>
        <w:spacing w:line="36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en-US" w:eastAsia="zh-CN"/>
          <w14:textFill>
            <w14:solidFill>
              <w14:schemeClr w14:val="tx1"/>
            </w14:solidFill>
          </w14:textFill>
        </w:rPr>
        <w:t>表13.1</w:t>
      </w:r>
      <w:r>
        <w:rPr>
          <w:rFonts w:hint="eastAsia" w:ascii="宋体" w:hAnsi="宋体" w:eastAsia="宋体" w:cs="宋体"/>
          <w:color w:val="000000" w:themeColor="text1"/>
          <w:szCs w:val="21"/>
          <w:highlight w:val="none"/>
          <w14:textFill>
            <w14:solidFill>
              <w14:schemeClr w14:val="tx1"/>
            </w14:solidFill>
          </w14:textFill>
        </w:rPr>
        <w:t>技术参数和性能要求响应表</w:t>
      </w:r>
    </w:p>
    <w:tbl>
      <w:tblPr>
        <w:tblStyle w:val="28"/>
        <w:tblW w:w="4930" w:type="pct"/>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62"/>
        <w:gridCol w:w="979"/>
        <w:gridCol w:w="3589"/>
        <w:gridCol w:w="3279"/>
      </w:tblGrid>
      <w:tr w14:paraId="1BA88C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blHeader/>
        </w:trPr>
        <w:tc>
          <w:tcPr>
            <w:tcW w:w="321" w:type="pct"/>
            <w:vAlign w:val="center"/>
          </w:tcPr>
          <w:p w14:paraId="37CCC0BA">
            <w:pPr>
              <w:pStyle w:val="1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558" w:type="pct"/>
            <w:vAlign w:val="center"/>
          </w:tcPr>
          <w:p w14:paraId="50E6EA61">
            <w:pPr>
              <w:pStyle w:val="16"/>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名   称</w:t>
            </w:r>
          </w:p>
        </w:tc>
        <w:tc>
          <w:tcPr>
            <w:tcW w:w="2049" w:type="pct"/>
            <w:vAlign w:val="center"/>
          </w:tcPr>
          <w:p w14:paraId="3CDD8D60">
            <w:pPr>
              <w:pStyle w:val="16"/>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项目要求值</w:t>
            </w:r>
          </w:p>
        </w:tc>
        <w:tc>
          <w:tcPr>
            <w:tcW w:w="1872" w:type="pct"/>
            <w:vAlign w:val="center"/>
          </w:tcPr>
          <w:p w14:paraId="02C39C3B">
            <w:pPr>
              <w:pStyle w:val="16"/>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投标方保证值</w:t>
            </w:r>
          </w:p>
        </w:tc>
      </w:tr>
      <w:tr w14:paraId="17D0D9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321" w:type="pct"/>
            <w:vAlign w:val="center"/>
          </w:tcPr>
          <w:p w14:paraId="28EA992B">
            <w:pPr>
              <w:pStyle w:val="1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558" w:type="pct"/>
            <w:vAlign w:val="center"/>
          </w:tcPr>
          <w:p w14:paraId="72BE589E">
            <w:pPr>
              <w:keepNext w:val="0"/>
              <w:keepLines w:val="0"/>
              <w:pageBreakBefore w:val="0"/>
              <w:kinsoku/>
              <w:wordWrap/>
              <w:overflowPunct/>
              <w:topLinePunct w:val="0"/>
              <w:autoSpaceDE/>
              <w:autoSpaceDN/>
              <w:bidi w:val="0"/>
              <w:adjustRightInd/>
              <w:snapToGrid/>
              <w:spacing w:beforeAutospacing="1" w:afterAutospacing="1" w:line="240" w:lineRule="auto"/>
              <w:ind w:left="0" w:leftChars="0" w:right="0" w:rightChars="0" w:firstLine="0" w:firstLineChars="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sz w:val="24"/>
                <w:szCs w:val="24"/>
              </w:rPr>
              <w:t>★</w:t>
            </w:r>
            <w:r>
              <w:rPr>
                <w:rFonts w:hint="eastAsia" w:ascii="宋体" w:hAnsi="宋体" w:eastAsia="宋体" w:cs="宋体"/>
                <w:color w:val="000000" w:themeColor="text1"/>
                <w:sz w:val="21"/>
                <w:szCs w:val="21"/>
                <w:highlight w:val="none"/>
                <w14:textFill>
                  <w14:solidFill>
                    <w14:schemeClr w14:val="tx1"/>
                  </w14:solidFill>
                </w14:textFill>
              </w:rPr>
              <w:t>准确度等级</w:t>
            </w:r>
          </w:p>
        </w:tc>
        <w:tc>
          <w:tcPr>
            <w:tcW w:w="2049" w:type="pct"/>
            <w:vAlign w:val="center"/>
          </w:tcPr>
          <w:p w14:paraId="27933F40">
            <w:pPr>
              <w:topLinePunct/>
              <w:snapToGrid w:val="0"/>
              <w:spacing w:before="64" w:after="64" w:line="240" w:lineRule="auto"/>
              <w:ind w:firstLine="0" w:firstLineChars="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0.2S</w:t>
            </w:r>
          </w:p>
        </w:tc>
        <w:tc>
          <w:tcPr>
            <w:tcW w:w="1872" w:type="pct"/>
          </w:tcPr>
          <w:p w14:paraId="5E3320C7">
            <w:pPr>
              <w:pStyle w:val="16"/>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0FD9A3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321" w:type="pct"/>
            <w:vAlign w:val="center"/>
          </w:tcPr>
          <w:p w14:paraId="228BBEDE">
            <w:pPr>
              <w:pStyle w:val="16"/>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p>
        </w:tc>
        <w:tc>
          <w:tcPr>
            <w:tcW w:w="558" w:type="pct"/>
            <w:vAlign w:val="center"/>
          </w:tcPr>
          <w:p w14:paraId="4B550B7C">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自动轮显时间</w:t>
            </w:r>
          </w:p>
        </w:tc>
        <w:tc>
          <w:tcPr>
            <w:tcW w:w="2049" w:type="pct"/>
            <w:vAlign w:val="center"/>
          </w:tcPr>
          <w:p w14:paraId="2E873E38">
            <w:pPr>
              <w:pStyle w:val="95"/>
              <w:ind w:firstLine="0" w:firstLineChars="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（5～20）s可设置，默认5s</w:t>
            </w:r>
          </w:p>
        </w:tc>
        <w:tc>
          <w:tcPr>
            <w:tcW w:w="1872" w:type="pct"/>
          </w:tcPr>
          <w:p w14:paraId="4C95E7C8">
            <w:pPr>
              <w:pStyle w:val="16"/>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4B5C92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321" w:type="pct"/>
            <w:vAlign w:val="center"/>
          </w:tcPr>
          <w:p w14:paraId="3B833582">
            <w:pPr>
              <w:pStyle w:val="16"/>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p>
        </w:tc>
        <w:tc>
          <w:tcPr>
            <w:tcW w:w="558" w:type="pct"/>
            <w:vAlign w:val="center"/>
          </w:tcPr>
          <w:p w14:paraId="08578840">
            <w:pPr>
              <w:pStyle w:val="16"/>
              <w:jc w:val="center"/>
              <w:rPr>
                <w:rFonts w:hint="eastAsia"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sz w:val="24"/>
                <w:szCs w:val="24"/>
              </w:rPr>
              <w:t>★</w:t>
            </w:r>
            <w:r>
              <w:rPr>
                <w:rFonts w:hint="eastAsia" w:ascii="宋体" w:hAnsi="宋体" w:eastAsia="宋体" w:cs="宋体"/>
                <w:color w:val="000000" w:themeColor="text1"/>
                <w:sz w:val="21"/>
                <w:szCs w:val="21"/>
                <w:highlight w:val="none"/>
                <w14:textFill>
                  <w14:solidFill>
                    <w14:schemeClr w14:val="tx1"/>
                  </w14:solidFill>
                </w14:textFill>
              </w:rPr>
              <w:t>RS-485通信</w:t>
            </w:r>
            <w:r>
              <w:rPr>
                <w:rFonts w:hint="eastAsia" w:ascii="宋体" w:hAnsi="宋体" w:eastAsia="宋体" w:cs="宋体"/>
                <w:color w:val="000000" w:themeColor="text1"/>
                <w:sz w:val="21"/>
                <w:szCs w:val="21"/>
                <w:highlight w:val="none"/>
                <w:lang w:eastAsia="zh-CN"/>
                <w14:textFill>
                  <w14:solidFill>
                    <w14:schemeClr w14:val="tx1"/>
                  </w14:solidFill>
                </w14:textFill>
              </w:rPr>
              <w:t>接口</w:t>
            </w:r>
          </w:p>
        </w:tc>
        <w:tc>
          <w:tcPr>
            <w:tcW w:w="2049" w:type="pct"/>
            <w:vAlign w:val="center"/>
          </w:tcPr>
          <w:p w14:paraId="0E593802">
            <w:pPr>
              <w:pStyle w:val="16"/>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至少具备</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路脉冲输出、2路独立的电气隔离RS-485接口</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接口必须和电能表内部电路实行电气隔离，并有失效保护电路。</w:t>
            </w:r>
          </w:p>
        </w:tc>
        <w:tc>
          <w:tcPr>
            <w:tcW w:w="1872" w:type="pct"/>
          </w:tcPr>
          <w:p w14:paraId="52073448">
            <w:pPr>
              <w:pStyle w:val="16"/>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0CD5A4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321" w:type="pct"/>
            <w:vAlign w:val="center"/>
          </w:tcPr>
          <w:p w14:paraId="7463AAC7">
            <w:pPr>
              <w:pStyle w:val="16"/>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p>
        </w:tc>
        <w:tc>
          <w:tcPr>
            <w:tcW w:w="558" w:type="pct"/>
            <w:vAlign w:val="center"/>
          </w:tcPr>
          <w:p w14:paraId="125D720C">
            <w:pPr>
              <w:pStyle w:val="16"/>
              <w:jc w:val="center"/>
              <w:rPr>
                <w:rFonts w:hint="eastAsia"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sz w:val="24"/>
                <w:szCs w:val="24"/>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RS-485通信方式通信速率</w:t>
            </w:r>
          </w:p>
        </w:tc>
        <w:tc>
          <w:tcPr>
            <w:tcW w:w="2049" w:type="pct"/>
            <w:vAlign w:val="center"/>
          </w:tcPr>
          <w:p w14:paraId="29CAE784">
            <w:pPr>
              <w:pStyle w:val="16"/>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可设置，其范围为（1.2～9.6）kbps，各个通信口的速率相互独立，可以不同，但各个通信口的通信地址相同，单只电能表有唯一的通信地址。</w:t>
            </w:r>
          </w:p>
        </w:tc>
        <w:tc>
          <w:tcPr>
            <w:tcW w:w="1872" w:type="pct"/>
          </w:tcPr>
          <w:p w14:paraId="24F66B2F">
            <w:pPr>
              <w:pStyle w:val="16"/>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0AA30C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321" w:type="pct"/>
            <w:vAlign w:val="center"/>
          </w:tcPr>
          <w:p w14:paraId="7907F360">
            <w:pPr>
              <w:pStyle w:val="16"/>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p>
        </w:tc>
        <w:tc>
          <w:tcPr>
            <w:tcW w:w="558" w:type="pct"/>
            <w:vAlign w:val="center"/>
          </w:tcPr>
          <w:p w14:paraId="3CBB5B15">
            <w:pPr>
              <w:pStyle w:val="1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上电通讯时间</w:t>
            </w:r>
          </w:p>
        </w:tc>
        <w:tc>
          <w:tcPr>
            <w:tcW w:w="2049" w:type="pct"/>
            <w:vAlign w:val="center"/>
          </w:tcPr>
          <w:p w14:paraId="259D793E">
            <w:pPr>
              <w:pStyle w:val="16"/>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电能表上电后3s 内应可以使用RS485 接口进行通讯。</w:t>
            </w:r>
          </w:p>
        </w:tc>
        <w:tc>
          <w:tcPr>
            <w:tcW w:w="1872" w:type="pct"/>
          </w:tcPr>
          <w:p w14:paraId="7BFC2D2E">
            <w:pPr>
              <w:pStyle w:val="16"/>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3119F7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321" w:type="pct"/>
            <w:vAlign w:val="center"/>
          </w:tcPr>
          <w:p w14:paraId="3BB7A716">
            <w:pPr>
              <w:pStyle w:val="16"/>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p>
        </w:tc>
        <w:tc>
          <w:tcPr>
            <w:tcW w:w="558" w:type="pct"/>
            <w:vAlign w:val="center"/>
          </w:tcPr>
          <w:p w14:paraId="4469EDBD">
            <w:pPr>
              <w:pStyle w:val="1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吸附式光电通讯接口</w:t>
            </w:r>
          </w:p>
        </w:tc>
        <w:tc>
          <w:tcPr>
            <w:tcW w:w="2049" w:type="pct"/>
            <w:vAlign w:val="center"/>
          </w:tcPr>
          <w:p w14:paraId="2A476D9A">
            <w:pPr>
              <w:pStyle w:val="16"/>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具备吸附式光电通讯接口，可以通过光电通讯接口及服务软件进行参数读写、数据读取及备份。</w:t>
            </w:r>
          </w:p>
        </w:tc>
        <w:tc>
          <w:tcPr>
            <w:tcW w:w="1872" w:type="pct"/>
          </w:tcPr>
          <w:p w14:paraId="62045077">
            <w:pPr>
              <w:pStyle w:val="16"/>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632ADB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321" w:type="pct"/>
            <w:vAlign w:val="center"/>
          </w:tcPr>
          <w:p w14:paraId="3B1E7DEA">
            <w:pPr>
              <w:pStyle w:val="16"/>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p>
        </w:tc>
        <w:tc>
          <w:tcPr>
            <w:tcW w:w="558" w:type="pct"/>
            <w:vAlign w:val="center"/>
          </w:tcPr>
          <w:p w14:paraId="099CECC1">
            <w:pPr>
              <w:pStyle w:val="1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信号输出</w:t>
            </w:r>
          </w:p>
        </w:tc>
        <w:tc>
          <w:tcPr>
            <w:tcW w:w="2049" w:type="pct"/>
            <w:vAlign w:val="center"/>
          </w:tcPr>
          <w:p w14:paraId="6D48993A">
            <w:pPr>
              <w:pStyle w:val="16"/>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LED脉冲装置的特性应符合GB/T 17215.211的要求</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电测试输出装置的特性应符合GB/T15284的要求。</w:t>
            </w:r>
          </w:p>
          <w:p w14:paraId="2D7BDF70">
            <w:pPr>
              <w:pStyle w:val="16"/>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电能表电能量脉冲输出宽度为：（30~96）ms。</w:t>
            </w:r>
          </w:p>
        </w:tc>
        <w:tc>
          <w:tcPr>
            <w:tcW w:w="1872" w:type="pct"/>
          </w:tcPr>
          <w:p w14:paraId="1ED177BC">
            <w:pPr>
              <w:pStyle w:val="16"/>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745F5F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321" w:type="pct"/>
            <w:vAlign w:val="center"/>
          </w:tcPr>
          <w:p w14:paraId="6EFC5D15">
            <w:pPr>
              <w:pStyle w:val="16"/>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p>
        </w:tc>
        <w:tc>
          <w:tcPr>
            <w:tcW w:w="558" w:type="pct"/>
            <w:vAlign w:val="center"/>
          </w:tcPr>
          <w:p w14:paraId="3612C4C5">
            <w:pPr>
              <w:pStyle w:val="1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时钟</w:t>
            </w:r>
          </w:p>
        </w:tc>
        <w:tc>
          <w:tcPr>
            <w:tcW w:w="2049" w:type="pct"/>
            <w:vAlign w:val="center"/>
          </w:tcPr>
          <w:p w14:paraId="549995DA">
            <w:pPr>
              <w:pStyle w:val="16"/>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（1）具有日历、计时、闰年自动转换功能，采用具有温度补偿功能的内置硬件时钟电路。内部晶振时基稳定度优于0.5s/d。</w:t>
            </w:r>
          </w:p>
          <w:p w14:paraId="68556291">
            <w:pPr>
              <w:pStyle w:val="16"/>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（2）当电能表与计量自动化系统的时差在±5分钟以内可以进行广播校时，但每天只允许校对一次。</w:t>
            </w:r>
          </w:p>
        </w:tc>
        <w:tc>
          <w:tcPr>
            <w:tcW w:w="1872" w:type="pct"/>
          </w:tcPr>
          <w:p w14:paraId="7EEC28DC">
            <w:pPr>
              <w:pStyle w:val="16"/>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2FC964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321" w:type="pct"/>
            <w:vAlign w:val="center"/>
          </w:tcPr>
          <w:p w14:paraId="0DC33E8B">
            <w:pPr>
              <w:pStyle w:val="16"/>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w:t>
            </w:r>
          </w:p>
        </w:tc>
        <w:tc>
          <w:tcPr>
            <w:tcW w:w="558" w:type="pct"/>
            <w:vAlign w:val="center"/>
          </w:tcPr>
          <w:p w14:paraId="5B9DB2E5">
            <w:pPr>
              <w:pStyle w:val="1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电池</w:t>
            </w:r>
          </w:p>
        </w:tc>
        <w:tc>
          <w:tcPr>
            <w:tcW w:w="2049" w:type="pct"/>
            <w:vAlign w:val="center"/>
          </w:tcPr>
          <w:p w14:paraId="268B6696">
            <w:pPr>
              <w:pStyle w:val="16"/>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时钟电池采用绿色环保且不可充电的柱状锂电池，电池容量不小于1.2Ah。断电后至少可连续提供电能表内部时钟正常工作5年，在产品检定周期内无需更换。</w:t>
            </w:r>
          </w:p>
        </w:tc>
        <w:tc>
          <w:tcPr>
            <w:tcW w:w="1872" w:type="pct"/>
          </w:tcPr>
          <w:p w14:paraId="05309911">
            <w:pPr>
              <w:pStyle w:val="16"/>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446FCF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321" w:type="pct"/>
            <w:vAlign w:val="center"/>
          </w:tcPr>
          <w:p w14:paraId="1785019A">
            <w:pPr>
              <w:pStyle w:val="16"/>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10</w:t>
            </w:r>
          </w:p>
        </w:tc>
        <w:tc>
          <w:tcPr>
            <w:tcW w:w="558" w:type="pct"/>
            <w:vAlign w:val="center"/>
          </w:tcPr>
          <w:p w14:paraId="0563CA45">
            <w:pPr>
              <w:pStyle w:val="16"/>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辅助电源供电</w:t>
            </w:r>
            <w:r>
              <w:rPr>
                <w:rFonts w:hint="eastAsia" w:ascii="宋体" w:hAnsi="宋体" w:eastAsia="宋体" w:cs="宋体"/>
                <w:color w:val="000000" w:themeColor="text1"/>
                <w:sz w:val="21"/>
                <w:szCs w:val="21"/>
                <w:highlight w:val="none"/>
                <w:lang w:eastAsia="zh-CN"/>
                <w14:textFill>
                  <w14:solidFill>
                    <w14:schemeClr w14:val="tx1"/>
                  </w14:solidFill>
                </w14:textFill>
              </w:rPr>
              <w:t>电压</w:t>
            </w:r>
          </w:p>
        </w:tc>
        <w:tc>
          <w:tcPr>
            <w:tcW w:w="2049" w:type="pct"/>
            <w:vAlign w:val="center"/>
          </w:tcPr>
          <w:p w14:paraId="597A5BEC">
            <w:pPr>
              <w:pStyle w:val="16"/>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0.7Un~1.2Un</w:t>
            </w:r>
            <w:r>
              <w:rPr>
                <w:rFonts w:hint="eastAsia"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Un=DC110V/220V</w:t>
            </w:r>
            <w:r>
              <w:rPr>
                <w:rFonts w:hint="eastAsia"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2路冗余配置</w:t>
            </w:r>
          </w:p>
        </w:tc>
        <w:tc>
          <w:tcPr>
            <w:tcW w:w="1872" w:type="pct"/>
          </w:tcPr>
          <w:p w14:paraId="7C0283F7">
            <w:pPr>
              <w:pStyle w:val="16"/>
              <w:jc w:val="center"/>
              <w:rPr>
                <w:rFonts w:hint="eastAsia" w:ascii="宋体" w:hAnsi="宋体" w:eastAsia="宋体" w:cs="宋体"/>
                <w:color w:val="000000" w:themeColor="text1"/>
                <w:sz w:val="21"/>
                <w:szCs w:val="21"/>
                <w:highlight w:val="none"/>
                <w14:textFill>
                  <w14:solidFill>
                    <w14:schemeClr w14:val="tx1"/>
                  </w14:solidFill>
                </w14:textFill>
              </w:rPr>
            </w:pPr>
          </w:p>
        </w:tc>
      </w:tr>
    </w:tbl>
    <w:p w14:paraId="4A4AFF02">
      <w:pPr>
        <w:pStyle w:val="12"/>
        <w:rPr>
          <w:rFonts w:hint="eastAsia"/>
          <w:color w:val="000000" w:themeColor="text1"/>
          <w:highlight w:val="none"/>
          <w:lang w:val="en-US" w:eastAsia="zh-CN"/>
          <w14:textFill>
            <w14:solidFill>
              <w14:schemeClr w14:val="tx1"/>
            </w14:solidFill>
          </w14:textFill>
        </w:rPr>
      </w:pPr>
    </w:p>
    <w:p w14:paraId="56EB7184">
      <w:pPr>
        <w:pStyle w:val="2"/>
        <w:numPr>
          <w:ilvl w:val="0"/>
          <w:numId w:val="0"/>
        </w:numPr>
        <w:adjustRightInd w:val="0"/>
        <w:spacing w:beforeLines="0"/>
        <w:ind w:left="0" w:leftChars="0" w:firstLine="0" w:firstLineChars="0"/>
        <w:rPr>
          <w:rFonts w:hint="eastAsia" w:ascii="Times New Roman" w:hAnsi="Times New Roman" w:eastAsia="宋体" w:cs="Times New Roman"/>
          <w:b/>
          <w:bCs/>
          <w:i w:val="0"/>
          <w:color w:val="000000" w:themeColor="text1"/>
          <w:kern w:val="44"/>
          <w:sz w:val="24"/>
          <w:szCs w:val="24"/>
          <w:highlight w:val="none"/>
          <w:lang w:val="en-US" w:eastAsia="zh-CN" w:bidi="ar-SA"/>
          <w14:textFill>
            <w14:solidFill>
              <w14:schemeClr w14:val="tx1"/>
            </w14:solidFill>
          </w14:textFill>
        </w:rPr>
      </w:pPr>
      <w:bookmarkStart w:id="197" w:name="_Toc287602849"/>
      <w:bookmarkStart w:id="198" w:name="_Toc9537"/>
      <w:bookmarkStart w:id="199" w:name="_Toc10214"/>
      <w:bookmarkStart w:id="200" w:name="_Toc22526"/>
      <w:bookmarkStart w:id="201" w:name="_Toc16787"/>
      <w:bookmarkStart w:id="202" w:name="_Toc19925"/>
      <w:r>
        <w:rPr>
          <w:rFonts w:hint="default" w:ascii="Times New Roman" w:hAnsi="Times New Roman" w:eastAsia="宋体" w:cs="Times New Roman"/>
          <w:b w:val="0"/>
          <w:bCs w:val="0"/>
          <w:i w:val="0"/>
          <w:color w:val="000000" w:themeColor="text1"/>
          <w:kern w:val="44"/>
          <w:sz w:val="24"/>
          <w:szCs w:val="24"/>
          <w:highlight w:val="none"/>
          <w:lang w:val="en-US" w:eastAsia="zh-CN" w:bidi="ar-SA"/>
          <w14:textFill>
            <w14:solidFill>
              <w14:schemeClr w14:val="tx1"/>
            </w14:solidFill>
          </w14:textFill>
        </w:rPr>
        <w:t>1</w:t>
      </w:r>
      <w:r>
        <w:rPr>
          <w:rFonts w:hint="eastAsia" w:ascii="Times New Roman" w:cs="Times New Roman"/>
          <w:b w:val="0"/>
          <w:bCs w:val="0"/>
          <w:i w:val="0"/>
          <w:color w:val="000000" w:themeColor="text1"/>
          <w:kern w:val="44"/>
          <w:sz w:val="24"/>
          <w:szCs w:val="24"/>
          <w:highlight w:val="none"/>
          <w:lang w:val="en-US" w:eastAsia="zh-CN" w:bidi="ar-SA"/>
          <w14:textFill>
            <w14:solidFill>
              <w14:schemeClr w14:val="tx1"/>
            </w14:solidFill>
          </w14:textFill>
        </w:rPr>
        <w:t>4</w:t>
      </w:r>
      <w:r>
        <w:rPr>
          <w:rFonts w:hint="eastAsia" w:ascii="Times New Roman" w:hAnsi="Times New Roman" w:eastAsia="宋体" w:cs="Times New Roman"/>
          <w:b/>
          <w:bCs/>
          <w:i w:val="0"/>
          <w:color w:val="000000" w:themeColor="text1"/>
          <w:kern w:val="44"/>
          <w:sz w:val="24"/>
          <w:szCs w:val="24"/>
          <w:highlight w:val="none"/>
          <w:lang w:val="en-US" w:eastAsia="zh-CN" w:bidi="ar-SA"/>
          <w14:textFill>
            <w14:solidFill>
              <w14:schemeClr w14:val="tx1"/>
            </w14:solidFill>
          </w14:textFill>
        </w:rPr>
        <w:t xml:space="preserve"> </w:t>
      </w:r>
      <w:bookmarkStart w:id="203" w:name="_Toc23591"/>
      <w:bookmarkStart w:id="204" w:name="_Toc29728"/>
      <w:r>
        <w:rPr>
          <w:rFonts w:hint="eastAsia" w:ascii="Times New Roman" w:hAnsi="Times New Roman" w:eastAsia="宋体" w:cs="Times New Roman"/>
          <w:b/>
          <w:bCs/>
          <w:i w:val="0"/>
          <w:color w:val="000000" w:themeColor="text1"/>
          <w:kern w:val="44"/>
          <w:sz w:val="24"/>
          <w:szCs w:val="24"/>
          <w:highlight w:val="none"/>
          <w:lang w:val="en-US" w:eastAsia="zh-CN" w:bidi="ar-SA"/>
          <w14:textFill>
            <w14:solidFill>
              <w14:schemeClr w14:val="tx1"/>
            </w14:solidFill>
          </w14:textFill>
        </w:rPr>
        <w:t>技术差异表</w:t>
      </w:r>
      <w:bookmarkEnd w:id="197"/>
      <w:bookmarkEnd w:id="198"/>
      <w:bookmarkEnd w:id="199"/>
      <w:bookmarkEnd w:id="200"/>
      <w:bookmarkEnd w:id="201"/>
      <w:bookmarkEnd w:id="202"/>
      <w:bookmarkEnd w:id="203"/>
      <w:bookmarkEnd w:id="204"/>
    </w:p>
    <w:p w14:paraId="1590B473">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szCs w:val="18"/>
        </w:rPr>
      </w:pPr>
      <w:bookmarkStart w:id="205" w:name="_Toc226362579"/>
      <w:r>
        <w:rPr>
          <w:rFonts w:hint="eastAsia"/>
        </w:rPr>
        <w:t>投标方应将所供设备与本</w:t>
      </w:r>
      <w:r>
        <w:rPr>
          <w:rFonts w:hint="eastAsia"/>
          <w:lang w:eastAsia="zh-CN"/>
        </w:rPr>
        <w:t>技术规范书</w:t>
      </w:r>
      <w:r>
        <w:rPr>
          <w:rFonts w:hint="eastAsia"/>
        </w:rPr>
        <w:t>有差异之处，无论优于或劣于本</w:t>
      </w:r>
      <w:r>
        <w:rPr>
          <w:rFonts w:hint="eastAsia"/>
          <w:lang w:eastAsia="zh-CN"/>
        </w:rPr>
        <w:t>技术规范书</w:t>
      </w:r>
      <w:r>
        <w:rPr>
          <w:rFonts w:hint="eastAsia"/>
        </w:rPr>
        <w:t>要求，均汇集成此表。</w:t>
      </w:r>
    </w:p>
    <w:p w14:paraId="603E285B">
      <w:pPr>
        <w:bidi w:val="0"/>
        <w:jc w:val="center"/>
        <w:rPr>
          <w:rFonts w:hint="eastAsia"/>
        </w:rPr>
      </w:pPr>
      <w:r>
        <w:rPr>
          <w:rFonts w:hint="eastAsia"/>
        </w:rPr>
        <w:t>表</w:t>
      </w:r>
      <w:r>
        <w:rPr>
          <w:rFonts w:hint="eastAsia"/>
          <w:lang w:val="en-US" w:eastAsia="zh-CN"/>
        </w:rPr>
        <w:t>15.1</w:t>
      </w:r>
      <w:r>
        <w:rPr>
          <w:rFonts w:hint="eastAsia"/>
        </w:rPr>
        <w:t xml:space="preserve"> 技术差异表  （投标方填写）</w:t>
      </w:r>
    </w:p>
    <w:bookmarkEnd w:id="205"/>
    <w:tbl>
      <w:tblPr>
        <w:tblStyle w:val="28"/>
        <w:tblW w:w="838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9"/>
        <w:gridCol w:w="1163"/>
        <w:gridCol w:w="2713"/>
        <w:gridCol w:w="1258"/>
        <w:gridCol w:w="2575"/>
      </w:tblGrid>
      <w:tr w14:paraId="658066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restart"/>
            <w:vAlign w:val="center"/>
          </w:tcPr>
          <w:p w14:paraId="585ABC87">
            <w:pPr>
              <w:widowControl/>
              <w:autoSpaceDE w:val="0"/>
              <w:autoSpaceDN w:val="0"/>
              <w:spacing w:before="40"/>
              <w:jc w:val="center"/>
              <w:textAlignment w:val="bottom"/>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序</w:t>
            </w:r>
          </w:p>
          <w:p w14:paraId="06B5BF77">
            <w:pPr>
              <w:autoSpaceDE w:val="0"/>
              <w:autoSpaceDN w:val="0"/>
              <w:spacing w:before="40"/>
              <w:jc w:val="center"/>
              <w:textAlignment w:val="bottom"/>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号</w:t>
            </w:r>
          </w:p>
        </w:tc>
        <w:tc>
          <w:tcPr>
            <w:tcW w:w="3876" w:type="dxa"/>
            <w:gridSpan w:val="2"/>
            <w:vAlign w:val="center"/>
          </w:tcPr>
          <w:p w14:paraId="67EDE997">
            <w:pPr>
              <w:widowControl/>
              <w:autoSpaceDE w:val="0"/>
              <w:autoSpaceDN w:val="0"/>
              <w:spacing w:before="40"/>
              <w:jc w:val="center"/>
              <w:textAlignment w:val="bottom"/>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招 标 文 件</w:t>
            </w:r>
          </w:p>
        </w:tc>
        <w:tc>
          <w:tcPr>
            <w:tcW w:w="3833" w:type="dxa"/>
            <w:gridSpan w:val="2"/>
            <w:vAlign w:val="center"/>
          </w:tcPr>
          <w:p w14:paraId="3D1691F9">
            <w:pPr>
              <w:widowControl/>
              <w:autoSpaceDE w:val="0"/>
              <w:autoSpaceDN w:val="0"/>
              <w:spacing w:before="40"/>
              <w:jc w:val="center"/>
              <w:textAlignment w:val="bottom"/>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投  标  文  件</w:t>
            </w:r>
          </w:p>
        </w:tc>
      </w:tr>
      <w:tr w14:paraId="1BF7BA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continue"/>
            <w:vAlign w:val="center"/>
          </w:tcPr>
          <w:p w14:paraId="74CB302B">
            <w:pPr>
              <w:widowControl/>
              <w:autoSpaceDE w:val="0"/>
              <w:autoSpaceDN w:val="0"/>
              <w:spacing w:before="40"/>
              <w:jc w:val="center"/>
              <w:textAlignment w:val="bottom"/>
              <w:rPr>
                <w:rFonts w:hint="eastAsia" w:ascii="宋体" w:hAnsi="宋体" w:eastAsia="宋体" w:cs="宋体"/>
                <w:color w:val="000000" w:themeColor="text1"/>
                <w:sz w:val="18"/>
                <w:szCs w:val="18"/>
                <w:highlight w:val="none"/>
                <w14:textFill>
                  <w14:solidFill>
                    <w14:schemeClr w14:val="tx1"/>
                  </w14:solidFill>
                </w14:textFill>
              </w:rPr>
            </w:pPr>
          </w:p>
        </w:tc>
        <w:tc>
          <w:tcPr>
            <w:tcW w:w="1163" w:type="dxa"/>
            <w:vAlign w:val="center"/>
          </w:tcPr>
          <w:p w14:paraId="06386945">
            <w:pPr>
              <w:widowControl/>
              <w:autoSpaceDE w:val="0"/>
              <w:autoSpaceDN w:val="0"/>
              <w:spacing w:before="40"/>
              <w:jc w:val="center"/>
              <w:textAlignment w:val="bottom"/>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条  目</w:t>
            </w:r>
          </w:p>
        </w:tc>
        <w:tc>
          <w:tcPr>
            <w:tcW w:w="2713" w:type="dxa"/>
            <w:vAlign w:val="center"/>
          </w:tcPr>
          <w:p w14:paraId="722989E2">
            <w:pPr>
              <w:widowControl/>
              <w:autoSpaceDE w:val="0"/>
              <w:autoSpaceDN w:val="0"/>
              <w:spacing w:before="40"/>
              <w:jc w:val="center"/>
              <w:textAlignment w:val="bottom"/>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简  要  内  容</w:t>
            </w:r>
          </w:p>
        </w:tc>
        <w:tc>
          <w:tcPr>
            <w:tcW w:w="1258" w:type="dxa"/>
            <w:vAlign w:val="center"/>
          </w:tcPr>
          <w:p w14:paraId="1465C821">
            <w:pPr>
              <w:widowControl/>
              <w:autoSpaceDE w:val="0"/>
              <w:autoSpaceDN w:val="0"/>
              <w:spacing w:before="40"/>
              <w:jc w:val="center"/>
              <w:textAlignment w:val="bottom"/>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条  目</w:t>
            </w:r>
          </w:p>
        </w:tc>
        <w:tc>
          <w:tcPr>
            <w:tcW w:w="2575" w:type="dxa"/>
            <w:vAlign w:val="center"/>
          </w:tcPr>
          <w:p w14:paraId="2F116811">
            <w:pPr>
              <w:widowControl/>
              <w:autoSpaceDE w:val="0"/>
              <w:autoSpaceDN w:val="0"/>
              <w:spacing w:before="40"/>
              <w:jc w:val="center"/>
              <w:textAlignment w:val="bottom"/>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简  要  内  容</w:t>
            </w:r>
          </w:p>
        </w:tc>
      </w:tr>
      <w:tr w14:paraId="18DD49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14:paraId="3A4D0815">
            <w:pPr>
              <w:widowControl/>
              <w:autoSpaceDE w:val="0"/>
              <w:autoSpaceDN w:val="0"/>
              <w:jc w:val="center"/>
              <w:textAlignment w:val="bottom"/>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1</w:t>
            </w:r>
          </w:p>
        </w:tc>
        <w:tc>
          <w:tcPr>
            <w:tcW w:w="1163" w:type="dxa"/>
            <w:vAlign w:val="center"/>
          </w:tcPr>
          <w:p w14:paraId="50AABFCC">
            <w:pPr>
              <w:widowControl/>
              <w:autoSpaceDE w:val="0"/>
              <w:autoSpaceDN w:val="0"/>
              <w:jc w:val="center"/>
              <w:textAlignment w:val="bottom"/>
              <w:rPr>
                <w:rFonts w:hint="eastAsia" w:ascii="宋体" w:hAnsi="宋体" w:eastAsia="宋体" w:cs="宋体"/>
                <w:color w:val="000000" w:themeColor="text1"/>
                <w:sz w:val="18"/>
                <w:szCs w:val="18"/>
                <w:highlight w:val="none"/>
                <w14:textFill>
                  <w14:solidFill>
                    <w14:schemeClr w14:val="tx1"/>
                  </w14:solidFill>
                </w14:textFill>
              </w:rPr>
            </w:pPr>
          </w:p>
        </w:tc>
        <w:tc>
          <w:tcPr>
            <w:tcW w:w="2713" w:type="dxa"/>
            <w:vAlign w:val="center"/>
          </w:tcPr>
          <w:p w14:paraId="7E669F94">
            <w:pPr>
              <w:widowControl/>
              <w:autoSpaceDE w:val="0"/>
              <w:autoSpaceDN w:val="0"/>
              <w:jc w:val="center"/>
              <w:textAlignment w:val="bottom"/>
              <w:rPr>
                <w:rFonts w:hint="eastAsia" w:ascii="宋体" w:hAnsi="宋体" w:eastAsia="宋体" w:cs="宋体"/>
                <w:color w:val="000000" w:themeColor="text1"/>
                <w:sz w:val="18"/>
                <w:szCs w:val="18"/>
                <w:highlight w:val="none"/>
                <w14:textFill>
                  <w14:solidFill>
                    <w14:schemeClr w14:val="tx1"/>
                  </w14:solidFill>
                </w14:textFill>
              </w:rPr>
            </w:pPr>
          </w:p>
        </w:tc>
        <w:tc>
          <w:tcPr>
            <w:tcW w:w="1258" w:type="dxa"/>
            <w:vAlign w:val="center"/>
          </w:tcPr>
          <w:p w14:paraId="5DE9D6FD">
            <w:pPr>
              <w:widowControl/>
              <w:autoSpaceDE w:val="0"/>
              <w:autoSpaceDN w:val="0"/>
              <w:jc w:val="center"/>
              <w:textAlignment w:val="bottom"/>
              <w:rPr>
                <w:rFonts w:hint="eastAsia" w:ascii="宋体" w:hAnsi="宋体" w:eastAsia="宋体" w:cs="宋体"/>
                <w:color w:val="000000" w:themeColor="text1"/>
                <w:sz w:val="18"/>
                <w:szCs w:val="18"/>
                <w:highlight w:val="none"/>
                <w14:textFill>
                  <w14:solidFill>
                    <w14:schemeClr w14:val="tx1"/>
                  </w14:solidFill>
                </w14:textFill>
              </w:rPr>
            </w:pPr>
          </w:p>
        </w:tc>
        <w:tc>
          <w:tcPr>
            <w:tcW w:w="2575" w:type="dxa"/>
            <w:vAlign w:val="center"/>
          </w:tcPr>
          <w:p w14:paraId="1F386D0A">
            <w:pPr>
              <w:widowControl/>
              <w:autoSpaceDE w:val="0"/>
              <w:autoSpaceDN w:val="0"/>
              <w:jc w:val="center"/>
              <w:textAlignment w:val="bottom"/>
              <w:rPr>
                <w:rFonts w:hint="eastAsia" w:ascii="宋体" w:hAnsi="宋体" w:eastAsia="宋体" w:cs="宋体"/>
                <w:color w:val="000000" w:themeColor="text1"/>
                <w:sz w:val="18"/>
                <w:szCs w:val="18"/>
                <w:highlight w:val="none"/>
                <w14:textFill>
                  <w14:solidFill>
                    <w14:schemeClr w14:val="tx1"/>
                  </w14:solidFill>
                </w14:textFill>
              </w:rPr>
            </w:pPr>
          </w:p>
        </w:tc>
      </w:tr>
      <w:tr w14:paraId="41EB95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14:paraId="5EB6A28F">
            <w:pPr>
              <w:widowControl/>
              <w:autoSpaceDE w:val="0"/>
              <w:autoSpaceDN w:val="0"/>
              <w:jc w:val="center"/>
              <w:textAlignment w:val="bottom"/>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2</w:t>
            </w:r>
          </w:p>
        </w:tc>
        <w:tc>
          <w:tcPr>
            <w:tcW w:w="1163" w:type="dxa"/>
            <w:vAlign w:val="center"/>
          </w:tcPr>
          <w:p w14:paraId="3168C5EA">
            <w:pPr>
              <w:widowControl/>
              <w:autoSpaceDE w:val="0"/>
              <w:autoSpaceDN w:val="0"/>
              <w:jc w:val="center"/>
              <w:textAlignment w:val="bottom"/>
              <w:rPr>
                <w:rFonts w:hint="eastAsia" w:ascii="宋体" w:hAnsi="宋体" w:eastAsia="宋体" w:cs="宋体"/>
                <w:color w:val="000000" w:themeColor="text1"/>
                <w:sz w:val="18"/>
                <w:szCs w:val="18"/>
                <w:highlight w:val="none"/>
                <w14:textFill>
                  <w14:solidFill>
                    <w14:schemeClr w14:val="tx1"/>
                  </w14:solidFill>
                </w14:textFill>
              </w:rPr>
            </w:pPr>
          </w:p>
        </w:tc>
        <w:tc>
          <w:tcPr>
            <w:tcW w:w="2713" w:type="dxa"/>
            <w:vAlign w:val="center"/>
          </w:tcPr>
          <w:p w14:paraId="1BCDD0C6">
            <w:pPr>
              <w:widowControl/>
              <w:autoSpaceDE w:val="0"/>
              <w:autoSpaceDN w:val="0"/>
              <w:jc w:val="center"/>
              <w:textAlignment w:val="bottom"/>
              <w:rPr>
                <w:rFonts w:hint="eastAsia" w:ascii="宋体" w:hAnsi="宋体" w:eastAsia="宋体" w:cs="宋体"/>
                <w:color w:val="000000" w:themeColor="text1"/>
                <w:sz w:val="18"/>
                <w:szCs w:val="18"/>
                <w:highlight w:val="none"/>
                <w14:textFill>
                  <w14:solidFill>
                    <w14:schemeClr w14:val="tx1"/>
                  </w14:solidFill>
                </w14:textFill>
              </w:rPr>
            </w:pPr>
          </w:p>
        </w:tc>
        <w:tc>
          <w:tcPr>
            <w:tcW w:w="1258" w:type="dxa"/>
            <w:vAlign w:val="center"/>
          </w:tcPr>
          <w:p w14:paraId="51231C5E">
            <w:pPr>
              <w:widowControl/>
              <w:autoSpaceDE w:val="0"/>
              <w:autoSpaceDN w:val="0"/>
              <w:jc w:val="center"/>
              <w:textAlignment w:val="bottom"/>
              <w:rPr>
                <w:rFonts w:hint="eastAsia" w:ascii="宋体" w:hAnsi="宋体" w:eastAsia="宋体" w:cs="宋体"/>
                <w:color w:val="000000" w:themeColor="text1"/>
                <w:sz w:val="18"/>
                <w:szCs w:val="18"/>
                <w:highlight w:val="none"/>
                <w14:textFill>
                  <w14:solidFill>
                    <w14:schemeClr w14:val="tx1"/>
                  </w14:solidFill>
                </w14:textFill>
              </w:rPr>
            </w:pPr>
          </w:p>
        </w:tc>
        <w:tc>
          <w:tcPr>
            <w:tcW w:w="2575" w:type="dxa"/>
            <w:vAlign w:val="center"/>
          </w:tcPr>
          <w:p w14:paraId="5A1FED93">
            <w:pPr>
              <w:widowControl/>
              <w:autoSpaceDE w:val="0"/>
              <w:autoSpaceDN w:val="0"/>
              <w:jc w:val="center"/>
              <w:textAlignment w:val="bottom"/>
              <w:rPr>
                <w:rFonts w:hint="eastAsia" w:ascii="宋体" w:hAnsi="宋体" w:eastAsia="宋体" w:cs="宋体"/>
                <w:color w:val="000000" w:themeColor="text1"/>
                <w:sz w:val="18"/>
                <w:szCs w:val="18"/>
                <w:highlight w:val="none"/>
                <w14:textFill>
                  <w14:solidFill>
                    <w14:schemeClr w14:val="tx1"/>
                  </w14:solidFill>
                </w14:textFill>
              </w:rPr>
            </w:pPr>
          </w:p>
        </w:tc>
      </w:tr>
      <w:tr w14:paraId="469009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14:paraId="0C141E7E">
            <w:pPr>
              <w:widowControl/>
              <w:autoSpaceDE w:val="0"/>
              <w:autoSpaceDN w:val="0"/>
              <w:jc w:val="center"/>
              <w:textAlignment w:val="bottom"/>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3</w:t>
            </w:r>
          </w:p>
        </w:tc>
        <w:tc>
          <w:tcPr>
            <w:tcW w:w="1163" w:type="dxa"/>
            <w:vAlign w:val="center"/>
          </w:tcPr>
          <w:p w14:paraId="18F9B455">
            <w:pPr>
              <w:widowControl/>
              <w:autoSpaceDE w:val="0"/>
              <w:autoSpaceDN w:val="0"/>
              <w:jc w:val="center"/>
              <w:textAlignment w:val="bottom"/>
              <w:rPr>
                <w:rFonts w:hint="eastAsia" w:ascii="宋体" w:hAnsi="宋体" w:eastAsia="宋体" w:cs="宋体"/>
                <w:color w:val="000000" w:themeColor="text1"/>
                <w:sz w:val="18"/>
                <w:szCs w:val="18"/>
                <w:highlight w:val="none"/>
                <w14:textFill>
                  <w14:solidFill>
                    <w14:schemeClr w14:val="tx1"/>
                  </w14:solidFill>
                </w14:textFill>
              </w:rPr>
            </w:pPr>
          </w:p>
        </w:tc>
        <w:tc>
          <w:tcPr>
            <w:tcW w:w="2713" w:type="dxa"/>
            <w:vAlign w:val="center"/>
          </w:tcPr>
          <w:p w14:paraId="09ABB0FF">
            <w:pPr>
              <w:widowControl/>
              <w:autoSpaceDE w:val="0"/>
              <w:autoSpaceDN w:val="0"/>
              <w:jc w:val="center"/>
              <w:textAlignment w:val="bottom"/>
              <w:rPr>
                <w:rFonts w:hint="eastAsia" w:ascii="宋体" w:hAnsi="宋体" w:eastAsia="宋体" w:cs="宋体"/>
                <w:color w:val="000000" w:themeColor="text1"/>
                <w:sz w:val="18"/>
                <w:szCs w:val="18"/>
                <w:highlight w:val="none"/>
                <w14:textFill>
                  <w14:solidFill>
                    <w14:schemeClr w14:val="tx1"/>
                  </w14:solidFill>
                </w14:textFill>
              </w:rPr>
            </w:pPr>
          </w:p>
        </w:tc>
        <w:tc>
          <w:tcPr>
            <w:tcW w:w="1258" w:type="dxa"/>
            <w:vAlign w:val="center"/>
          </w:tcPr>
          <w:p w14:paraId="6F4A261E">
            <w:pPr>
              <w:widowControl/>
              <w:autoSpaceDE w:val="0"/>
              <w:autoSpaceDN w:val="0"/>
              <w:jc w:val="center"/>
              <w:textAlignment w:val="bottom"/>
              <w:rPr>
                <w:rFonts w:hint="eastAsia" w:ascii="宋体" w:hAnsi="宋体" w:eastAsia="宋体" w:cs="宋体"/>
                <w:color w:val="000000" w:themeColor="text1"/>
                <w:sz w:val="18"/>
                <w:szCs w:val="18"/>
                <w:highlight w:val="none"/>
                <w14:textFill>
                  <w14:solidFill>
                    <w14:schemeClr w14:val="tx1"/>
                  </w14:solidFill>
                </w14:textFill>
              </w:rPr>
            </w:pPr>
          </w:p>
        </w:tc>
        <w:tc>
          <w:tcPr>
            <w:tcW w:w="2575" w:type="dxa"/>
            <w:vAlign w:val="center"/>
          </w:tcPr>
          <w:p w14:paraId="0E0E5AF9">
            <w:pPr>
              <w:widowControl/>
              <w:autoSpaceDE w:val="0"/>
              <w:autoSpaceDN w:val="0"/>
              <w:jc w:val="center"/>
              <w:textAlignment w:val="bottom"/>
              <w:rPr>
                <w:rFonts w:hint="eastAsia" w:ascii="宋体" w:hAnsi="宋体" w:eastAsia="宋体" w:cs="宋体"/>
                <w:color w:val="000000" w:themeColor="text1"/>
                <w:sz w:val="18"/>
                <w:szCs w:val="18"/>
                <w:highlight w:val="none"/>
                <w14:textFill>
                  <w14:solidFill>
                    <w14:schemeClr w14:val="tx1"/>
                  </w14:solidFill>
                </w14:textFill>
              </w:rPr>
            </w:pPr>
          </w:p>
        </w:tc>
      </w:tr>
      <w:tr w14:paraId="7A086A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14:paraId="3AE203C0">
            <w:pPr>
              <w:widowControl/>
              <w:autoSpaceDE w:val="0"/>
              <w:autoSpaceDN w:val="0"/>
              <w:jc w:val="center"/>
              <w:textAlignment w:val="bottom"/>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4</w:t>
            </w:r>
          </w:p>
        </w:tc>
        <w:tc>
          <w:tcPr>
            <w:tcW w:w="1163" w:type="dxa"/>
            <w:vAlign w:val="center"/>
          </w:tcPr>
          <w:p w14:paraId="651A8A8D">
            <w:pPr>
              <w:widowControl/>
              <w:autoSpaceDE w:val="0"/>
              <w:autoSpaceDN w:val="0"/>
              <w:jc w:val="center"/>
              <w:textAlignment w:val="bottom"/>
              <w:rPr>
                <w:rFonts w:hint="eastAsia" w:ascii="宋体" w:hAnsi="宋体" w:eastAsia="宋体" w:cs="宋体"/>
                <w:color w:val="000000" w:themeColor="text1"/>
                <w:sz w:val="18"/>
                <w:szCs w:val="18"/>
                <w:highlight w:val="none"/>
                <w14:textFill>
                  <w14:solidFill>
                    <w14:schemeClr w14:val="tx1"/>
                  </w14:solidFill>
                </w14:textFill>
              </w:rPr>
            </w:pPr>
          </w:p>
        </w:tc>
        <w:tc>
          <w:tcPr>
            <w:tcW w:w="2713" w:type="dxa"/>
            <w:vAlign w:val="center"/>
          </w:tcPr>
          <w:p w14:paraId="1CADEA70">
            <w:pPr>
              <w:widowControl/>
              <w:autoSpaceDE w:val="0"/>
              <w:autoSpaceDN w:val="0"/>
              <w:jc w:val="center"/>
              <w:textAlignment w:val="bottom"/>
              <w:rPr>
                <w:rFonts w:hint="eastAsia" w:ascii="宋体" w:hAnsi="宋体" w:eastAsia="宋体" w:cs="宋体"/>
                <w:color w:val="000000" w:themeColor="text1"/>
                <w:sz w:val="18"/>
                <w:szCs w:val="18"/>
                <w:highlight w:val="none"/>
                <w14:textFill>
                  <w14:solidFill>
                    <w14:schemeClr w14:val="tx1"/>
                  </w14:solidFill>
                </w14:textFill>
              </w:rPr>
            </w:pPr>
          </w:p>
        </w:tc>
        <w:tc>
          <w:tcPr>
            <w:tcW w:w="1258" w:type="dxa"/>
            <w:vAlign w:val="center"/>
          </w:tcPr>
          <w:p w14:paraId="5205E3EF">
            <w:pPr>
              <w:widowControl/>
              <w:autoSpaceDE w:val="0"/>
              <w:autoSpaceDN w:val="0"/>
              <w:jc w:val="center"/>
              <w:textAlignment w:val="bottom"/>
              <w:rPr>
                <w:rFonts w:hint="eastAsia" w:ascii="宋体" w:hAnsi="宋体" w:eastAsia="宋体" w:cs="宋体"/>
                <w:color w:val="000000" w:themeColor="text1"/>
                <w:sz w:val="18"/>
                <w:szCs w:val="18"/>
                <w:highlight w:val="none"/>
                <w14:textFill>
                  <w14:solidFill>
                    <w14:schemeClr w14:val="tx1"/>
                  </w14:solidFill>
                </w14:textFill>
              </w:rPr>
            </w:pPr>
          </w:p>
        </w:tc>
        <w:tc>
          <w:tcPr>
            <w:tcW w:w="2575" w:type="dxa"/>
            <w:vAlign w:val="center"/>
          </w:tcPr>
          <w:p w14:paraId="12E7AC10">
            <w:pPr>
              <w:widowControl/>
              <w:autoSpaceDE w:val="0"/>
              <w:autoSpaceDN w:val="0"/>
              <w:jc w:val="center"/>
              <w:textAlignment w:val="bottom"/>
              <w:rPr>
                <w:rFonts w:hint="eastAsia" w:ascii="宋体" w:hAnsi="宋体" w:eastAsia="宋体" w:cs="宋体"/>
                <w:color w:val="000000" w:themeColor="text1"/>
                <w:sz w:val="18"/>
                <w:szCs w:val="18"/>
                <w:highlight w:val="none"/>
                <w14:textFill>
                  <w14:solidFill>
                    <w14:schemeClr w14:val="tx1"/>
                  </w14:solidFill>
                </w14:textFill>
              </w:rPr>
            </w:pPr>
          </w:p>
        </w:tc>
      </w:tr>
    </w:tbl>
    <w:p w14:paraId="3D234BCE">
      <w:pPr>
        <w:pStyle w:val="16"/>
        <w:adjustRightInd w:val="0"/>
        <w:snapToGrid w:val="0"/>
        <w:spacing w:before="156" w:beforeLines="50" w:line="360" w:lineRule="auto"/>
        <w:rPr>
          <w:rFonts w:hint="eastAsia" w:ascii="宋体" w:hAnsi="宋体" w:eastAsia="宋体" w:cs="宋体"/>
          <w:color w:val="000000" w:themeColor="text1"/>
          <w:szCs w:val="21"/>
          <w:highlight w:val="none"/>
          <w14:textFill>
            <w14:solidFill>
              <w14:schemeClr w14:val="tx1"/>
            </w14:solidFill>
          </w14:textFill>
        </w:rPr>
      </w:pPr>
    </w:p>
    <w:p w14:paraId="0999D37C">
      <w:pPr>
        <w:pStyle w:val="16"/>
        <w:adjustRightInd w:val="0"/>
        <w:snapToGrid w:val="0"/>
        <w:spacing w:before="156" w:beforeLines="50" w:line="360" w:lineRule="auto"/>
        <w:rPr>
          <w:rFonts w:hint="eastAsia" w:ascii="宋体" w:hAnsi="宋体" w:eastAsia="宋体" w:cs="宋体"/>
          <w:color w:val="000000" w:themeColor="text1"/>
          <w:szCs w:val="21"/>
          <w:highlight w:val="none"/>
          <w14:textFill>
            <w14:solidFill>
              <w14:schemeClr w14:val="tx1"/>
            </w14:solidFill>
          </w14:textFill>
        </w:rPr>
      </w:pPr>
    </w:p>
    <w:p w14:paraId="3CC92451">
      <w:pPr>
        <w:pStyle w:val="16"/>
        <w:bidi w:val="0"/>
        <w:adjustRightInd w:val="0"/>
        <w:spacing w:before="156" w:beforeLines="50"/>
        <w:ind w:leftChars="0"/>
        <w:rPr>
          <w:rFonts w:hint="eastAsia"/>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投标方：</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   盖章：</w:t>
      </w:r>
    </w:p>
    <w:p w14:paraId="49A78538">
      <w:pPr>
        <w:pStyle w:val="2"/>
        <w:numPr>
          <w:ilvl w:val="0"/>
          <w:numId w:val="0"/>
        </w:numPr>
        <w:adjustRightInd w:val="0"/>
        <w:spacing w:beforeLines="0"/>
        <w:ind w:left="0" w:leftChars="0" w:firstLine="0" w:firstLineChars="0"/>
        <w:rPr>
          <w:rFonts w:hint="eastAsia" w:ascii="宋体" w:hAnsi="宋体" w:eastAsia="宋体" w:cs="宋体"/>
          <w:color w:val="000000" w:themeColor="text1"/>
          <w:sz w:val="24"/>
          <w:szCs w:val="24"/>
          <w:highlight w:val="none"/>
          <w14:textFill>
            <w14:solidFill>
              <w14:schemeClr w14:val="tx1"/>
            </w14:solidFill>
          </w14:textFill>
        </w:rPr>
      </w:pPr>
      <w:bookmarkStart w:id="206" w:name="_Toc287602850"/>
      <w:bookmarkStart w:id="207" w:name="_Toc3602"/>
      <w:bookmarkStart w:id="208" w:name="_Toc11728"/>
      <w:bookmarkStart w:id="209" w:name="_Toc31823"/>
      <w:bookmarkStart w:id="210" w:name="_Toc282420857"/>
      <w:bookmarkStart w:id="211" w:name="_Toc3792"/>
      <w:bookmarkStart w:id="212" w:name="_Toc18468"/>
      <w:bookmarkStart w:id="213" w:name="_Toc282421446"/>
      <w:r>
        <w:rPr>
          <w:rFonts w:hint="eastAsia" w:ascii="Times New Roman" w:hAnsi="Times New Roman" w:cs="Times New Roman"/>
          <w:b w:val="0"/>
          <w:bCs w:val="0"/>
          <w:i w:val="0"/>
          <w:color w:val="000000" w:themeColor="text1"/>
          <w:kern w:val="44"/>
          <w:sz w:val="24"/>
          <w:szCs w:val="24"/>
          <w:highlight w:val="none"/>
          <w:lang w:val="en-US" w:eastAsia="zh-CN" w:bidi="ar-SA"/>
          <w14:textFill>
            <w14:solidFill>
              <w14:schemeClr w14:val="tx1"/>
            </w14:solidFill>
          </w14:textFill>
        </w:rPr>
        <w:t>1</w:t>
      </w:r>
      <w:r>
        <w:rPr>
          <w:rFonts w:hint="eastAsia" w:ascii="Times New Roman" w:cs="Times New Roman"/>
          <w:b w:val="0"/>
          <w:bCs w:val="0"/>
          <w:i w:val="0"/>
          <w:color w:val="000000" w:themeColor="text1"/>
          <w:kern w:val="44"/>
          <w:sz w:val="24"/>
          <w:szCs w:val="24"/>
          <w:highlight w:val="none"/>
          <w:lang w:val="en-US" w:eastAsia="zh-CN" w:bidi="ar-SA"/>
          <w14:textFill>
            <w14:solidFill>
              <w14:schemeClr w14:val="tx1"/>
            </w14:solidFill>
          </w14:textFill>
        </w:rPr>
        <w:t>5</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 </w:t>
      </w:r>
      <w:bookmarkStart w:id="214" w:name="_Toc28885"/>
      <w:bookmarkStart w:id="215" w:name="_Toc32105"/>
      <w:r>
        <w:rPr>
          <w:rFonts w:hint="eastAsia" w:ascii="宋体" w:hAnsi="宋体" w:eastAsia="宋体" w:cs="宋体"/>
          <w:color w:val="000000" w:themeColor="text1"/>
          <w:sz w:val="24"/>
          <w:szCs w:val="24"/>
          <w:highlight w:val="none"/>
          <w14:textFill>
            <w14:solidFill>
              <w14:schemeClr w14:val="tx1"/>
            </w14:solidFill>
          </w14:textFill>
        </w:rPr>
        <w:t>投标方需说明的其他问题</w:t>
      </w:r>
      <w:bookmarkEnd w:id="206"/>
      <w:bookmarkEnd w:id="207"/>
      <w:bookmarkEnd w:id="208"/>
      <w:bookmarkEnd w:id="209"/>
      <w:bookmarkEnd w:id="210"/>
      <w:bookmarkEnd w:id="211"/>
      <w:bookmarkEnd w:id="212"/>
      <w:bookmarkEnd w:id="213"/>
      <w:bookmarkEnd w:id="214"/>
      <w:bookmarkEnd w:id="215"/>
    </w:p>
    <w:p w14:paraId="69EBE141">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如有需说明的其他问题，投标方应通过书面形式提交，并加盖公章。</w:t>
      </w:r>
    </w:p>
    <w:p w14:paraId="27E1D593">
      <w:pPr>
        <w:rPr>
          <w:rFonts w:hint="eastAsia"/>
          <w:color w:val="000000" w:themeColor="text1"/>
          <w:highlight w:val="none"/>
          <w:lang w:val="en-US" w:eastAsia="zh-CN"/>
          <w14:textFill>
            <w14:solidFill>
              <w14:schemeClr w14:val="tx1"/>
            </w14:solidFill>
          </w14:textFill>
        </w:rPr>
      </w:pPr>
    </w:p>
    <w:p w14:paraId="6501B62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3FCEB32B">
      <w:pPr>
        <w:rPr>
          <w:rFonts w:hint="eastAsia"/>
          <w:color w:val="000000" w:themeColor="text1"/>
          <w:highlight w:val="none"/>
          <w:lang w:val="en-US" w:eastAsia="zh-CN"/>
          <w14:textFill>
            <w14:solidFill>
              <w14:schemeClr w14:val="tx1"/>
            </w14:solidFill>
          </w14:textFill>
        </w:rPr>
      </w:pPr>
    </w:p>
    <w:p w14:paraId="6AFE9284">
      <w:pPr>
        <w:rPr>
          <w:rFonts w:hint="eastAsia"/>
          <w:color w:val="000000" w:themeColor="text1"/>
          <w:highlight w:val="none"/>
          <w:lang w:val="en-US" w:eastAsia="zh-CN"/>
          <w14:textFill>
            <w14:solidFill>
              <w14:schemeClr w14:val="tx1"/>
            </w14:solidFill>
          </w14:textFill>
        </w:rPr>
      </w:pPr>
    </w:p>
    <w:p w14:paraId="52D5AF70">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p>
    <w:p w14:paraId="3CB931BD">
      <w:pPr>
        <w:rPr>
          <w:rFonts w:hint="eastAsia"/>
          <w:color w:val="000000" w:themeColor="text1"/>
          <w:highlight w:val="none"/>
          <w14:textFill>
            <w14:solidFill>
              <w14:schemeClr w14:val="tx1"/>
            </w14:solidFill>
          </w14:textFill>
        </w:rPr>
      </w:pPr>
    </w:p>
    <w:p w14:paraId="675A40DA">
      <w:pPr>
        <w:rPr>
          <w:rFonts w:hint="eastAsia"/>
          <w:color w:val="000000" w:themeColor="text1"/>
          <w:highlight w:val="none"/>
          <w14:textFill>
            <w14:solidFill>
              <w14:schemeClr w14:val="tx1"/>
            </w14:solidFill>
          </w14:textFill>
        </w:rPr>
      </w:pPr>
    </w:p>
    <w:p w14:paraId="57300334">
      <w:pPr>
        <w:rPr>
          <w:rFonts w:hint="eastAsia"/>
          <w:color w:val="000000" w:themeColor="text1"/>
          <w:highlight w:val="none"/>
          <w14:textFill>
            <w14:solidFill>
              <w14:schemeClr w14:val="tx1"/>
            </w14:solidFill>
          </w14:textFill>
        </w:rPr>
      </w:pPr>
    </w:p>
    <w:sectPr>
      <w:pgSz w:w="11906" w:h="16838"/>
      <w:pgMar w:top="1440" w:right="1797" w:bottom="1440" w:left="1797"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7A"/>
    <w:family w:val="roman"/>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书宋简体">
    <w:altName w:val="方正书宋_GBK"/>
    <w:panose1 w:val="02000000000000000000"/>
    <w:charset w:val="86"/>
    <w:family w:val="auto"/>
    <w:pitch w:val="default"/>
    <w:sig w:usb0="00000000" w:usb1="00000000" w:usb2="00000012" w:usb3="00000000" w:csb0="00040001" w:csb1="00000000"/>
  </w:font>
  <w:font w:name="Tahoma">
    <w:altName w:val="noto sans thai"/>
    <w:panose1 w:val="020B0604030504040204"/>
    <w:charset w:val="00"/>
    <w:family w:val="swiss"/>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ˎ̥">
    <w:altName w:val="国标仿宋"/>
    <w:panose1 w:val="00000000000000000000"/>
    <w:charset w:val="00"/>
    <w:family w:val="roman"/>
    <w:pitch w:val="default"/>
    <w:sig w:usb0="00000000" w:usb1="00000000" w:usb2="00000000" w:usb3="00000000" w:csb0="00000000" w:csb1="00000000"/>
  </w:font>
  <w:font w:name="国标仿宋">
    <w:panose1 w:val="02000500000000000000"/>
    <w:charset w:val="86"/>
    <w:family w:val="auto"/>
    <w:pitch w:val="default"/>
    <w:sig w:usb0="A00002BF" w:usb1="38C77CFA" w:usb2="00000016" w:usb3="00000000" w:csb0="00060007" w:csb1="00000000"/>
  </w:font>
  <w:font w:name="EU-F1">
    <w:altName w:val="国标仿宋"/>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3DCCD">
    <w:pPr>
      <w:pStyle w:val="87"/>
      <w:ind w:right="360" w:firstLine="360"/>
      <w:rPr>
        <w:rStyle w:val="3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7ABEC">
    <w:pPr>
      <w:pStyle w:val="86"/>
      <w:ind w:right="360" w:firstLine="360"/>
      <w:jc w:val="center"/>
      <w:rPr>
        <w:rStyle w:val="31"/>
      </w:rPr>
    </w:pPr>
    <w:r>
      <w:rPr>
        <w:rStyle w:val="31"/>
        <w:kern w:val="2"/>
        <w:szCs w:val="18"/>
      </w:rPr>
      <w:fldChar w:fldCharType="begin"/>
    </w:r>
    <w:r>
      <w:rPr>
        <w:rStyle w:val="31"/>
        <w:kern w:val="2"/>
        <w:szCs w:val="18"/>
      </w:rPr>
      <w:instrText xml:space="preserve"> PAGE </w:instrText>
    </w:r>
    <w:r>
      <w:rPr>
        <w:rStyle w:val="31"/>
        <w:kern w:val="2"/>
        <w:szCs w:val="18"/>
      </w:rPr>
      <w:fldChar w:fldCharType="separate"/>
    </w:r>
    <w:r>
      <w:rPr>
        <w:rStyle w:val="31"/>
        <w:kern w:val="2"/>
        <w:szCs w:val="18"/>
      </w:rPr>
      <w:t>4</w:t>
    </w:r>
    <w:r>
      <w:rPr>
        <w:rStyle w:val="31"/>
        <w:kern w:val="2"/>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DA0FF">
    <w:pPr>
      <w:pStyle w:val="20"/>
      <w:bidi w:val="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E95A16">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2E95A16">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E6899">
    <w:pPr>
      <w:pStyle w:val="20"/>
      <w:jc w:val="both"/>
    </w:pPr>
    <w:r>
      <w:rPr>
        <w:rFonts w:hint="eastAsia"/>
      </w:rPr>
      <w:t>楚穗直流穗东侧高压</w:t>
    </w:r>
    <w:r>
      <w:rPr>
        <w:rFonts w:hint="eastAsia"/>
        <w:lang w:eastAsia="zh-CN"/>
      </w:rPr>
      <w:t>微型轻量化超灵敏日盲紫外探测巡检装置</w:t>
    </w:r>
    <w:r>
      <w:rPr>
        <w:rFonts w:hint="eastAsia"/>
      </w:rPr>
      <w:t>应用及推广（成果推广项目）：楚穗直流穗东侧高压</w:t>
    </w:r>
    <w:r>
      <w:rPr>
        <w:rFonts w:hint="eastAsia"/>
        <w:lang w:eastAsia="zh-CN"/>
      </w:rPr>
      <w:t>微型轻量化超灵敏日盲紫外探测巡检装置</w:t>
    </w:r>
    <w:r>
      <w:rPr>
        <w:rFonts w:hint="eastAsia"/>
      </w:rPr>
      <w:t>技术规范书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D7EDA0">
    <w:pPr>
      <w:pStyle w:val="20"/>
    </w:pPr>
    <w:r>
      <w:rPr>
        <w:rFonts w:hint="eastAsia"/>
      </w:rPr>
      <w:t>广东天广能源科技发展有限公司安装式数字直流电能表2026—2028年生产代工框架采购项目技术规范书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07EBAA"/>
    <w:multiLevelType w:val="singleLevel"/>
    <w:tmpl w:val="CD07EBAA"/>
    <w:lvl w:ilvl="0" w:tentative="0">
      <w:start w:val="1"/>
      <w:numFmt w:val="decimalFullWidth"/>
      <w:suff w:val="nothing"/>
      <w:lvlText w:val="%1"/>
      <w:lvlJc w:val="left"/>
      <w:pPr>
        <w:tabs>
          <w:tab w:val="left" w:pos="0"/>
        </w:tabs>
        <w:ind w:left="0" w:leftChars="0" w:firstLine="0" w:firstLineChars="0"/>
      </w:pPr>
      <w:rPr>
        <w:rFonts w:hint="eastAsia"/>
      </w:rPr>
    </w:lvl>
  </w:abstractNum>
  <w:abstractNum w:abstractNumId="1">
    <w:nsid w:val="DE1A766C"/>
    <w:multiLevelType w:val="singleLevel"/>
    <w:tmpl w:val="DE1A766C"/>
    <w:lvl w:ilvl="0" w:tentative="0">
      <w:start w:val="1"/>
      <w:numFmt w:val="decimal"/>
      <w:lvlText w:val="(%1)"/>
      <w:lvlJc w:val="left"/>
      <w:pPr>
        <w:ind w:left="425" w:hanging="425"/>
      </w:pPr>
      <w:rPr>
        <w:rFonts w:hint="default"/>
      </w:rPr>
    </w:lvl>
  </w:abstractNum>
  <w:abstractNum w:abstractNumId="2">
    <w:nsid w:val="046A132E"/>
    <w:multiLevelType w:val="multilevel"/>
    <w:tmpl w:val="046A132E"/>
    <w:lvl w:ilvl="0" w:tentative="0">
      <w:start w:val="1"/>
      <w:numFmt w:val="decimal"/>
      <w:pStyle w:val="2"/>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3"/>
      <w:suff w:val="space"/>
      <w:lvlText w:val="%1.%2"/>
      <w:lvlJc w:val="left"/>
      <w:pPr>
        <w:ind w:left="0" w:firstLine="0"/>
      </w:pPr>
      <w:rPr>
        <w:rFonts w:hint="default" w:ascii="Times New Roman" w:hAnsi="Times New Roman" w:eastAsia="宋体"/>
        <w:b w:val="0"/>
        <w:i w:val="0"/>
        <w:sz w:val="21"/>
      </w:rPr>
    </w:lvl>
    <w:lvl w:ilvl="2" w:tentative="0">
      <w:start w:val="12"/>
      <w:numFmt w:val="decimal"/>
      <w:pStyle w:val="4"/>
      <w:suff w:val="space"/>
      <w:lvlText w:val="%1.%2.%3 "/>
      <w:lvlJc w:val="left"/>
      <w:pPr>
        <w:ind w:left="360" w:firstLine="0"/>
      </w:pPr>
      <w:rPr>
        <w:rFonts w:hint="eastAsia" w:ascii="黑体" w:hAnsi="黑体" w:eastAsia="黑体" w:cs="Times New Roman"/>
        <w:b w:val="0"/>
        <w:bCs w:val="0"/>
        <w:i w:val="0"/>
        <w:iCs w:val="0"/>
        <w:caps w:val="0"/>
        <w:smallCaps w:val="0"/>
        <w:strike w:val="0"/>
        <w:dstrike w:val="0"/>
        <w:vanish w:val="0"/>
        <w:color w:val="auto"/>
        <w:spacing w:val="0"/>
        <w:w w:val="100"/>
        <w:kern w:val="2"/>
        <w:position w:val="0"/>
        <w:sz w:val="21"/>
        <w:u w:val="none"/>
        <w:shd w:val="clear" w:color="auto" w:fill="auto"/>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lightRig w14:rig="threePt" w14:dir="t">
            <w14:rot w14:lat="0" w14:lon="0" w14:rev="0"/>
          </w14:lightRig>
        </w14:scene3d>
        <w14:ligatures w14:val="none"/>
        <w14:numForm w14:val="default"/>
        <w14:numSpacing w14:val="default"/>
      </w:rPr>
    </w:lvl>
    <w:lvl w:ilvl="3" w:tentative="0">
      <w:start w:val="1"/>
      <w:numFmt w:val="decimal"/>
      <w:pStyle w:val="55"/>
      <w:suff w:val="space"/>
      <w:lvlText w:val="%1.%2.%3.%4 "/>
      <w:lvlJc w:val="left"/>
      <w:pPr>
        <w:ind w:left="0" w:firstLine="0"/>
      </w:pPr>
      <w:rPr>
        <w:rFonts w:hint="eastAsia" w:ascii="宋体" w:hAnsi="宋体" w:eastAsia="宋体" w:cs="Times New Roman"/>
        <w:b w:val="0"/>
        <w:bCs w:val="0"/>
        <w:i w:val="0"/>
        <w:iCs w:val="0"/>
        <w:caps w:val="0"/>
        <w:smallCaps w:val="0"/>
        <w:strike w:val="0"/>
        <w:dstrike w:val="0"/>
        <w:vanish w:val="0"/>
        <w:color w:val="auto"/>
        <w:spacing w:val="0"/>
        <w:w w:val="100"/>
        <w:kern w:val="2"/>
        <w:position w:val="0"/>
        <w:sz w:val="21"/>
        <w:szCs w:val="21"/>
        <w:u w:val="none"/>
        <w:shd w:val="clear" w:color="auto" w:fill="auto"/>
        <w:vertAlign w:val="baseline"/>
        <w:lang w:val="en-US" w:eastAsia="zh-CN" w:bidi="ar-SA"/>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lightRig w14:rig="threePt" w14:dir="t">
            <w14:rot w14:lat="0" w14:lon="0" w14:rev="0"/>
          </w14:lightRig>
        </w14:scene3d>
        <w14:ligatures w14:val="none"/>
        <w14:numForm w14:val="default"/>
        <w14:numSpacing w14:val="default"/>
      </w:rPr>
    </w:lvl>
    <w:lvl w:ilvl="4" w:tentative="0">
      <w:start w:val="1"/>
      <w:numFmt w:val="decimal"/>
      <w:lvlRestart w:val="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3">
    <w:nsid w:val="0A6B1602"/>
    <w:multiLevelType w:val="multilevel"/>
    <w:tmpl w:val="0A6B1602"/>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ascii="Times New Roman" w:hAnsi="Times New Roman" w:cs="Times New Roman"/>
        <w:b/>
        <w:bCs/>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4">
    <w:nsid w:val="19E64B0C"/>
    <w:multiLevelType w:val="singleLevel"/>
    <w:tmpl w:val="19E64B0C"/>
    <w:lvl w:ilvl="0" w:tentative="0">
      <w:start w:val="1"/>
      <w:numFmt w:val="bullet"/>
      <w:lvlText w:val=""/>
      <w:lvlJc w:val="left"/>
      <w:pPr>
        <w:ind w:left="420" w:hanging="420"/>
      </w:pPr>
      <w:rPr>
        <w:rFonts w:hint="default" w:ascii="Wingdings" w:hAnsi="Wingdings"/>
      </w:rPr>
    </w:lvl>
  </w:abstractNum>
  <w:abstractNum w:abstractNumId="5">
    <w:nsid w:val="2C1C585D"/>
    <w:multiLevelType w:val="singleLevel"/>
    <w:tmpl w:val="2C1C585D"/>
    <w:lvl w:ilvl="0" w:tentative="0">
      <w:start w:val="1"/>
      <w:numFmt w:val="decimal"/>
      <w:pStyle w:val="63"/>
      <w:lvlText w:val="(%1)"/>
      <w:lvlJc w:val="left"/>
      <w:pPr>
        <w:tabs>
          <w:tab w:val="left" w:pos="678"/>
        </w:tabs>
        <w:ind w:left="678" w:hanging="468"/>
      </w:pPr>
      <w:rPr>
        <w:rFonts w:hint="eastAsia"/>
      </w:rPr>
    </w:lvl>
  </w:abstractNum>
  <w:abstractNum w:abstractNumId="6">
    <w:nsid w:val="34CB28CD"/>
    <w:multiLevelType w:val="singleLevel"/>
    <w:tmpl w:val="34CB28CD"/>
    <w:lvl w:ilvl="0" w:tentative="0">
      <w:start w:val="1"/>
      <w:numFmt w:val="bullet"/>
      <w:lvlText w:val=""/>
      <w:lvlJc w:val="left"/>
      <w:pPr>
        <w:ind w:left="420" w:hanging="420"/>
      </w:pPr>
      <w:rPr>
        <w:rFonts w:hint="default" w:ascii="Wingdings" w:hAnsi="Wingdings"/>
      </w:rPr>
    </w:lvl>
  </w:abstractNum>
  <w:abstractNum w:abstractNumId="7">
    <w:nsid w:val="38DF7314"/>
    <w:multiLevelType w:val="multilevel"/>
    <w:tmpl w:val="38DF7314"/>
    <w:lvl w:ilvl="0" w:tentative="0">
      <w:start w:val="1"/>
      <w:numFmt w:val="decimal"/>
      <w:suff w:val="space"/>
      <w:lvlText w:val="%1."/>
      <w:lvlJc w:val="left"/>
      <w:pPr>
        <w:ind w:left="525" w:hanging="525"/>
      </w:pPr>
      <w:rPr>
        <w:rFonts w:hint="default"/>
      </w:rPr>
    </w:lvl>
    <w:lvl w:ilvl="1" w:tentative="0">
      <w:start w:val="1"/>
      <w:numFmt w:val="decimal"/>
      <w:lvlText w:val="%1.%2."/>
      <w:lvlJc w:val="left"/>
      <w:pPr>
        <w:tabs>
          <w:tab w:val="left" w:pos="525"/>
        </w:tabs>
        <w:ind w:left="525" w:hanging="525"/>
      </w:pPr>
      <w:rPr>
        <w:rFonts w:hint="default" w:ascii="Times New Roman" w:hAnsi="Times New Roman" w:eastAsia="宋体"/>
      </w:rPr>
    </w:lvl>
    <w:lvl w:ilvl="2" w:tentative="0">
      <w:start w:val="1"/>
      <w:numFmt w:val="decimal"/>
      <w:lvlText w:val="%1.%2.%3."/>
      <w:lvlJc w:val="left"/>
      <w:pPr>
        <w:tabs>
          <w:tab w:val="left" w:pos="0"/>
        </w:tabs>
        <w:ind w:left="0" w:firstLine="0"/>
      </w:pPr>
      <w:rPr>
        <w:rFonts w:hint="default" w:ascii="Times New Roman" w:hAnsi="Times New Roman" w:eastAsia="宋体"/>
      </w:rPr>
    </w:lvl>
    <w:lvl w:ilvl="3" w:tentative="0">
      <w:start w:val="1"/>
      <w:numFmt w:val="lowerLetter"/>
      <w:lvlText w:val="%1.%2.%3.%4."/>
      <w:lvlJc w:val="left"/>
      <w:pPr>
        <w:tabs>
          <w:tab w:val="left" w:pos="1080"/>
        </w:tabs>
        <w:ind w:left="1080" w:hanging="1080"/>
      </w:pPr>
      <w:rPr>
        <w:rFonts w:hint="default"/>
      </w:rPr>
    </w:lvl>
    <w:lvl w:ilvl="4" w:tentative="0">
      <w:start w:val="1"/>
      <w:numFmt w:val="lowerLetter"/>
      <w:pStyle w:val="6"/>
      <w:suff w:val="nothing"/>
      <w:lvlText w:val="%5."/>
      <w:lvlJc w:val="left"/>
      <w:pPr>
        <w:ind w:left="0" w:firstLine="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8">
    <w:nsid w:val="41521C94"/>
    <w:multiLevelType w:val="multilevel"/>
    <w:tmpl w:val="41521C94"/>
    <w:lvl w:ilvl="0" w:tentative="0">
      <w:start w:val="1"/>
      <w:numFmt w:val="decimal"/>
      <w:suff w:val="space"/>
      <w:lvlText w:val="%1"/>
      <w:lvlJc w:val="left"/>
      <w:pPr>
        <w:ind w:left="0" w:firstLine="0"/>
      </w:pPr>
      <w:rPr>
        <w:rFonts w:hint="default" w:ascii="Times New Roman" w:hAnsi="Times New Roman" w:eastAsia="宋体"/>
        <w:b/>
        <w:i w:val="0"/>
        <w:color w:val="auto"/>
        <w:sz w:val="21"/>
      </w:rPr>
    </w:lvl>
    <w:lvl w:ilvl="1" w:tentative="0">
      <w:start w:val="1"/>
      <w:numFmt w:val="decimal"/>
      <w:suff w:val="space"/>
      <w:lvlText w:val="%1.%2"/>
      <w:lvlJc w:val="left"/>
      <w:pPr>
        <w:ind w:left="0" w:firstLine="0"/>
      </w:pPr>
      <w:rPr>
        <w:rFonts w:hint="default" w:ascii="Times New Roman" w:hAnsi="Times New Roman" w:eastAsia="宋体"/>
        <w:b w:val="0"/>
        <w:i w:val="0"/>
        <w:sz w:val="21"/>
      </w:rPr>
    </w:lvl>
    <w:lvl w:ilvl="2" w:tentative="0">
      <w:start w:val="1"/>
      <w:numFmt w:val="decimal"/>
      <w:suff w:val="space"/>
      <w:lvlText w:val="%1.%2.%3 "/>
      <w:lvlJc w:val="left"/>
      <w:pPr>
        <w:ind w:left="180" w:firstLine="0"/>
      </w:pPr>
      <w:rPr>
        <w:rFonts w:hint="eastAsia" w:cs="Times New Roman"/>
        <w:b w:val="0"/>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3" w:tentative="0">
      <w:start w:val="1"/>
      <w:numFmt w:val="decimal"/>
      <w:suff w:val="space"/>
      <w:lvlText w:val="%1.%2.%3.%4 "/>
      <w:lvlJc w:val="left"/>
      <w:pPr>
        <w:ind w:left="0" w:firstLine="0"/>
      </w:pPr>
      <w:rPr>
        <w:rFonts w:hint="eastAsia" w:cs="Times New Roman"/>
        <w:b w:val="0"/>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4" w:tentative="0">
      <w:start w:val="1"/>
      <w:numFmt w:val="decimal"/>
      <w:pStyle w:val="66"/>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9">
    <w:nsid w:val="4A5AC650"/>
    <w:multiLevelType w:val="multilevel"/>
    <w:tmpl w:val="4A5AC650"/>
    <w:lvl w:ilvl="0" w:tentative="0">
      <w:start w:val="2"/>
      <w:numFmt w:val="decimal"/>
      <w:lvlText w:val="%1."/>
      <w:lvlJc w:val="left"/>
      <w:pPr>
        <w:ind w:left="425" w:hanging="425"/>
      </w:pPr>
      <w:rPr>
        <w:rFonts w:hint="default"/>
      </w:rPr>
    </w:lvl>
    <w:lvl w:ilvl="1" w:tentative="0">
      <w:start w:val="1"/>
      <w:numFmt w:val="decimal"/>
      <w:lvlText w:val="%1.%2."/>
      <w:lvlJc w:val="left"/>
      <w:pPr>
        <w:ind w:left="567" w:hanging="567"/>
      </w:pPr>
      <w:rPr>
        <w:rFonts w:hint="default" w:ascii="Times New Roman" w:hAnsi="Times New Roman" w:cs="Times New Roman"/>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0">
    <w:nsid w:val="5BA62895"/>
    <w:multiLevelType w:val="multilevel"/>
    <w:tmpl w:val="5BA62895"/>
    <w:lvl w:ilvl="0" w:tentative="0">
      <w:start w:val="1"/>
      <w:numFmt w:val="decimal"/>
      <w:pStyle w:val="77"/>
      <w:lvlText w:val="第%1节"/>
      <w:lvlJc w:val="left"/>
      <w:pPr>
        <w:ind w:left="720" w:hanging="720"/>
      </w:pPr>
      <w:rPr>
        <w:rFonts w:hint="default"/>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719F97E7"/>
    <w:multiLevelType w:val="singleLevel"/>
    <w:tmpl w:val="719F97E7"/>
    <w:lvl w:ilvl="0" w:tentative="0">
      <w:start w:val="1"/>
      <w:numFmt w:val="decimal"/>
      <w:lvlText w:val="(%1)"/>
      <w:lvlJc w:val="left"/>
      <w:pPr>
        <w:ind w:left="425" w:hanging="425"/>
      </w:pPr>
      <w:rPr>
        <w:rFonts w:hint="default"/>
      </w:rPr>
    </w:lvl>
  </w:abstractNum>
  <w:num w:numId="1">
    <w:abstractNumId w:val="2"/>
  </w:num>
  <w:num w:numId="2">
    <w:abstractNumId w:val="7"/>
  </w:num>
  <w:num w:numId="3">
    <w:abstractNumId w:val="5"/>
  </w:num>
  <w:num w:numId="4">
    <w:abstractNumId w:val="8"/>
  </w:num>
  <w:num w:numId="5">
    <w:abstractNumId w:val="10"/>
  </w:num>
  <w:num w:numId="6">
    <w:abstractNumId w:val="3"/>
  </w:num>
  <w:num w:numId="7">
    <w:abstractNumId w:val="9"/>
  </w:num>
  <w:num w:numId="8">
    <w:abstractNumId w:val="0"/>
  </w:num>
  <w:num w:numId="9">
    <w:abstractNumId w:val="1"/>
  </w:num>
  <w:num w:numId="10">
    <w:abstractNumId w:val="6"/>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CAD"/>
    <w:rsid w:val="00005843"/>
    <w:rsid w:val="00007604"/>
    <w:rsid w:val="000100E6"/>
    <w:rsid w:val="00011333"/>
    <w:rsid w:val="00011D62"/>
    <w:rsid w:val="00015ED2"/>
    <w:rsid w:val="00025143"/>
    <w:rsid w:val="00030000"/>
    <w:rsid w:val="000306DA"/>
    <w:rsid w:val="00031B9E"/>
    <w:rsid w:val="000324BA"/>
    <w:rsid w:val="000331F3"/>
    <w:rsid w:val="000365DB"/>
    <w:rsid w:val="0003769F"/>
    <w:rsid w:val="0004219E"/>
    <w:rsid w:val="0004627E"/>
    <w:rsid w:val="0004651A"/>
    <w:rsid w:val="00046B9D"/>
    <w:rsid w:val="00053C2A"/>
    <w:rsid w:val="0005593E"/>
    <w:rsid w:val="000604F3"/>
    <w:rsid w:val="0006103B"/>
    <w:rsid w:val="0006156C"/>
    <w:rsid w:val="0006325A"/>
    <w:rsid w:val="00066CB2"/>
    <w:rsid w:val="000710D5"/>
    <w:rsid w:val="000712AF"/>
    <w:rsid w:val="00071D92"/>
    <w:rsid w:val="00071E61"/>
    <w:rsid w:val="000744AF"/>
    <w:rsid w:val="000749E5"/>
    <w:rsid w:val="000767AA"/>
    <w:rsid w:val="00080CB0"/>
    <w:rsid w:val="00080FFE"/>
    <w:rsid w:val="000819CE"/>
    <w:rsid w:val="0009024C"/>
    <w:rsid w:val="00090F66"/>
    <w:rsid w:val="00095CDE"/>
    <w:rsid w:val="000968A1"/>
    <w:rsid w:val="00097C70"/>
    <w:rsid w:val="00097E93"/>
    <w:rsid w:val="000A1260"/>
    <w:rsid w:val="000A1CFA"/>
    <w:rsid w:val="000A25AA"/>
    <w:rsid w:val="000B10A1"/>
    <w:rsid w:val="000B1B28"/>
    <w:rsid w:val="000B64C1"/>
    <w:rsid w:val="000B7327"/>
    <w:rsid w:val="000C4F02"/>
    <w:rsid w:val="000C6F8F"/>
    <w:rsid w:val="000C7FB7"/>
    <w:rsid w:val="000D10BF"/>
    <w:rsid w:val="000D1438"/>
    <w:rsid w:val="000D2ABC"/>
    <w:rsid w:val="000D3213"/>
    <w:rsid w:val="000D34A5"/>
    <w:rsid w:val="000D3A59"/>
    <w:rsid w:val="000E0C9A"/>
    <w:rsid w:val="000E0F79"/>
    <w:rsid w:val="000E49AB"/>
    <w:rsid w:val="000E57A5"/>
    <w:rsid w:val="000E5A91"/>
    <w:rsid w:val="000E5D71"/>
    <w:rsid w:val="000F0741"/>
    <w:rsid w:val="000F1CF6"/>
    <w:rsid w:val="000F43B1"/>
    <w:rsid w:val="000F4F64"/>
    <w:rsid w:val="000F65BE"/>
    <w:rsid w:val="000F6DB7"/>
    <w:rsid w:val="000F6E67"/>
    <w:rsid w:val="0010328D"/>
    <w:rsid w:val="00104527"/>
    <w:rsid w:val="001050BC"/>
    <w:rsid w:val="00107979"/>
    <w:rsid w:val="0010799B"/>
    <w:rsid w:val="00115BAC"/>
    <w:rsid w:val="00117678"/>
    <w:rsid w:val="001254CB"/>
    <w:rsid w:val="00125B7E"/>
    <w:rsid w:val="0013047C"/>
    <w:rsid w:val="00131D68"/>
    <w:rsid w:val="001427E7"/>
    <w:rsid w:val="0014365C"/>
    <w:rsid w:val="00144091"/>
    <w:rsid w:val="00145502"/>
    <w:rsid w:val="001477C4"/>
    <w:rsid w:val="00155D5E"/>
    <w:rsid w:val="001570F8"/>
    <w:rsid w:val="001626A9"/>
    <w:rsid w:val="00167D63"/>
    <w:rsid w:val="00172393"/>
    <w:rsid w:val="00174E2F"/>
    <w:rsid w:val="001751E1"/>
    <w:rsid w:val="00176E9B"/>
    <w:rsid w:val="00180BFD"/>
    <w:rsid w:val="00183DF5"/>
    <w:rsid w:val="00185EF7"/>
    <w:rsid w:val="00192CFE"/>
    <w:rsid w:val="00194B8C"/>
    <w:rsid w:val="001977D4"/>
    <w:rsid w:val="001A0287"/>
    <w:rsid w:val="001A148D"/>
    <w:rsid w:val="001A416D"/>
    <w:rsid w:val="001A486A"/>
    <w:rsid w:val="001A5F8B"/>
    <w:rsid w:val="001B32F7"/>
    <w:rsid w:val="001B4544"/>
    <w:rsid w:val="001B77DB"/>
    <w:rsid w:val="001C4357"/>
    <w:rsid w:val="001C485B"/>
    <w:rsid w:val="001D30AE"/>
    <w:rsid w:val="001D40A1"/>
    <w:rsid w:val="001D4D25"/>
    <w:rsid w:val="001D4F58"/>
    <w:rsid w:val="001E0848"/>
    <w:rsid w:val="001E1058"/>
    <w:rsid w:val="001E187C"/>
    <w:rsid w:val="001E4826"/>
    <w:rsid w:val="001E78A4"/>
    <w:rsid w:val="001E7E08"/>
    <w:rsid w:val="001F189D"/>
    <w:rsid w:val="001F5FCA"/>
    <w:rsid w:val="00203747"/>
    <w:rsid w:val="00204A7B"/>
    <w:rsid w:val="00204D36"/>
    <w:rsid w:val="00205089"/>
    <w:rsid w:val="00205AA3"/>
    <w:rsid w:val="00211597"/>
    <w:rsid w:val="00212587"/>
    <w:rsid w:val="00213E95"/>
    <w:rsid w:val="00216110"/>
    <w:rsid w:val="00216882"/>
    <w:rsid w:val="00216FBB"/>
    <w:rsid w:val="00225CDF"/>
    <w:rsid w:val="002322CE"/>
    <w:rsid w:val="002338B8"/>
    <w:rsid w:val="002353CA"/>
    <w:rsid w:val="00235A6E"/>
    <w:rsid w:val="00236B0D"/>
    <w:rsid w:val="00237C55"/>
    <w:rsid w:val="00237E9B"/>
    <w:rsid w:val="00241231"/>
    <w:rsid w:val="0024256B"/>
    <w:rsid w:val="00242E00"/>
    <w:rsid w:val="00245B83"/>
    <w:rsid w:val="00256AE0"/>
    <w:rsid w:val="00260EA3"/>
    <w:rsid w:val="00264629"/>
    <w:rsid w:val="002650DE"/>
    <w:rsid w:val="00273E33"/>
    <w:rsid w:val="00276F96"/>
    <w:rsid w:val="00285C36"/>
    <w:rsid w:val="0028649B"/>
    <w:rsid w:val="002864E4"/>
    <w:rsid w:val="00286BBF"/>
    <w:rsid w:val="00287076"/>
    <w:rsid w:val="002A10BA"/>
    <w:rsid w:val="002A6688"/>
    <w:rsid w:val="002A6FA9"/>
    <w:rsid w:val="002B1825"/>
    <w:rsid w:val="002B1FAD"/>
    <w:rsid w:val="002B5AF2"/>
    <w:rsid w:val="002C0643"/>
    <w:rsid w:val="002D13DF"/>
    <w:rsid w:val="002D4818"/>
    <w:rsid w:val="002D496E"/>
    <w:rsid w:val="002D688A"/>
    <w:rsid w:val="002D6D8B"/>
    <w:rsid w:val="002E0A6A"/>
    <w:rsid w:val="002E44F0"/>
    <w:rsid w:val="002F3155"/>
    <w:rsid w:val="002F5681"/>
    <w:rsid w:val="002F66F2"/>
    <w:rsid w:val="002F6D4A"/>
    <w:rsid w:val="0030555F"/>
    <w:rsid w:val="0030596B"/>
    <w:rsid w:val="00305B51"/>
    <w:rsid w:val="00306436"/>
    <w:rsid w:val="00307590"/>
    <w:rsid w:val="0031002C"/>
    <w:rsid w:val="00310423"/>
    <w:rsid w:val="00313377"/>
    <w:rsid w:val="00315063"/>
    <w:rsid w:val="003150BD"/>
    <w:rsid w:val="00317BCA"/>
    <w:rsid w:val="0032019F"/>
    <w:rsid w:val="00320E84"/>
    <w:rsid w:val="00322EA4"/>
    <w:rsid w:val="00323B69"/>
    <w:rsid w:val="003241A0"/>
    <w:rsid w:val="00325571"/>
    <w:rsid w:val="00326F87"/>
    <w:rsid w:val="003300D4"/>
    <w:rsid w:val="00336D96"/>
    <w:rsid w:val="00337902"/>
    <w:rsid w:val="00340103"/>
    <w:rsid w:val="00340ADD"/>
    <w:rsid w:val="00342653"/>
    <w:rsid w:val="003466AF"/>
    <w:rsid w:val="00347F1A"/>
    <w:rsid w:val="00350872"/>
    <w:rsid w:val="00350996"/>
    <w:rsid w:val="003524B0"/>
    <w:rsid w:val="00356CAB"/>
    <w:rsid w:val="00356D38"/>
    <w:rsid w:val="00357D4F"/>
    <w:rsid w:val="00363EC2"/>
    <w:rsid w:val="00374A90"/>
    <w:rsid w:val="0037669C"/>
    <w:rsid w:val="00377122"/>
    <w:rsid w:val="00381023"/>
    <w:rsid w:val="003826BC"/>
    <w:rsid w:val="00386F0E"/>
    <w:rsid w:val="00386FDC"/>
    <w:rsid w:val="00387780"/>
    <w:rsid w:val="003878E0"/>
    <w:rsid w:val="00391E1D"/>
    <w:rsid w:val="0039300E"/>
    <w:rsid w:val="003936C4"/>
    <w:rsid w:val="003949AA"/>
    <w:rsid w:val="003A09F8"/>
    <w:rsid w:val="003A1B9D"/>
    <w:rsid w:val="003A1EC1"/>
    <w:rsid w:val="003A1F75"/>
    <w:rsid w:val="003A27B1"/>
    <w:rsid w:val="003A3619"/>
    <w:rsid w:val="003A6E2F"/>
    <w:rsid w:val="003A73DB"/>
    <w:rsid w:val="003B35F2"/>
    <w:rsid w:val="003B6118"/>
    <w:rsid w:val="003B6376"/>
    <w:rsid w:val="003B6F8D"/>
    <w:rsid w:val="003C60B4"/>
    <w:rsid w:val="003D087D"/>
    <w:rsid w:val="003D0CAE"/>
    <w:rsid w:val="003D44AD"/>
    <w:rsid w:val="003D6C8C"/>
    <w:rsid w:val="003E1D24"/>
    <w:rsid w:val="003E4D64"/>
    <w:rsid w:val="003E7E0E"/>
    <w:rsid w:val="003F0C37"/>
    <w:rsid w:val="003F1314"/>
    <w:rsid w:val="003F2B01"/>
    <w:rsid w:val="003F3808"/>
    <w:rsid w:val="003F7799"/>
    <w:rsid w:val="00401E11"/>
    <w:rsid w:val="00401F0A"/>
    <w:rsid w:val="00402D6B"/>
    <w:rsid w:val="00404647"/>
    <w:rsid w:val="00404D62"/>
    <w:rsid w:val="00405EEF"/>
    <w:rsid w:val="00406366"/>
    <w:rsid w:val="004076D7"/>
    <w:rsid w:val="00407F27"/>
    <w:rsid w:val="00413FCF"/>
    <w:rsid w:val="00417DF9"/>
    <w:rsid w:val="004206D0"/>
    <w:rsid w:val="004220F3"/>
    <w:rsid w:val="004248AC"/>
    <w:rsid w:val="00427000"/>
    <w:rsid w:val="00432C4E"/>
    <w:rsid w:val="00434438"/>
    <w:rsid w:val="00435126"/>
    <w:rsid w:val="0043556A"/>
    <w:rsid w:val="00441297"/>
    <w:rsid w:val="00443C39"/>
    <w:rsid w:val="004472BA"/>
    <w:rsid w:val="00447F80"/>
    <w:rsid w:val="004521EE"/>
    <w:rsid w:val="00460F53"/>
    <w:rsid w:val="004617FD"/>
    <w:rsid w:val="004620C2"/>
    <w:rsid w:val="00463105"/>
    <w:rsid w:val="00463450"/>
    <w:rsid w:val="0046609E"/>
    <w:rsid w:val="00467437"/>
    <w:rsid w:val="00472E46"/>
    <w:rsid w:val="004861BF"/>
    <w:rsid w:val="00487F75"/>
    <w:rsid w:val="004901BD"/>
    <w:rsid w:val="00492559"/>
    <w:rsid w:val="0049348D"/>
    <w:rsid w:val="004963D4"/>
    <w:rsid w:val="00496856"/>
    <w:rsid w:val="004A0F53"/>
    <w:rsid w:val="004A1130"/>
    <w:rsid w:val="004A3062"/>
    <w:rsid w:val="004B1A16"/>
    <w:rsid w:val="004B3D44"/>
    <w:rsid w:val="004B589A"/>
    <w:rsid w:val="004B5AA8"/>
    <w:rsid w:val="004B7AD2"/>
    <w:rsid w:val="004C1D99"/>
    <w:rsid w:val="004C23E3"/>
    <w:rsid w:val="004C46CF"/>
    <w:rsid w:val="004C4C16"/>
    <w:rsid w:val="004C70FF"/>
    <w:rsid w:val="004C735F"/>
    <w:rsid w:val="004D25C0"/>
    <w:rsid w:val="004D51BC"/>
    <w:rsid w:val="004D7F0B"/>
    <w:rsid w:val="004E1A1C"/>
    <w:rsid w:val="004E2DCA"/>
    <w:rsid w:val="004E3C5C"/>
    <w:rsid w:val="004E596D"/>
    <w:rsid w:val="004F0659"/>
    <w:rsid w:val="0050079B"/>
    <w:rsid w:val="00502F47"/>
    <w:rsid w:val="00506BC1"/>
    <w:rsid w:val="00522286"/>
    <w:rsid w:val="00523A45"/>
    <w:rsid w:val="00525A7B"/>
    <w:rsid w:val="005302D4"/>
    <w:rsid w:val="00536901"/>
    <w:rsid w:val="00537B6B"/>
    <w:rsid w:val="00540C98"/>
    <w:rsid w:val="0054233A"/>
    <w:rsid w:val="005423B2"/>
    <w:rsid w:val="00547580"/>
    <w:rsid w:val="00555205"/>
    <w:rsid w:val="00556121"/>
    <w:rsid w:val="00556E28"/>
    <w:rsid w:val="00557B71"/>
    <w:rsid w:val="005631B8"/>
    <w:rsid w:val="005633B4"/>
    <w:rsid w:val="00563500"/>
    <w:rsid w:val="0056787C"/>
    <w:rsid w:val="00574D51"/>
    <w:rsid w:val="00575084"/>
    <w:rsid w:val="005802E2"/>
    <w:rsid w:val="0058193D"/>
    <w:rsid w:val="00582696"/>
    <w:rsid w:val="00590F22"/>
    <w:rsid w:val="00594AEF"/>
    <w:rsid w:val="00595BDE"/>
    <w:rsid w:val="005A0BA5"/>
    <w:rsid w:val="005A7208"/>
    <w:rsid w:val="005C0D72"/>
    <w:rsid w:val="005C124A"/>
    <w:rsid w:val="005C2F32"/>
    <w:rsid w:val="005C32AB"/>
    <w:rsid w:val="005C68D6"/>
    <w:rsid w:val="005D087C"/>
    <w:rsid w:val="005D0A01"/>
    <w:rsid w:val="005D2149"/>
    <w:rsid w:val="005D7F69"/>
    <w:rsid w:val="005E0209"/>
    <w:rsid w:val="005E07C0"/>
    <w:rsid w:val="005E12D8"/>
    <w:rsid w:val="005E142C"/>
    <w:rsid w:val="005E1BFD"/>
    <w:rsid w:val="005E32FE"/>
    <w:rsid w:val="005E3F3B"/>
    <w:rsid w:val="005E6D25"/>
    <w:rsid w:val="005E7F4D"/>
    <w:rsid w:val="005F240F"/>
    <w:rsid w:val="005F4E55"/>
    <w:rsid w:val="005F5599"/>
    <w:rsid w:val="00602144"/>
    <w:rsid w:val="00605D48"/>
    <w:rsid w:val="00605DA9"/>
    <w:rsid w:val="00607EF3"/>
    <w:rsid w:val="00612F4A"/>
    <w:rsid w:val="00614034"/>
    <w:rsid w:val="006178FD"/>
    <w:rsid w:val="00617B6C"/>
    <w:rsid w:val="00623DEE"/>
    <w:rsid w:val="006244B5"/>
    <w:rsid w:val="00633016"/>
    <w:rsid w:val="006339E8"/>
    <w:rsid w:val="00633DB9"/>
    <w:rsid w:val="00642A77"/>
    <w:rsid w:val="00642AFF"/>
    <w:rsid w:val="0064321F"/>
    <w:rsid w:val="006438F3"/>
    <w:rsid w:val="00644706"/>
    <w:rsid w:val="00653F8B"/>
    <w:rsid w:val="00655907"/>
    <w:rsid w:val="00660410"/>
    <w:rsid w:val="00662108"/>
    <w:rsid w:val="00667D50"/>
    <w:rsid w:val="006724E1"/>
    <w:rsid w:val="00674401"/>
    <w:rsid w:val="00674774"/>
    <w:rsid w:val="00675A04"/>
    <w:rsid w:val="0067713B"/>
    <w:rsid w:val="00681A01"/>
    <w:rsid w:val="00684E4C"/>
    <w:rsid w:val="00685BA5"/>
    <w:rsid w:val="00694D4C"/>
    <w:rsid w:val="006974CC"/>
    <w:rsid w:val="006A3013"/>
    <w:rsid w:val="006A60F3"/>
    <w:rsid w:val="006A6266"/>
    <w:rsid w:val="006B1A78"/>
    <w:rsid w:val="006B2322"/>
    <w:rsid w:val="006B2554"/>
    <w:rsid w:val="006B547A"/>
    <w:rsid w:val="006B797B"/>
    <w:rsid w:val="006C10FD"/>
    <w:rsid w:val="006C2E4B"/>
    <w:rsid w:val="006C4622"/>
    <w:rsid w:val="006C5807"/>
    <w:rsid w:val="006D0440"/>
    <w:rsid w:val="006D0983"/>
    <w:rsid w:val="006D1818"/>
    <w:rsid w:val="006D236B"/>
    <w:rsid w:val="006D3D96"/>
    <w:rsid w:val="006D46FE"/>
    <w:rsid w:val="006E4BD1"/>
    <w:rsid w:val="006E4C40"/>
    <w:rsid w:val="006E5FD9"/>
    <w:rsid w:val="006E621F"/>
    <w:rsid w:val="006E643F"/>
    <w:rsid w:val="006E6F77"/>
    <w:rsid w:val="006F002F"/>
    <w:rsid w:val="006F02FE"/>
    <w:rsid w:val="00710273"/>
    <w:rsid w:val="007109DC"/>
    <w:rsid w:val="007126B4"/>
    <w:rsid w:val="007136CD"/>
    <w:rsid w:val="00713FAC"/>
    <w:rsid w:val="00724579"/>
    <w:rsid w:val="00724CD0"/>
    <w:rsid w:val="007251AD"/>
    <w:rsid w:val="00725E08"/>
    <w:rsid w:val="00727E22"/>
    <w:rsid w:val="00730A27"/>
    <w:rsid w:val="007316F3"/>
    <w:rsid w:val="00737C74"/>
    <w:rsid w:val="007414C3"/>
    <w:rsid w:val="00743973"/>
    <w:rsid w:val="0074630A"/>
    <w:rsid w:val="00752105"/>
    <w:rsid w:val="00753A59"/>
    <w:rsid w:val="0075560B"/>
    <w:rsid w:val="00756435"/>
    <w:rsid w:val="00756C33"/>
    <w:rsid w:val="00760411"/>
    <w:rsid w:val="00762D29"/>
    <w:rsid w:val="00767702"/>
    <w:rsid w:val="00770A7C"/>
    <w:rsid w:val="0077154B"/>
    <w:rsid w:val="00771AFF"/>
    <w:rsid w:val="00772F02"/>
    <w:rsid w:val="00773594"/>
    <w:rsid w:val="007743B2"/>
    <w:rsid w:val="00775D91"/>
    <w:rsid w:val="007774EA"/>
    <w:rsid w:val="0078105D"/>
    <w:rsid w:val="0078419F"/>
    <w:rsid w:val="00786E47"/>
    <w:rsid w:val="00787E4A"/>
    <w:rsid w:val="00794F31"/>
    <w:rsid w:val="00796C5F"/>
    <w:rsid w:val="007A4131"/>
    <w:rsid w:val="007A481B"/>
    <w:rsid w:val="007A4A47"/>
    <w:rsid w:val="007A4E63"/>
    <w:rsid w:val="007A5CDF"/>
    <w:rsid w:val="007B3DA9"/>
    <w:rsid w:val="007B42FD"/>
    <w:rsid w:val="007B6FA1"/>
    <w:rsid w:val="007B78F8"/>
    <w:rsid w:val="007C0393"/>
    <w:rsid w:val="007C054A"/>
    <w:rsid w:val="007C12C9"/>
    <w:rsid w:val="007C5A54"/>
    <w:rsid w:val="007D13DA"/>
    <w:rsid w:val="007D3905"/>
    <w:rsid w:val="007D63FF"/>
    <w:rsid w:val="007D7E8F"/>
    <w:rsid w:val="007E09CC"/>
    <w:rsid w:val="007E29F1"/>
    <w:rsid w:val="007E50D0"/>
    <w:rsid w:val="007E526A"/>
    <w:rsid w:val="007F5731"/>
    <w:rsid w:val="007F6812"/>
    <w:rsid w:val="0080037B"/>
    <w:rsid w:val="00802390"/>
    <w:rsid w:val="008057CF"/>
    <w:rsid w:val="008060F8"/>
    <w:rsid w:val="00806FDF"/>
    <w:rsid w:val="008073EA"/>
    <w:rsid w:val="00807BD3"/>
    <w:rsid w:val="00810B4D"/>
    <w:rsid w:val="00810CBD"/>
    <w:rsid w:val="008114E2"/>
    <w:rsid w:val="00812036"/>
    <w:rsid w:val="00813036"/>
    <w:rsid w:val="00813F9A"/>
    <w:rsid w:val="00817430"/>
    <w:rsid w:val="0082098E"/>
    <w:rsid w:val="00821B0D"/>
    <w:rsid w:val="00825CCD"/>
    <w:rsid w:val="008307DF"/>
    <w:rsid w:val="00832F9F"/>
    <w:rsid w:val="008331F7"/>
    <w:rsid w:val="00842C09"/>
    <w:rsid w:val="00844B3D"/>
    <w:rsid w:val="00847F6E"/>
    <w:rsid w:val="008514BD"/>
    <w:rsid w:val="00857A57"/>
    <w:rsid w:val="008603B3"/>
    <w:rsid w:val="008625C6"/>
    <w:rsid w:val="008636B0"/>
    <w:rsid w:val="008647EE"/>
    <w:rsid w:val="00867169"/>
    <w:rsid w:val="00871C32"/>
    <w:rsid w:val="00873F8C"/>
    <w:rsid w:val="008817FB"/>
    <w:rsid w:val="00881C91"/>
    <w:rsid w:val="00893AE0"/>
    <w:rsid w:val="0089529C"/>
    <w:rsid w:val="00897495"/>
    <w:rsid w:val="008A2B27"/>
    <w:rsid w:val="008A2BB7"/>
    <w:rsid w:val="008A54CB"/>
    <w:rsid w:val="008A5DC5"/>
    <w:rsid w:val="008B06AD"/>
    <w:rsid w:val="008B2BE1"/>
    <w:rsid w:val="008B3C42"/>
    <w:rsid w:val="008B7B75"/>
    <w:rsid w:val="008B7B90"/>
    <w:rsid w:val="008C1C84"/>
    <w:rsid w:val="008C23F2"/>
    <w:rsid w:val="008C7A51"/>
    <w:rsid w:val="008D163C"/>
    <w:rsid w:val="008D22B6"/>
    <w:rsid w:val="008D349C"/>
    <w:rsid w:val="008D6013"/>
    <w:rsid w:val="008D648E"/>
    <w:rsid w:val="008D66A8"/>
    <w:rsid w:val="008E23E0"/>
    <w:rsid w:val="008E3CAE"/>
    <w:rsid w:val="008E7BD1"/>
    <w:rsid w:val="008F0E5D"/>
    <w:rsid w:val="008F1B37"/>
    <w:rsid w:val="008F3EAB"/>
    <w:rsid w:val="009010F7"/>
    <w:rsid w:val="00903CAD"/>
    <w:rsid w:val="009057A7"/>
    <w:rsid w:val="009106F8"/>
    <w:rsid w:val="00914105"/>
    <w:rsid w:val="00914415"/>
    <w:rsid w:val="009166E7"/>
    <w:rsid w:val="009174AB"/>
    <w:rsid w:val="00920305"/>
    <w:rsid w:val="0092069C"/>
    <w:rsid w:val="00920FBF"/>
    <w:rsid w:val="0092243C"/>
    <w:rsid w:val="00923EC8"/>
    <w:rsid w:val="00924018"/>
    <w:rsid w:val="00924A44"/>
    <w:rsid w:val="00925C82"/>
    <w:rsid w:val="009302C2"/>
    <w:rsid w:val="00934980"/>
    <w:rsid w:val="00936D97"/>
    <w:rsid w:val="00941D55"/>
    <w:rsid w:val="00944951"/>
    <w:rsid w:val="009475E2"/>
    <w:rsid w:val="00950F7E"/>
    <w:rsid w:val="00952FA3"/>
    <w:rsid w:val="009611B4"/>
    <w:rsid w:val="0096223C"/>
    <w:rsid w:val="00967C20"/>
    <w:rsid w:val="009702F0"/>
    <w:rsid w:val="009745B3"/>
    <w:rsid w:val="00976274"/>
    <w:rsid w:val="00976A29"/>
    <w:rsid w:val="009823E5"/>
    <w:rsid w:val="0098287B"/>
    <w:rsid w:val="009901E7"/>
    <w:rsid w:val="0099565A"/>
    <w:rsid w:val="00996198"/>
    <w:rsid w:val="00996DDC"/>
    <w:rsid w:val="009B7F11"/>
    <w:rsid w:val="009C17CD"/>
    <w:rsid w:val="009C2DDA"/>
    <w:rsid w:val="009C49A3"/>
    <w:rsid w:val="009C5784"/>
    <w:rsid w:val="009C62DB"/>
    <w:rsid w:val="009D3AEE"/>
    <w:rsid w:val="009D63AD"/>
    <w:rsid w:val="009D66D1"/>
    <w:rsid w:val="009D77A3"/>
    <w:rsid w:val="009E0723"/>
    <w:rsid w:val="009E22DC"/>
    <w:rsid w:val="009E37CD"/>
    <w:rsid w:val="009E37D8"/>
    <w:rsid w:val="009E451C"/>
    <w:rsid w:val="009E66E2"/>
    <w:rsid w:val="009F1F49"/>
    <w:rsid w:val="009F3030"/>
    <w:rsid w:val="009F403E"/>
    <w:rsid w:val="00A0343E"/>
    <w:rsid w:val="00A03D9E"/>
    <w:rsid w:val="00A072B1"/>
    <w:rsid w:val="00A113B3"/>
    <w:rsid w:val="00A15355"/>
    <w:rsid w:val="00A1537B"/>
    <w:rsid w:val="00A1774B"/>
    <w:rsid w:val="00A17CC8"/>
    <w:rsid w:val="00A207A5"/>
    <w:rsid w:val="00A21805"/>
    <w:rsid w:val="00A237E8"/>
    <w:rsid w:val="00A23EE6"/>
    <w:rsid w:val="00A2576C"/>
    <w:rsid w:val="00A3295D"/>
    <w:rsid w:val="00A35441"/>
    <w:rsid w:val="00A36644"/>
    <w:rsid w:val="00A42CE0"/>
    <w:rsid w:val="00A44587"/>
    <w:rsid w:val="00A44871"/>
    <w:rsid w:val="00A51466"/>
    <w:rsid w:val="00A56118"/>
    <w:rsid w:val="00A5623E"/>
    <w:rsid w:val="00A56B3C"/>
    <w:rsid w:val="00A6204C"/>
    <w:rsid w:val="00A63BCF"/>
    <w:rsid w:val="00A64D5F"/>
    <w:rsid w:val="00A7088E"/>
    <w:rsid w:val="00A73B77"/>
    <w:rsid w:val="00A821D2"/>
    <w:rsid w:val="00A91D2B"/>
    <w:rsid w:val="00A92387"/>
    <w:rsid w:val="00A943E8"/>
    <w:rsid w:val="00A94D40"/>
    <w:rsid w:val="00A94DD0"/>
    <w:rsid w:val="00A963D2"/>
    <w:rsid w:val="00AA0A4D"/>
    <w:rsid w:val="00AA779C"/>
    <w:rsid w:val="00AA7CAD"/>
    <w:rsid w:val="00AB5C45"/>
    <w:rsid w:val="00AB7969"/>
    <w:rsid w:val="00AC090A"/>
    <w:rsid w:val="00AC1083"/>
    <w:rsid w:val="00AC4CF9"/>
    <w:rsid w:val="00AD4DD9"/>
    <w:rsid w:val="00AD4DF8"/>
    <w:rsid w:val="00AD65B3"/>
    <w:rsid w:val="00AD7060"/>
    <w:rsid w:val="00AE0431"/>
    <w:rsid w:val="00AE623A"/>
    <w:rsid w:val="00AF3D58"/>
    <w:rsid w:val="00AF4729"/>
    <w:rsid w:val="00AF5E17"/>
    <w:rsid w:val="00AF63AC"/>
    <w:rsid w:val="00B0544D"/>
    <w:rsid w:val="00B06F44"/>
    <w:rsid w:val="00B12177"/>
    <w:rsid w:val="00B2139E"/>
    <w:rsid w:val="00B252E4"/>
    <w:rsid w:val="00B35A65"/>
    <w:rsid w:val="00B419B4"/>
    <w:rsid w:val="00B43F5F"/>
    <w:rsid w:val="00B44A72"/>
    <w:rsid w:val="00B44D55"/>
    <w:rsid w:val="00B4569B"/>
    <w:rsid w:val="00B4614D"/>
    <w:rsid w:val="00B466C8"/>
    <w:rsid w:val="00B473AB"/>
    <w:rsid w:val="00B474D7"/>
    <w:rsid w:val="00B47808"/>
    <w:rsid w:val="00B504C4"/>
    <w:rsid w:val="00B50EAF"/>
    <w:rsid w:val="00B559BA"/>
    <w:rsid w:val="00B56E04"/>
    <w:rsid w:val="00B575E1"/>
    <w:rsid w:val="00B61B50"/>
    <w:rsid w:val="00B62A0F"/>
    <w:rsid w:val="00B66702"/>
    <w:rsid w:val="00B67E58"/>
    <w:rsid w:val="00B73737"/>
    <w:rsid w:val="00B73802"/>
    <w:rsid w:val="00B740E1"/>
    <w:rsid w:val="00B83670"/>
    <w:rsid w:val="00B83A2F"/>
    <w:rsid w:val="00B8743F"/>
    <w:rsid w:val="00B87894"/>
    <w:rsid w:val="00B969F3"/>
    <w:rsid w:val="00BA3C9C"/>
    <w:rsid w:val="00BA4996"/>
    <w:rsid w:val="00BA5E13"/>
    <w:rsid w:val="00BB70C9"/>
    <w:rsid w:val="00BC4BDC"/>
    <w:rsid w:val="00BD5846"/>
    <w:rsid w:val="00BD5CE2"/>
    <w:rsid w:val="00BD5FE2"/>
    <w:rsid w:val="00BE1807"/>
    <w:rsid w:val="00BE19DC"/>
    <w:rsid w:val="00BE74FA"/>
    <w:rsid w:val="00BF0128"/>
    <w:rsid w:val="00BF3639"/>
    <w:rsid w:val="00BF3973"/>
    <w:rsid w:val="00C00FA3"/>
    <w:rsid w:val="00C032BC"/>
    <w:rsid w:val="00C03993"/>
    <w:rsid w:val="00C101F3"/>
    <w:rsid w:val="00C10A11"/>
    <w:rsid w:val="00C10FCD"/>
    <w:rsid w:val="00C15937"/>
    <w:rsid w:val="00C15FED"/>
    <w:rsid w:val="00C17CEE"/>
    <w:rsid w:val="00C2561E"/>
    <w:rsid w:val="00C3112D"/>
    <w:rsid w:val="00C32783"/>
    <w:rsid w:val="00C35198"/>
    <w:rsid w:val="00C361B6"/>
    <w:rsid w:val="00C37C2A"/>
    <w:rsid w:val="00C407D9"/>
    <w:rsid w:val="00C40FE1"/>
    <w:rsid w:val="00C41B50"/>
    <w:rsid w:val="00C45258"/>
    <w:rsid w:val="00C45FCE"/>
    <w:rsid w:val="00C4669A"/>
    <w:rsid w:val="00C46CC2"/>
    <w:rsid w:val="00C56F64"/>
    <w:rsid w:val="00C62A35"/>
    <w:rsid w:val="00C62BA0"/>
    <w:rsid w:val="00C64656"/>
    <w:rsid w:val="00C6593E"/>
    <w:rsid w:val="00C65FFC"/>
    <w:rsid w:val="00C724BA"/>
    <w:rsid w:val="00C72BFF"/>
    <w:rsid w:val="00C746B3"/>
    <w:rsid w:val="00C7530F"/>
    <w:rsid w:val="00C754B4"/>
    <w:rsid w:val="00C7639A"/>
    <w:rsid w:val="00C763BA"/>
    <w:rsid w:val="00C8165D"/>
    <w:rsid w:val="00C84596"/>
    <w:rsid w:val="00C91C8C"/>
    <w:rsid w:val="00C91EA5"/>
    <w:rsid w:val="00CA21D0"/>
    <w:rsid w:val="00CA2B57"/>
    <w:rsid w:val="00CA7C1D"/>
    <w:rsid w:val="00CB23B5"/>
    <w:rsid w:val="00CB4280"/>
    <w:rsid w:val="00CB56E4"/>
    <w:rsid w:val="00CB6C19"/>
    <w:rsid w:val="00CC482C"/>
    <w:rsid w:val="00CD28DD"/>
    <w:rsid w:val="00CD3156"/>
    <w:rsid w:val="00CD4A98"/>
    <w:rsid w:val="00CD61F3"/>
    <w:rsid w:val="00CE0BBA"/>
    <w:rsid w:val="00CE0BEA"/>
    <w:rsid w:val="00CE1A25"/>
    <w:rsid w:val="00CE2CD6"/>
    <w:rsid w:val="00CE57D4"/>
    <w:rsid w:val="00CE597E"/>
    <w:rsid w:val="00CE5E56"/>
    <w:rsid w:val="00CE664B"/>
    <w:rsid w:val="00CF4625"/>
    <w:rsid w:val="00D00DB1"/>
    <w:rsid w:val="00D0195B"/>
    <w:rsid w:val="00D0263A"/>
    <w:rsid w:val="00D074C6"/>
    <w:rsid w:val="00D2154C"/>
    <w:rsid w:val="00D21CD1"/>
    <w:rsid w:val="00D2214E"/>
    <w:rsid w:val="00D25060"/>
    <w:rsid w:val="00D27203"/>
    <w:rsid w:val="00D27501"/>
    <w:rsid w:val="00D40BC7"/>
    <w:rsid w:val="00D40FFF"/>
    <w:rsid w:val="00D41BAF"/>
    <w:rsid w:val="00D422F2"/>
    <w:rsid w:val="00D43D1A"/>
    <w:rsid w:val="00D44D31"/>
    <w:rsid w:val="00D45640"/>
    <w:rsid w:val="00D475F8"/>
    <w:rsid w:val="00D50A87"/>
    <w:rsid w:val="00D6353E"/>
    <w:rsid w:val="00D642B8"/>
    <w:rsid w:val="00D65182"/>
    <w:rsid w:val="00D65609"/>
    <w:rsid w:val="00D66373"/>
    <w:rsid w:val="00D73B5A"/>
    <w:rsid w:val="00D75733"/>
    <w:rsid w:val="00D75FD4"/>
    <w:rsid w:val="00D87487"/>
    <w:rsid w:val="00D91B69"/>
    <w:rsid w:val="00D91D37"/>
    <w:rsid w:val="00DA05CD"/>
    <w:rsid w:val="00DA0C88"/>
    <w:rsid w:val="00DA267B"/>
    <w:rsid w:val="00DA37DC"/>
    <w:rsid w:val="00DA561E"/>
    <w:rsid w:val="00DB27EE"/>
    <w:rsid w:val="00DB4E78"/>
    <w:rsid w:val="00DC43D9"/>
    <w:rsid w:val="00DC471B"/>
    <w:rsid w:val="00DC5128"/>
    <w:rsid w:val="00DC5A94"/>
    <w:rsid w:val="00DD0AEA"/>
    <w:rsid w:val="00DD56AD"/>
    <w:rsid w:val="00DD6443"/>
    <w:rsid w:val="00DD7174"/>
    <w:rsid w:val="00DE1403"/>
    <w:rsid w:val="00DE22A2"/>
    <w:rsid w:val="00DE32C3"/>
    <w:rsid w:val="00DE564E"/>
    <w:rsid w:val="00DE7B12"/>
    <w:rsid w:val="00DF3625"/>
    <w:rsid w:val="00DF5AC7"/>
    <w:rsid w:val="00DF6139"/>
    <w:rsid w:val="00DF7E58"/>
    <w:rsid w:val="00E03B47"/>
    <w:rsid w:val="00E0403B"/>
    <w:rsid w:val="00E0430B"/>
    <w:rsid w:val="00E105BB"/>
    <w:rsid w:val="00E11433"/>
    <w:rsid w:val="00E14E07"/>
    <w:rsid w:val="00E2031A"/>
    <w:rsid w:val="00E217DD"/>
    <w:rsid w:val="00E2320B"/>
    <w:rsid w:val="00E24A1D"/>
    <w:rsid w:val="00E2791A"/>
    <w:rsid w:val="00E3013B"/>
    <w:rsid w:val="00E3338B"/>
    <w:rsid w:val="00E40747"/>
    <w:rsid w:val="00E41694"/>
    <w:rsid w:val="00E4659B"/>
    <w:rsid w:val="00E47506"/>
    <w:rsid w:val="00E50DE1"/>
    <w:rsid w:val="00E5254D"/>
    <w:rsid w:val="00E53C94"/>
    <w:rsid w:val="00E56EAD"/>
    <w:rsid w:val="00E63319"/>
    <w:rsid w:val="00E649E5"/>
    <w:rsid w:val="00E739CE"/>
    <w:rsid w:val="00E751E1"/>
    <w:rsid w:val="00E7528C"/>
    <w:rsid w:val="00E80439"/>
    <w:rsid w:val="00E81C75"/>
    <w:rsid w:val="00E82A92"/>
    <w:rsid w:val="00E82FF7"/>
    <w:rsid w:val="00E84EC5"/>
    <w:rsid w:val="00E879D8"/>
    <w:rsid w:val="00E906B9"/>
    <w:rsid w:val="00E93F3D"/>
    <w:rsid w:val="00E93F58"/>
    <w:rsid w:val="00EA0ACD"/>
    <w:rsid w:val="00EB0DD7"/>
    <w:rsid w:val="00EB33F2"/>
    <w:rsid w:val="00EB57C5"/>
    <w:rsid w:val="00EC0170"/>
    <w:rsid w:val="00EC4597"/>
    <w:rsid w:val="00EC476C"/>
    <w:rsid w:val="00EC64BA"/>
    <w:rsid w:val="00ED3647"/>
    <w:rsid w:val="00ED6314"/>
    <w:rsid w:val="00ED6C02"/>
    <w:rsid w:val="00EE13AF"/>
    <w:rsid w:val="00EE2B33"/>
    <w:rsid w:val="00EF258C"/>
    <w:rsid w:val="00EF26F9"/>
    <w:rsid w:val="00EF3DE4"/>
    <w:rsid w:val="00EF4BCC"/>
    <w:rsid w:val="00EF684A"/>
    <w:rsid w:val="00EF68CE"/>
    <w:rsid w:val="00F0032D"/>
    <w:rsid w:val="00F06682"/>
    <w:rsid w:val="00F06DAA"/>
    <w:rsid w:val="00F07023"/>
    <w:rsid w:val="00F1088C"/>
    <w:rsid w:val="00F13921"/>
    <w:rsid w:val="00F148BE"/>
    <w:rsid w:val="00F14AFC"/>
    <w:rsid w:val="00F1578C"/>
    <w:rsid w:val="00F15F44"/>
    <w:rsid w:val="00F16D8E"/>
    <w:rsid w:val="00F20DDC"/>
    <w:rsid w:val="00F211A8"/>
    <w:rsid w:val="00F26199"/>
    <w:rsid w:val="00F272F3"/>
    <w:rsid w:val="00F31183"/>
    <w:rsid w:val="00F319AF"/>
    <w:rsid w:val="00F35A8B"/>
    <w:rsid w:val="00F36898"/>
    <w:rsid w:val="00F449D3"/>
    <w:rsid w:val="00F460A3"/>
    <w:rsid w:val="00F510BB"/>
    <w:rsid w:val="00F51AF9"/>
    <w:rsid w:val="00F522ED"/>
    <w:rsid w:val="00F569BA"/>
    <w:rsid w:val="00F57E70"/>
    <w:rsid w:val="00F60AD1"/>
    <w:rsid w:val="00F60C5B"/>
    <w:rsid w:val="00F664B7"/>
    <w:rsid w:val="00F679A2"/>
    <w:rsid w:val="00F70149"/>
    <w:rsid w:val="00F76139"/>
    <w:rsid w:val="00F77923"/>
    <w:rsid w:val="00F77F9D"/>
    <w:rsid w:val="00F8162D"/>
    <w:rsid w:val="00F81E31"/>
    <w:rsid w:val="00F8307C"/>
    <w:rsid w:val="00F8502D"/>
    <w:rsid w:val="00F85E96"/>
    <w:rsid w:val="00F90662"/>
    <w:rsid w:val="00F94171"/>
    <w:rsid w:val="00F947B4"/>
    <w:rsid w:val="00F95FF9"/>
    <w:rsid w:val="00F96681"/>
    <w:rsid w:val="00FA0713"/>
    <w:rsid w:val="00FA0914"/>
    <w:rsid w:val="00FA657F"/>
    <w:rsid w:val="00FA6B74"/>
    <w:rsid w:val="00FA7900"/>
    <w:rsid w:val="00FB1E13"/>
    <w:rsid w:val="00FB30AF"/>
    <w:rsid w:val="00FB38D4"/>
    <w:rsid w:val="00FB495E"/>
    <w:rsid w:val="00FB5627"/>
    <w:rsid w:val="00FC2BD1"/>
    <w:rsid w:val="00FC77EC"/>
    <w:rsid w:val="00FD67B7"/>
    <w:rsid w:val="00FD71D5"/>
    <w:rsid w:val="00FE1092"/>
    <w:rsid w:val="00FE1F77"/>
    <w:rsid w:val="00FE3394"/>
    <w:rsid w:val="00FE724D"/>
    <w:rsid w:val="00FF27F1"/>
    <w:rsid w:val="00FF53BC"/>
    <w:rsid w:val="015507BB"/>
    <w:rsid w:val="019C23B2"/>
    <w:rsid w:val="01F82A2B"/>
    <w:rsid w:val="022F4FC4"/>
    <w:rsid w:val="02CC4CA2"/>
    <w:rsid w:val="02F43BF8"/>
    <w:rsid w:val="03056101"/>
    <w:rsid w:val="034877EC"/>
    <w:rsid w:val="03875A93"/>
    <w:rsid w:val="0430275A"/>
    <w:rsid w:val="0449381C"/>
    <w:rsid w:val="046321FF"/>
    <w:rsid w:val="04645E13"/>
    <w:rsid w:val="04EE4C10"/>
    <w:rsid w:val="057E7C24"/>
    <w:rsid w:val="05A02329"/>
    <w:rsid w:val="05AB5888"/>
    <w:rsid w:val="05C40203"/>
    <w:rsid w:val="066D5959"/>
    <w:rsid w:val="06C70D2A"/>
    <w:rsid w:val="07037865"/>
    <w:rsid w:val="07D570A9"/>
    <w:rsid w:val="083B347B"/>
    <w:rsid w:val="085E7CDF"/>
    <w:rsid w:val="087526D9"/>
    <w:rsid w:val="09300B06"/>
    <w:rsid w:val="09C3197A"/>
    <w:rsid w:val="09DB0338"/>
    <w:rsid w:val="0A967555"/>
    <w:rsid w:val="0AB063A2"/>
    <w:rsid w:val="0AC81475"/>
    <w:rsid w:val="0B102933"/>
    <w:rsid w:val="0B21104E"/>
    <w:rsid w:val="0BB124BD"/>
    <w:rsid w:val="0BBC2E0F"/>
    <w:rsid w:val="0C233289"/>
    <w:rsid w:val="0C4E7DBD"/>
    <w:rsid w:val="0CF74077"/>
    <w:rsid w:val="0D082F5C"/>
    <w:rsid w:val="0D2F3D97"/>
    <w:rsid w:val="0D42138B"/>
    <w:rsid w:val="0D4E1EA3"/>
    <w:rsid w:val="0D7569B6"/>
    <w:rsid w:val="0D873F00"/>
    <w:rsid w:val="0E6D7959"/>
    <w:rsid w:val="0E9022EA"/>
    <w:rsid w:val="0EB43F87"/>
    <w:rsid w:val="0EDB32C2"/>
    <w:rsid w:val="0EEA4EDD"/>
    <w:rsid w:val="0EF82781"/>
    <w:rsid w:val="0F900551"/>
    <w:rsid w:val="0FA754FC"/>
    <w:rsid w:val="0FF32896"/>
    <w:rsid w:val="10006D15"/>
    <w:rsid w:val="10401F77"/>
    <w:rsid w:val="104A3DD7"/>
    <w:rsid w:val="10EF17B4"/>
    <w:rsid w:val="11036AF6"/>
    <w:rsid w:val="11910454"/>
    <w:rsid w:val="11FE5DEB"/>
    <w:rsid w:val="122B0854"/>
    <w:rsid w:val="126D6273"/>
    <w:rsid w:val="12841571"/>
    <w:rsid w:val="12B17881"/>
    <w:rsid w:val="12C46AD7"/>
    <w:rsid w:val="136775E5"/>
    <w:rsid w:val="13B363E0"/>
    <w:rsid w:val="14492156"/>
    <w:rsid w:val="14F061AE"/>
    <w:rsid w:val="156D1521"/>
    <w:rsid w:val="15C96B44"/>
    <w:rsid w:val="164107F7"/>
    <w:rsid w:val="166C0348"/>
    <w:rsid w:val="16AF05F0"/>
    <w:rsid w:val="16E85458"/>
    <w:rsid w:val="16F3177B"/>
    <w:rsid w:val="16FD3B68"/>
    <w:rsid w:val="174F484D"/>
    <w:rsid w:val="17FD699F"/>
    <w:rsid w:val="18141FD9"/>
    <w:rsid w:val="182B350C"/>
    <w:rsid w:val="18340143"/>
    <w:rsid w:val="188E61A5"/>
    <w:rsid w:val="193C4136"/>
    <w:rsid w:val="19800165"/>
    <w:rsid w:val="19842B65"/>
    <w:rsid w:val="19AF7825"/>
    <w:rsid w:val="19D70E67"/>
    <w:rsid w:val="19D76CEB"/>
    <w:rsid w:val="19E83C88"/>
    <w:rsid w:val="1A5F2FF9"/>
    <w:rsid w:val="1ACE5064"/>
    <w:rsid w:val="1B5C39DD"/>
    <w:rsid w:val="1B754F67"/>
    <w:rsid w:val="1B9C57BC"/>
    <w:rsid w:val="1BE348D3"/>
    <w:rsid w:val="1C71170A"/>
    <w:rsid w:val="1D4034D1"/>
    <w:rsid w:val="1D772D50"/>
    <w:rsid w:val="1D7F2BF3"/>
    <w:rsid w:val="1D8B67FB"/>
    <w:rsid w:val="1D8D4321"/>
    <w:rsid w:val="1D9B41AC"/>
    <w:rsid w:val="1DB04211"/>
    <w:rsid w:val="1E6E5F01"/>
    <w:rsid w:val="1E761E86"/>
    <w:rsid w:val="1E845724"/>
    <w:rsid w:val="1E9623BB"/>
    <w:rsid w:val="1EE24A39"/>
    <w:rsid w:val="1F351B34"/>
    <w:rsid w:val="1F3F164B"/>
    <w:rsid w:val="1F8063D3"/>
    <w:rsid w:val="1FA6126F"/>
    <w:rsid w:val="1FEC2EBC"/>
    <w:rsid w:val="20146634"/>
    <w:rsid w:val="2020147D"/>
    <w:rsid w:val="20526477"/>
    <w:rsid w:val="20AD0744"/>
    <w:rsid w:val="20EC311B"/>
    <w:rsid w:val="219F18CF"/>
    <w:rsid w:val="21DC7625"/>
    <w:rsid w:val="21FC4D19"/>
    <w:rsid w:val="22310768"/>
    <w:rsid w:val="22393EA1"/>
    <w:rsid w:val="223B251B"/>
    <w:rsid w:val="224F7DF7"/>
    <w:rsid w:val="22D46273"/>
    <w:rsid w:val="22ED32DA"/>
    <w:rsid w:val="2309444A"/>
    <w:rsid w:val="235B4D93"/>
    <w:rsid w:val="23DE3EE7"/>
    <w:rsid w:val="2417382E"/>
    <w:rsid w:val="24262DDA"/>
    <w:rsid w:val="24305BD0"/>
    <w:rsid w:val="248136F0"/>
    <w:rsid w:val="24D024BD"/>
    <w:rsid w:val="26890FC2"/>
    <w:rsid w:val="26C451F2"/>
    <w:rsid w:val="27B41543"/>
    <w:rsid w:val="27D97FAC"/>
    <w:rsid w:val="28081174"/>
    <w:rsid w:val="28101D1E"/>
    <w:rsid w:val="28244B6B"/>
    <w:rsid w:val="282A31F1"/>
    <w:rsid w:val="288051AE"/>
    <w:rsid w:val="28AA514C"/>
    <w:rsid w:val="28BB69F6"/>
    <w:rsid w:val="28C46631"/>
    <w:rsid w:val="28EA3076"/>
    <w:rsid w:val="290F78EF"/>
    <w:rsid w:val="2976210D"/>
    <w:rsid w:val="299A214E"/>
    <w:rsid w:val="29D14827"/>
    <w:rsid w:val="2A043D7C"/>
    <w:rsid w:val="2A2C4823"/>
    <w:rsid w:val="2A850E52"/>
    <w:rsid w:val="2AA809EC"/>
    <w:rsid w:val="2AE82B97"/>
    <w:rsid w:val="2B4F09D4"/>
    <w:rsid w:val="2B9D2F74"/>
    <w:rsid w:val="2BDC4BBA"/>
    <w:rsid w:val="2BF51A0F"/>
    <w:rsid w:val="2C1A12E1"/>
    <w:rsid w:val="2C212804"/>
    <w:rsid w:val="2C5310A4"/>
    <w:rsid w:val="2CDC0FA6"/>
    <w:rsid w:val="2CF41CC7"/>
    <w:rsid w:val="2D593DF3"/>
    <w:rsid w:val="2DB43204"/>
    <w:rsid w:val="2E127C0A"/>
    <w:rsid w:val="2E880E77"/>
    <w:rsid w:val="2EBD2EC5"/>
    <w:rsid w:val="2F234777"/>
    <w:rsid w:val="2FBD5011"/>
    <w:rsid w:val="2FD9510C"/>
    <w:rsid w:val="2FE33CEB"/>
    <w:rsid w:val="30CB4729"/>
    <w:rsid w:val="30CC2046"/>
    <w:rsid w:val="30E90B45"/>
    <w:rsid w:val="31404702"/>
    <w:rsid w:val="314A31BA"/>
    <w:rsid w:val="316423EB"/>
    <w:rsid w:val="317F63EA"/>
    <w:rsid w:val="319F3C29"/>
    <w:rsid w:val="31FB190E"/>
    <w:rsid w:val="32886F74"/>
    <w:rsid w:val="32E44420"/>
    <w:rsid w:val="332A7BC5"/>
    <w:rsid w:val="33391BEB"/>
    <w:rsid w:val="334B6695"/>
    <w:rsid w:val="336D4581"/>
    <w:rsid w:val="33A33545"/>
    <w:rsid w:val="33A8545F"/>
    <w:rsid w:val="34480B4A"/>
    <w:rsid w:val="34762022"/>
    <w:rsid w:val="347E0244"/>
    <w:rsid w:val="34AF2298"/>
    <w:rsid w:val="355E1C54"/>
    <w:rsid w:val="35877C3C"/>
    <w:rsid w:val="35C10BB4"/>
    <w:rsid w:val="35DB62A8"/>
    <w:rsid w:val="368F28AB"/>
    <w:rsid w:val="37193DC2"/>
    <w:rsid w:val="375E1F49"/>
    <w:rsid w:val="37AD65A0"/>
    <w:rsid w:val="37D56B99"/>
    <w:rsid w:val="37EE0CD2"/>
    <w:rsid w:val="37FB7C68"/>
    <w:rsid w:val="38184717"/>
    <w:rsid w:val="382B5607"/>
    <w:rsid w:val="38674496"/>
    <w:rsid w:val="388353C4"/>
    <w:rsid w:val="389C6EEF"/>
    <w:rsid w:val="39162FC5"/>
    <w:rsid w:val="394D348F"/>
    <w:rsid w:val="39935037"/>
    <w:rsid w:val="39A551A2"/>
    <w:rsid w:val="3A013124"/>
    <w:rsid w:val="3A170794"/>
    <w:rsid w:val="3A5307BE"/>
    <w:rsid w:val="3A7A5374"/>
    <w:rsid w:val="3BEB0739"/>
    <w:rsid w:val="3C0E0A94"/>
    <w:rsid w:val="3C0F6516"/>
    <w:rsid w:val="3C39673C"/>
    <w:rsid w:val="3C477FA0"/>
    <w:rsid w:val="3C917532"/>
    <w:rsid w:val="3CA803D8"/>
    <w:rsid w:val="3CB241E5"/>
    <w:rsid w:val="3CF4483B"/>
    <w:rsid w:val="3CFD6EE4"/>
    <w:rsid w:val="3D147DB0"/>
    <w:rsid w:val="3D697A4C"/>
    <w:rsid w:val="3D96639A"/>
    <w:rsid w:val="3DA82DB4"/>
    <w:rsid w:val="3DAA1B3A"/>
    <w:rsid w:val="3DE033C1"/>
    <w:rsid w:val="3E3B2DFE"/>
    <w:rsid w:val="3E4203B8"/>
    <w:rsid w:val="3E444CAE"/>
    <w:rsid w:val="3E886713"/>
    <w:rsid w:val="3EB84E75"/>
    <w:rsid w:val="3EF10E76"/>
    <w:rsid w:val="3FD11023"/>
    <w:rsid w:val="3FF539E8"/>
    <w:rsid w:val="3FF81676"/>
    <w:rsid w:val="403F4FF6"/>
    <w:rsid w:val="40422FEA"/>
    <w:rsid w:val="404F6147"/>
    <w:rsid w:val="40632F94"/>
    <w:rsid w:val="40CE4185"/>
    <w:rsid w:val="41083B3B"/>
    <w:rsid w:val="41112F81"/>
    <w:rsid w:val="41265D6F"/>
    <w:rsid w:val="41382CD2"/>
    <w:rsid w:val="4203038A"/>
    <w:rsid w:val="42983232"/>
    <w:rsid w:val="42C83C33"/>
    <w:rsid w:val="4300292E"/>
    <w:rsid w:val="43384C18"/>
    <w:rsid w:val="43B53C93"/>
    <w:rsid w:val="43C5363E"/>
    <w:rsid w:val="43F6411F"/>
    <w:rsid w:val="44411D91"/>
    <w:rsid w:val="44BA6EB9"/>
    <w:rsid w:val="44E14775"/>
    <w:rsid w:val="451C67E4"/>
    <w:rsid w:val="453E57AF"/>
    <w:rsid w:val="45441531"/>
    <w:rsid w:val="4558406B"/>
    <w:rsid w:val="45F61354"/>
    <w:rsid w:val="46C73C2B"/>
    <w:rsid w:val="46D467C4"/>
    <w:rsid w:val="476F277A"/>
    <w:rsid w:val="47827E53"/>
    <w:rsid w:val="47E35188"/>
    <w:rsid w:val="482360E6"/>
    <w:rsid w:val="48335942"/>
    <w:rsid w:val="48873801"/>
    <w:rsid w:val="48A159BF"/>
    <w:rsid w:val="48F25A48"/>
    <w:rsid w:val="492210AD"/>
    <w:rsid w:val="496322F6"/>
    <w:rsid w:val="49935F6C"/>
    <w:rsid w:val="49BE123B"/>
    <w:rsid w:val="49D7054F"/>
    <w:rsid w:val="4AB30C91"/>
    <w:rsid w:val="4ABC3301"/>
    <w:rsid w:val="4B267AD8"/>
    <w:rsid w:val="4B2C6678"/>
    <w:rsid w:val="4B5560B5"/>
    <w:rsid w:val="4B573A2A"/>
    <w:rsid w:val="4B5771CC"/>
    <w:rsid w:val="4B6068B8"/>
    <w:rsid w:val="4C503C62"/>
    <w:rsid w:val="4C5C4830"/>
    <w:rsid w:val="4CE7543A"/>
    <w:rsid w:val="4D137AF0"/>
    <w:rsid w:val="4E4A5ABA"/>
    <w:rsid w:val="4EAD157E"/>
    <w:rsid w:val="4ED23851"/>
    <w:rsid w:val="4EEA5B05"/>
    <w:rsid w:val="4F8C6B6C"/>
    <w:rsid w:val="50CB6E8F"/>
    <w:rsid w:val="51B82A14"/>
    <w:rsid w:val="51C55131"/>
    <w:rsid w:val="51CC1440"/>
    <w:rsid w:val="51E45789"/>
    <w:rsid w:val="521F5647"/>
    <w:rsid w:val="522C275E"/>
    <w:rsid w:val="524A4696"/>
    <w:rsid w:val="5253261E"/>
    <w:rsid w:val="5283536B"/>
    <w:rsid w:val="533A6D1A"/>
    <w:rsid w:val="534E1882"/>
    <w:rsid w:val="539815F9"/>
    <w:rsid w:val="53A616BE"/>
    <w:rsid w:val="53D64F3E"/>
    <w:rsid w:val="547E562E"/>
    <w:rsid w:val="54964F68"/>
    <w:rsid w:val="554716F7"/>
    <w:rsid w:val="5563538C"/>
    <w:rsid w:val="56A30136"/>
    <w:rsid w:val="56AF6ADB"/>
    <w:rsid w:val="56B45E9F"/>
    <w:rsid w:val="56B85264"/>
    <w:rsid w:val="56D51C18"/>
    <w:rsid w:val="572000DB"/>
    <w:rsid w:val="576C7E13"/>
    <w:rsid w:val="57A255B7"/>
    <w:rsid w:val="58A170ED"/>
    <w:rsid w:val="58A62893"/>
    <w:rsid w:val="58D20C25"/>
    <w:rsid w:val="58EB7C76"/>
    <w:rsid w:val="59230219"/>
    <w:rsid w:val="59926803"/>
    <w:rsid w:val="59C265B8"/>
    <w:rsid w:val="59CB3F35"/>
    <w:rsid w:val="5A6C1A70"/>
    <w:rsid w:val="5A802C08"/>
    <w:rsid w:val="5A8F2964"/>
    <w:rsid w:val="5AA55DD2"/>
    <w:rsid w:val="5B283A74"/>
    <w:rsid w:val="5B413A9D"/>
    <w:rsid w:val="5B417F1E"/>
    <w:rsid w:val="5B4B66A7"/>
    <w:rsid w:val="5BA16563"/>
    <w:rsid w:val="5BBF2BB4"/>
    <w:rsid w:val="5C0E1115"/>
    <w:rsid w:val="5C734107"/>
    <w:rsid w:val="5CA802DB"/>
    <w:rsid w:val="5D0354EB"/>
    <w:rsid w:val="5D041203"/>
    <w:rsid w:val="5D071991"/>
    <w:rsid w:val="5D0E70DE"/>
    <w:rsid w:val="5D2E6FEF"/>
    <w:rsid w:val="5D6D694B"/>
    <w:rsid w:val="5DE74DAC"/>
    <w:rsid w:val="5E105162"/>
    <w:rsid w:val="5E311DF6"/>
    <w:rsid w:val="5E7C551A"/>
    <w:rsid w:val="5ED13367"/>
    <w:rsid w:val="5EF03290"/>
    <w:rsid w:val="5EFF6126"/>
    <w:rsid w:val="5F1119B5"/>
    <w:rsid w:val="5F350385"/>
    <w:rsid w:val="5F48707B"/>
    <w:rsid w:val="5F616DDA"/>
    <w:rsid w:val="5F72704C"/>
    <w:rsid w:val="5FB011CE"/>
    <w:rsid w:val="60383AB4"/>
    <w:rsid w:val="605129B1"/>
    <w:rsid w:val="606049A2"/>
    <w:rsid w:val="60652484"/>
    <w:rsid w:val="6065451E"/>
    <w:rsid w:val="606E3563"/>
    <w:rsid w:val="60E24E81"/>
    <w:rsid w:val="611A3963"/>
    <w:rsid w:val="61241E74"/>
    <w:rsid w:val="61490551"/>
    <w:rsid w:val="62091C34"/>
    <w:rsid w:val="622838DF"/>
    <w:rsid w:val="62432C56"/>
    <w:rsid w:val="62C236F2"/>
    <w:rsid w:val="630901A6"/>
    <w:rsid w:val="630E06E5"/>
    <w:rsid w:val="633B5F5A"/>
    <w:rsid w:val="637649BB"/>
    <w:rsid w:val="638379D3"/>
    <w:rsid w:val="63B119F7"/>
    <w:rsid w:val="643A3D64"/>
    <w:rsid w:val="644C3BBB"/>
    <w:rsid w:val="64B82FFF"/>
    <w:rsid w:val="653A4DD6"/>
    <w:rsid w:val="6584508A"/>
    <w:rsid w:val="65C545E4"/>
    <w:rsid w:val="665E2C03"/>
    <w:rsid w:val="66BB1946"/>
    <w:rsid w:val="66BE3096"/>
    <w:rsid w:val="6737580D"/>
    <w:rsid w:val="67BA52E0"/>
    <w:rsid w:val="68DE7374"/>
    <w:rsid w:val="6942558D"/>
    <w:rsid w:val="69E421A0"/>
    <w:rsid w:val="6A702CCD"/>
    <w:rsid w:val="6A864BB9"/>
    <w:rsid w:val="6AC47E99"/>
    <w:rsid w:val="6AD235BB"/>
    <w:rsid w:val="6B6D0AD4"/>
    <w:rsid w:val="6C332DE8"/>
    <w:rsid w:val="6C4559DE"/>
    <w:rsid w:val="6C72227A"/>
    <w:rsid w:val="6CAC5D33"/>
    <w:rsid w:val="6CE2561C"/>
    <w:rsid w:val="6D441332"/>
    <w:rsid w:val="6DDA57A8"/>
    <w:rsid w:val="6DF10A34"/>
    <w:rsid w:val="6E972360"/>
    <w:rsid w:val="6F21584E"/>
    <w:rsid w:val="6F5E0C47"/>
    <w:rsid w:val="6FB73958"/>
    <w:rsid w:val="6FD57617"/>
    <w:rsid w:val="700C3CDF"/>
    <w:rsid w:val="701557A9"/>
    <w:rsid w:val="704B4AC8"/>
    <w:rsid w:val="70754860"/>
    <w:rsid w:val="715B3540"/>
    <w:rsid w:val="71810C1C"/>
    <w:rsid w:val="718F3339"/>
    <w:rsid w:val="71F73492"/>
    <w:rsid w:val="721538B8"/>
    <w:rsid w:val="72254CAF"/>
    <w:rsid w:val="72817F64"/>
    <w:rsid w:val="72972F57"/>
    <w:rsid w:val="729F171C"/>
    <w:rsid w:val="72BB0F00"/>
    <w:rsid w:val="72CA55A7"/>
    <w:rsid w:val="72F53670"/>
    <w:rsid w:val="72FA159E"/>
    <w:rsid w:val="72FF3793"/>
    <w:rsid w:val="730447D1"/>
    <w:rsid w:val="743074D6"/>
    <w:rsid w:val="7438477F"/>
    <w:rsid w:val="74CF795A"/>
    <w:rsid w:val="756E2AF9"/>
    <w:rsid w:val="769C5AF2"/>
    <w:rsid w:val="76EF02B4"/>
    <w:rsid w:val="773363F4"/>
    <w:rsid w:val="773E6125"/>
    <w:rsid w:val="775E7EDD"/>
    <w:rsid w:val="778922AD"/>
    <w:rsid w:val="77B75398"/>
    <w:rsid w:val="78782D79"/>
    <w:rsid w:val="788F4CD8"/>
    <w:rsid w:val="78B418D7"/>
    <w:rsid w:val="790F0AA9"/>
    <w:rsid w:val="792132A4"/>
    <w:rsid w:val="7951412E"/>
    <w:rsid w:val="7954153F"/>
    <w:rsid w:val="796565C2"/>
    <w:rsid w:val="797521F3"/>
    <w:rsid w:val="797A20BA"/>
    <w:rsid w:val="797C0A1E"/>
    <w:rsid w:val="79A32037"/>
    <w:rsid w:val="7A550667"/>
    <w:rsid w:val="7A6A0DAE"/>
    <w:rsid w:val="7A9760A5"/>
    <w:rsid w:val="7A9D38D3"/>
    <w:rsid w:val="7A9E2E9A"/>
    <w:rsid w:val="7AE510A1"/>
    <w:rsid w:val="7B1D7C08"/>
    <w:rsid w:val="7B2F5245"/>
    <w:rsid w:val="7BFA3AA5"/>
    <w:rsid w:val="7CDB23BA"/>
    <w:rsid w:val="7CDF6D68"/>
    <w:rsid w:val="7CE7255D"/>
    <w:rsid w:val="7CF47890"/>
    <w:rsid w:val="7D003324"/>
    <w:rsid w:val="7DB73FDB"/>
    <w:rsid w:val="7DF439AA"/>
    <w:rsid w:val="7E955374"/>
    <w:rsid w:val="7E991353"/>
    <w:rsid w:val="7EC95773"/>
    <w:rsid w:val="7F64148E"/>
    <w:rsid w:val="7FC16AFE"/>
    <w:rsid w:val="7FF18F6D"/>
    <w:rsid w:val="7FFA06C9"/>
    <w:rsid w:val="F7641C24"/>
    <w:rsid w:val="F7FEDF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qFormat="1" w:unhideWhenUsed="0" w:uiPriority="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7"/>
    <w:qFormat/>
    <w:uiPriority w:val="0"/>
    <w:pPr>
      <w:keepNext/>
      <w:keepLines/>
      <w:numPr>
        <w:ilvl w:val="0"/>
        <w:numId w:val="1"/>
      </w:numPr>
      <w:snapToGrid w:val="0"/>
      <w:spacing w:before="312" w:beforeLines="100" w:line="360" w:lineRule="auto"/>
      <w:outlineLvl w:val="0"/>
    </w:pPr>
    <w:rPr>
      <w:rFonts w:ascii="宋体"/>
      <w:b/>
      <w:bCs/>
      <w:kern w:val="44"/>
      <w:szCs w:val="21"/>
    </w:rPr>
  </w:style>
  <w:style w:type="paragraph" w:styleId="3">
    <w:name w:val="heading 2"/>
    <w:basedOn w:val="1"/>
    <w:next w:val="1"/>
    <w:link w:val="93"/>
    <w:qFormat/>
    <w:uiPriority w:val="0"/>
    <w:pPr>
      <w:keepLines/>
      <w:numPr>
        <w:ilvl w:val="1"/>
        <w:numId w:val="1"/>
      </w:numPr>
      <w:adjustRightInd w:val="0"/>
      <w:snapToGrid w:val="0"/>
      <w:spacing w:line="360" w:lineRule="auto"/>
      <w:outlineLvl w:val="1"/>
    </w:pPr>
    <w:rPr>
      <w:rFonts w:ascii="宋体"/>
      <w:bCs/>
      <w:szCs w:val="21"/>
    </w:rPr>
  </w:style>
  <w:style w:type="paragraph" w:styleId="4">
    <w:name w:val="heading 3"/>
    <w:basedOn w:val="1"/>
    <w:next w:val="1"/>
    <w:qFormat/>
    <w:uiPriority w:val="0"/>
    <w:pPr>
      <w:numPr>
        <w:ilvl w:val="2"/>
        <w:numId w:val="1"/>
      </w:numPr>
      <w:tabs>
        <w:tab w:val="left" w:pos="1560"/>
      </w:tabs>
      <w:snapToGrid w:val="0"/>
      <w:spacing w:line="360" w:lineRule="auto"/>
      <w:outlineLvl w:val="2"/>
    </w:pPr>
    <w:rPr>
      <w:rFonts w:ascii="宋体"/>
      <w:bCs/>
      <w:szCs w:val="21"/>
    </w:rPr>
  </w:style>
  <w:style w:type="paragraph" w:styleId="5">
    <w:name w:val="heading 4"/>
    <w:basedOn w:val="1"/>
    <w:next w:val="1"/>
    <w:link w:val="38"/>
    <w:qFormat/>
    <w:uiPriority w:val="0"/>
    <w:pPr>
      <w:spacing w:line="360" w:lineRule="auto"/>
      <w:outlineLvl w:val="3"/>
    </w:pPr>
    <w:rPr>
      <w:rFonts w:ascii="宋体"/>
      <w:bCs/>
      <w:szCs w:val="21"/>
    </w:rPr>
  </w:style>
  <w:style w:type="paragraph" w:styleId="6">
    <w:name w:val="heading 5"/>
    <w:basedOn w:val="1"/>
    <w:next w:val="1"/>
    <w:link w:val="39"/>
    <w:qFormat/>
    <w:uiPriority w:val="0"/>
    <w:pPr>
      <w:keepNext/>
      <w:keepLines/>
      <w:numPr>
        <w:ilvl w:val="4"/>
        <w:numId w:val="2"/>
      </w:numPr>
      <w:adjustRightInd w:val="0"/>
      <w:spacing w:line="360" w:lineRule="auto"/>
      <w:ind w:right="100" w:rightChars="100"/>
      <w:textAlignment w:val="baseline"/>
      <w:outlineLvl w:val="4"/>
    </w:pPr>
    <w:rPr>
      <w:rFonts w:cs="宋体"/>
      <w:bCs/>
      <w:kern w:val="0"/>
      <w:szCs w:val="21"/>
    </w:rPr>
  </w:style>
  <w:style w:type="paragraph" w:styleId="7">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qFormat/>
    <w:uiPriority w:val="0"/>
    <w:pPr>
      <w:keepNext/>
      <w:keepLines/>
      <w:spacing w:before="240" w:after="64" w:line="320" w:lineRule="auto"/>
      <w:outlineLvl w:val="6"/>
    </w:pPr>
    <w:rPr>
      <w:b/>
      <w:bCs/>
      <w:sz w:val="24"/>
    </w:rPr>
  </w:style>
  <w:style w:type="paragraph" w:styleId="9">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30">
    <w:name w:val="Default Paragraph Font"/>
    <w:unhideWhenUsed/>
    <w:qFormat/>
    <w:uiPriority w:val="1"/>
  </w:style>
  <w:style w:type="table" w:default="1" w:styleId="28">
    <w:name w:val="Normal Table"/>
    <w:unhideWhenUsed/>
    <w:qFormat/>
    <w:uiPriority w:val="99"/>
    <w:tblPr>
      <w:tblCellMar>
        <w:top w:w="0" w:type="dxa"/>
        <w:left w:w="108" w:type="dxa"/>
        <w:bottom w:w="0" w:type="dxa"/>
        <w:right w:w="108" w:type="dxa"/>
      </w:tblCellMar>
    </w:tblPr>
  </w:style>
  <w:style w:type="paragraph" w:styleId="11">
    <w:name w:val="Normal Indent"/>
    <w:basedOn w:val="1"/>
    <w:next w:val="12"/>
    <w:link w:val="46"/>
    <w:qFormat/>
    <w:uiPriority w:val="0"/>
    <w:pPr>
      <w:spacing w:line="360" w:lineRule="auto"/>
      <w:ind w:firstLine="420" w:firstLineChars="200"/>
    </w:pPr>
  </w:style>
  <w:style w:type="paragraph" w:styleId="12">
    <w:name w:val="Body Text"/>
    <w:basedOn w:val="1"/>
    <w:qFormat/>
    <w:uiPriority w:val="0"/>
    <w:pPr>
      <w:spacing w:after="120"/>
    </w:pPr>
  </w:style>
  <w:style w:type="paragraph" w:styleId="13">
    <w:name w:val="Document Map"/>
    <w:basedOn w:val="1"/>
    <w:semiHidden/>
    <w:qFormat/>
    <w:uiPriority w:val="0"/>
    <w:pPr>
      <w:shd w:val="clear" w:color="auto" w:fill="000080"/>
    </w:pPr>
  </w:style>
  <w:style w:type="paragraph" w:styleId="14">
    <w:name w:val="annotation text"/>
    <w:basedOn w:val="1"/>
    <w:semiHidden/>
    <w:qFormat/>
    <w:uiPriority w:val="0"/>
    <w:pPr>
      <w:jc w:val="left"/>
    </w:pPr>
  </w:style>
  <w:style w:type="paragraph" w:styleId="15">
    <w:name w:val="toc 3"/>
    <w:basedOn w:val="1"/>
    <w:next w:val="1"/>
    <w:semiHidden/>
    <w:qFormat/>
    <w:uiPriority w:val="0"/>
    <w:pPr>
      <w:tabs>
        <w:tab w:val="left" w:pos="1620"/>
        <w:tab w:val="right" w:leader="dot" w:pos="8296"/>
      </w:tabs>
    </w:pPr>
  </w:style>
  <w:style w:type="paragraph" w:styleId="16">
    <w:name w:val="Plain Text"/>
    <w:basedOn w:val="1"/>
    <w:link w:val="79"/>
    <w:qFormat/>
    <w:uiPriority w:val="0"/>
    <w:rPr>
      <w:rFonts w:ascii="宋体" w:hAnsi="Courier New"/>
    </w:rPr>
  </w:style>
  <w:style w:type="paragraph" w:styleId="17">
    <w:name w:val="Body Text Indent 2"/>
    <w:basedOn w:val="1"/>
    <w:qFormat/>
    <w:uiPriority w:val="0"/>
    <w:pPr>
      <w:adjustRightInd w:val="0"/>
      <w:spacing w:before="120" w:line="300" w:lineRule="auto"/>
      <w:ind w:firstLine="480"/>
      <w:jc w:val="left"/>
      <w:textAlignment w:val="baseline"/>
    </w:pPr>
    <w:rPr>
      <w:rFonts w:eastAsia="仿宋_GB2312"/>
      <w:kern w:val="0"/>
      <w:sz w:val="28"/>
      <w:szCs w:val="20"/>
    </w:rPr>
  </w:style>
  <w:style w:type="paragraph" w:styleId="18">
    <w:name w:val="Balloon Text"/>
    <w:basedOn w:val="1"/>
    <w:semiHidden/>
    <w:qFormat/>
    <w:uiPriority w:val="0"/>
    <w:rPr>
      <w:sz w:val="18"/>
      <w:szCs w:val="18"/>
    </w:rPr>
  </w:style>
  <w:style w:type="paragraph" w:styleId="19">
    <w:name w:val="footer"/>
    <w:basedOn w:val="1"/>
    <w:link w:val="51"/>
    <w:qFormat/>
    <w:uiPriority w:val="0"/>
    <w:pPr>
      <w:tabs>
        <w:tab w:val="center" w:pos="4153"/>
        <w:tab w:val="right" w:pos="8306"/>
      </w:tabs>
      <w:snapToGrid w:val="0"/>
      <w:jc w:val="left"/>
    </w:pPr>
    <w:rPr>
      <w:sz w:val="18"/>
      <w:szCs w:val="18"/>
    </w:rPr>
  </w:style>
  <w:style w:type="paragraph" w:styleId="2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jc w:val="left"/>
    </w:pPr>
    <w:rPr>
      <w:b/>
      <w:bCs/>
      <w:caps/>
      <w:sz w:val="20"/>
      <w:szCs w:val="20"/>
    </w:rPr>
  </w:style>
  <w:style w:type="paragraph" w:styleId="22">
    <w:name w:val="toc 4"/>
    <w:basedOn w:val="1"/>
    <w:next w:val="1"/>
    <w:semiHidden/>
    <w:qFormat/>
    <w:uiPriority w:val="0"/>
    <w:pPr>
      <w:ind w:left="1260" w:leftChars="600"/>
    </w:pPr>
  </w:style>
  <w:style w:type="paragraph" w:styleId="23">
    <w:name w:val="toc 2"/>
    <w:basedOn w:val="1"/>
    <w:next w:val="1"/>
    <w:qFormat/>
    <w:uiPriority w:val="39"/>
    <w:pPr>
      <w:tabs>
        <w:tab w:val="left" w:pos="900"/>
        <w:tab w:val="right" w:leader="dot" w:pos="8296"/>
      </w:tabs>
      <w:ind w:left="420" w:leftChars="200"/>
    </w:pPr>
  </w:style>
  <w:style w:type="paragraph" w:styleId="24">
    <w:name w:val="Body Text 2"/>
    <w:basedOn w:val="1"/>
    <w:qFormat/>
    <w:uiPriority w:val="0"/>
    <w:pPr>
      <w:spacing w:after="120" w:afterLines="0" w:afterAutospacing="0" w:line="480" w:lineRule="auto"/>
    </w:pPr>
    <w:rPr>
      <w:kern w:val="0"/>
      <w:sz w:val="20"/>
    </w:rPr>
  </w:style>
  <w:style w:type="paragraph" w:styleId="25">
    <w:name w:val="Normal (Web)"/>
    <w:basedOn w:val="1"/>
    <w:qFormat/>
    <w:uiPriority w:val="0"/>
    <w:rPr>
      <w:sz w:val="24"/>
    </w:rPr>
  </w:style>
  <w:style w:type="paragraph" w:styleId="26">
    <w:name w:val="Title"/>
    <w:basedOn w:val="1"/>
    <w:next w:val="1"/>
    <w:qFormat/>
    <w:uiPriority w:val="0"/>
    <w:pPr>
      <w:spacing w:before="240" w:after="60"/>
      <w:jc w:val="center"/>
      <w:outlineLvl w:val="0"/>
    </w:pPr>
    <w:rPr>
      <w:rFonts w:ascii="Arial" w:hAnsi="Arial" w:cs="Arial"/>
      <w:b/>
      <w:bCs/>
      <w:sz w:val="32"/>
      <w:szCs w:val="32"/>
    </w:rPr>
  </w:style>
  <w:style w:type="paragraph" w:styleId="27">
    <w:name w:val="annotation subject"/>
    <w:basedOn w:val="14"/>
    <w:next w:val="14"/>
    <w:semiHidden/>
    <w:qFormat/>
    <w:uiPriority w:val="0"/>
    <w:rPr>
      <w:b/>
      <w:bCs/>
    </w:r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page number"/>
    <w:basedOn w:val="30"/>
    <w:qFormat/>
    <w:uiPriority w:val="0"/>
  </w:style>
  <w:style w:type="character" w:styleId="32">
    <w:name w:val="FollowedHyperlink"/>
    <w:qFormat/>
    <w:uiPriority w:val="0"/>
    <w:rPr>
      <w:color w:val="800080"/>
      <w:u w:val="single"/>
    </w:rPr>
  </w:style>
  <w:style w:type="character" w:styleId="33">
    <w:name w:val="Emphasis"/>
    <w:qFormat/>
    <w:uiPriority w:val="0"/>
    <w:rPr>
      <w:color w:val="CC0000"/>
    </w:rPr>
  </w:style>
  <w:style w:type="character" w:styleId="34">
    <w:name w:val="HTML Definition"/>
    <w:semiHidden/>
    <w:qFormat/>
    <w:uiPriority w:val="0"/>
    <w:rPr>
      <w:i/>
      <w:iCs/>
    </w:rPr>
  </w:style>
  <w:style w:type="character" w:styleId="35">
    <w:name w:val="Hyperlink"/>
    <w:qFormat/>
    <w:uiPriority w:val="99"/>
    <w:rPr>
      <w:color w:val="0000FF"/>
      <w:u w:val="single"/>
    </w:rPr>
  </w:style>
  <w:style w:type="character" w:styleId="36">
    <w:name w:val="annotation reference"/>
    <w:semiHidden/>
    <w:qFormat/>
    <w:uiPriority w:val="0"/>
    <w:rPr>
      <w:sz w:val="21"/>
      <w:szCs w:val="21"/>
    </w:rPr>
  </w:style>
  <w:style w:type="character" w:customStyle="1" w:styleId="37">
    <w:name w:val="标题 1 Char"/>
    <w:link w:val="2"/>
    <w:qFormat/>
    <w:uiPriority w:val="0"/>
    <w:rPr>
      <w:rFonts w:ascii="宋体"/>
      <w:b/>
      <w:bCs/>
      <w:kern w:val="44"/>
      <w:sz w:val="21"/>
      <w:szCs w:val="21"/>
    </w:rPr>
  </w:style>
  <w:style w:type="character" w:customStyle="1" w:styleId="38">
    <w:name w:val="标题 4 Char"/>
    <w:link w:val="5"/>
    <w:qFormat/>
    <w:uiPriority w:val="0"/>
    <w:rPr>
      <w:rFonts w:ascii="宋体" w:eastAsia="宋体"/>
      <w:bCs/>
      <w:kern w:val="2"/>
      <w:sz w:val="21"/>
      <w:szCs w:val="21"/>
      <w:lang w:val="en-US" w:eastAsia="zh-CN" w:bidi="ar-SA"/>
    </w:rPr>
  </w:style>
  <w:style w:type="character" w:customStyle="1" w:styleId="39">
    <w:name w:val="标题 5 Char"/>
    <w:link w:val="6"/>
    <w:qFormat/>
    <w:uiPriority w:val="0"/>
    <w:rPr>
      <w:rFonts w:cs="宋体"/>
      <w:bCs/>
      <w:sz w:val="21"/>
      <w:szCs w:val="21"/>
    </w:rPr>
  </w:style>
  <w:style w:type="character" w:customStyle="1" w:styleId="40">
    <w:name w:val="首行缩进 Char"/>
    <w:link w:val="41"/>
    <w:qFormat/>
    <w:uiPriority w:val="0"/>
    <w:rPr>
      <w:rFonts w:eastAsia="方正书宋简体" w:cs="宋体"/>
      <w:kern w:val="2"/>
      <w:sz w:val="21"/>
      <w:lang w:val="en-US" w:eastAsia="zh-CN" w:bidi="ar-SA"/>
    </w:rPr>
  </w:style>
  <w:style w:type="paragraph" w:customStyle="1" w:styleId="41">
    <w:name w:val="首行缩进"/>
    <w:basedOn w:val="1"/>
    <w:link w:val="40"/>
    <w:qFormat/>
    <w:uiPriority w:val="0"/>
    <w:pPr>
      <w:spacing w:line="300" w:lineRule="auto"/>
      <w:ind w:firstLine="420" w:firstLineChars="200"/>
    </w:pPr>
    <w:rPr>
      <w:rFonts w:eastAsia="方正书宋简体" w:cs="宋体"/>
      <w:szCs w:val="20"/>
    </w:rPr>
  </w:style>
  <w:style w:type="character" w:customStyle="1" w:styleId="42">
    <w:name w:val="表内居中小五 Char"/>
    <w:link w:val="43"/>
    <w:qFormat/>
    <w:uiPriority w:val="0"/>
    <w:rPr>
      <w:rFonts w:eastAsia="宋体" w:cs="宋体"/>
      <w:kern w:val="2"/>
      <w:sz w:val="18"/>
      <w:szCs w:val="18"/>
      <w:lang w:val="en-US" w:eastAsia="zh-CN" w:bidi="ar-SA"/>
    </w:rPr>
  </w:style>
  <w:style w:type="paragraph" w:customStyle="1" w:styleId="43">
    <w:name w:val="表内居中小五"/>
    <w:basedOn w:val="1"/>
    <w:link w:val="42"/>
    <w:qFormat/>
    <w:uiPriority w:val="0"/>
    <w:pPr>
      <w:jc w:val="center"/>
    </w:pPr>
    <w:rPr>
      <w:rFonts w:cs="宋体"/>
      <w:sz w:val="18"/>
      <w:szCs w:val="18"/>
    </w:rPr>
  </w:style>
  <w:style w:type="character" w:customStyle="1" w:styleId="44">
    <w:name w:val="表内居两端对齐 Char"/>
    <w:basedOn w:val="42"/>
    <w:link w:val="45"/>
    <w:qFormat/>
    <w:uiPriority w:val="0"/>
    <w:rPr>
      <w:rFonts w:eastAsia="宋体" w:cs="宋体"/>
      <w:kern w:val="2"/>
      <w:sz w:val="18"/>
      <w:szCs w:val="18"/>
      <w:lang w:val="en-US" w:eastAsia="zh-CN" w:bidi="ar-SA"/>
    </w:rPr>
  </w:style>
  <w:style w:type="paragraph" w:customStyle="1" w:styleId="45">
    <w:name w:val="表内居两端对齐"/>
    <w:basedOn w:val="43"/>
    <w:link w:val="44"/>
    <w:qFormat/>
    <w:uiPriority w:val="0"/>
    <w:pPr>
      <w:jc w:val="both"/>
    </w:pPr>
  </w:style>
  <w:style w:type="character" w:customStyle="1" w:styleId="46">
    <w:name w:val="正文缩进 Char"/>
    <w:link w:val="11"/>
    <w:qFormat/>
    <w:uiPriority w:val="0"/>
    <w:rPr>
      <w:rFonts w:eastAsia="宋体"/>
      <w:kern w:val="2"/>
      <w:sz w:val="21"/>
      <w:szCs w:val="24"/>
      <w:lang w:val="en-US" w:eastAsia="zh-CN" w:bidi="ar-SA"/>
    </w:rPr>
  </w:style>
  <w:style w:type="paragraph" w:customStyle="1" w:styleId="47">
    <w:name w:val="样式 标题 3 + 宋体"/>
    <w:basedOn w:val="4"/>
    <w:link w:val="48"/>
    <w:qFormat/>
    <w:uiPriority w:val="0"/>
    <w:rPr>
      <w:rFonts w:hAnsi="宋体"/>
      <w:bCs w:val="0"/>
    </w:rPr>
  </w:style>
  <w:style w:type="character" w:customStyle="1" w:styleId="48">
    <w:name w:val="样式 标题 3 + 宋体 Char"/>
    <w:link w:val="47"/>
    <w:qFormat/>
    <w:uiPriority w:val="0"/>
    <w:rPr>
      <w:rFonts w:ascii="宋体" w:hAnsi="宋体"/>
      <w:kern w:val="2"/>
      <w:sz w:val="21"/>
      <w:szCs w:val="21"/>
    </w:rPr>
  </w:style>
  <w:style w:type="paragraph" w:customStyle="1" w:styleId="49">
    <w:name w:val="样式 标题 4 + (符号) 宋体"/>
    <w:basedOn w:val="5"/>
    <w:link w:val="50"/>
    <w:qFormat/>
    <w:uiPriority w:val="0"/>
    <w:pPr>
      <w:adjustRightInd w:val="0"/>
      <w:snapToGrid w:val="0"/>
    </w:pPr>
    <w:rPr>
      <w:bCs w:val="0"/>
    </w:rPr>
  </w:style>
  <w:style w:type="character" w:customStyle="1" w:styleId="50">
    <w:name w:val="样式 标题 4 + (符号) 宋体 Char"/>
    <w:basedOn w:val="38"/>
    <w:link w:val="49"/>
    <w:qFormat/>
    <w:uiPriority w:val="0"/>
    <w:rPr>
      <w:rFonts w:ascii="宋体" w:eastAsia="宋体"/>
      <w:kern w:val="2"/>
      <w:sz w:val="21"/>
      <w:szCs w:val="21"/>
      <w:lang w:val="en-US" w:eastAsia="zh-CN" w:bidi="ar-SA"/>
    </w:rPr>
  </w:style>
  <w:style w:type="character" w:customStyle="1" w:styleId="51">
    <w:name w:val="页脚 Char"/>
    <w:link w:val="19"/>
    <w:qFormat/>
    <w:uiPriority w:val="0"/>
    <w:rPr>
      <w:rFonts w:eastAsia="宋体"/>
      <w:kern w:val="2"/>
      <w:sz w:val="18"/>
      <w:szCs w:val="18"/>
      <w:lang w:val="en-US" w:eastAsia="zh-CN" w:bidi="ar-SA"/>
    </w:rPr>
  </w:style>
  <w:style w:type="paragraph" w:customStyle="1" w:styleId="52">
    <w:name w:val="前言首行"/>
    <w:basedOn w:val="1"/>
    <w:qFormat/>
    <w:uiPriority w:val="0"/>
    <w:pPr>
      <w:spacing w:after="120"/>
      <w:jc w:val="center"/>
    </w:pPr>
    <w:rPr>
      <w:rFonts w:eastAsia="黑体" w:cs="宋体"/>
      <w:b/>
      <w:bCs/>
      <w:sz w:val="32"/>
      <w:szCs w:val="20"/>
    </w:rPr>
  </w:style>
  <w:style w:type="paragraph" w:customStyle="1" w:styleId="53">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5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5">
    <w:name w:val="样式1"/>
    <w:basedOn w:val="5"/>
    <w:qFormat/>
    <w:uiPriority w:val="0"/>
    <w:pPr>
      <w:numPr>
        <w:ilvl w:val="3"/>
        <w:numId w:val="1"/>
      </w:numPr>
      <w:tabs>
        <w:tab w:val="left" w:pos="360"/>
      </w:tabs>
    </w:pPr>
    <w:rPr>
      <w:rFonts w:hAnsi="宋体"/>
      <w:bCs w:val="0"/>
    </w:rPr>
  </w:style>
  <w:style w:type="paragraph" w:customStyle="1" w:styleId="56">
    <w:name w:val="样式 标题 5 + 右侧:  1 字符"/>
    <w:basedOn w:val="6"/>
    <w:qFormat/>
    <w:uiPriority w:val="0"/>
    <w:pPr>
      <w:ind w:right="210"/>
    </w:pPr>
    <w:rPr>
      <w:bCs w:val="0"/>
      <w:szCs w:val="20"/>
    </w:rPr>
  </w:style>
  <w:style w:type="paragraph" w:customStyle="1" w:styleId="57">
    <w:name w:val="Char"/>
    <w:basedOn w:val="1"/>
    <w:qFormat/>
    <w:uiPriority w:val="0"/>
    <w:pPr>
      <w:spacing w:line="360" w:lineRule="auto"/>
    </w:pPr>
    <w:rPr>
      <w:rFonts w:ascii="Tahoma" w:hAnsi="Tahoma"/>
      <w:sz w:val="24"/>
      <w:szCs w:val="20"/>
    </w:rPr>
  </w:style>
  <w:style w:type="paragraph" w:customStyle="1" w:styleId="58">
    <w:name w:val="Char Char Char Char Char Char Char Char Char Char Char Char"/>
    <w:basedOn w:val="1"/>
    <w:qFormat/>
    <w:uiPriority w:val="0"/>
    <w:pPr>
      <w:spacing w:line="360" w:lineRule="auto"/>
    </w:pPr>
    <w:rPr>
      <w:rFonts w:ascii="Tahoma" w:hAnsi="Tahoma"/>
      <w:sz w:val="24"/>
      <w:szCs w:val="20"/>
    </w:rPr>
  </w:style>
  <w:style w:type="paragraph" w:customStyle="1" w:styleId="59">
    <w:name w:val="章标题"/>
    <w:next w:val="53"/>
    <w:qFormat/>
    <w:uiPriority w:val="0"/>
    <w:pPr>
      <w:spacing w:before="50" w:beforeLines="50" w:after="50" w:afterLines="50"/>
      <w:jc w:val="both"/>
      <w:outlineLvl w:val="1"/>
    </w:pPr>
    <w:rPr>
      <w:rFonts w:ascii="黑体" w:hAnsi="Times New Roman" w:eastAsia="黑体" w:cs="Times New Roman"/>
      <w:sz w:val="21"/>
      <w:lang w:val="en-US" w:eastAsia="zh-CN" w:bidi="ar-SA"/>
    </w:rPr>
  </w:style>
  <w:style w:type="paragraph" w:customStyle="1" w:styleId="60">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61">
    <w:name w:val="二级条标题"/>
    <w:basedOn w:val="1"/>
    <w:next w:val="53"/>
    <w:link w:val="62"/>
    <w:qFormat/>
    <w:uiPriority w:val="0"/>
    <w:pPr>
      <w:widowControl/>
      <w:outlineLvl w:val="3"/>
    </w:pPr>
    <w:rPr>
      <w:rFonts w:ascii="黑体" w:eastAsia="黑体"/>
      <w:kern w:val="0"/>
      <w:szCs w:val="20"/>
    </w:rPr>
  </w:style>
  <w:style w:type="character" w:customStyle="1" w:styleId="62">
    <w:name w:val="二级条标题 Char"/>
    <w:link w:val="61"/>
    <w:qFormat/>
    <w:uiPriority w:val="0"/>
    <w:rPr>
      <w:rFonts w:ascii="黑体" w:eastAsia="黑体"/>
      <w:sz w:val="21"/>
      <w:lang w:val="en-US" w:eastAsia="zh-CN" w:bidi="ar-SA"/>
    </w:rPr>
  </w:style>
  <w:style w:type="paragraph" w:customStyle="1" w:styleId="63">
    <w:name w:val="正文表标题"/>
    <w:next w:val="53"/>
    <w:qFormat/>
    <w:uiPriority w:val="0"/>
    <w:pPr>
      <w:numPr>
        <w:ilvl w:val="0"/>
        <w:numId w:val="3"/>
      </w:numPr>
      <w:tabs>
        <w:tab w:val="left" w:pos="360"/>
      </w:tabs>
      <w:jc w:val="center"/>
    </w:pPr>
    <w:rPr>
      <w:rFonts w:ascii="黑体" w:hAnsi="Times New Roman" w:eastAsia="黑体" w:cs="Times New Roman"/>
      <w:sz w:val="21"/>
      <w:lang w:val="en-US" w:eastAsia="zh-CN" w:bidi="ar-SA"/>
    </w:rPr>
  </w:style>
  <w:style w:type="paragraph" w:customStyle="1" w:styleId="64">
    <w:name w:val="一级条标题"/>
    <w:basedOn w:val="59"/>
    <w:next w:val="53"/>
    <w:link w:val="65"/>
    <w:qFormat/>
    <w:uiPriority w:val="0"/>
    <w:pPr>
      <w:spacing w:before="0" w:beforeLines="0" w:after="0" w:afterLines="0"/>
      <w:outlineLvl w:val="2"/>
    </w:pPr>
  </w:style>
  <w:style w:type="character" w:customStyle="1" w:styleId="65">
    <w:name w:val="一级条标题 Char"/>
    <w:link w:val="64"/>
    <w:qFormat/>
    <w:uiPriority w:val="0"/>
    <w:rPr>
      <w:rFonts w:ascii="黑体" w:eastAsia="黑体"/>
      <w:sz w:val="21"/>
      <w:lang w:val="en-US" w:eastAsia="zh-CN" w:bidi="ar-SA"/>
    </w:rPr>
  </w:style>
  <w:style w:type="paragraph" w:customStyle="1" w:styleId="66">
    <w:name w:val="三级条标题"/>
    <w:basedOn w:val="61"/>
    <w:next w:val="53"/>
    <w:qFormat/>
    <w:uiPriority w:val="0"/>
    <w:pPr>
      <w:numPr>
        <w:ilvl w:val="4"/>
        <w:numId w:val="4"/>
      </w:numPr>
      <w:tabs>
        <w:tab w:val="left" w:pos="360"/>
      </w:tabs>
      <w:outlineLvl w:val="4"/>
    </w:pPr>
  </w:style>
  <w:style w:type="paragraph" w:customStyle="1" w:styleId="67">
    <w:name w:val="五级条标题"/>
    <w:basedOn w:val="1"/>
    <w:next w:val="53"/>
    <w:qFormat/>
    <w:uiPriority w:val="0"/>
    <w:pPr>
      <w:widowControl/>
      <w:outlineLvl w:val="6"/>
    </w:pPr>
    <w:rPr>
      <w:rFonts w:ascii="黑体" w:eastAsia="黑体"/>
      <w:kern w:val="0"/>
      <w:szCs w:val="20"/>
    </w:rPr>
  </w:style>
  <w:style w:type="paragraph" w:customStyle="1" w:styleId="68">
    <w:name w:val="CM5"/>
    <w:basedOn w:val="54"/>
    <w:next w:val="54"/>
    <w:qFormat/>
    <w:uiPriority w:val="0"/>
    <w:pPr>
      <w:spacing w:line="471" w:lineRule="atLeast"/>
    </w:pPr>
    <w:rPr>
      <w:rFonts w:ascii="黑体" w:eastAsia="黑体" w:cs="Times New Roman"/>
      <w:color w:val="auto"/>
    </w:rPr>
  </w:style>
  <w:style w:type="paragraph" w:customStyle="1" w:styleId="69">
    <w:name w:val="CM3"/>
    <w:basedOn w:val="54"/>
    <w:next w:val="54"/>
    <w:qFormat/>
    <w:uiPriority w:val="0"/>
    <w:pPr>
      <w:spacing w:line="468" w:lineRule="atLeast"/>
    </w:pPr>
    <w:rPr>
      <w:rFonts w:ascii="黑体" w:eastAsia="黑体" w:cs="Times New Roman"/>
      <w:color w:val="auto"/>
    </w:rPr>
  </w:style>
  <w:style w:type="paragraph" w:customStyle="1" w:styleId="70">
    <w:name w:val="CM33"/>
    <w:basedOn w:val="54"/>
    <w:next w:val="54"/>
    <w:qFormat/>
    <w:uiPriority w:val="0"/>
    <w:pPr>
      <w:spacing w:after="205"/>
    </w:pPr>
    <w:rPr>
      <w:rFonts w:ascii="黑体" w:eastAsia="黑体" w:cs="Times New Roman"/>
      <w:color w:val="auto"/>
    </w:rPr>
  </w:style>
  <w:style w:type="paragraph" w:customStyle="1" w:styleId="71">
    <w:name w:val="CM9"/>
    <w:basedOn w:val="54"/>
    <w:next w:val="54"/>
    <w:qFormat/>
    <w:uiPriority w:val="0"/>
    <w:pPr>
      <w:spacing w:line="468" w:lineRule="atLeast"/>
    </w:pPr>
    <w:rPr>
      <w:rFonts w:ascii="黑体" w:eastAsia="黑体" w:cs="Times New Roman"/>
      <w:color w:val="auto"/>
    </w:rPr>
  </w:style>
  <w:style w:type="paragraph" w:customStyle="1" w:styleId="72">
    <w:name w:val="CM10"/>
    <w:basedOn w:val="54"/>
    <w:next w:val="54"/>
    <w:qFormat/>
    <w:uiPriority w:val="0"/>
    <w:pPr>
      <w:spacing w:line="468" w:lineRule="atLeast"/>
    </w:pPr>
    <w:rPr>
      <w:rFonts w:ascii="黑体" w:eastAsia="黑体" w:cs="Times New Roman"/>
      <w:color w:val="auto"/>
    </w:rPr>
  </w:style>
  <w:style w:type="paragraph" w:customStyle="1" w:styleId="73">
    <w:name w:val="CM22"/>
    <w:basedOn w:val="54"/>
    <w:next w:val="54"/>
    <w:qFormat/>
    <w:uiPriority w:val="0"/>
    <w:pPr>
      <w:spacing w:line="468" w:lineRule="atLeast"/>
    </w:pPr>
    <w:rPr>
      <w:rFonts w:ascii="黑体" w:eastAsia="黑体" w:cs="Times New Roman"/>
      <w:color w:val="auto"/>
    </w:rPr>
  </w:style>
  <w:style w:type="paragraph" w:customStyle="1" w:styleId="74">
    <w:name w:val="CM23"/>
    <w:basedOn w:val="54"/>
    <w:next w:val="54"/>
    <w:qFormat/>
    <w:uiPriority w:val="0"/>
    <w:pPr>
      <w:spacing w:line="468" w:lineRule="atLeast"/>
    </w:pPr>
    <w:rPr>
      <w:rFonts w:ascii="黑体" w:eastAsia="黑体" w:cs="Times New Roman"/>
      <w:color w:val="auto"/>
    </w:rPr>
  </w:style>
  <w:style w:type="paragraph" w:customStyle="1" w:styleId="75">
    <w:name w:val="CM17"/>
    <w:basedOn w:val="54"/>
    <w:next w:val="54"/>
    <w:qFormat/>
    <w:uiPriority w:val="0"/>
    <w:pPr>
      <w:spacing w:line="468" w:lineRule="atLeast"/>
    </w:pPr>
    <w:rPr>
      <w:rFonts w:ascii="黑体" w:eastAsia="黑体" w:cs="Times New Roman"/>
      <w:color w:val="auto"/>
    </w:rPr>
  </w:style>
  <w:style w:type="paragraph" w:customStyle="1" w:styleId="76">
    <w:name w:val="参考文献、索引标题"/>
    <w:basedOn w:val="1"/>
    <w:next w:val="1"/>
    <w:qFormat/>
    <w:uiPriority w:val="0"/>
    <w:pPr>
      <w:widowControl/>
      <w:shd w:val="clear" w:color="FFFFFF" w:fill="FFFFFF"/>
      <w:spacing w:before="640" w:after="200"/>
      <w:jc w:val="center"/>
      <w:outlineLvl w:val="0"/>
    </w:pPr>
    <w:rPr>
      <w:rFonts w:ascii="黑体" w:eastAsia="黑体"/>
      <w:kern w:val="0"/>
      <w:szCs w:val="20"/>
    </w:rPr>
  </w:style>
  <w:style w:type="paragraph" w:customStyle="1" w:styleId="77">
    <w:name w:val="前言、引言标题"/>
    <w:next w:val="1"/>
    <w:qFormat/>
    <w:uiPriority w:val="0"/>
    <w:pPr>
      <w:numPr>
        <w:ilvl w:val="0"/>
        <w:numId w:val="5"/>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78">
    <w:name w:val="四级条标题"/>
    <w:basedOn w:val="66"/>
    <w:next w:val="53"/>
    <w:qFormat/>
    <w:uiPriority w:val="0"/>
    <w:pPr>
      <w:numPr>
        <w:ilvl w:val="0"/>
        <w:numId w:val="0"/>
      </w:numPr>
      <w:outlineLvl w:val="5"/>
    </w:pPr>
  </w:style>
  <w:style w:type="character" w:customStyle="1" w:styleId="79">
    <w:name w:val="纯文本 Char"/>
    <w:link w:val="16"/>
    <w:qFormat/>
    <w:uiPriority w:val="0"/>
    <w:rPr>
      <w:rFonts w:ascii="宋体" w:hAnsi="Courier New" w:eastAsia="宋体"/>
      <w:kern w:val="2"/>
      <w:sz w:val="21"/>
      <w:szCs w:val="24"/>
      <w:lang w:val="en-US" w:eastAsia="zh-CN" w:bidi="ar-SA"/>
    </w:rPr>
  </w:style>
  <w:style w:type="paragraph" w:customStyle="1" w:styleId="80">
    <w:name w:val="标准书眉一"/>
    <w:qFormat/>
    <w:uiPriority w:val="0"/>
    <w:pPr>
      <w:jc w:val="both"/>
    </w:pPr>
    <w:rPr>
      <w:rFonts w:ascii="Times New Roman" w:hAnsi="Times New Roman" w:eastAsia="宋体" w:cs="Times New Roman"/>
      <w:lang w:val="en-US" w:eastAsia="zh-CN" w:bidi="ar-SA"/>
    </w:rPr>
  </w:style>
  <w:style w:type="paragraph" w:customStyle="1" w:styleId="81">
    <w:name w:val="其他发布部门"/>
    <w:basedOn w:val="1"/>
    <w:qFormat/>
    <w:uiPriority w:val="0"/>
    <w:pPr>
      <w:framePr w:w="7433" w:h="585" w:hRule="exact" w:hSpace="180" w:vSpace="180" w:wrap="around" w:vAnchor="margin" w:hAnchor="margin" w:xAlign="center" w:y="14401" w:anchorLock="1"/>
      <w:widowControl/>
      <w:spacing w:line="0" w:lineRule="atLeast"/>
      <w:jc w:val="center"/>
    </w:pPr>
    <w:rPr>
      <w:rFonts w:ascii="黑体" w:eastAsia="黑体"/>
      <w:spacing w:val="20"/>
      <w:w w:val="135"/>
      <w:kern w:val="0"/>
      <w:sz w:val="36"/>
      <w:szCs w:val="20"/>
    </w:rPr>
  </w:style>
  <w:style w:type="paragraph" w:customStyle="1" w:styleId="82">
    <w:name w:val="数字编号列项（二级）"/>
    <w:qFormat/>
    <w:uiPriority w:val="0"/>
    <w:pPr>
      <w:jc w:val="both"/>
    </w:pPr>
    <w:rPr>
      <w:rFonts w:ascii="宋体" w:hAnsi="Times New Roman" w:eastAsia="宋体" w:cs="Times New Roman"/>
      <w:sz w:val="21"/>
      <w:lang w:val="en-US" w:eastAsia="zh-CN" w:bidi="ar-SA"/>
    </w:rPr>
  </w:style>
  <w:style w:type="paragraph" w:customStyle="1" w:styleId="83">
    <w:name w:val="无标题条"/>
    <w:next w:val="53"/>
    <w:qFormat/>
    <w:uiPriority w:val="0"/>
    <w:pPr>
      <w:jc w:val="both"/>
    </w:pPr>
    <w:rPr>
      <w:rFonts w:ascii="Times New Roman" w:hAnsi="Times New Roman" w:eastAsia="宋体" w:cs="Times New Roman"/>
      <w:sz w:val="21"/>
      <w:lang w:val="en-US" w:eastAsia="zh-CN" w:bidi="ar-SA"/>
    </w:rPr>
  </w:style>
  <w:style w:type="paragraph" w:customStyle="1" w:styleId="84">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85">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86">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87">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88">
    <w:name w:val="目次、标准名称标题"/>
    <w:basedOn w:val="77"/>
    <w:next w:val="53"/>
    <w:qFormat/>
    <w:uiPriority w:val="0"/>
    <w:pPr>
      <w:numPr>
        <w:numId w:val="0"/>
      </w:numPr>
      <w:tabs>
        <w:tab w:val="left" w:pos="1140"/>
      </w:tabs>
      <w:spacing w:line="460" w:lineRule="exact"/>
    </w:pPr>
  </w:style>
  <w:style w:type="paragraph" w:customStyle="1" w:styleId="89">
    <w:name w:val="Char Char1 Char"/>
    <w:basedOn w:val="1"/>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90">
    <w:name w:val="List Paragraph"/>
    <w:basedOn w:val="1"/>
    <w:qFormat/>
    <w:uiPriority w:val="34"/>
    <w:pPr>
      <w:ind w:firstLine="420" w:firstLineChars="200"/>
    </w:pPr>
  </w:style>
  <w:style w:type="paragraph" w:customStyle="1" w:styleId="91">
    <w:name w:val="标准1级标题"/>
    <w:basedOn w:val="1"/>
    <w:qFormat/>
    <w:uiPriority w:val="0"/>
    <w:pPr>
      <w:keepNext/>
      <w:keepLines/>
      <w:widowControl/>
      <w:spacing w:before="100" w:beforeLines="100" w:after="100" w:afterLines="100" w:line="416" w:lineRule="atLeast"/>
      <w:ind w:firstLine="0" w:firstLineChars="0"/>
      <w:jc w:val="left"/>
      <w:outlineLvl w:val="0"/>
    </w:pPr>
    <w:rPr>
      <w:rFonts w:ascii="Times New Roman" w:hAnsi="Times New Roman" w:eastAsia="黑体"/>
      <w:kern w:val="0"/>
      <w:szCs w:val="20"/>
    </w:rPr>
  </w:style>
  <w:style w:type="paragraph" w:customStyle="1" w:styleId="92">
    <w:name w:val="3z"/>
    <w:basedOn w:val="1"/>
    <w:qFormat/>
    <w:uiPriority w:val="0"/>
    <w:pPr>
      <w:topLinePunct/>
      <w:spacing w:line="312" w:lineRule="exact"/>
    </w:pPr>
    <w:rPr>
      <w:rFonts w:ascii="EU-F1" w:eastAsia="黑体"/>
      <w:kern w:val="0"/>
      <w:sz w:val="20"/>
    </w:rPr>
  </w:style>
  <w:style w:type="character" w:customStyle="1" w:styleId="93">
    <w:name w:val="标题 2 Char"/>
    <w:link w:val="3"/>
    <w:qFormat/>
    <w:uiPriority w:val="0"/>
    <w:rPr>
      <w:rFonts w:ascii="宋体"/>
      <w:bCs/>
      <w:szCs w:val="21"/>
    </w:rPr>
  </w:style>
  <w:style w:type="paragraph" w:customStyle="1" w:styleId="94">
    <w:name w:val="Table Contents"/>
    <w:basedOn w:val="12"/>
    <w:qFormat/>
    <w:uiPriority w:val="0"/>
  </w:style>
  <w:style w:type="paragraph" w:customStyle="1" w:styleId="95">
    <w:name w:val="Char1"/>
    <w:basedOn w:val="1"/>
    <w:qFormat/>
    <w:uiPriority w:val="0"/>
    <w:rPr>
      <w:rFonts w:ascii="Times New Roman" w:hAnsi="Times New Roman"/>
    </w:rPr>
  </w:style>
  <w:style w:type="table" w:customStyle="1" w:styleId="96">
    <w:name w:val="Table Normal"/>
    <w:semiHidden/>
    <w:unhideWhenUsed/>
    <w:qFormat/>
    <w:uiPriority w:val="0"/>
    <w:tblPr>
      <w:tblCellMar>
        <w:top w:w="0" w:type="dxa"/>
        <w:left w:w="0" w:type="dxa"/>
        <w:bottom w:w="0" w:type="dxa"/>
        <w:right w:w="0" w:type="dxa"/>
      </w:tblCellMar>
    </w:tblPr>
  </w:style>
  <w:style w:type="paragraph" w:customStyle="1" w:styleId="97">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4F76D7C-662A-45E7-94F6-1BEDFD6ED7ED}">
  <ds:schemaRefs/>
</ds:datastoreItem>
</file>

<file path=docProps/app.xml><?xml version="1.0" encoding="utf-8"?>
<Properties xmlns="http://schemas.openxmlformats.org/officeDocument/2006/extended-properties" xmlns:vt="http://schemas.openxmlformats.org/officeDocument/2006/docPropsVTypes">
  <Template>Normal.dotm</Template>
  <Company>dky</Company>
  <Pages>23</Pages>
  <Words>11572</Words>
  <Characters>12934</Characters>
  <Lines>65</Lines>
  <Paragraphs>18</Paragraphs>
  <TotalTime>1</TotalTime>
  <ScaleCrop>false</ScaleCrop>
  <LinksUpToDate>false</LinksUpToDate>
  <CharactersWithSpaces>13396</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2017-06-26T10:01:00Z</dcterms:created>
  <dc:creator>李富龙</dc:creator>
  <cp:lastModifiedBy>ehv_tgny_maochuan</cp:lastModifiedBy>
  <dcterms:modified xsi:type="dcterms:W3CDTF">2026-09-21T16:25:58Z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D59FDED6E9F7481199ACDD6BC1FA10E3_13</vt:lpwstr>
  </property>
  <property fmtid="{D5CDD505-2E9C-101B-9397-08002B2CF9AE}" pid="3" name="KSOProductBuildVer">
    <vt:lpwstr>2052-12.1.2.25882</vt:lpwstr>
  </property>
  <property fmtid="{D5CDD505-2E9C-101B-9397-08002B2CF9AE}" pid="4" name="状态">
    <vt:lpwstr>xxx</vt:lpwstr>
  </property>
  <property fmtid="{D5CDD505-2E9C-101B-9397-08002B2CF9AE}" pid="5" name="KSOTemplateDocerSaveRecord">
    <vt:lpwstr>eyJoZGlkIjoiMzc3ZjkxY2Q5ODVjMmQ3N2IzZmFlMDcxY2E4ZjVmZTAiLCJ1c2VySWQiOiIxMjExMDcxNTMwIn0=</vt:lpwstr>
  </property>
</Properties>
</file>