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1560" w:beforeLines="500" w:line="240" w:lineRule="auto"/>
        <w:ind w:firstLine="0" w:firstLineChars="0"/>
        <w:jc w:val="left"/>
        <w:rPr>
          <w:rFonts w:ascii="Times New Roman" w:hAnsi="Times New Roman" w:eastAsia="仿宋_GB2312" w:cs="Times New Roman"/>
          <w:b/>
          <w:sz w:val="36"/>
          <w:szCs w:val="20"/>
        </w:rPr>
      </w:pPr>
      <w:r>
        <w:rPr>
          <w:rFonts w:hint="eastAsia"/>
          <w:b/>
          <w:bCs/>
          <w:sz w:val="44"/>
          <w:szCs w:val="44"/>
        </w:rPr>
        <w:drawing>
          <wp:anchor distT="0" distB="0" distL="114300" distR="114300" simplePos="0" relativeHeight="251659264" behindDoc="0" locked="0" layoutInCell="1" allowOverlap="1">
            <wp:simplePos x="0" y="0"/>
            <wp:positionH relativeFrom="column">
              <wp:posOffset>-1997075</wp:posOffset>
            </wp:positionH>
            <wp:positionV relativeFrom="paragraph">
              <wp:posOffset>-967105</wp:posOffset>
            </wp:positionV>
            <wp:extent cx="8447405" cy="2751455"/>
            <wp:effectExtent l="0" t="0" r="10795" b="10795"/>
            <wp:wrapNone/>
            <wp:docPr id="1" name="图片 2"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模板-3"/>
                    <pic:cNvPicPr>
                      <a:picLocks noChangeAspect="1"/>
                    </pic:cNvPicPr>
                  </pic:nvPicPr>
                  <pic:blipFill>
                    <a:blip r:embed="rId14"/>
                    <a:srcRect b="75984"/>
                    <a:stretch>
                      <a:fillRect/>
                    </a:stretch>
                  </pic:blipFill>
                  <pic:spPr>
                    <a:xfrm>
                      <a:off x="0" y="0"/>
                      <a:ext cx="8447405" cy="2751455"/>
                    </a:xfrm>
                    <a:prstGeom prst="rect">
                      <a:avLst/>
                    </a:prstGeom>
                    <a:noFill/>
                    <a:ln>
                      <a:noFill/>
                    </a:ln>
                  </pic:spPr>
                </pic:pic>
              </a:graphicData>
            </a:graphic>
          </wp:anchor>
        </w:drawing>
      </w:r>
    </w:p>
    <w:p>
      <w:pPr>
        <w:ind w:firstLine="0" w:firstLineChars="0"/>
        <w:jc w:val="center"/>
        <w:rPr>
          <w:rFonts w:ascii="微软雅黑" w:hAnsi="微软雅黑" w:eastAsia="微软雅黑"/>
          <w:sz w:val="52"/>
          <w:szCs w:val="52"/>
        </w:rPr>
      </w:pPr>
    </w:p>
    <w:p>
      <w:pPr>
        <w:ind w:firstLine="0" w:firstLineChars="0"/>
        <w:jc w:val="center"/>
        <w:rPr>
          <w:rFonts w:ascii="微软雅黑" w:hAnsi="微软雅黑" w:eastAsia="微软雅黑"/>
          <w:sz w:val="52"/>
          <w:szCs w:val="52"/>
        </w:rPr>
      </w:pPr>
    </w:p>
    <w:p>
      <w:pPr>
        <w:ind w:firstLine="0" w:firstLineChars="0"/>
        <w:jc w:val="center"/>
        <w:rPr>
          <w:rFonts w:hint="eastAsia" w:ascii="黑体" w:hAnsi="黑体" w:eastAsia="黑体"/>
          <w:sz w:val="52"/>
          <w:szCs w:val="52"/>
        </w:rPr>
      </w:pPr>
      <w:r>
        <w:rPr>
          <w:rFonts w:hint="eastAsia" w:ascii="黑体" w:hAnsi="黑体" w:eastAsia="黑体"/>
          <w:sz w:val="52"/>
          <w:szCs w:val="52"/>
        </w:rPr>
        <w:t>低压裸露导线绝缘安全保护套定制化加工承揽服务</w:t>
      </w:r>
    </w:p>
    <w:p>
      <w:pPr>
        <w:ind w:firstLine="0" w:firstLineChars="0"/>
        <w:jc w:val="both"/>
        <w:rPr>
          <w:rFonts w:hint="eastAsia" w:ascii="黑体" w:hAnsi="黑体" w:eastAsia="黑体" w:cs="Times New Roman"/>
          <w:b/>
          <w:sz w:val="52"/>
          <w:szCs w:val="52"/>
        </w:rPr>
      </w:pPr>
      <w:r>
        <w:rPr>
          <w:rFonts w:hint="eastAsia" w:ascii="黑体" w:hAnsi="黑体" w:eastAsia="黑体"/>
          <w:sz w:val="52"/>
          <w:szCs w:val="52"/>
          <w:lang w:val="en-US" w:eastAsia="zh-CN"/>
        </w:rPr>
        <w:t xml:space="preserve">           </w:t>
      </w:r>
      <w:r>
        <w:rPr>
          <w:rFonts w:hint="eastAsia" w:ascii="黑体" w:hAnsi="黑体" w:eastAsia="黑体"/>
          <w:sz w:val="52"/>
          <w:szCs w:val="52"/>
        </w:rPr>
        <w:t>技术规范书</w:t>
      </w:r>
    </w:p>
    <w:p>
      <w:pPr>
        <w:spacing w:before="1560" w:beforeLines="500" w:line="240" w:lineRule="auto"/>
        <w:ind w:firstLine="0" w:firstLineChars="0"/>
        <w:jc w:val="left"/>
        <w:rPr>
          <w:rFonts w:ascii="Times New Roman" w:hAnsi="Times New Roman" w:eastAsia="仿宋_GB2312" w:cs="Times New Roman"/>
          <w:b/>
          <w:sz w:val="36"/>
          <w:szCs w:val="20"/>
        </w:rPr>
      </w:pPr>
    </w:p>
    <w:p>
      <w:pPr>
        <w:spacing w:before="1560" w:beforeLines="500"/>
        <w:ind w:firstLine="0" w:firstLineChars="0"/>
        <w:jc w:val="left"/>
        <w:rPr>
          <w:rFonts w:ascii="Times New Roman" w:hAnsi="Times New Roman" w:eastAsia="仿宋_GB2312" w:cs="Times New Roman"/>
          <w:b/>
          <w:sz w:val="36"/>
          <w:szCs w:val="20"/>
        </w:rPr>
      </w:pPr>
    </w:p>
    <w:p>
      <w:pPr>
        <w:ind w:firstLine="0" w:firstLineChars="0"/>
        <w:jc w:val="center"/>
        <w:rPr>
          <w:b/>
          <w:bCs/>
          <w:sz w:val="28"/>
          <w:szCs w:val="28"/>
        </w:rPr>
      </w:pPr>
      <w:r>
        <w:rPr>
          <w:rFonts w:hint="eastAsia"/>
          <w:b/>
          <w:bCs/>
          <w:sz w:val="28"/>
          <w:szCs w:val="28"/>
        </w:rPr>
        <w:t>广西</w:t>
      </w:r>
      <w:r>
        <w:rPr>
          <w:rFonts w:hint="eastAsia"/>
          <w:b/>
          <w:bCs/>
          <w:sz w:val="28"/>
          <w:szCs w:val="28"/>
          <w:lang w:eastAsia="zh-CN"/>
        </w:rPr>
        <w:t>送变电建设</w:t>
      </w:r>
      <w:r>
        <w:rPr>
          <w:rFonts w:hint="eastAsia"/>
          <w:b/>
          <w:bCs/>
          <w:sz w:val="28"/>
          <w:szCs w:val="28"/>
        </w:rPr>
        <w:t>有限责任公司</w:t>
      </w:r>
    </w:p>
    <w:p>
      <w:pPr>
        <w:ind w:firstLine="0" w:firstLineChars="0"/>
        <w:jc w:val="center"/>
        <w:rPr>
          <w:b/>
          <w:bCs/>
        </w:rPr>
      </w:pPr>
      <w:r>
        <w:rPr>
          <w:rFonts w:ascii="Times New Roman" w:hAnsi="Times New Roman" w:cs="Times New Roman"/>
          <w:b/>
          <w:bCs/>
          <w:sz w:val="28"/>
          <w:szCs w:val="28"/>
        </w:rPr>
        <w:t>202</w:t>
      </w:r>
      <w:r>
        <w:rPr>
          <w:rFonts w:hint="eastAsia" w:ascii="Times New Roman" w:hAnsi="Times New Roman" w:cs="Times New Roman"/>
          <w:b/>
          <w:bCs/>
          <w:sz w:val="28"/>
          <w:szCs w:val="28"/>
        </w:rPr>
        <w:t>6</w:t>
      </w:r>
      <w:r>
        <w:rPr>
          <w:rFonts w:ascii="Times New Roman" w:hAnsi="Times New Roman" w:cs="Times New Roman"/>
          <w:b/>
          <w:bCs/>
          <w:sz w:val="28"/>
          <w:szCs w:val="28"/>
        </w:rPr>
        <w:t>年</w:t>
      </w:r>
      <w:r>
        <w:rPr>
          <w:rFonts w:hint="eastAsia" w:ascii="Times New Roman" w:hAnsi="Times New Roman" w:cs="Times New Roman"/>
          <w:b/>
          <w:bCs/>
          <w:sz w:val="28"/>
          <w:szCs w:val="28"/>
        </w:rPr>
        <w:t>1</w:t>
      </w:r>
      <w:r>
        <w:rPr>
          <w:rFonts w:ascii="Times New Roman" w:hAnsi="Times New Roman" w:cs="Times New Roman"/>
          <w:b/>
          <w:bCs/>
          <w:sz w:val="28"/>
          <w:szCs w:val="28"/>
        </w:rPr>
        <w:t>月</w:t>
      </w:r>
    </w:p>
    <w:p>
      <w:pPr>
        <w:spacing w:before="1560" w:beforeLines="500" w:line="240" w:lineRule="auto"/>
        <w:ind w:firstLine="0" w:firstLineChars="0"/>
        <w:jc w:val="center"/>
        <w:rPr>
          <w:rFonts w:ascii="Times New Roman" w:hAnsi="Times New Roman" w:eastAsia="仿宋_GB2312" w:cs="Times New Roman"/>
          <w:b/>
          <w:sz w:val="36"/>
          <w:szCs w:val="20"/>
        </w:rPr>
      </w:pPr>
      <w:r>
        <w:rPr>
          <w:rFonts w:ascii="Times New Roman" w:hAnsi="Times New Roman" w:eastAsia="仿宋_GB2312" w:cs="Times New Roman"/>
          <w:b/>
          <w:sz w:val="36"/>
          <w:szCs w:val="20"/>
        </w:rPr>
        <w:t>目录</w:t>
      </w:r>
    </w:p>
    <w:p>
      <w:pPr>
        <w:pStyle w:val="23"/>
        <w:tabs>
          <w:tab w:val="right" w:leader="dot" w:pos="8306"/>
        </w:tabs>
      </w:pPr>
      <w:r>
        <w:rPr>
          <w:rFonts w:eastAsia="仿宋_GB2312"/>
          <w:szCs w:val="24"/>
        </w:rPr>
        <w:fldChar w:fldCharType="begin"/>
      </w:r>
      <w:r>
        <w:rPr>
          <w:rFonts w:eastAsia="仿宋_GB2312"/>
          <w:szCs w:val="24"/>
        </w:rPr>
        <w:instrText xml:space="preserve">TOC \o "1-3" \t "" \h \z \u </w:instrText>
      </w:r>
      <w:r>
        <w:rPr>
          <w:rFonts w:eastAsia="仿宋_GB2312"/>
          <w:szCs w:val="24"/>
        </w:rPr>
        <w:fldChar w:fldCharType="separate"/>
      </w:r>
      <w:r>
        <w:rPr>
          <w:rFonts w:eastAsia="仿宋_GB2312"/>
          <w:szCs w:val="24"/>
        </w:rPr>
        <w:fldChar w:fldCharType="begin"/>
      </w:r>
      <w:r>
        <w:rPr>
          <w:rFonts w:eastAsia="仿宋_GB2312"/>
          <w:szCs w:val="24"/>
        </w:rPr>
        <w:instrText xml:space="preserve"> HYPERLINK \l _Toc30621 </w:instrText>
      </w:r>
      <w:r>
        <w:rPr>
          <w:rFonts w:eastAsia="仿宋_GB2312"/>
          <w:szCs w:val="24"/>
        </w:rPr>
        <w:fldChar w:fldCharType="separate"/>
      </w:r>
      <w:r>
        <w:t>一、总则</w:t>
      </w:r>
      <w:r>
        <w:tab/>
      </w:r>
      <w:r>
        <w:fldChar w:fldCharType="begin"/>
      </w:r>
      <w:r>
        <w:instrText xml:space="preserve"> PAGEREF _Toc30621 \h </w:instrText>
      </w:r>
      <w:r>
        <w:fldChar w:fldCharType="separate"/>
      </w:r>
      <w:r>
        <w:t>1</w:t>
      </w:r>
      <w:r>
        <w:fldChar w:fldCharType="end"/>
      </w:r>
      <w:r>
        <w:rPr>
          <w:rFonts w:eastAsia="仿宋_GB2312"/>
          <w:szCs w:val="24"/>
        </w:rPr>
        <w:fldChar w:fldCharType="end"/>
      </w:r>
    </w:p>
    <w:p>
      <w:pPr>
        <w:pStyle w:val="26"/>
        <w:tabs>
          <w:tab w:val="right" w:leader="dot" w:pos="8306"/>
        </w:tabs>
      </w:pPr>
      <w:r>
        <w:rPr>
          <w:rFonts w:ascii="Times New Roman" w:hAnsi="Times New Roman" w:cs="Times New Roman"/>
          <w:szCs w:val="24"/>
        </w:rPr>
        <w:fldChar w:fldCharType="begin"/>
      </w:r>
      <w:r>
        <w:rPr>
          <w:rFonts w:ascii="Times New Roman" w:hAnsi="Times New Roman" w:cs="Times New Roman"/>
          <w:szCs w:val="24"/>
        </w:rPr>
        <w:instrText xml:space="preserve"> HYPERLINK \l _Toc13369 </w:instrText>
      </w:r>
      <w:r>
        <w:rPr>
          <w:rFonts w:ascii="Times New Roman" w:hAnsi="Times New Roman" w:cs="Times New Roman"/>
          <w:szCs w:val="24"/>
        </w:rPr>
        <w:fldChar w:fldCharType="separate"/>
      </w:r>
      <w:r>
        <w:rPr>
          <w:rFonts w:hint="eastAsia"/>
        </w:rPr>
        <w:t>1.1 一般要求</w:t>
      </w:r>
      <w:r>
        <w:tab/>
      </w:r>
      <w:r>
        <w:fldChar w:fldCharType="begin"/>
      </w:r>
      <w:r>
        <w:instrText xml:space="preserve"> PAGEREF _Toc13369 \h </w:instrText>
      </w:r>
      <w:r>
        <w:fldChar w:fldCharType="separate"/>
      </w:r>
      <w:r>
        <w:t>1</w:t>
      </w:r>
      <w:r>
        <w:fldChar w:fldCharType="end"/>
      </w:r>
      <w:r>
        <w:rPr>
          <w:rFonts w:ascii="Times New Roman" w:hAnsi="Times New Roman" w:cs="Times New Roman"/>
          <w:szCs w:val="24"/>
        </w:rPr>
        <w:fldChar w:fldCharType="end"/>
      </w:r>
    </w:p>
    <w:p>
      <w:pPr>
        <w:pStyle w:val="26"/>
        <w:tabs>
          <w:tab w:val="right" w:leader="dot" w:pos="8306"/>
        </w:tabs>
      </w:pPr>
      <w:r>
        <w:rPr>
          <w:rFonts w:ascii="Times New Roman" w:hAnsi="Times New Roman" w:cs="Times New Roman"/>
          <w:szCs w:val="24"/>
        </w:rPr>
        <w:fldChar w:fldCharType="begin"/>
      </w:r>
      <w:r>
        <w:rPr>
          <w:rFonts w:ascii="Times New Roman" w:hAnsi="Times New Roman" w:cs="Times New Roman"/>
          <w:szCs w:val="24"/>
        </w:rPr>
        <w:instrText xml:space="preserve"> HYPERLINK \l _Toc30864 </w:instrText>
      </w:r>
      <w:r>
        <w:rPr>
          <w:rFonts w:ascii="Times New Roman" w:hAnsi="Times New Roman" w:cs="Times New Roman"/>
          <w:szCs w:val="24"/>
        </w:rPr>
        <w:fldChar w:fldCharType="separate"/>
      </w:r>
      <w:r>
        <w:rPr>
          <w:rFonts w:hint="eastAsia"/>
        </w:rPr>
        <w:t>1.2 标准和规范</w:t>
      </w:r>
      <w:r>
        <w:tab/>
      </w:r>
      <w:r>
        <w:fldChar w:fldCharType="begin"/>
      </w:r>
      <w:r>
        <w:instrText xml:space="preserve"> PAGEREF _Toc30864 \h </w:instrText>
      </w:r>
      <w:r>
        <w:fldChar w:fldCharType="separate"/>
      </w:r>
      <w:r>
        <w:t>2</w:t>
      </w:r>
      <w:r>
        <w:fldChar w:fldCharType="end"/>
      </w:r>
      <w:r>
        <w:rPr>
          <w:rFonts w:ascii="Times New Roman" w:hAnsi="Times New Roman" w:cs="Times New Roman"/>
          <w:szCs w:val="24"/>
        </w:rPr>
        <w:fldChar w:fldCharType="end"/>
      </w:r>
    </w:p>
    <w:p>
      <w:pPr>
        <w:pStyle w:val="26"/>
        <w:tabs>
          <w:tab w:val="right" w:leader="dot" w:pos="8306"/>
        </w:tabs>
      </w:pPr>
      <w:r>
        <w:rPr>
          <w:rFonts w:ascii="Times New Roman" w:hAnsi="Times New Roman" w:cs="Times New Roman"/>
          <w:szCs w:val="24"/>
        </w:rPr>
        <w:fldChar w:fldCharType="begin"/>
      </w:r>
      <w:r>
        <w:rPr>
          <w:rFonts w:ascii="Times New Roman" w:hAnsi="Times New Roman" w:cs="Times New Roman"/>
          <w:szCs w:val="24"/>
        </w:rPr>
        <w:instrText xml:space="preserve"> HYPERLINK \l _Toc2487 </w:instrText>
      </w:r>
      <w:r>
        <w:rPr>
          <w:rFonts w:ascii="Times New Roman" w:hAnsi="Times New Roman" w:cs="Times New Roman"/>
          <w:szCs w:val="24"/>
        </w:rPr>
        <w:fldChar w:fldCharType="separate"/>
      </w:r>
      <w:r>
        <w:rPr>
          <w:rFonts w:hint="eastAsia"/>
        </w:rPr>
        <w:t>1.3 技术文件的组成</w:t>
      </w:r>
      <w:r>
        <w:tab/>
      </w:r>
      <w:r>
        <w:fldChar w:fldCharType="begin"/>
      </w:r>
      <w:r>
        <w:instrText xml:space="preserve"> PAGEREF _Toc2487 \h </w:instrText>
      </w:r>
      <w:r>
        <w:fldChar w:fldCharType="separate"/>
      </w:r>
      <w:r>
        <w:t>3</w:t>
      </w:r>
      <w:r>
        <w:fldChar w:fldCharType="end"/>
      </w:r>
      <w:r>
        <w:rPr>
          <w:rFonts w:ascii="Times New Roman" w:hAnsi="Times New Roman" w:cs="Times New Roman"/>
          <w:szCs w:val="24"/>
        </w:rPr>
        <w:fldChar w:fldCharType="end"/>
      </w:r>
    </w:p>
    <w:p>
      <w:pPr>
        <w:pStyle w:val="26"/>
        <w:tabs>
          <w:tab w:val="right" w:leader="dot" w:pos="8306"/>
        </w:tabs>
      </w:pPr>
      <w:r>
        <w:rPr>
          <w:rFonts w:ascii="Times New Roman" w:hAnsi="Times New Roman" w:cs="Times New Roman"/>
          <w:szCs w:val="24"/>
        </w:rPr>
        <w:fldChar w:fldCharType="begin"/>
      </w:r>
      <w:r>
        <w:rPr>
          <w:rFonts w:ascii="Times New Roman" w:hAnsi="Times New Roman" w:cs="Times New Roman"/>
          <w:szCs w:val="24"/>
        </w:rPr>
        <w:instrText xml:space="preserve"> HYPERLINK \l _Toc5547 </w:instrText>
      </w:r>
      <w:r>
        <w:rPr>
          <w:rFonts w:ascii="Times New Roman" w:hAnsi="Times New Roman" w:cs="Times New Roman"/>
          <w:szCs w:val="24"/>
        </w:rPr>
        <w:fldChar w:fldCharType="separate"/>
      </w:r>
      <w:r>
        <w:rPr>
          <w:rFonts w:hint="eastAsia"/>
        </w:rPr>
        <w:t>1.4 加工能力要求</w:t>
      </w:r>
      <w:r>
        <w:tab/>
      </w:r>
      <w:r>
        <w:fldChar w:fldCharType="begin"/>
      </w:r>
      <w:r>
        <w:instrText xml:space="preserve"> PAGEREF _Toc5547 \h </w:instrText>
      </w:r>
      <w:r>
        <w:fldChar w:fldCharType="separate"/>
      </w:r>
      <w:r>
        <w:t>3</w:t>
      </w:r>
      <w:r>
        <w:fldChar w:fldCharType="end"/>
      </w:r>
      <w:r>
        <w:rPr>
          <w:rFonts w:ascii="Times New Roman" w:hAnsi="Times New Roman" w:cs="Times New Roman"/>
          <w:szCs w:val="24"/>
        </w:rPr>
        <w:fldChar w:fldCharType="end"/>
      </w:r>
    </w:p>
    <w:p>
      <w:pPr>
        <w:pStyle w:val="26"/>
        <w:tabs>
          <w:tab w:val="right" w:leader="dot" w:pos="8306"/>
        </w:tabs>
      </w:pPr>
      <w:r>
        <w:rPr>
          <w:rFonts w:ascii="Times New Roman" w:hAnsi="Times New Roman" w:cs="Times New Roman"/>
          <w:szCs w:val="24"/>
        </w:rPr>
        <w:fldChar w:fldCharType="begin"/>
      </w:r>
      <w:r>
        <w:rPr>
          <w:rFonts w:ascii="Times New Roman" w:hAnsi="Times New Roman" w:cs="Times New Roman"/>
          <w:szCs w:val="24"/>
        </w:rPr>
        <w:instrText xml:space="preserve"> HYPERLINK \l _Toc26058 </w:instrText>
      </w:r>
      <w:r>
        <w:rPr>
          <w:rFonts w:ascii="Times New Roman" w:hAnsi="Times New Roman" w:cs="Times New Roman"/>
          <w:szCs w:val="24"/>
        </w:rPr>
        <w:fldChar w:fldCharType="separate"/>
      </w:r>
      <w:r>
        <w:rPr>
          <w:rFonts w:hint="eastAsia"/>
        </w:rPr>
        <w:t>1.5 采购范围</w:t>
      </w:r>
      <w:r>
        <w:tab/>
      </w:r>
      <w:r>
        <w:fldChar w:fldCharType="begin"/>
      </w:r>
      <w:r>
        <w:instrText xml:space="preserve"> PAGEREF _Toc26058 \h </w:instrText>
      </w:r>
      <w:r>
        <w:fldChar w:fldCharType="separate"/>
      </w:r>
      <w:r>
        <w:t>3</w:t>
      </w:r>
      <w:r>
        <w:fldChar w:fldCharType="end"/>
      </w:r>
      <w:r>
        <w:rPr>
          <w:rFonts w:ascii="Times New Roman" w:hAnsi="Times New Roman" w:cs="Times New Roman"/>
          <w:szCs w:val="24"/>
        </w:rPr>
        <w:fldChar w:fldCharType="end"/>
      </w:r>
    </w:p>
    <w:p>
      <w:pPr>
        <w:pStyle w:val="23"/>
        <w:tabs>
          <w:tab w:val="right" w:leader="dot" w:pos="8306"/>
        </w:tabs>
      </w:pPr>
      <w:r>
        <w:rPr>
          <w:rFonts w:ascii="Times New Roman" w:hAnsi="Times New Roman" w:cs="Times New Roman"/>
          <w:szCs w:val="24"/>
        </w:rPr>
        <w:fldChar w:fldCharType="begin"/>
      </w:r>
      <w:r>
        <w:rPr>
          <w:rFonts w:ascii="Times New Roman" w:hAnsi="Times New Roman" w:cs="Times New Roman"/>
          <w:szCs w:val="24"/>
        </w:rPr>
        <w:instrText xml:space="preserve"> HYPERLINK \l _Toc17130 </w:instrText>
      </w:r>
      <w:r>
        <w:rPr>
          <w:rFonts w:ascii="Times New Roman" w:hAnsi="Times New Roman" w:cs="Times New Roman"/>
          <w:szCs w:val="24"/>
        </w:rPr>
        <w:fldChar w:fldCharType="separate"/>
      </w:r>
      <w:r>
        <w:t>二、技术要求</w:t>
      </w:r>
      <w:r>
        <w:tab/>
      </w:r>
      <w:r>
        <w:fldChar w:fldCharType="begin"/>
      </w:r>
      <w:r>
        <w:instrText xml:space="preserve"> PAGEREF _Toc17130 \h </w:instrText>
      </w:r>
      <w:r>
        <w:fldChar w:fldCharType="separate"/>
      </w:r>
      <w:r>
        <w:t>4</w:t>
      </w:r>
      <w:r>
        <w:fldChar w:fldCharType="end"/>
      </w:r>
      <w:r>
        <w:rPr>
          <w:rFonts w:ascii="Times New Roman" w:hAnsi="Times New Roman" w:cs="Times New Roman"/>
          <w:szCs w:val="24"/>
        </w:rPr>
        <w:fldChar w:fldCharType="end"/>
      </w:r>
    </w:p>
    <w:p>
      <w:pPr>
        <w:pStyle w:val="26"/>
        <w:tabs>
          <w:tab w:val="right" w:leader="dot" w:pos="8306"/>
        </w:tabs>
      </w:pPr>
      <w:r>
        <w:rPr>
          <w:rFonts w:ascii="Times New Roman" w:hAnsi="Times New Roman" w:cs="Times New Roman"/>
          <w:szCs w:val="24"/>
        </w:rPr>
        <w:fldChar w:fldCharType="begin"/>
      </w:r>
      <w:r>
        <w:rPr>
          <w:rFonts w:ascii="Times New Roman" w:hAnsi="Times New Roman" w:cs="Times New Roman"/>
          <w:szCs w:val="24"/>
        </w:rPr>
        <w:instrText xml:space="preserve"> HYPERLINK \l _Toc1730 </w:instrText>
      </w:r>
      <w:r>
        <w:rPr>
          <w:rFonts w:ascii="Times New Roman" w:hAnsi="Times New Roman" w:cs="Times New Roman"/>
          <w:szCs w:val="24"/>
        </w:rPr>
        <w:fldChar w:fldCharType="separate"/>
      </w:r>
      <w:r>
        <w:rPr>
          <w:rFonts w:hint="eastAsia"/>
        </w:rPr>
        <w:t>2.1 低压裸露导线绝缘安全保护套</w:t>
      </w:r>
      <w:r>
        <w:t>外观要求</w:t>
      </w:r>
      <w:r>
        <w:tab/>
      </w:r>
      <w:r>
        <w:fldChar w:fldCharType="begin"/>
      </w:r>
      <w:r>
        <w:instrText xml:space="preserve"> PAGEREF _Toc1730 \h </w:instrText>
      </w:r>
      <w:r>
        <w:fldChar w:fldCharType="separate"/>
      </w:r>
      <w:r>
        <w:t>4</w:t>
      </w:r>
      <w:r>
        <w:fldChar w:fldCharType="end"/>
      </w:r>
      <w:r>
        <w:rPr>
          <w:rFonts w:ascii="Times New Roman" w:hAnsi="Times New Roman" w:cs="Times New Roman"/>
          <w:szCs w:val="24"/>
        </w:rPr>
        <w:fldChar w:fldCharType="end"/>
      </w:r>
    </w:p>
    <w:p>
      <w:pPr>
        <w:pStyle w:val="26"/>
        <w:tabs>
          <w:tab w:val="right" w:leader="dot" w:pos="8306"/>
        </w:tabs>
      </w:pPr>
      <w:r>
        <w:rPr>
          <w:rFonts w:ascii="Times New Roman" w:hAnsi="Times New Roman" w:cs="Times New Roman"/>
          <w:szCs w:val="24"/>
        </w:rPr>
        <w:fldChar w:fldCharType="begin"/>
      </w:r>
      <w:r>
        <w:rPr>
          <w:rFonts w:ascii="Times New Roman" w:hAnsi="Times New Roman" w:cs="Times New Roman"/>
          <w:szCs w:val="24"/>
        </w:rPr>
        <w:instrText xml:space="preserve"> HYPERLINK \l _Toc7808 </w:instrText>
      </w:r>
      <w:r>
        <w:rPr>
          <w:rFonts w:ascii="Times New Roman" w:hAnsi="Times New Roman" w:cs="Times New Roman"/>
          <w:szCs w:val="24"/>
        </w:rPr>
        <w:fldChar w:fldCharType="separate"/>
      </w:r>
      <w:r>
        <w:rPr>
          <w:rFonts w:hint="eastAsia"/>
        </w:rPr>
        <w:t>2.2低压裸露导线绝缘安全保护套整体</w:t>
      </w:r>
      <w:r>
        <w:t>要求</w:t>
      </w:r>
      <w:r>
        <w:tab/>
      </w:r>
      <w:r>
        <w:fldChar w:fldCharType="begin"/>
      </w:r>
      <w:r>
        <w:instrText xml:space="preserve"> PAGEREF _Toc7808 \h </w:instrText>
      </w:r>
      <w:r>
        <w:fldChar w:fldCharType="separate"/>
      </w:r>
      <w:r>
        <w:t>6</w:t>
      </w:r>
      <w:r>
        <w:fldChar w:fldCharType="end"/>
      </w:r>
      <w:r>
        <w:rPr>
          <w:rFonts w:ascii="Times New Roman" w:hAnsi="Times New Roman" w:cs="Times New Roman"/>
          <w:szCs w:val="24"/>
        </w:rPr>
        <w:fldChar w:fldCharType="end"/>
      </w:r>
    </w:p>
    <w:p>
      <w:pPr>
        <w:pStyle w:val="17"/>
        <w:tabs>
          <w:tab w:val="right" w:leader="dot" w:pos="8306"/>
        </w:tabs>
      </w:pPr>
      <w:r>
        <w:rPr>
          <w:rFonts w:ascii="Times New Roman" w:hAnsi="Times New Roman" w:cs="Times New Roman"/>
          <w:szCs w:val="24"/>
        </w:rPr>
        <w:fldChar w:fldCharType="begin"/>
      </w:r>
      <w:r>
        <w:rPr>
          <w:rFonts w:ascii="Times New Roman" w:hAnsi="Times New Roman" w:cs="Times New Roman"/>
          <w:szCs w:val="24"/>
        </w:rPr>
        <w:instrText xml:space="preserve"> HYPERLINK \l _Toc3746 </w:instrText>
      </w:r>
      <w:r>
        <w:rPr>
          <w:rFonts w:ascii="Times New Roman" w:hAnsi="Times New Roman" w:cs="Times New Roman"/>
          <w:szCs w:val="24"/>
        </w:rPr>
        <w:fldChar w:fldCharType="separate"/>
      </w:r>
      <w:r>
        <w:rPr>
          <w:rFonts w:hint="eastAsia"/>
        </w:rPr>
        <w:t>2.2.1 低压裸露导线绝缘安全保护套功能</w:t>
      </w:r>
      <w:r>
        <w:t>要求</w:t>
      </w:r>
      <w:r>
        <w:tab/>
      </w:r>
      <w:r>
        <w:fldChar w:fldCharType="begin"/>
      </w:r>
      <w:r>
        <w:instrText xml:space="preserve"> PAGEREF _Toc3746 \h </w:instrText>
      </w:r>
      <w:r>
        <w:fldChar w:fldCharType="separate"/>
      </w:r>
      <w:r>
        <w:t>6</w:t>
      </w:r>
      <w:r>
        <w:fldChar w:fldCharType="end"/>
      </w:r>
      <w:r>
        <w:rPr>
          <w:rFonts w:ascii="Times New Roman" w:hAnsi="Times New Roman" w:cs="Times New Roman"/>
          <w:szCs w:val="24"/>
        </w:rPr>
        <w:fldChar w:fldCharType="end"/>
      </w:r>
    </w:p>
    <w:p>
      <w:pPr>
        <w:pStyle w:val="17"/>
        <w:tabs>
          <w:tab w:val="right" w:leader="dot" w:pos="8306"/>
        </w:tabs>
      </w:pPr>
      <w:r>
        <w:rPr>
          <w:rFonts w:ascii="Times New Roman" w:hAnsi="Times New Roman" w:cs="Times New Roman"/>
          <w:szCs w:val="24"/>
        </w:rPr>
        <w:fldChar w:fldCharType="begin"/>
      </w:r>
      <w:r>
        <w:rPr>
          <w:rFonts w:ascii="Times New Roman" w:hAnsi="Times New Roman" w:cs="Times New Roman"/>
          <w:szCs w:val="24"/>
        </w:rPr>
        <w:instrText xml:space="preserve"> HYPERLINK \l _Toc13463 </w:instrText>
      </w:r>
      <w:r>
        <w:rPr>
          <w:rFonts w:ascii="Times New Roman" w:hAnsi="Times New Roman" w:cs="Times New Roman"/>
          <w:szCs w:val="24"/>
        </w:rPr>
        <w:fldChar w:fldCharType="separate"/>
      </w:r>
      <w:r>
        <w:rPr>
          <w:rFonts w:hint="eastAsia"/>
        </w:rPr>
        <w:t>2.2.2 低压裸露导线绝缘安全保护套</w:t>
      </w:r>
      <w:r>
        <w:t>使用条件要求</w:t>
      </w:r>
      <w:r>
        <w:tab/>
      </w:r>
      <w:r>
        <w:fldChar w:fldCharType="begin"/>
      </w:r>
      <w:r>
        <w:instrText xml:space="preserve"> PAGEREF _Toc13463 \h </w:instrText>
      </w:r>
      <w:r>
        <w:fldChar w:fldCharType="separate"/>
      </w:r>
      <w:r>
        <w:t>7</w:t>
      </w:r>
      <w:r>
        <w:fldChar w:fldCharType="end"/>
      </w:r>
      <w:r>
        <w:rPr>
          <w:rFonts w:ascii="Times New Roman" w:hAnsi="Times New Roman" w:cs="Times New Roman"/>
          <w:szCs w:val="24"/>
        </w:rPr>
        <w:fldChar w:fldCharType="end"/>
      </w:r>
    </w:p>
    <w:p>
      <w:pPr>
        <w:pStyle w:val="17"/>
        <w:tabs>
          <w:tab w:val="right" w:leader="dot" w:pos="8306"/>
        </w:tabs>
      </w:pPr>
      <w:r>
        <w:rPr>
          <w:rFonts w:ascii="Times New Roman" w:hAnsi="Times New Roman" w:cs="Times New Roman"/>
          <w:szCs w:val="24"/>
        </w:rPr>
        <w:fldChar w:fldCharType="begin"/>
      </w:r>
      <w:r>
        <w:rPr>
          <w:rFonts w:ascii="Times New Roman" w:hAnsi="Times New Roman" w:cs="Times New Roman"/>
          <w:szCs w:val="24"/>
        </w:rPr>
        <w:instrText xml:space="preserve"> HYPERLINK \l _Toc19033 </w:instrText>
      </w:r>
      <w:r>
        <w:rPr>
          <w:rFonts w:ascii="Times New Roman" w:hAnsi="Times New Roman" w:cs="Times New Roman"/>
          <w:szCs w:val="24"/>
        </w:rPr>
        <w:fldChar w:fldCharType="separate"/>
      </w:r>
      <w:r>
        <w:t>2.</w:t>
      </w:r>
      <w:r>
        <w:rPr>
          <w:rFonts w:hint="eastAsia"/>
        </w:rPr>
        <w:t>2.3 低压裸露导线绝缘安全保护套</w:t>
      </w:r>
      <w:r>
        <w:t>技术参数和性能要求</w:t>
      </w:r>
      <w:r>
        <w:tab/>
      </w:r>
      <w:r>
        <w:fldChar w:fldCharType="begin"/>
      </w:r>
      <w:r>
        <w:instrText xml:space="preserve"> PAGEREF _Toc19033 \h </w:instrText>
      </w:r>
      <w:r>
        <w:fldChar w:fldCharType="separate"/>
      </w:r>
      <w:r>
        <w:t>7</w:t>
      </w:r>
      <w:r>
        <w:fldChar w:fldCharType="end"/>
      </w:r>
      <w:r>
        <w:rPr>
          <w:rFonts w:ascii="Times New Roman" w:hAnsi="Times New Roman" w:cs="Times New Roman"/>
          <w:szCs w:val="24"/>
        </w:rPr>
        <w:fldChar w:fldCharType="end"/>
      </w:r>
    </w:p>
    <w:p>
      <w:pPr>
        <w:pStyle w:val="17"/>
        <w:tabs>
          <w:tab w:val="right" w:leader="dot" w:pos="8306"/>
        </w:tabs>
      </w:pPr>
      <w:r>
        <w:rPr>
          <w:rFonts w:ascii="Times New Roman" w:hAnsi="Times New Roman" w:cs="Times New Roman"/>
          <w:szCs w:val="24"/>
        </w:rPr>
        <w:fldChar w:fldCharType="begin"/>
      </w:r>
      <w:r>
        <w:rPr>
          <w:rFonts w:ascii="Times New Roman" w:hAnsi="Times New Roman" w:cs="Times New Roman"/>
          <w:szCs w:val="24"/>
        </w:rPr>
        <w:instrText xml:space="preserve"> HYPERLINK \l _Toc29222 </w:instrText>
      </w:r>
      <w:r>
        <w:rPr>
          <w:rFonts w:ascii="Times New Roman" w:hAnsi="Times New Roman" w:cs="Times New Roman"/>
          <w:szCs w:val="24"/>
        </w:rPr>
        <w:fldChar w:fldCharType="separate"/>
      </w:r>
      <w:r>
        <w:t>2.</w:t>
      </w:r>
      <w:r>
        <w:rPr>
          <w:rFonts w:hint="eastAsia"/>
        </w:rPr>
        <w:t>2.4</w:t>
      </w:r>
      <w:r>
        <w:t xml:space="preserve"> </w:t>
      </w:r>
      <w:r>
        <w:rPr>
          <w:rFonts w:hint="eastAsia"/>
        </w:rPr>
        <w:t>产品配置表</w:t>
      </w:r>
      <w:r>
        <w:tab/>
      </w:r>
      <w:r>
        <w:fldChar w:fldCharType="begin"/>
      </w:r>
      <w:r>
        <w:instrText xml:space="preserve"> PAGEREF _Toc29222 \h </w:instrText>
      </w:r>
      <w:r>
        <w:fldChar w:fldCharType="separate"/>
      </w:r>
      <w:r>
        <w:t>7</w:t>
      </w:r>
      <w:r>
        <w:fldChar w:fldCharType="end"/>
      </w:r>
      <w:r>
        <w:rPr>
          <w:rFonts w:ascii="Times New Roman" w:hAnsi="Times New Roman" w:cs="Times New Roman"/>
          <w:szCs w:val="24"/>
        </w:rPr>
        <w:fldChar w:fldCharType="end"/>
      </w:r>
    </w:p>
    <w:p>
      <w:pPr>
        <w:pStyle w:val="23"/>
        <w:tabs>
          <w:tab w:val="right" w:leader="dot" w:pos="8306"/>
        </w:tabs>
      </w:pPr>
      <w:r>
        <w:rPr>
          <w:rFonts w:ascii="Times New Roman" w:hAnsi="Times New Roman" w:cs="Times New Roman"/>
          <w:szCs w:val="24"/>
        </w:rPr>
        <w:fldChar w:fldCharType="begin"/>
      </w:r>
      <w:r>
        <w:rPr>
          <w:rFonts w:ascii="Times New Roman" w:hAnsi="Times New Roman" w:cs="Times New Roman"/>
          <w:szCs w:val="24"/>
        </w:rPr>
        <w:instrText xml:space="preserve"> HYPERLINK \l _Toc32695 </w:instrText>
      </w:r>
      <w:r>
        <w:rPr>
          <w:rFonts w:ascii="Times New Roman" w:hAnsi="Times New Roman" w:cs="Times New Roman"/>
          <w:szCs w:val="24"/>
        </w:rPr>
        <w:fldChar w:fldCharType="separate"/>
      </w:r>
      <w:r>
        <w:rPr>
          <w:rFonts w:hint="eastAsia"/>
        </w:rPr>
        <w:t>三</w:t>
      </w:r>
      <w:r>
        <w:t>、</w:t>
      </w:r>
      <w:r>
        <w:rPr>
          <w:rFonts w:hint="eastAsia"/>
        </w:rPr>
        <w:t>包装和运输</w:t>
      </w:r>
      <w:r>
        <w:tab/>
      </w:r>
      <w:r>
        <w:fldChar w:fldCharType="begin"/>
      </w:r>
      <w:r>
        <w:instrText xml:space="preserve"> PAGEREF _Toc32695 \h </w:instrText>
      </w:r>
      <w:r>
        <w:fldChar w:fldCharType="separate"/>
      </w:r>
      <w:r>
        <w:t>8</w:t>
      </w:r>
      <w:r>
        <w:fldChar w:fldCharType="end"/>
      </w:r>
      <w:r>
        <w:rPr>
          <w:rFonts w:ascii="Times New Roman" w:hAnsi="Times New Roman" w:cs="Times New Roman"/>
          <w:szCs w:val="24"/>
        </w:rPr>
        <w:fldChar w:fldCharType="end"/>
      </w:r>
    </w:p>
    <w:p>
      <w:pPr>
        <w:pStyle w:val="23"/>
        <w:tabs>
          <w:tab w:val="right" w:leader="dot" w:pos="8306"/>
        </w:tabs>
      </w:pPr>
      <w:r>
        <w:rPr>
          <w:rFonts w:ascii="Times New Roman" w:hAnsi="Times New Roman" w:cs="Times New Roman"/>
          <w:szCs w:val="24"/>
        </w:rPr>
        <w:fldChar w:fldCharType="begin"/>
      </w:r>
      <w:r>
        <w:rPr>
          <w:rFonts w:ascii="Times New Roman" w:hAnsi="Times New Roman" w:cs="Times New Roman"/>
          <w:szCs w:val="24"/>
        </w:rPr>
        <w:instrText xml:space="preserve"> HYPERLINK \l _Toc18312 </w:instrText>
      </w:r>
      <w:r>
        <w:rPr>
          <w:rFonts w:ascii="Times New Roman" w:hAnsi="Times New Roman" w:cs="Times New Roman"/>
          <w:szCs w:val="24"/>
        </w:rPr>
        <w:fldChar w:fldCharType="separate"/>
      </w:r>
      <w:r>
        <w:rPr>
          <w:rFonts w:hint="eastAsia"/>
        </w:rPr>
        <w:t>四</w:t>
      </w:r>
      <w:r>
        <w:t>、</w:t>
      </w:r>
      <w:r>
        <w:rPr>
          <w:rFonts w:hint="eastAsia"/>
        </w:rPr>
        <w:t>技术服务</w:t>
      </w:r>
      <w:r>
        <w:tab/>
      </w:r>
      <w:r>
        <w:fldChar w:fldCharType="begin"/>
      </w:r>
      <w:r>
        <w:instrText xml:space="preserve"> PAGEREF _Toc18312 \h </w:instrText>
      </w:r>
      <w:r>
        <w:fldChar w:fldCharType="separate"/>
      </w:r>
      <w:r>
        <w:t>8</w:t>
      </w:r>
      <w:r>
        <w:fldChar w:fldCharType="end"/>
      </w:r>
      <w:r>
        <w:rPr>
          <w:rFonts w:ascii="Times New Roman" w:hAnsi="Times New Roman" w:cs="Times New Roman"/>
          <w:szCs w:val="24"/>
        </w:rPr>
        <w:fldChar w:fldCharType="end"/>
      </w:r>
    </w:p>
    <w:p>
      <w:pPr>
        <w:pStyle w:val="23"/>
        <w:tabs>
          <w:tab w:val="right" w:leader="dot" w:pos="8306"/>
        </w:tabs>
      </w:pPr>
      <w:r>
        <w:rPr>
          <w:rFonts w:ascii="Times New Roman" w:hAnsi="Times New Roman" w:cs="Times New Roman"/>
          <w:szCs w:val="24"/>
        </w:rPr>
        <w:fldChar w:fldCharType="begin"/>
      </w:r>
      <w:r>
        <w:rPr>
          <w:rFonts w:ascii="Times New Roman" w:hAnsi="Times New Roman" w:cs="Times New Roman"/>
          <w:szCs w:val="24"/>
        </w:rPr>
        <w:instrText xml:space="preserve"> HYPERLINK \l _Toc24630 </w:instrText>
      </w:r>
      <w:r>
        <w:rPr>
          <w:rFonts w:ascii="Times New Roman" w:hAnsi="Times New Roman" w:cs="Times New Roman"/>
          <w:szCs w:val="24"/>
        </w:rPr>
        <w:fldChar w:fldCharType="separate"/>
      </w:r>
      <w:r>
        <w:rPr>
          <w:rFonts w:hint="eastAsia"/>
        </w:rPr>
        <w:t>五、质量保证和试验</w:t>
      </w:r>
      <w:r>
        <w:tab/>
      </w:r>
      <w:r>
        <w:fldChar w:fldCharType="begin"/>
      </w:r>
      <w:r>
        <w:instrText xml:space="preserve"> PAGEREF _Toc24630 \h </w:instrText>
      </w:r>
      <w:r>
        <w:fldChar w:fldCharType="separate"/>
      </w:r>
      <w:r>
        <w:t>9</w:t>
      </w:r>
      <w:r>
        <w:fldChar w:fldCharType="end"/>
      </w:r>
      <w:r>
        <w:rPr>
          <w:rFonts w:ascii="Times New Roman" w:hAnsi="Times New Roman" w:cs="Times New Roman"/>
          <w:szCs w:val="24"/>
        </w:rPr>
        <w:fldChar w:fldCharType="end"/>
      </w:r>
    </w:p>
    <w:p>
      <w:pPr>
        <w:pStyle w:val="23"/>
        <w:tabs>
          <w:tab w:val="right" w:leader="dot" w:pos="8306"/>
        </w:tabs>
      </w:pPr>
      <w:r>
        <w:rPr>
          <w:rFonts w:ascii="Times New Roman" w:hAnsi="Times New Roman" w:cs="Times New Roman"/>
          <w:szCs w:val="24"/>
        </w:rPr>
        <w:fldChar w:fldCharType="begin"/>
      </w:r>
      <w:r>
        <w:rPr>
          <w:rFonts w:ascii="Times New Roman" w:hAnsi="Times New Roman" w:cs="Times New Roman"/>
          <w:szCs w:val="24"/>
        </w:rPr>
        <w:instrText xml:space="preserve"> HYPERLINK \l _Toc16566 </w:instrText>
      </w:r>
      <w:r>
        <w:rPr>
          <w:rFonts w:ascii="Times New Roman" w:hAnsi="Times New Roman" w:cs="Times New Roman"/>
          <w:szCs w:val="24"/>
        </w:rPr>
        <w:fldChar w:fldCharType="separate"/>
      </w:r>
      <w:r>
        <w:rPr>
          <w:rFonts w:hint="eastAsia"/>
        </w:rPr>
        <w:t>六</w:t>
      </w:r>
      <w:r>
        <w:t>、</w:t>
      </w:r>
      <w:r>
        <w:rPr>
          <w:rFonts w:hint="eastAsia"/>
        </w:rPr>
        <w:t>货物验收</w:t>
      </w:r>
      <w:r>
        <w:tab/>
      </w:r>
      <w:r>
        <w:fldChar w:fldCharType="begin"/>
      </w:r>
      <w:r>
        <w:instrText xml:space="preserve"> PAGEREF _Toc16566 \h </w:instrText>
      </w:r>
      <w:r>
        <w:fldChar w:fldCharType="separate"/>
      </w:r>
      <w:r>
        <w:t>10</w:t>
      </w:r>
      <w:r>
        <w:fldChar w:fldCharType="end"/>
      </w:r>
      <w:r>
        <w:rPr>
          <w:rFonts w:ascii="Times New Roman" w:hAnsi="Times New Roman" w:cs="Times New Roman"/>
          <w:szCs w:val="24"/>
        </w:rPr>
        <w:fldChar w:fldCharType="end"/>
      </w:r>
    </w:p>
    <w:p>
      <w:pPr>
        <w:pStyle w:val="23"/>
        <w:tabs>
          <w:tab w:val="right" w:leader="dot" w:pos="8306"/>
        </w:tabs>
      </w:pPr>
      <w:r>
        <w:rPr>
          <w:rFonts w:ascii="Times New Roman" w:hAnsi="Times New Roman" w:cs="Times New Roman"/>
          <w:szCs w:val="24"/>
        </w:rPr>
        <w:fldChar w:fldCharType="begin"/>
      </w:r>
      <w:r>
        <w:rPr>
          <w:rFonts w:ascii="Times New Roman" w:hAnsi="Times New Roman" w:cs="Times New Roman"/>
          <w:szCs w:val="24"/>
        </w:rPr>
        <w:instrText xml:space="preserve"> HYPERLINK \l _Toc28361 </w:instrText>
      </w:r>
      <w:r>
        <w:rPr>
          <w:rFonts w:ascii="Times New Roman" w:hAnsi="Times New Roman" w:cs="Times New Roman"/>
          <w:szCs w:val="24"/>
        </w:rPr>
        <w:fldChar w:fldCharType="separate"/>
      </w:r>
      <w:r>
        <w:rPr>
          <w:rFonts w:hint="eastAsia"/>
        </w:rPr>
        <w:t>七</w:t>
      </w:r>
      <w:r>
        <w:t>、售后服务</w:t>
      </w:r>
      <w:r>
        <w:tab/>
      </w:r>
      <w:r>
        <w:fldChar w:fldCharType="begin"/>
      </w:r>
      <w:r>
        <w:instrText xml:space="preserve"> PAGEREF _Toc28361 \h </w:instrText>
      </w:r>
      <w:r>
        <w:fldChar w:fldCharType="separate"/>
      </w:r>
      <w:r>
        <w:t>11</w:t>
      </w:r>
      <w:r>
        <w:fldChar w:fldCharType="end"/>
      </w:r>
      <w:r>
        <w:rPr>
          <w:rFonts w:ascii="Times New Roman" w:hAnsi="Times New Roman" w:cs="Times New Roman"/>
          <w:szCs w:val="24"/>
        </w:rPr>
        <w:fldChar w:fldCharType="end"/>
      </w:r>
    </w:p>
    <w:p>
      <w:pPr>
        <w:pStyle w:val="23"/>
        <w:tabs>
          <w:tab w:val="right" w:leader="dot" w:pos="8306"/>
        </w:tabs>
      </w:pPr>
      <w:r>
        <w:rPr>
          <w:rFonts w:ascii="Times New Roman" w:hAnsi="Times New Roman" w:cs="Times New Roman"/>
          <w:szCs w:val="24"/>
        </w:rPr>
        <w:fldChar w:fldCharType="begin"/>
      </w:r>
      <w:r>
        <w:rPr>
          <w:rFonts w:ascii="Times New Roman" w:hAnsi="Times New Roman" w:cs="Times New Roman"/>
          <w:szCs w:val="24"/>
        </w:rPr>
        <w:instrText xml:space="preserve"> HYPERLINK \l _Toc18507 </w:instrText>
      </w:r>
      <w:r>
        <w:rPr>
          <w:rFonts w:ascii="Times New Roman" w:hAnsi="Times New Roman" w:cs="Times New Roman"/>
          <w:szCs w:val="24"/>
        </w:rPr>
        <w:fldChar w:fldCharType="separate"/>
      </w:r>
      <w:r>
        <w:rPr>
          <w:rFonts w:hint="eastAsia"/>
        </w:rPr>
        <w:t>八</w:t>
      </w:r>
      <w:r>
        <w:t>、其他相关要求</w:t>
      </w:r>
      <w:r>
        <w:tab/>
      </w:r>
      <w:r>
        <w:fldChar w:fldCharType="begin"/>
      </w:r>
      <w:r>
        <w:instrText xml:space="preserve"> PAGEREF _Toc18507 \h </w:instrText>
      </w:r>
      <w:r>
        <w:fldChar w:fldCharType="separate"/>
      </w:r>
      <w:r>
        <w:t>12</w:t>
      </w:r>
      <w:r>
        <w:fldChar w:fldCharType="end"/>
      </w:r>
      <w:r>
        <w:rPr>
          <w:rFonts w:ascii="Times New Roman" w:hAnsi="Times New Roman" w:cs="Times New Roman"/>
          <w:szCs w:val="24"/>
        </w:rPr>
        <w:fldChar w:fldCharType="end"/>
      </w:r>
    </w:p>
    <w:p>
      <w:pPr>
        <w:pStyle w:val="23"/>
        <w:tabs>
          <w:tab w:val="right" w:leader="dot" w:pos="8306"/>
        </w:tabs>
      </w:pPr>
      <w:r>
        <w:rPr>
          <w:rFonts w:ascii="Times New Roman" w:hAnsi="Times New Roman" w:cs="Times New Roman"/>
          <w:szCs w:val="24"/>
        </w:rPr>
        <w:fldChar w:fldCharType="begin"/>
      </w:r>
      <w:r>
        <w:rPr>
          <w:rFonts w:ascii="Times New Roman" w:hAnsi="Times New Roman" w:cs="Times New Roman"/>
          <w:szCs w:val="24"/>
        </w:rPr>
        <w:instrText xml:space="preserve"> HYPERLINK \l _Toc22855 </w:instrText>
      </w:r>
      <w:r>
        <w:rPr>
          <w:rFonts w:ascii="Times New Roman" w:hAnsi="Times New Roman" w:cs="Times New Roman"/>
          <w:szCs w:val="24"/>
        </w:rPr>
        <w:fldChar w:fldCharType="separate"/>
      </w:r>
      <w:r>
        <w:t>附件</w:t>
      </w:r>
      <w:r>
        <w:tab/>
      </w:r>
      <w:r>
        <w:fldChar w:fldCharType="begin"/>
      </w:r>
      <w:r>
        <w:instrText xml:space="preserve"> PAGEREF _Toc22855 \h </w:instrText>
      </w:r>
      <w:r>
        <w:fldChar w:fldCharType="separate"/>
      </w:r>
      <w:r>
        <w:t>13</w:t>
      </w:r>
      <w:r>
        <w:fldChar w:fldCharType="end"/>
      </w:r>
      <w:r>
        <w:rPr>
          <w:rFonts w:ascii="Times New Roman" w:hAnsi="Times New Roman" w:cs="Times New Roman"/>
          <w:szCs w:val="24"/>
        </w:rPr>
        <w:fldChar w:fldCharType="end"/>
      </w:r>
    </w:p>
    <w:p>
      <w:pPr>
        <w:pStyle w:val="26"/>
        <w:tabs>
          <w:tab w:val="right" w:leader="dot" w:pos="8306"/>
        </w:tabs>
      </w:pPr>
      <w:r>
        <w:rPr>
          <w:rFonts w:ascii="Times New Roman" w:hAnsi="Times New Roman" w:cs="Times New Roman"/>
          <w:szCs w:val="24"/>
        </w:rPr>
        <w:fldChar w:fldCharType="begin"/>
      </w:r>
      <w:r>
        <w:rPr>
          <w:rFonts w:ascii="Times New Roman" w:hAnsi="Times New Roman" w:cs="Times New Roman"/>
          <w:szCs w:val="24"/>
        </w:rPr>
        <w:instrText xml:space="preserve"> HYPERLINK \l _Toc13248 </w:instrText>
      </w:r>
      <w:r>
        <w:rPr>
          <w:rFonts w:ascii="Times New Roman" w:hAnsi="Times New Roman" w:cs="Times New Roman"/>
          <w:szCs w:val="24"/>
        </w:rPr>
        <w:fldChar w:fldCharType="separate"/>
      </w:r>
      <w:r>
        <w:rPr>
          <w:rFonts w:hint="eastAsia"/>
        </w:rPr>
        <w:t>1、差异表</w:t>
      </w:r>
      <w:r>
        <w:tab/>
      </w:r>
      <w:r>
        <w:fldChar w:fldCharType="begin"/>
      </w:r>
      <w:r>
        <w:instrText xml:space="preserve"> PAGEREF _Toc13248 \h </w:instrText>
      </w:r>
      <w:r>
        <w:fldChar w:fldCharType="separate"/>
      </w:r>
      <w:r>
        <w:t>13</w:t>
      </w:r>
      <w:r>
        <w:fldChar w:fldCharType="end"/>
      </w:r>
      <w:r>
        <w:rPr>
          <w:rFonts w:ascii="Times New Roman" w:hAnsi="Times New Roman" w:cs="Times New Roman"/>
          <w:szCs w:val="24"/>
        </w:rPr>
        <w:fldChar w:fldCharType="end"/>
      </w:r>
    </w:p>
    <w:p>
      <w:pPr>
        <w:pStyle w:val="26"/>
        <w:tabs>
          <w:tab w:val="right" w:leader="dot" w:pos="8306"/>
        </w:tabs>
      </w:pPr>
      <w:r>
        <w:rPr>
          <w:rFonts w:ascii="Times New Roman" w:hAnsi="Times New Roman" w:cs="Times New Roman"/>
          <w:szCs w:val="24"/>
        </w:rPr>
        <w:fldChar w:fldCharType="begin"/>
      </w:r>
      <w:r>
        <w:rPr>
          <w:rFonts w:ascii="Times New Roman" w:hAnsi="Times New Roman" w:cs="Times New Roman"/>
          <w:szCs w:val="24"/>
        </w:rPr>
        <w:instrText xml:space="preserve"> HYPERLINK \l _Toc2618 </w:instrText>
      </w:r>
      <w:r>
        <w:rPr>
          <w:rFonts w:ascii="Times New Roman" w:hAnsi="Times New Roman" w:cs="Times New Roman"/>
          <w:szCs w:val="24"/>
        </w:rPr>
        <w:fldChar w:fldCharType="separate"/>
      </w:r>
      <w:r>
        <w:rPr>
          <w:rFonts w:hint="eastAsia"/>
        </w:rPr>
        <w:t>2、投标方需要说明的其它问题</w:t>
      </w:r>
      <w:r>
        <w:tab/>
      </w:r>
      <w:r>
        <w:fldChar w:fldCharType="begin"/>
      </w:r>
      <w:r>
        <w:instrText xml:space="preserve"> PAGEREF _Toc2618 \h </w:instrText>
      </w:r>
      <w:r>
        <w:fldChar w:fldCharType="separate"/>
      </w:r>
      <w:r>
        <w:t>13</w:t>
      </w:r>
      <w:r>
        <w:fldChar w:fldCharType="end"/>
      </w:r>
      <w:r>
        <w:rPr>
          <w:rFonts w:ascii="Times New Roman" w:hAnsi="Times New Roman" w:cs="Times New Roman"/>
          <w:szCs w:val="24"/>
        </w:rPr>
        <w:fldChar w:fldCharType="end"/>
      </w:r>
    </w:p>
    <w:p>
      <w:pPr>
        <w:ind w:firstLine="480"/>
        <w:rPr>
          <w:rFonts w:ascii="Times New Roman" w:hAnsi="Times New Roman" w:cs="Times New Roman"/>
        </w:rPr>
        <w:sectPr>
          <w:headerReference r:id="rId7" w:type="first"/>
          <w:footerReference r:id="rId10" w:type="first"/>
          <w:headerReference r:id="rId5" w:type="default"/>
          <w:footerReference r:id="rId8" w:type="default"/>
          <w:headerReference r:id="rId6" w:type="even"/>
          <w:footerReference r:id="rId9" w:type="even"/>
          <w:pgSz w:w="11906" w:h="16838"/>
          <w:pgMar w:top="1440" w:right="1800" w:bottom="1440" w:left="1800" w:header="851" w:footer="992" w:gutter="0"/>
          <w:cols w:space="720" w:num="1"/>
          <w:docGrid w:type="lines" w:linePitch="312" w:charSpace="0"/>
        </w:sectPr>
      </w:pPr>
      <w:r>
        <w:rPr>
          <w:rFonts w:ascii="Times New Roman" w:hAnsi="Times New Roman" w:cs="Times New Roman"/>
          <w:szCs w:val="24"/>
        </w:rPr>
        <w:fldChar w:fldCharType="end"/>
      </w:r>
    </w:p>
    <w:p>
      <w:pPr>
        <w:pStyle w:val="4"/>
        <w:numPr>
          <w:ilvl w:val="255"/>
          <w:numId w:val="0"/>
        </w:numPr>
        <w:spacing w:line="240" w:lineRule="auto"/>
      </w:pPr>
      <w:bookmarkStart w:id="0" w:name="_Toc353940788"/>
      <w:bookmarkStart w:id="1" w:name="_Toc29178"/>
      <w:bookmarkStart w:id="2" w:name="_Toc444945507"/>
      <w:bookmarkStart w:id="3" w:name="_Toc30621"/>
      <w:bookmarkStart w:id="4" w:name="_Toc9778"/>
      <w:bookmarkStart w:id="5" w:name="_Toc11001"/>
      <w:bookmarkStart w:id="6" w:name="_Toc22186"/>
      <w:bookmarkStart w:id="7" w:name="_Toc299606277"/>
      <w:bookmarkStart w:id="8" w:name="_Toc353939550"/>
      <w:r>
        <w:t>一、总则</w:t>
      </w:r>
      <w:bookmarkEnd w:id="0"/>
      <w:bookmarkEnd w:id="1"/>
      <w:bookmarkEnd w:id="2"/>
      <w:bookmarkEnd w:id="3"/>
      <w:bookmarkEnd w:id="4"/>
      <w:bookmarkEnd w:id="5"/>
      <w:bookmarkEnd w:id="6"/>
      <w:bookmarkEnd w:id="7"/>
      <w:bookmarkEnd w:id="8"/>
    </w:p>
    <w:p>
      <w:pPr>
        <w:pStyle w:val="5"/>
        <w:spacing w:before="0" w:line="240" w:lineRule="auto"/>
      </w:pPr>
      <w:bookmarkStart w:id="9" w:name="_Toc11953"/>
      <w:bookmarkStart w:id="10" w:name="_Toc444945508"/>
      <w:bookmarkStart w:id="11" w:name="_Toc13369"/>
      <w:bookmarkStart w:id="12" w:name="_Toc15154"/>
      <w:bookmarkStart w:id="13" w:name="_Toc221"/>
      <w:bookmarkStart w:id="14" w:name="_Toc28440"/>
      <w:bookmarkStart w:id="15" w:name="_Toc318799924"/>
      <w:r>
        <w:rPr>
          <w:rFonts w:hint="eastAsia"/>
        </w:rPr>
        <w:t>1.1 一般要求</w:t>
      </w:r>
      <w:bookmarkEnd w:id="9"/>
      <w:bookmarkEnd w:id="10"/>
      <w:bookmarkEnd w:id="11"/>
      <w:bookmarkEnd w:id="12"/>
      <w:bookmarkEnd w:id="13"/>
      <w:bookmarkEnd w:id="14"/>
      <w:bookmarkEnd w:id="15"/>
    </w:p>
    <w:p>
      <w:pPr>
        <w:ind w:firstLine="480"/>
        <w:rPr>
          <w:rFonts w:ascii="宋体" w:hAnsi="宋体" w:cs="宋体"/>
        </w:rPr>
      </w:pPr>
      <w:bookmarkStart w:id="16" w:name="_Toc353939553"/>
      <w:bookmarkStart w:id="17" w:name="_Toc299606280"/>
      <w:bookmarkStart w:id="18" w:name="_Toc353940791"/>
      <w:bookmarkStart w:id="19" w:name="_Toc444945511"/>
      <w:r>
        <w:rPr>
          <w:rFonts w:hint="eastAsia" w:ascii="宋体" w:hAnsi="宋体" w:cs="宋体"/>
        </w:rPr>
        <w:t>1.1.1 本技术条款主要描述</w:t>
      </w:r>
      <w:r>
        <w:rPr>
          <w:rFonts w:hint="eastAsia" w:ascii="宋体" w:hAnsi="宋体" w:cs="宋体"/>
          <w:u w:val="single"/>
        </w:rPr>
        <w:t>广西送变电建设有限责任公司</w:t>
      </w:r>
      <w:r>
        <w:rPr>
          <w:rFonts w:hint="eastAsia" w:ascii="宋体" w:hAnsi="宋体" w:cs="宋体"/>
          <w:u w:val="single"/>
          <w:lang w:eastAsia="zh-CN"/>
        </w:rPr>
        <w:t>“</w:t>
      </w:r>
      <w:r>
        <w:rPr>
          <w:rFonts w:hint="eastAsia" w:ascii="宋体" w:hAnsi="宋体" w:cs="宋体"/>
          <w:bCs/>
          <w:u w:val="single"/>
        </w:rPr>
        <w:t>低压裸露导线绝缘安全保护套</w:t>
      </w:r>
      <w:r>
        <w:rPr>
          <w:rFonts w:hint="eastAsia" w:ascii="宋体" w:hAnsi="宋体" w:cs="宋体"/>
          <w:bCs/>
          <w:u w:val="single"/>
          <w:lang w:eastAsia="zh-CN"/>
        </w:rPr>
        <w:t>”OEM</w:t>
      </w:r>
      <w:r>
        <w:rPr>
          <w:rFonts w:hint="eastAsia" w:ascii="宋体" w:hAnsi="宋体" w:cs="宋体"/>
          <w:bCs/>
          <w:u w:val="single"/>
        </w:rPr>
        <w:t>外委框架加工服务项目</w:t>
      </w:r>
      <w:r>
        <w:rPr>
          <w:rFonts w:hint="eastAsia" w:ascii="宋体" w:hAnsi="宋体" w:cs="宋体"/>
        </w:rPr>
        <w:t>内容有关事项。投标方必须认真阅读本技术条款内容，以免造成投标失败。</w:t>
      </w:r>
    </w:p>
    <w:p>
      <w:pPr>
        <w:ind w:firstLine="480"/>
        <w:rPr>
          <w:rFonts w:ascii="宋体" w:hAnsi="宋体" w:cs="宋体"/>
        </w:rPr>
      </w:pPr>
      <w:r>
        <w:rPr>
          <w:rFonts w:hint="eastAsia" w:ascii="宋体" w:hAnsi="宋体" w:cs="宋体"/>
        </w:rPr>
        <w:t>1.1.2 本技术规范书提出的是最低限度的技术要求, 并未对一切技术细节作出规定，也未充分引述有关标准和规范的条文。投标方应提供符合本招标技术文件和工业标准的优质产品、服务，认真阅读，逐条准确回答和陈述，必须清楚地说明是否满足本技术规范书的每一项具体要求。如果不满足要求，除在逐条应答时予以说明外，还需以“差异表”的形式另外列出。</w:t>
      </w:r>
    </w:p>
    <w:p>
      <w:pPr>
        <w:ind w:firstLine="480"/>
        <w:jc w:val="left"/>
        <w:rPr>
          <w:rFonts w:ascii="宋体" w:hAnsi="宋体" w:cs="宋体"/>
        </w:rPr>
      </w:pPr>
      <w:r>
        <w:rPr>
          <w:rFonts w:hint="eastAsia" w:ascii="宋体" w:hAnsi="宋体" w:cs="宋体"/>
        </w:rPr>
        <w:t>1.1.3 本规范书指标要求中，凡标有下划线或加“★”的地方均被视为重要的技术指标要求或性能要求。投标方要特别加以注意，需详细描述，完全满足这些要求。</w:t>
      </w:r>
    </w:p>
    <w:p>
      <w:pPr>
        <w:ind w:firstLine="480"/>
        <w:rPr>
          <w:rFonts w:ascii="宋体" w:hAnsi="宋体" w:cs="宋体"/>
        </w:rPr>
      </w:pPr>
      <w:r>
        <w:rPr>
          <w:rFonts w:hint="eastAsia" w:ascii="宋体" w:hAnsi="宋体" w:cs="宋体"/>
        </w:rPr>
        <w:t>1.1.4 投标方应提供满足本技术规范书要求的建议书、实施方案及报价，建议书、实施方案必须满足本技术规范的主要要求，否则将被认作没有回答。投标方认为需特殊说明的部分，应附详细的技术资料，否则因评标理解不同而产生的后果由投标方负责。</w:t>
      </w:r>
    </w:p>
    <w:p>
      <w:pPr>
        <w:ind w:firstLine="480"/>
        <w:rPr>
          <w:rFonts w:ascii="宋体" w:hAnsi="宋体" w:cs="宋体"/>
        </w:rPr>
      </w:pPr>
      <w:r>
        <w:rPr>
          <w:rFonts w:hint="eastAsia" w:ascii="宋体" w:hAnsi="宋体" w:cs="宋体"/>
        </w:rPr>
        <w:t>1.1.5 如果投标方认为本技术条款所描述技术要求等存在不合理性或不明白的，可在响应原要求后陈述相关建议。</w:t>
      </w:r>
    </w:p>
    <w:p>
      <w:pPr>
        <w:ind w:firstLine="480"/>
        <w:rPr>
          <w:rFonts w:ascii="宋体" w:hAnsi="宋体" w:cs="宋体"/>
        </w:rPr>
      </w:pPr>
      <w:r>
        <w:rPr>
          <w:rFonts w:hint="eastAsia" w:ascii="宋体" w:hAnsi="宋体" w:cs="宋体"/>
        </w:rPr>
        <w:t>1.1.6 投标方也可提出满足本技术规范书要求，且技术先进、成熟、价格合理的其他建议，供招标方选择。</w:t>
      </w:r>
    </w:p>
    <w:p>
      <w:pPr>
        <w:ind w:firstLine="480"/>
        <w:rPr>
          <w:rFonts w:ascii="宋体" w:hAnsi="宋体" w:cs="宋体"/>
        </w:rPr>
      </w:pPr>
      <w:r>
        <w:rPr>
          <w:rFonts w:hint="eastAsia" w:ascii="宋体" w:hAnsi="宋体" w:cs="宋体"/>
        </w:rPr>
        <w:t>1.1.7 投标方应提供满足本技术规范书要求的完整的服务、工作产品，满足国家及用户提出的有关质量标准要求。所有工作产品必须具有在中国境内的合法使用权。</w:t>
      </w:r>
    </w:p>
    <w:p>
      <w:pPr>
        <w:ind w:firstLine="480"/>
        <w:rPr>
          <w:rFonts w:ascii="宋体" w:hAnsi="宋体" w:cs="宋体"/>
        </w:rPr>
      </w:pPr>
      <w:r>
        <w:rPr>
          <w:rFonts w:hint="eastAsia" w:ascii="宋体" w:hAnsi="宋体" w:cs="宋体"/>
        </w:rPr>
        <w:t>1.1.8 本技术规范书所使用的标准如与投标方所执行的标准不一致，按较高标准执行。</w:t>
      </w:r>
    </w:p>
    <w:p>
      <w:pPr>
        <w:ind w:firstLine="480"/>
        <w:rPr>
          <w:rFonts w:ascii="宋体" w:hAnsi="宋体" w:cs="宋体"/>
        </w:rPr>
      </w:pPr>
      <w:r>
        <w:rPr>
          <w:rFonts w:hint="eastAsia" w:ascii="宋体" w:hAnsi="宋体" w:cs="宋体"/>
        </w:rPr>
        <w:t>1.1.9 如果因为无法提供的原因而提供其他产品、服务，投标方应明确说明并提出质量保证承诺。</w:t>
      </w:r>
    </w:p>
    <w:p>
      <w:pPr>
        <w:ind w:firstLine="480"/>
        <w:rPr>
          <w:rFonts w:ascii="宋体" w:hAnsi="宋体" w:cs="宋体"/>
        </w:rPr>
      </w:pPr>
      <w:r>
        <w:rPr>
          <w:rFonts w:hint="eastAsia" w:ascii="宋体" w:hAnsi="宋体" w:cs="宋体"/>
        </w:rPr>
        <w:t>1.1.10 投标方应保证为今后招标方开发的或招标方委托第三方开发的其他工作产品提供可靠的性能和兼容性。</w:t>
      </w:r>
    </w:p>
    <w:p>
      <w:pPr>
        <w:ind w:firstLine="480"/>
        <w:rPr>
          <w:rFonts w:ascii="宋体" w:hAnsi="宋体" w:cs="宋体"/>
        </w:rPr>
      </w:pPr>
      <w:r>
        <w:rPr>
          <w:rFonts w:hint="eastAsia" w:ascii="宋体" w:hAnsi="宋体" w:cs="宋体"/>
        </w:rPr>
        <w:t>1.1.11 投标方应对本次投标所有文件保密，不得向其他单位公布或泄漏招标项目的有关信息。</w:t>
      </w:r>
    </w:p>
    <w:p>
      <w:pPr>
        <w:ind w:firstLine="480"/>
        <w:rPr>
          <w:rFonts w:ascii="宋体" w:hAnsi="宋体" w:cs="宋体"/>
        </w:rPr>
      </w:pPr>
      <w:r>
        <w:rPr>
          <w:rFonts w:hint="eastAsia" w:ascii="宋体" w:hAnsi="宋体" w:cs="宋体"/>
        </w:rPr>
        <w:t>1.1.12 招标方保留技术规范书修改的权利，可以提出变更的意见和建议，最终签订的技术协议与合同具有同等效力。</w:t>
      </w:r>
    </w:p>
    <w:p>
      <w:pPr>
        <w:ind w:firstLine="480"/>
        <w:rPr>
          <w:rFonts w:ascii="宋体" w:hAnsi="宋体" w:cs="宋体"/>
        </w:rPr>
      </w:pPr>
      <w:r>
        <w:rPr>
          <w:rFonts w:hint="eastAsia" w:ascii="宋体" w:hAnsi="宋体" w:cs="宋体"/>
        </w:rPr>
        <w:t>1.1.13 在不超出本技术规范书要求的情况下，投标方应对招标方提出的所有细化要求予以满足。</w:t>
      </w:r>
    </w:p>
    <w:p>
      <w:pPr>
        <w:ind w:firstLine="480"/>
        <w:rPr>
          <w:rFonts w:ascii="宋体" w:hAnsi="宋体" w:cs="宋体"/>
        </w:rPr>
      </w:pPr>
      <w:r>
        <w:rPr>
          <w:rFonts w:hint="eastAsia" w:ascii="宋体" w:hAnsi="宋体" w:cs="宋体"/>
        </w:rPr>
        <w:t>1.1.14 有文件、图纸、通信的均使用中文。所有计算、说明、图纸文件、手册等使用国际单位制。</w:t>
      </w:r>
    </w:p>
    <w:p>
      <w:pPr>
        <w:pStyle w:val="5"/>
        <w:spacing w:before="0" w:line="240" w:lineRule="auto"/>
      </w:pPr>
      <w:bookmarkStart w:id="20" w:name="_Toc445194080"/>
      <w:bookmarkStart w:id="21" w:name="_Toc261810243"/>
      <w:bookmarkStart w:id="22" w:name="_Toc968"/>
      <w:bookmarkStart w:id="23" w:name="_Toc252485428"/>
      <w:bookmarkStart w:id="24" w:name="_Toc255894290"/>
      <w:bookmarkStart w:id="25" w:name="_Toc27036"/>
      <w:bookmarkStart w:id="26" w:name="_Toc222711875"/>
      <w:bookmarkStart w:id="27" w:name="_Toc252486971"/>
      <w:bookmarkStart w:id="28" w:name="_Toc30864"/>
      <w:bookmarkStart w:id="29" w:name="_Toc582"/>
      <w:bookmarkStart w:id="30" w:name="_Toc293665071"/>
      <w:bookmarkStart w:id="31" w:name="_Toc9069"/>
      <w:bookmarkStart w:id="32" w:name="_Toc12937"/>
      <w:r>
        <w:rPr>
          <w:rFonts w:hint="eastAsia"/>
        </w:rPr>
        <w:t>1.2 标准和规范</w:t>
      </w:r>
      <w:bookmarkEnd w:id="20"/>
      <w:bookmarkEnd w:id="21"/>
      <w:bookmarkEnd w:id="22"/>
      <w:bookmarkEnd w:id="23"/>
      <w:bookmarkEnd w:id="24"/>
      <w:bookmarkEnd w:id="25"/>
      <w:bookmarkEnd w:id="26"/>
      <w:bookmarkEnd w:id="27"/>
      <w:bookmarkEnd w:id="28"/>
      <w:bookmarkEnd w:id="29"/>
      <w:bookmarkEnd w:id="30"/>
      <w:bookmarkEnd w:id="31"/>
      <w:bookmarkEnd w:id="32"/>
    </w:p>
    <w:p>
      <w:pPr>
        <w:autoSpaceDE w:val="0"/>
        <w:autoSpaceDN w:val="0"/>
        <w:adjustRightInd w:val="0"/>
        <w:ind w:firstLine="480"/>
        <w:rPr>
          <w:rFonts w:ascii="宋体" w:hAnsi="宋体" w:cs="宋体"/>
          <w:szCs w:val="21"/>
          <w:lang w:val="zh-CN"/>
        </w:rPr>
      </w:pPr>
      <w:r>
        <w:rPr>
          <w:rFonts w:hint="eastAsia" w:ascii="宋体" w:hAnsi="宋体" w:cs="宋体"/>
        </w:rPr>
        <w:t>本规范书中涉及的所有规范、标准或材料规格均应为最新版本，即以招标方发出本定单之日作为采用最新版本的截止日期。若发现本规范书与所列标准之间有不一致之处，投标方应向招标方指明，并由招标方确定采用哪一个规范。</w:t>
      </w:r>
    </w:p>
    <w:p>
      <w:pPr>
        <w:autoSpaceDE w:val="0"/>
        <w:autoSpaceDN w:val="0"/>
        <w:adjustRightInd w:val="0"/>
        <w:ind w:firstLine="480"/>
        <w:rPr>
          <w:rFonts w:ascii="宋体" w:hAnsi="宋体" w:cs="宋体"/>
          <w:szCs w:val="21"/>
          <w:lang w:val="zh-CN"/>
        </w:rPr>
      </w:pPr>
      <w:r>
        <w:rPr>
          <w:rFonts w:hint="eastAsia" w:ascii="宋体" w:hAnsi="宋体" w:cs="宋体"/>
          <w:szCs w:val="21"/>
          <w:lang w:val="zh-CN"/>
        </w:rPr>
        <w:t>投标方如果采用自己的标准或规范，必须向招标方提供中文复印件并经招标方同意后方可采用，但不能低于</w:t>
      </w:r>
      <w:r>
        <w:rPr>
          <w:rFonts w:hint="eastAsia" w:ascii="宋体" w:hAnsi="宋体" w:cs="宋体"/>
          <w:szCs w:val="21"/>
        </w:rPr>
        <w:t>国家标准</w:t>
      </w:r>
      <w:r>
        <w:rPr>
          <w:rFonts w:hint="eastAsia" w:ascii="宋体" w:hAnsi="宋体" w:cs="宋体"/>
          <w:szCs w:val="21"/>
          <w:lang w:val="zh-CN"/>
        </w:rPr>
        <w:t>GB、</w:t>
      </w:r>
      <w:r>
        <w:rPr>
          <w:rFonts w:hint="eastAsia" w:ascii="宋体" w:hAnsi="宋体" w:cs="宋体"/>
          <w:szCs w:val="21"/>
        </w:rPr>
        <w:t>行业标准</w:t>
      </w:r>
      <w:r>
        <w:rPr>
          <w:rFonts w:hint="eastAsia" w:ascii="宋体" w:hAnsi="宋体" w:cs="宋体"/>
          <w:szCs w:val="21"/>
          <w:lang w:val="zh-CN"/>
        </w:rPr>
        <w:t>JB有关规定。</w:t>
      </w:r>
    </w:p>
    <w:p>
      <w:pPr>
        <w:autoSpaceDE w:val="0"/>
        <w:autoSpaceDN w:val="0"/>
        <w:adjustRightInd w:val="0"/>
        <w:ind w:firstLine="480"/>
        <w:rPr>
          <w:rFonts w:ascii="宋体" w:hAnsi="宋体" w:cs="宋体"/>
          <w:szCs w:val="21"/>
          <w:lang w:val="zh-CN"/>
        </w:rPr>
      </w:pPr>
      <w:r>
        <w:rPr>
          <w:rFonts w:hint="eastAsia" w:ascii="宋体" w:hAnsi="宋体" w:cs="宋体"/>
          <w:szCs w:val="21"/>
          <w:lang w:val="zh-CN"/>
        </w:rPr>
        <w:t>下列标准所包括的条文，通过在本规定中引用而构成本规定的条文。本标准出版时所示版本均为有效。所有标准都会被修订，使用本标准的各方应探讨使用下列标准最新版本的可能性。</w:t>
      </w:r>
    </w:p>
    <w:bookmarkEnd w:id="16"/>
    <w:bookmarkEnd w:id="17"/>
    <w:bookmarkEnd w:id="18"/>
    <w:bookmarkEnd w:id="19"/>
    <w:p>
      <w:pPr>
        <w:autoSpaceDE w:val="0"/>
        <w:autoSpaceDN w:val="0"/>
        <w:adjustRightInd w:val="0"/>
        <w:ind w:firstLine="480"/>
        <w:rPr>
          <w:rFonts w:ascii="宋体" w:hAnsi="宋体" w:cs="宋体"/>
          <w:szCs w:val="21"/>
          <w:lang w:val="zh-CN"/>
        </w:rPr>
      </w:pPr>
      <w:bookmarkStart w:id="33" w:name="_Toc444945516"/>
      <w:r>
        <w:rPr>
          <w:rFonts w:hint="eastAsia" w:ascii="宋体" w:hAnsi="宋体" w:cs="宋体"/>
          <w:szCs w:val="21"/>
          <w:lang w:val="zh-CN"/>
        </w:rPr>
        <w:t>GB 26859-2011 《电力安全工作规程 线路部分》</w:t>
      </w:r>
    </w:p>
    <w:p>
      <w:pPr>
        <w:autoSpaceDE w:val="0"/>
        <w:autoSpaceDN w:val="0"/>
        <w:adjustRightInd w:val="0"/>
        <w:ind w:firstLine="480"/>
        <w:rPr>
          <w:rFonts w:ascii="宋体" w:hAnsi="宋体" w:cs="宋体"/>
          <w:szCs w:val="21"/>
          <w:lang w:val="zh-CN"/>
        </w:rPr>
      </w:pPr>
      <w:r>
        <w:rPr>
          <w:rFonts w:ascii="宋体" w:hAnsi="宋体" w:cs="宋体"/>
          <w:szCs w:val="21"/>
          <w:lang w:val="zh-CN"/>
        </w:rPr>
        <w:t xml:space="preserve">GB/T 5013.4—2008 </w:t>
      </w:r>
      <w:r>
        <w:rPr>
          <w:rFonts w:hint="eastAsia" w:ascii="宋体" w:hAnsi="宋体" w:cs="宋体"/>
          <w:szCs w:val="21"/>
          <w:lang w:val="zh-CN"/>
        </w:rPr>
        <w:t>《额定电压450/750V及以下橡皮绝缘电缆 第4部分：软线和软电缆》</w:t>
      </w:r>
    </w:p>
    <w:p>
      <w:pPr>
        <w:autoSpaceDE w:val="0"/>
        <w:autoSpaceDN w:val="0"/>
        <w:adjustRightInd w:val="0"/>
        <w:ind w:firstLine="480"/>
        <w:rPr>
          <w:rFonts w:hint="eastAsia" w:ascii="宋体" w:hAnsi="宋体" w:cs="宋体"/>
          <w:szCs w:val="21"/>
          <w:lang w:val="zh-CN"/>
        </w:rPr>
      </w:pPr>
      <w:r>
        <w:rPr>
          <w:rFonts w:hint="eastAsia" w:ascii="宋体" w:hAnsi="宋体" w:cs="宋体"/>
          <w:szCs w:val="21"/>
          <w:lang w:val="zh-CN"/>
        </w:rPr>
        <w:t>D</w:t>
      </w:r>
      <w:r>
        <w:rPr>
          <w:rFonts w:ascii="宋体" w:hAnsi="宋体" w:cs="宋体"/>
          <w:szCs w:val="21"/>
          <w:lang w:val="zh-CN"/>
        </w:rPr>
        <w:t xml:space="preserve">L/T 976-2017 </w:t>
      </w:r>
      <w:r>
        <w:rPr>
          <w:rFonts w:hint="eastAsia" w:ascii="宋体" w:hAnsi="宋体" w:cs="宋体"/>
          <w:szCs w:val="21"/>
          <w:lang w:val="zh-CN"/>
        </w:rPr>
        <w:t>《带电作业工具、装置和设备预防性试验规程》</w:t>
      </w:r>
    </w:p>
    <w:p>
      <w:pPr>
        <w:autoSpaceDE w:val="0"/>
        <w:autoSpaceDN w:val="0"/>
        <w:adjustRightInd w:val="0"/>
        <w:ind w:firstLine="480"/>
        <w:rPr>
          <w:rFonts w:ascii="宋体" w:hAnsi="宋体" w:cs="宋体"/>
          <w:szCs w:val="21"/>
          <w:lang w:val="zh-CN"/>
        </w:rPr>
      </w:pPr>
      <w:r>
        <w:rPr>
          <w:rFonts w:ascii="宋体" w:hAnsi="宋体" w:cs="宋体"/>
          <w:szCs w:val="21"/>
          <w:lang w:val="zh-CN"/>
        </w:rPr>
        <w:t xml:space="preserve">DL/T 2863—2024 </w:t>
      </w:r>
      <w:r>
        <w:rPr>
          <w:rFonts w:hint="eastAsia" w:ascii="宋体" w:hAnsi="宋体" w:cs="宋体"/>
          <w:szCs w:val="21"/>
          <w:lang w:val="zh-CN"/>
        </w:rPr>
        <w:t>《</w:t>
      </w:r>
      <w:r>
        <w:rPr>
          <w:rFonts w:ascii="宋体" w:hAnsi="宋体" w:cs="宋体"/>
          <w:szCs w:val="21"/>
          <w:lang w:val="zh-CN"/>
        </w:rPr>
        <w:t>0.4kV配网不停电作业工器具技术条件</w:t>
      </w:r>
      <w:r>
        <w:rPr>
          <w:rFonts w:hint="eastAsia" w:ascii="宋体" w:hAnsi="宋体" w:cs="宋体"/>
          <w:szCs w:val="21"/>
          <w:lang w:val="zh-CN"/>
        </w:rPr>
        <w:t>》</w:t>
      </w:r>
    </w:p>
    <w:p>
      <w:pPr>
        <w:autoSpaceDE w:val="0"/>
        <w:autoSpaceDN w:val="0"/>
        <w:adjustRightInd w:val="0"/>
        <w:ind w:firstLine="480"/>
        <w:rPr>
          <w:rFonts w:ascii="宋体" w:hAnsi="宋体" w:cs="宋体"/>
          <w:szCs w:val="21"/>
          <w:lang w:val="zh-CN"/>
        </w:rPr>
      </w:pPr>
      <w:r>
        <w:rPr>
          <w:rFonts w:ascii="宋体" w:hAnsi="宋体" w:cs="宋体"/>
          <w:szCs w:val="21"/>
          <w:lang w:val="zh-CN"/>
        </w:rPr>
        <w:t xml:space="preserve">GB 26860-2011 </w:t>
      </w:r>
      <w:r>
        <w:rPr>
          <w:rFonts w:hint="eastAsia" w:ascii="宋体" w:hAnsi="宋体" w:cs="宋体"/>
          <w:szCs w:val="21"/>
          <w:lang w:val="zh-CN"/>
        </w:rPr>
        <w:t>《</w:t>
      </w:r>
      <w:r>
        <w:rPr>
          <w:rFonts w:ascii="Segoe UI" w:hAnsi="Segoe UI" w:cs="Segoe UI"/>
          <w:color w:val="060A26"/>
          <w:shd w:val="clear" w:color="auto" w:fill="FFFFFF"/>
        </w:rPr>
        <w:t>电力安全工作规程 变电部分</w:t>
      </w:r>
      <w:r>
        <w:rPr>
          <w:rFonts w:hint="eastAsia" w:ascii="宋体" w:hAnsi="宋体" w:cs="宋体"/>
          <w:szCs w:val="21"/>
          <w:lang w:val="zh-CN"/>
        </w:rPr>
        <w:t>》</w:t>
      </w:r>
    </w:p>
    <w:p>
      <w:pPr>
        <w:autoSpaceDE w:val="0"/>
        <w:autoSpaceDN w:val="0"/>
        <w:adjustRightInd w:val="0"/>
        <w:ind w:firstLine="480"/>
        <w:rPr>
          <w:rFonts w:ascii="宋体" w:hAnsi="宋体" w:cs="宋体"/>
          <w:szCs w:val="21"/>
          <w:lang w:val="zh-CN"/>
        </w:rPr>
      </w:pPr>
      <w:r>
        <w:rPr>
          <w:rFonts w:ascii="宋体" w:hAnsi="宋体" w:cs="宋体"/>
          <w:szCs w:val="21"/>
          <w:lang w:val="zh-CN"/>
        </w:rPr>
        <w:t xml:space="preserve">GB/T 13869-2017 </w:t>
      </w:r>
      <w:r>
        <w:rPr>
          <w:rFonts w:hint="eastAsia" w:ascii="宋体" w:hAnsi="宋体" w:cs="宋体"/>
          <w:szCs w:val="21"/>
          <w:lang w:val="zh-CN"/>
        </w:rPr>
        <w:t>《</w:t>
      </w:r>
      <w:r>
        <w:rPr>
          <w:rFonts w:ascii="宋体" w:hAnsi="宋体" w:cs="宋体"/>
          <w:szCs w:val="21"/>
          <w:lang w:val="zh-CN"/>
        </w:rPr>
        <w:t>用电安全导则</w:t>
      </w:r>
      <w:r>
        <w:rPr>
          <w:rFonts w:hint="eastAsia" w:ascii="宋体" w:hAnsi="宋体" w:cs="宋体"/>
          <w:szCs w:val="21"/>
          <w:lang w:val="zh-CN"/>
        </w:rPr>
        <w:t>》</w:t>
      </w:r>
    </w:p>
    <w:p>
      <w:pPr>
        <w:autoSpaceDE w:val="0"/>
        <w:autoSpaceDN w:val="0"/>
        <w:adjustRightInd w:val="0"/>
        <w:ind w:firstLine="480"/>
        <w:rPr>
          <w:rFonts w:ascii="宋体" w:hAnsi="宋体" w:cs="宋体"/>
          <w:szCs w:val="21"/>
          <w:lang w:val="zh-CN"/>
        </w:rPr>
      </w:pPr>
      <w:r>
        <w:rPr>
          <w:rFonts w:ascii="宋体" w:hAnsi="宋体" w:cs="宋体"/>
          <w:szCs w:val="21"/>
          <w:lang w:val="zh-CN"/>
        </w:rPr>
        <w:t>GB/T 12168-2006 《</w:t>
      </w:r>
      <w:r>
        <w:rPr>
          <w:rFonts w:hint="eastAsia" w:ascii="宋体" w:hAnsi="宋体" w:cs="宋体"/>
          <w:szCs w:val="21"/>
          <w:lang w:val="zh-CN"/>
        </w:rPr>
        <w:t>带电作业用遮蔽罩</w:t>
      </w:r>
      <w:r>
        <w:rPr>
          <w:rFonts w:ascii="宋体" w:hAnsi="宋体" w:cs="宋体"/>
          <w:szCs w:val="21"/>
          <w:lang w:val="zh-CN"/>
        </w:rPr>
        <w:t>》</w:t>
      </w:r>
    </w:p>
    <w:p>
      <w:pPr>
        <w:autoSpaceDE w:val="0"/>
        <w:autoSpaceDN w:val="0"/>
        <w:adjustRightInd w:val="0"/>
        <w:ind w:firstLine="480"/>
        <w:rPr>
          <w:rFonts w:ascii="宋体" w:hAnsi="宋体" w:cs="宋体"/>
          <w:szCs w:val="21"/>
          <w:lang w:val="zh-CN"/>
        </w:rPr>
      </w:pPr>
      <w:r>
        <w:rPr>
          <w:rFonts w:ascii="宋体" w:hAnsi="宋体" w:cs="宋体"/>
          <w:szCs w:val="21"/>
          <w:lang w:val="zh-CN"/>
        </w:rPr>
        <w:t xml:space="preserve">GB/T 528-2009 </w:t>
      </w:r>
      <w:r>
        <w:rPr>
          <w:rFonts w:hint="eastAsia" w:ascii="宋体" w:hAnsi="宋体" w:cs="宋体"/>
          <w:szCs w:val="21"/>
          <w:lang w:val="zh-CN"/>
        </w:rPr>
        <w:t>《</w:t>
      </w:r>
      <w:r>
        <w:rPr>
          <w:rFonts w:ascii="宋体" w:hAnsi="宋体" w:cs="宋体"/>
          <w:szCs w:val="21"/>
          <w:lang w:val="zh-CN"/>
        </w:rPr>
        <w:t>硫化橡胶或热塑性橡胶 拉伸应力应变性能的测定</w:t>
      </w:r>
      <w:r>
        <w:rPr>
          <w:rFonts w:hint="eastAsia" w:ascii="宋体" w:hAnsi="宋体" w:cs="宋体"/>
          <w:szCs w:val="21"/>
          <w:lang w:val="zh-CN"/>
        </w:rPr>
        <w:t>》</w:t>
      </w:r>
    </w:p>
    <w:p>
      <w:pPr>
        <w:autoSpaceDE w:val="0"/>
        <w:autoSpaceDN w:val="0"/>
        <w:adjustRightInd w:val="0"/>
        <w:ind w:firstLine="480"/>
        <w:rPr>
          <w:rFonts w:ascii="宋体" w:hAnsi="宋体" w:cs="宋体"/>
          <w:szCs w:val="21"/>
          <w:lang w:val="zh-CN"/>
        </w:rPr>
      </w:pPr>
      <w:r>
        <w:rPr>
          <w:rFonts w:ascii="宋体" w:hAnsi="宋体" w:cs="宋体"/>
          <w:szCs w:val="21"/>
          <w:lang w:val="zh-CN"/>
        </w:rPr>
        <w:t xml:space="preserve">GB/T 1408.1-2016 </w:t>
      </w:r>
      <w:r>
        <w:rPr>
          <w:rFonts w:hint="eastAsia" w:ascii="宋体" w:hAnsi="宋体" w:cs="宋体"/>
          <w:szCs w:val="21"/>
          <w:lang w:val="zh-CN"/>
        </w:rPr>
        <w:t>《绝缘材料 电气强度试验方法 第1部分：工频下试验》</w:t>
      </w:r>
    </w:p>
    <w:p>
      <w:pPr>
        <w:autoSpaceDE w:val="0"/>
        <w:autoSpaceDN w:val="0"/>
        <w:adjustRightInd w:val="0"/>
        <w:ind w:firstLine="480"/>
        <w:rPr>
          <w:rFonts w:ascii="宋体" w:hAnsi="宋体" w:cs="宋体"/>
          <w:szCs w:val="21"/>
          <w:lang w:val="zh-CN"/>
        </w:rPr>
      </w:pPr>
      <w:r>
        <w:rPr>
          <w:rFonts w:ascii="宋体" w:hAnsi="宋体" w:cs="宋体"/>
          <w:szCs w:val="21"/>
          <w:lang w:val="zh-CN"/>
        </w:rPr>
        <w:t xml:space="preserve">GB/T 1692-2008 </w:t>
      </w:r>
      <w:r>
        <w:rPr>
          <w:rFonts w:hint="eastAsia" w:ascii="宋体" w:hAnsi="宋体" w:cs="宋体"/>
          <w:szCs w:val="21"/>
          <w:lang w:val="zh-CN"/>
        </w:rPr>
        <w:t>《硫化橡胶 绝缘电阻率的测定》</w:t>
      </w:r>
    </w:p>
    <w:p>
      <w:pPr>
        <w:pStyle w:val="5"/>
        <w:spacing w:before="0" w:line="240" w:lineRule="auto"/>
      </w:pPr>
      <w:bookmarkStart w:id="34" w:name="_Toc3813"/>
      <w:bookmarkStart w:id="35" w:name="_Toc2487"/>
      <w:bookmarkStart w:id="36" w:name="_Toc10183"/>
      <w:bookmarkStart w:id="37" w:name="_Toc21273"/>
      <w:r>
        <w:rPr>
          <w:rFonts w:hint="eastAsia"/>
        </w:rPr>
        <w:t>1.3 技术文件的组成</w:t>
      </w:r>
      <w:bookmarkEnd w:id="34"/>
      <w:bookmarkEnd w:id="35"/>
      <w:bookmarkEnd w:id="36"/>
      <w:bookmarkEnd w:id="37"/>
    </w:p>
    <w:p>
      <w:pPr>
        <w:tabs>
          <w:tab w:val="left" w:pos="432"/>
          <w:tab w:val="left" w:pos="1116"/>
        </w:tabs>
        <w:suppressAutoHyphens/>
        <w:ind w:firstLine="480"/>
        <w:rPr>
          <w:rFonts w:ascii="宋体" w:hAnsi="宋体"/>
          <w:szCs w:val="24"/>
        </w:rPr>
      </w:pPr>
      <w:r>
        <w:rPr>
          <w:rFonts w:hint="eastAsia" w:ascii="宋体" w:hAnsi="宋体"/>
          <w:szCs w:val="24"/>
        </w:rPr>
        <w:t>1.3.1投标设备的详细供货清单</w:t>
      </w:r>
    </w:p>
    <w:p>
      <w:pPr>
        <w:tabs>
          <w:tab w:val="left" w:pos="432"/>
          <w:tab w:val="left" w:pos="1116"/>
        </w:tabs>
        <w:suppressAutoHyphens/>
        <w:ind w:firstLine="480"/>
        <w:rPr>
          <w:rFonts w:ascii="宋体" w:hAnsi="宋体"/>
          <w:szCs w:val="24"/>
        </w:rPr>
      </w:pPr>
      <w:r>
        <w:rPr>
          <w:rFonts w:hint="eastAsia" w:ascii="宋体" w:hAnsi="宋体"/>
          <w:szCs w:val="24"/>
        </w:rPr>
        <w:t>1.3.2技术应答书，应</w:t>
      </w:r>
      <w:r>
        <w:rPr>
          <w:rFonts w:ascii="宋体" w:hAnsi="宋体"/>
          <w:szCs w:val="24"/>
        </w:rPr>
        <w:t>逐条</w:t>
      </w:r>
      <w:r>
        <w:rPr>
          <w:rFonts w:hint="eastAsia" w:ascii="宋体" w:hAnsi="宋体"/>
          <w:szCs w:val="24"/>
        </w:rPr>
        <w:t>“点对点”</w:t>
      </w:r>
      <w:r>
        <w:rPr>
          <w:rFonts w:ascii="宋体" w:hAnsi="宋体"/>
          <w:szCs w:val="24"/>
        </w:rPr>
        <w:t>回应</w:t>
      </w:r>
      <w:r>
        <w:rPr>
          <w:rFonts w:hint="eastAsia" w:ascii="宋体" w:hAnsi="宋体"/>
          <w:szCs w:val="24"/>
        </w:rPr>
        <w:t>本标书的技术规范；</w:t>
      </w:r>
    </w:p>
    <w:p>
      <w:pPr>
        <w:tabs>
          <w:tab w:val="left" w:pos="432"/>
          <w:tab w:val="left" w:pos="1116"/>
        </w:tabs>
        <w:suppressAutoHyphens/>
        <w:ind w:left="480" w:leftChars="200" w:firstLine="0" w:firstLineChars="0"/>
        <w:rPr>
          <w:rFonts w:ascii="宋体" w:hAnsi="宋体"/>
          <w:szCs w:val="24"/>
        </w:rPr>
      </w:pPr>
      <w:r>
        <w:rPr>
          <w:rFonts w:hint="eastAsia" w:ascii="宋体" w:hAnsi="宋体"/>
          <w:szCs w:val="24"/>
        </w:rPr>
        <w:t>1.3.3</w:t>
      </w:r>
      <w:r>
        <w:rPr>
          <w:rFonts w:ascii="宋体" w:hAnsi="宋体"/>
          <w:szCs w:val="24"/>
        </w:rPr>
        <w:t>差异表(</w:t>
      </w:r>
      <w:r>
        <w:rPr>
          <w:rFonts w:hint="eastAsia" w:ascii="宋体" w:hAnsi="宋体"/>
          <w:szCs w:val="24"/>
        </w:rPr>
        <w:t>格式</w:t>
      </w:r>
      <w:r>
        <w:rPr>
          <w:rFonts w:ascii="宋体" w:hAnsi="宋体"/>
          <w:szCs w:val="24"/>
        </w:rPr>
        <w:t>见附表)</w:t>
      </w:r>
      <w:r>
        <w:rPr>
          <w:rFonts w:hint="eastAsia" w:ascii="宋体" w:hAnsi="宋体"/>
          <w:szCs w:val="24"/>
        </w:rPr>
        <w:t>。</w:t>
      </w:r>
    </w:p>
    <w:p>
      <w:pPr>
        <w:pStyle w:val="5"/>
        <w:spacing w:before="0" w:line="240" w:lineRule="auto"/>
      </w:pPr>
      <w:bookmarkStart w:id="38" w:name="_Toc24344"/>
      <w:bookmarkStart w:id="39" w:name="_Toc16299"/>
      <w:bookmarkStart w:id="40" w:name="_Toc3164"/>
      <w:bookmarkStart w:id="41" w:name="_Toc5547"/>
      <w:r>
        <w:rPr>
          <w:rFonts w:hint="eastAsia"/>
        </w:rPr>
        <w:t>1.4 加工能力要求</w:t>
      </w:r>
      <w:bookmarkEnd w:id="38"/>
      <w:bookmarkEnd w:id="39"/>
      <w:bookmarkEnd w:id="40"/>
      <w:bookmarkEnd w:id="41"/>
    </w:p>
    <w:p>
      <w:pPr>
        <w:pStyle w:val="28"/>
        <w:keepNext w:val="0"/>
        <w:keepLines w:val="0"/>
        <w:widowControl/>
        <w:suppressLineNumbers w:val="0"/>
      </w:pPr>
      <w:r>
        <w:rPr>
          <w:rFonts w:hint="eastAsia"/>
        </w:rPr>
        <w:t>投标人应具备“低压裸露导线绝缘安全保护套”</w:t>
      </w:r>
      <w:r>
        <w:rPr>
          <w:rFonts w:hint="eastAsia"/>
          <w:lang w:val="en-US" w:eastAsia="zh-CN"/>
        </w:rPr>
        <w:t>生产供货的能力，具备配套的生产设备、检测工器具、工装设计软件以及合适的生产场所，</w:t>
      </w:r>
      <w:r>
        <w:t>并提供相应设备设施</w:t>
      </w:r>
      <w:r>
        <w:rPr>
          <w:rFonts w:hint="eastAsia"/>
          <w:lang w:val="en-US" w:eastAsia="zh-CN"/>
        </w:rPr>
        <w:t>佐证</w:t>
      </w:r>
      <w:r>
        <w:t>材料。</w:t>
      </w:r>
      <w:bookmarkStart w:id="151" w:name="_GoBack"/>
      <w:bookmarkEnd w:id="151"/>
    </w:p>
    <w:p>
      <w:pPr>
        <w:pStyle w:val="5"/>
        <w:keepNext w:val="0"/>
        <w:keepLines w:val="0"/>
        <w:widowControl/>
        <w:numPr>
          <w:ilvl w:val="255"/>
          <w:numId w:val="0"/>
        </w:numPr>
        <w:spacing w:before="0" w:line="240" w:lineRule="auto"/>
      </w:pPr>
      <w:bookmarkStart w:id="42" w:name="_Toc21309"/>
      <w:bookmarkStart w:id="43" w:name="_Toc270"/>
      <w:bookmarkStart w:id="44" w:name="_Toc26058"/>
      <w:bookmarkStart w:id="45" w:name="_Toc19617"/>
      <w:bookmarkStart w:id="46" w:name="_Toc10199"/>
      <w:bookmarkStart w:id="47" w:name="_Toc15582"/>
      <w:bookmarkStart w:id="48" w:name="_Toc7091"/>
      <w:bookmarkStart w:id="49" w:name="_Toc581"/>
      <w:bookmarkStart w:id="50" w:name="_Toc26780"/>
      <w:bookmarkStart w:id="51" w:name="_Toc19199"/>
      <w:bookmarkStart w:id="52" w:name="_Toc18594"/>
      <w:r>
        <w:rPr>
          <w:rFonts w:hint="eastAsia"/>
        </w:rPr>
        <w:t>1.5 采购范围</w:t>
      </w:r>
      <w:bookmarkEnd w:id="42"/>
      <w:bookmarkEnd w:id="43"/>
      <w:bookmarkEnd w:id="44"/>
      <w:bookmarkEnd w:id="45"/>
      <w:bookmarkEnd w:id="46"/>
      <w:bookmarkEnd w:id="47"/>
      <w:bookmarkEnd w:id="48"/>
      <w:bookmarkEnd w:id="49"/>
      <w:bookmarkEnd w:id="50"/>
      <w:bookmarkEnd w:id="51"/>
      <w:bookmarkEnd w:id="52"/>
    </w:p>
    <w:p>
      <w:pPr>
        <w:ind w:firstLine="480"/>
        <w:rPr>
          <w:rFonts w:hAnsi="宋体" w:cs="宋体"/>
          <w:color w:val="000000"/>
          <w:szCs w:val="24"/>
        </w:rPr>
      </w:pPr>
      <w:r>
        <w:rPr>
          <w:rFonts w:hint="eastAsia" w:ascii="宋体" w:hAnsi="宋体" w:cs="宋体"/>
        </w:rPr>
        <w:t xml:space="preserve">1.5.1 </w:t>
      </w:r>
      <w:r>
        <w:rPr>
          <w:rFonts w:hint="eastAsia" w:hAnsi="宋体" w:cs="宋体"/>
          <w:color w:val="000000"/>
          <w:szCs w:val="24"/>
        </w:rPr>
        <w:t>投标方应按本标书的要求提供全新的、合格的“</w:t>
      </w:r>
      <w:r>
        <w:rPr>
          <w:rFonts w:hint="eastAsia"/>
        </w:rPr>
        <w:t>低压裸露导线绝缘安全保护套</w:t>
      </w:r>
      <w:r>
        <w:rPr>
          <w:rFonts w:hint="eastAsia" w:hAnsi="宋体" w:cs="宋体"/>
          <w:color w:val="000000"/>
          <w:szCs w:val="24"/>
        </w:rPr>
        <w:t>”。投标方所提供的组件或附件如需向第三方外购时，投标方应对质量向招标方负责，并提供相应产品的鉴定证书、出厂和验收证明等。</w:t>
      </w:r>
    </w:p>
    <w:p>
      <w:pPr>
        <w:ind w:firstLine="480"/>
        <w:rPr>
          <w:rFonts w:hAnsi="宋体" w:cs="宋体"/>
          <w:color w:val="000000"/>
          <w:szCs w:val="24"/>
        </w:rPr>
      </w:pPr>
      <w:r>
        <w:rPr>
          <w:rFonts w:hint="eastAsia" w:ascii="宋体" w:hAnsi="宋体" w:cs="宋体"/>
        </w:rPr>
        <w:t xml:space="preserve">1.5.2 </w:t>
      </w:r>
      <w:r>
        <w:rPr>
          <w:rFonts w:hint="eastAsia" w:hAnsi="宋体" w:cs="宋体"/>
          <w:color w:val="000000"/>
          <w:szCs w:val="24"/>
        </w:rPr>
        <w:t>供货范围一览表</w:t>
      </w:r>
    </w:p>
    <w:p>
      <w:pPr>
        <w:ind w:firstLine="480"/>
        <w:rPr>
          <w:rFonts w:hAnsi="宋体" w:cs="宋体"/>
          <w:color w:val="000000"/>
          <w:szCs w:val="24"/>
        </w:rPr>
      </w:pPr>
      <w:r>
        <w:rPr>
          <w:rFonts w:hint="eastAsia" w:hAnsi="宋体" w:cs="宋体"/>
          <w:color w:val="000000"/>
          <w:szCs w:val="24"/>
        </w:rPr>
        <w:t>投标方提供的“</w:t>
      </w:r>
      <w:r>
        <w:rPr>
          <w:rFonts w:hint="eastAsia"/>
        </w:rPr>
        <w:t>低压裸露导线绝缘安全保护套</w:t>
      </w:r>
      <w:r>
        <w:rPr>
          <w:rFonts w:hint="eastAsia" w:hAnsi="宋体" w:cs="宋体"/>
          <w:color w:val="000000"/>
          <w:szCs w:val="24"/>
        </w:rPr>
        <w:t>”的具体规格见表1.1：供货范围及设备需求一览表。包括设备及设备所有硬件、设备配件、备品备件等。</w:t>
      </w:r>
    </w:p>
    <w:p>
      <w:pPr>
        <w:ind w:firstLine="420"/>
        <w:jc w:val="center"/>
        <w:rPr>
          <w:rFonts w:ascii="黑体" w:hAnsi="黑体" w:eastAsia="黑体"/>
          <w:bCs/>
          <w:color w:val="000000"/>
          <w:sz w:val="21"/>
          <w:szCs w:val="21"/>
        </w:rPr>
      </w:pPr>
      <w:r>
        <w:rPr>
          <w:rFonts w:hint="eastAsia" w:ascii="黑体" w:hAnsi="黑体" w:eastAsia="黑体"/>
          <w:bCs/>
          <w:color w:val="000000"/>
          <w:sz w:val="21"/>
          <w:szCs w:val="21"/>
        </w:rPr>
        <w:t>表1.1 供货范围及设备需求一览表</w:t>
      </w:r>
    </w:p>
    <w:tbl>
      <w:tblPr>
        <w:tblStyle w:val="3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28" w:type="dxa"/>
          <w:bottom w:w="0" w:type="dxa"/>
          <w:right w:w="28" w:type="dxa"/>
        </w:tblCellMar>
      </w:tblPr>
      <w:tblGrid>
        <w:gridCol w:w="583"/>
        <w:gridCol w:w="2171"/>
        <w:gridCol w:w="1147"/>
        <w:gridCol w:w="1422"/>
        <w:gridCol w:w="30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blHeader/>
          <w:jc w:val="center"/>
        </w:trPr>
        <w:tc>
          <w:tcPr>
            <w:tcW w:w="349" w:type="pct"/>
            <w:vAlign w:val="center"/>
          </w:tcPr>
          <w:p>
            <w:pPr>
              <w:pStyle w:val="66"/>
              <w:rPr>
                <w:rFonts w:ascii="宋体" w:hAnsi="宋体" w:cs="宋体"/>
                <w:b/>
                <w:bCs w:val="0"/>
                <w:sz w:val="24"/>
                <w:szCs w:val="24"/>
              </w:rPr>
            </w:pPr>
            <w:r>
              <w:rPr>
                <w:rFonts w:hint="eastAsia" w:ascii="宋体" w:hAnsi="宋体" w:cs="宋体"/>
                <w:b/>
                <w:bCs w:val="0"/>
                <w:sz w:val="24"/>
                <w:szCs w:val="24"/>
              </w:rPr>
              <w:t>序号</w:t>
            </w:r>
          </w:p>
        </w:tc>
        <w:tc>
          <w:tcPr>
            <w:tcW w:w="1298" w:type="pct"/>
            <w:vAlign w:val="center"/>
          </w:tcPr>
          <w:p>
            <w:pPr>
              <w:pStyle w:val="66"/>
              <w:rPr>
                <w:rFonts w:ascii="宋体" w:hAnsi="宋体" w:cs="宋体"/>
                <w:b/>
                <w:bCs w:val="0"/>
                <w:sz w:val="24"/>
                <w:szCs w:val="24"/>
              </w:rPr>
            </w:pPr>
            <w:r>
              <w:rPr>
                <w:rFonts w:hint="eastAsia" w:ascii="宋体" w:hAnsi="宋体" w:cs="宋体"/>
                <w:b/>
                <w:bCs w:val="0"/>
                <w:sz w:val="24"/>
                <w:szCs w:val="24"/>
              </w:rPr>
              <w:t>设备名称分类</w:t>
            </w:r>
          </w:p>
        </w:tc>
        <w:tc>
          <w:tcPr>
            <w:tcW w:w="686" w:type="pct"/>
            <w:vAlign w:val="center"/>
          </w:tcPr>
          <w:p>
            <w:pPr>
              <w:pStyle w:val="66"/>
              <w:rPr>
                <w:rFonts w:ascii="宋体" w:hAnsi="宋体" w:cs="宋体"/>
                <w:b/>
                <w:bCs w:val="0"/>
                <w:sz w:val="24"/>
                <w:szCs w:val="24"/>
              </w:rPr>
            </w:pPr>
            <w:r>
              <w:rPr>
                <w:rFonts w:hint="eastAsia" w:ascii="宋体" w:hAnsi="宋体" w:cs="宋体"/>
                <w:b/>
                <w:bCs w:val="0"/>
                <w:sz w:val="24"/>
                <w:szCs w:val="24"/>
              </w:rPr>
              <w:t>项目要求规格型号</w:t>
            </w:r>
          </w:p>
        </w:tc>
        <w:tc>
          <w:tcPr>
            <w:tcW w:w="850" w:type="pct"/>
            <w:vAlign w:val="center"/>
          </w:tcPr>
          <w:p>
            <w:pPr>
              <w:pStyle w:val="66"/>
              <w:rPr>
                <w:rFonts w:ascii="宋体" w:hAnsi="宋体" w:cs="宋体"/>
                <w:b/>
                <w:bCs w:val="0"/>
                <w:sz w:val="24"/>
                <w:szCs w:val="24"/>
              </w:rPr>
            </w:pPr>
            <w:r>
              <w:rPr>
                <w:rFonts w:hint="eastAsia" w:ascii="宋体" w:hAnsi="宋体" w:cs="宋体"/>
                <w:b/>
                <w:bCs w:val="0"/>
                <w:sz w:val="24"/>
                <w:szCs w:val="24"/>
              </w:rPr>
              <w:t>单位</w:t>
            </w:r>
          </w:p>
        </w:tc>
        <w:tc>
          <w:tcPr>
            <w:tcW w:w="1814" w:type="pct"/>
            <w:vAlign w:val="center"/>
          </w:tcPr>
          <w:p>
            <w:pPr>
              <w:pStyle w:val="66"/>
              <w:rPr>
                <w:rFonts w:ascii="宋体" w:hAnsi="宋体" w:cs="宋体"/>
                <w:b/>
                <w:bCs w:val="0"/>
                <w:sz w:val="24"/>
                <w:szCs w:val="24"/>
              </w:rPr>
            </w:pPr>
            <w:r>
              <w:rPr>
                <w:rFonts w:hint="eastAsia" w:ascii="宋体" w:hAnsi="宋体" w:cs="宋体"/>
                <w:b/>
                <w:bCs w:val="0"/>
                <w:sz w:val="24"/>
                <w:szCs w:val="24"/>
              </w:rPr>
              <w:t>项目要求数量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349" w:type="pct"/>
            <w:vAlign w:val="center"/>
          </w:tcPr>
          <w:p>
            <w:pPr>
              <w:snapToGrid w:val="0"/>
              <w:ind w:firstLine="0" w:firstLineChars="0"/>
              <w:jc w:val="center"/>
              <w:rPr>
                <w:rFonts w:ascii="宋体" w:hAnsi="宋体" w:cs="宋体"/>
                <w:szCs w:val="24"/>
              </w:rPr>
            </w:pPr>
            <w:r>
              <w:rPr>
                <w:rFonts w:hint="eastAsia" w:ascii="宋体" w:hAnsi="宋体" w:cs="宋体"/>
                <w:szCs w:val="24"/>
              </w:rPr>
              <w:t>1</w:t>
            </w:r>
          </w:p>
        </w:tc>
        <w:tc>
          <w:tcPr>
            <w:tcW w:w="1298" w:type="pct"/>
            <w:vAlign w:val="center"/>
          </w:tcPr>
          <w:p>
            <w:pPr>
              <w:snapToGrid w:val="0"/>
              <w:ind w:firstLine="0" w:firstLineChars="0"/>
              <w:jc w:val="center"/>
              <w:rPr>
                <w:rFonts w:ascii="宋体" w:hAnsi="宋体" w:cs="宋体"/>
                <w:szCs w:val="24"/>
              </w:rPr>
            </w:pPr>
            <w:r>
              <w:rPr>
                <w:rFonts w:hint="eastAsia" w:ascii="宋体" w:hAnsi="宋体" w:cs="宋体"/>
                <w:szCs w:val="24"/>
              </w:rPr>
              <w:t>低压裸露导线绝缘安全保护套</w:t>
            </w:r>
          </w:p>
        </w:tc>
        <w:tc>
          <w:tcPr>
            <w:tcW w:w="686" w:type="pct"/>
            <w:vAlign w:val="center"/>
          </w:tcPr>
          <w:p>
            <w:pPr>
              <w:widowControl/>
              <w:snapToGrid w:val="0"/>
              <w:ind w:firstLine="0" w:firstLineChars="0"/>
              <w:jc w:val="center"/>
              <w:rPr>
                <w:rFonts w:ascii="宋体" w:hAnsi="宋体" w:cs="宋体"/>
                <w:szCs w:val="24"/>
              </w:rPr>
            </w:pPr>
            <w:r>
              <w:rPr>
                <w:rFonts w:hint="eastAsia" w:ascii="宋体" w:hAnsi="宋体" w:cs="宋体"/>
                <w:color w:val="000000"/>
                <w:kern w:val="0"/>
                <w:szCs w:val="24"/>
                <w:lang w:bidi="ar"/>
              </w:rPr>
              <w:t>/</w:t>
            </w:r>
          </w:p>
        </w:tc>
        <w:tc>
          <w:tcPr>
            <w:tcW w:w="850" w:type="pct"/>
            <w:vAlign w:val="center"/>
          </w:tcPr>
          <w:p>
            <w:pPr>
              <w:pStyle w:val="66"/>
              <w:rPr>
                <w:rFonts w:ascii="宋体" w:hAnsi="宋体" w:cs="宋体"/>
                <w:sz w:val="24"/>
                <w:szCs w:val="24"/>
              </w:rPr>
            </w:pPr>
            <w:r>
              <w:rPr>
                <w:rFonts w:hint="eastAsia" w:ascii="宋体" w:hAnsi="宋体" w:cs="宋体"/>
                <w:sz w:val="24"/>
                <w:szCs w:val="24"/>
              </w:rPr>
              <w:t>件</w:t>
            </w:r>
            <w:r>
              <w:rPr>
                <w:rFonts w:hint="eastAsia" w:ascii="宋体" w:hAnsi="宋体" w:cs="宋体"/>
                <w:sz w:val="24"/>
                <w:szCs w:val="24"/>
                <w:lang w:eastAsia="zh-CN"/>
              </w:rPr>
              <w:t>（</w:t>
            </w:r>
            <w:r>
              <w:rPr>
                <w:rFonts w:hint="eastAsia" w:ascii="宋体" w:hAnsi="宋体" w:cs="宋体"/>
                <w:sz w:val="24"/>
                <w:szCs w:val="24"/>
              </w:rPr>
              <w:t>35套/件）</w:t>
            </w:r>
          </w:p>
        </w:tc>
        <w:tc>
          <w:tcPr>
            <w:tcW w:w="1814" w:type="pct"/>
            <w:vAlign w:val="center"/>
          </w:tcPr>
          <w:p>
            <w:pPr>
              <w:pStyle w:val="66"/>
              <w:rPr>
                <w:rFonts w:ascii="宋体" w:hAnsi="宋体" w:cs="宋体"/>
                <w:sz w:val="24"/>
                <w:szCs w:val="24"/>
              </w:rPr>
            </w:pPr>
            <w:r>
              <w:rPr>
                <w:rFonts w:hint="eastAsia" w:ascii="宋体" w:hAnsi="宋体" w:cs="宋体"/>
                <w:sz w:val="24"/>
                <w:szCs w:val="24"/>
              </w:rPr>
              <w:t>具体数量，以实际订单为准。</w:t>
            </w:r>
            <w:bookmarkStart w:id="53" w:name="OLE_LINK2"/>
            <w:r>
              <w:rPr>
                <w:rFonts w:hint="eastAsia" w:ascii="宋体" w:hAnsi="宋体" w:cs="宋体"/>
                <w:sz w:val="24"/>
                <w:szCs w:val="24"/>
              </w:rPr>
              <w:t>本项目的预算价格（金额）或数量不作为实际采购金额或数量的承诺，具体需求数量与采购金额根据产品在商城终端客户具体需求确定，按订单据实结算。</w:t>
            </w:r>
            <w:bookmarkEnd w:id="5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5000" w:type="pct"/>
            <w:gridSpan w:val="5"/>
            <w:vAlign w:val="center"/>
          </w:tcPr>
          <w:p>
            <w:pPr>
              <w:tabs>
                <w:tab w:val="left" w:pos="432"/>
              </w:tabs>
              <w:snapToGrid w:val="0"/>
              <w:ind w:firstLine="0" w:firstLineChars="0"/>
              <w:jc w:val="left"/>
              <w:rPr>
                <w:rFonts w:ascii="宋体" w:hAnsi="宋体" w:cs="宋体"/>
                <w:szCs w:val="24"/>
              </w:rPr>
            </w:pPr>
            <w:r>
              <w:rPr>
                <w:rFonts w:hint="eastAsia" w:ascii="宋体" w:hAnsi="宋体" w:cs="宋体"/>
                <w:color w:val="000000"/>
                <w:szCs w:val="24"/>
              </w:rPr>
              <w:t>★备注：1）</w:t>
            </w:r>
            <w:r>
              <w:rPr>
                <w:rFonts w:hint="eastAsia" w:ascii="宋体" w:hAnsi="宋体" w:cs="宋体"/>
                <w:szCs w:val="24"/>
              </w:rPr>
              <w:t>产品单价已涵盖定制化加工费、材料费、配套软件费、配品配件费、包装运输费、安装调试、技术支持费、质保期内服务费及增值税（税率13%）等完成本项目所需的全部相关费用，合同履行期间无任何额外增补费用</w:t>
            </w:r>
            <w:r>
              <w:rPr>
                <w:rFonts w:hint="eastAsia" w:ascii="宋体" w:hAnsi="宋体" w:cs="宋体"/>
                <w:color w:val="000000"/>
                <w:szCs w:val="24"/>
              </w:rPr>
              <w:t>；2）相关配套部件详见2.2.4 产品配置表。</w:t>
            </w:r>
          </w:p>
        </w:tc>
      </w:tr>
    </w:tbl>
    <w:p>
      <w:pPr>
        <w:pStyle w:val="4"/>
        <w:numPr>
          <w:ilvl w:val="255"/>
          <w:numId w:val="0"/>
        </w:numPr>
        <w:spacing w:line="240" w:lineRule="auto"/>
      </w:pPr>
      <w:bookmarkStart w:id="54" w:name="_Toc22323"/>
      <w:bookmarkStart w:id="55" w:name="_Toc9734"/>
      <w:bookmarkStart w:id="56" w:name="_Toc16057"/>
      <w:bookmarkStart w:id="57" w:name="_Toc22764"/>
      <w:bookmarkStart w:id="58" w:name="_Toc17130"/>
      <w:r>
        <w:t>二、技术要求</w:t>
      </w:r>
      <w:bookmarkEnd w:id="33"/>
      <w:bookmarkEnd w:id="54"/>
      <w:bookmarkEnd w:id="55"/>
      <w:bookmarkEnd w:id="56"/>
      <w:bookmarkEnd w:id="57"/>
      <w:bookmarkEnd w:id="58"/>
    </w:p>
    <w:p>
      <w:pPr>
        <w:pStyle w:val="5"/>
        <w:spacing w:before="0" w:line="240" w:lineRule="auto"/>
      </w:pPr>
      <w:bookmarkStart w:id="59" w:name="_Toc1730"/>
      <w:bookmarkStart w:id="60" w:name="_Toc444945517"/>
      <w:bookmarkStart w:id="61" w:name="_Toc3452"/>
      <w:bookmarkStart w:id="62" w:name="_Toc437603900"/>
      <w:bookmarkStart w:id="63" w:name="_Toc8488"/>
      <w:bookmarkStart w:id="64" w:name="_Toc3884"/>
      <w:bookmarkStart w:id="65" w:name="_Toc21732"/>
      <w:r>
        <w:rPr>
          <w:rFonts w:hint="eastAsia"/>
        </w:rPr>
        <w:t>2.1 低压裸露导线绝缘安全保护套</w:t>
      </w:r>
      <w:r>
        <w:t>外观要求</w:t>
      </w:r>
      <w:bookmarkEnd w:id="59"/>
      <w:bookmarkEnd w:id="60"/>
      <w:bookmarkEnd w:id="61"/>
      <w:bookmarkEnd w:id="62"/>
      <w:bookmarkEnd w:id="63"/>
      <w:bookmarkEnd w:id="64"/>
      <w:bookmarkEnd w:id="65"/>
    </w:p>
    <w:p>
      <w:pPr>
        <w:autoSpaceDE w:val="0"/>
        <w:autoSpaceDN w:val="0"/>
        <w:adjustRightInd w:val="0"/>
        <w:ind w:firstLine="480"/>
        <w:rPr>
          <w:rFonts w:ascii="宋体" w:hAnsi="宋体" w:cs="宋体"/>
        </w:rPr>
      </w:pPr>
      <w:r>
        <w:rPr>
          <w:rFonts w:hint="eastAsia" w:ascii="宋体" w:hAnsi="宋体" w:cs="宋体"/>
        </w:rPr>
        <w:t>2.1.1</w:t>
      </w:r>
      <w:r>
        <w:rPr>
          <w:rFonts w:hint="eastAsia" w:ascii="宋体" w:hAnsi="宋体" w:cs="宋体"/>
          <w:bCs/>
        </w:rPr>
        <w:t>低压裸露导线绝缘安全保护套</w:t>
      </w:r>
      <w:r>
        <w:rPr>
          <w:rFonts w:hint="eastAsia" w:ascii="宋体" w:hAnsi="宋体" w:cs="宋体"/>
        </w:rPr>
        <w:t>主体采用的非金属构件应采用耐腐蚀、耐老化材料。</w:t>
      </w:r>
    </w:p>
    <w:p>
      <w:pPr>
        <w:autoSpaceDE w:val="0"/>
        <w:autoSpaceDN w:val="0"/>
        <w:adjustRightInd w:val="0"/>
        <w:ind w:firstLine="480"/>
        <w:rPr>
          <w:rFonts w:ascii="宋体" w:hAnsi="宋体" w:cs="宋体"/>
        </w:rPr>
      </w:pPr>
      <w:r>
        <w:rPr>
          <w:rFonts w:hint="eastAsia"/>
        </w:rPr>
        <w:t>★</w:t>
      </w:r>
      <w:r>
        <w:rPr>
          <w:rFonts w:hint="eastAsia" w:ascii="宋体" w:hAnsi="宋体" w:cs="宋体"/>
        </w:rPr>
        <w:t>2.1.2</w:t>
      </w:r>
      <w:r>
        <w:rPr>
          <w:rFonts w:hint="eastAsia" w:ascii="宋体" w:hAnsi="宋体" w:cs="宋体"/>
          <w:bCs/>
        </w:rPr>
        <w:t>低压裸露导线绝缘安全保护套采用带有独立间隔的帆布袋</w:t>
      </w:r>
      <w:r>
        <w:rPr>
          <w:rFonts w:hint="eastAsia" w:ascii="宋体" w:hAnsi="宋体" w:cs="宋体"/>
        </w:rPr>
        <w:t>包装，每一个间隔的大小与产品外形相互匹配，间隔带有弹性，在</w:t>
      </w:r>
      <w:r>
        <w:rPr>
          <w:rFonts w:hint="eastAsia" w:ascii="宋体" w:hAnsi="宋体" w:cs="宋体"/>
          <w:bCs/>
        </w:rPr>
        <w:t>保护套放入后能弹性固定牢靠。</w:t>
      </w:r>
      <w:r>
        <w:rPr>
          <w:rFonts w:hint="eastAsia" w:ascii="宋体" w:hAnsi="宋体" w:cs="宋体"/>
        </w:rPr>
        <w:t>帆布袋正面带有柔性放掉落翻盖，在翻盖内嵌入式缝纫两枚汝磁铁。帆布袋收纳时可以沿着短边卷起，通过侧边缝纫的粘扣带系紧，确保装卸、堆存和运输安全。</w:t>
      </w:r>
    </w:p>
    <w:p>
      <w:pPr>
        <w:pStyle w:val="30"/>
        <w:ind w:firstLine="480"/>
      </w:pPr>
      <w:r>
        <w:rPr>
          <w:rFonts w:hint="eastAsia"/>
        </w:rPr>
        <w:t>★</w:t>
      </w:r>
      <w:r>
        <w:rPr>
          <w:rFonts w:hint="eastAsia" w:ascii="宋体" w:hAnsi="宋体" w:cs="宋体"/>
        </w:rPr>
        <w:t>2.1.3整套</w:t>
      </w:r>
      <w:r>
        <w:rPr>
          <w:rFonts w:hint="eastAsia" w:ascii="宋体" w:hAnsi="宋体" w:cs="宋体"/>
          <w:bCs/>
        </w:rPr>
        <w:t>低压裸露导线绝缘安全保护套分有红、绿、黄、蓝四色</w:t>
      </w:r>
      <w:r>
        <w:rPr>
          <w:rFonts w:hint="eastAsia"/>
        </w:rPr>
        <w:t>。其中红色、绿色、黄色分别有三枚，在保护套表面清洗刻蚀有清晰可见的数字1、2、3；蓝色表面无标注。</w:t>
      </w:r>
    </w:p>
    <w:p>
      <w:pPr>
        <w:pStyle w:val="30"/>
        <w:ind w:firstLine="480"/>
        <w:rPr>
          <w:rFonts w:hint="eastAsia" w:ascii="宋体" w:hAnsi="宋体" w:cs="宋体"/>
        </w:rPr>
      </w:pPr>
      <w:r>
        <w:rPr>
          <w:rFonts w:hint="eastAsia"/>
        </w:rPr>
        <w:t>★</w:t>
      </w:r>
      <w:r>
        <w:rPr>
          <w:rFonts w:hint="eastAsia" w:ascii="宋体" w:hAnsi="宋体" w:cs="宋体"/>
        </w:rPr>
        <w:t>2.1.4产品的外包装及产品铭牌按招标方要求制作，所有标识的信息统一使用招标方信息，具体制作方案应征得招标同意后方可制作。永久标识及临时标识（包括公司名称、商标及logo图形文案、铭牌、文字及符号）应简明清晰；标注信息包括但不限于以下信息：</w:t>
      </w:r>
    </w:p>
    <w:p>
      <w:pPr>
        <w:pStyle w:val="30"/>
        <w:ind w:firstLine="480"/>
        <w:rPr>
          <w:rFonts w:hint="eastAsia" w:ascii="宋体" w:hAnsi="宋体" w:cs="宋体"/>
        </w:rPr>
      </w:pPr>
      <w:r>
        <w:rPr>
          <w:rFonts w:hint="eastAsia" w:ascii="宋体" w:hAnsi="宋体" w:cs="宋体"/>
        </w:rPr>
        <w:t>（1）厂名；</w:t>
      </w:r>
    </w:p>
    <w:p>
      <w:pPr>
        <w:pStyle w:val="30"/>
        <w:ind w:firstLine="480"/>
        <w:rPr>
          <w:rFonts w:hint="eastAsia" w:ascii="宋体" w:hAnsi="宋体" w:cs="宋体"/>
        </w:rPr>
      </w:pPr>
      <w:r>
        <w:rPr>
          <w:rFonts w:hint="eastAsia" w:ascii="宋体" w:hAnsi="宋体" w:cs="宋体"/>
        </w:rPr>
        <w:t>（2）产品的名称、型号；</w:t>
      </w:r>
    </w:p>
    <w:p>
      <w:pPr>
        <w:pStyle w:val="30"/>
        <w:ind w:firstLine="480"/>
        <w:rPr>
          <w:rFonts w:hint="eastAsia" w:ascii="宋体" w:hAnsi="宋体" w:cs="宋体"/>
        </w:rPr>
      </w:pPr>
      <w:r>
        <w:rPr>
          <w:rFonts w:hint="eastAsia" w:ascii="宋体" w:hAnsi="宋体" w:cs="宋体"/>
        </w:rPr>
        <w:t>（3）出厂日期；</w:t>
      </w:r>
    </w:p>
    <w:p>
      <w:pPr>
        <w:pStyle w:val="30"/>
        <w:ind w:firstLine="480"/>
        <w:rPr>
          <w:rFonts w:hint="eastAsia" w:ascii="宋体" w:hAnsi="宋体" w:cs="宋体"/>
        </w:rPr>
      </w:pPr>
      <w:r>
        <w:rPr>
          <w:rFonts w:hint="eastAsia" w:ascii="宋体" w:hAnsi="宋体" w:cs="宋体"/>
        </w:rPr>
        <w:t>（4）出厂编号；</w:t>
      </w:r>
    </w:p>
    <w:p>
      <w:pPr>
        <w:pStyle w:val="30"/>
        <w:ind w:firstLine="480"/>
        <w:rPr>
          <w:rFonts w:hint="eastAsia" w:ascii="宋体" w:hAnsi="宋体" w:cs="宋体"/>
        </w:rPr>
      </w:pPr>
      <w:r>
        <w:rPr>
          <w:rFonts w:hint="eastAsia" w:ascii="宋体" w:hAnsi="宋体" w:cs="宋体"/>
        </w:rPr>
        <w:t>（5）其他要求的信息由双方协商确定。</w:t>
      </w:r>
    </w:p>
    <w:p>
      <w:pPr>
        <w:pStyle w:val="30"/>
        <w:ind w:firstLine="480"/>
        <w:rPr>
          <w:rFonts w:ascii="宋体" w:hAnsi="宋体" w:cs="宋体"/>
          <w:bCs/>
        </w:rPr>
      </w:pPr>
      <w:r>
        <w:rPr>
          <w:rFonts w:hint="eastAsia" w:ascii="宋体" w:hAnsi="宋体" w:cs="宋体"/>
          <w:bCs/>
        </w:rPr>
        <w:t>低压裸露导线绝缘安全保护套颜色及字体定义</w:t>
      </w:r>
    </w:p>
    <w:p>
      <w:pPr>
        <w:ind w:firstLine="480"/>
      </w:pPr>
      <w:r>
        <w:rPr>
          <w:rFonts w:hint="eastAsia"/>
        </w:rPr>
        <w:t>红色色号：R</w:t>
      </w:r>
      <w:r>
        <w:t>AL3001</w:t>
      </w:r>
    </w:p>
    <w:p>
      <w:pPr>
        <w:ind w:firstLine="480"/>
      </w:pPr>
      <w:r>
        <w:rPr>
          <w:rFonts w:hint="eastAsia"/>
        </w:rPr>
        <w:t>绿色色号：</w:t>
      </w:r>
      <w:r>
        <w:t>RAL150 30 30</w:t>
      </w:r>
    </w:p>
    <w:p>
      <w:pPr>
        <w:ind w:firstLine="480"/>
      </w:pPr>
      <w:r>
        <w:rPr>
          <w:rFonts w:hint="eastAsia"/>
        </w:rPr>
        <w:t>黄色色号：R</w:t>
      </w:r>
      <w:r>
        <w:t>AL270-3</w:t>
      </w:r>
    </w:p>
    <w:p>
      <w:pPr>
        <w:ind w:firstLine="480"/>
      </w:pPr>
      <w:r>
        <w:rPr>
          <w:rFonts w:hint="eastAsia"/>
        </w:rPr>
        <w:t>蓝色色号：R</w:t>
      </w:r>
      <w:r>
        <w:t>AL600-4</w:t>
      </w:r>
    </w:p>
    <w:p>
      <w:pPr>
        <w:ind w:firstLine="480"/>
        <w:rPr>
          <w:rFonts w:ascii="宋体" w:hAnsi="宋体" w:cs="宋体"/>
          <w:bCs/>
        </w:rPr>
      </w:pPr>
      <w:r>
        <w:rPr>
          <w:rFonts w:hint="eastAsia" w:ascii="宋体" w:hAnsi="宋体" w:cs="宋体"/>
          <w:bCs/>
        </w:rPr>
        <w:t>低压裸露导线绝缘安全保护套表面刻印的字体统一采用黑体，字号采用初号，于安全保护套外圆周布置两处，标识采用浮刻工艺，高度不少于0</w:t>
      </w:r>
      <w:r>
        <w:rPr>
          <w:rFonts w:ascii="宋体" w:hAnsi="宋体" w:cs="宋体"/>
          <w:bCs/>
        </w:rPr>
        <w:t>.8</w:t>
      </w:r>
      <w:r>
        <w:rPr>
          <w:rFonts w:hint="eastAsia" w:ascii="宋体" w:hAnsi="宋体" w:cs="宋体"/>
          <w:bCs/>
        </w:rPr>
        <w:t>mm；</w:t>
      </w:r>
    </w:p>
    <w:p>
      <w:pPr>
        <w:pStyle w:val="30"/>
        <w:ind w:firstLine="480"/>
        <w:rPr>
          <w:rFonts w:hint="eastAsia" w:ascii="宋体" w:hAnsi="宋体" w:cs="宋体"/>
        </w:rPr>
      </w:pPr>
      <w:bookmarkStart w:id="66" w:name="_Toc437603901"/>
      <w:bookmarkStart w:id="67" w:name="_Toc10595"/>
      <w:bookmarkStart w:id="68" w:name="_Toc444945518"/>
      <w:r>
        <w:rPr>
          <w:rFonts w:hint="eastAsia" w:ascii="宋体" w:hAnsi="宋体" w:cs="宋体"/>
        </w:rPr>
        <w:t>标识及铭牌制作具体详见合同附件《关于产品铭牌、使用说明书及产品信息等配套标识的须知》。</w:t>
      </w:r>
    </w:p>
    <w:p>
      <w:pPr>
        <w:pStyle w:val="30"/>
        <w:ind w:firstLine="480"/>
        <w:rPr>
          <w:rFonts w:ascii="Times New Roman" w:hAnsi="Times New Roman" w:cs="Times New Roman"/>
        </w:rPr>
      </w:pPr>
      <w:r>
        <w:rPr>
          <w:rFonts w:hint="eastAsia" w:ascii="宋体" w:hAnsi="宋体" w:cs="宋体"/>
        </w:rPr>
        <w:t>★2</w:t>
      </w:r>
      <w:r>
        <w:rPr>
          <w:rFonts w:ascii="宋体" w:hAnsi="宋体" w:cs="宋体"/>
        </w:rPr>
        <w:t>.1.</w:t>
      </w:r>
      <w:r>
        <w:rPr>
          <w:rFonts w:hint="eastAsia" w:ascii="宋体" w:hAnsi="宋体" w:cs="宋体"/>
          <w:lang w:val="en-US" w:eastAsia="zh-CN"/>
        </w:rPr>
        <w:t>5</w:t>
      </w:r>
      <w:r>
        <w:rPr>
          <w:rFonts w:hint="eastAsia" w:ascii="宋体" w:hAnsi="宋体" w:cs="宋体"/>
          <w:bCs/>
        </w:rPr>
        <w:t>低压裸露导线绝缘安全保护套</w:t>
      </w:r>
      <w:r>
        <w:rPr>
          <w:rFonts w:hint="eastAsia" w:ascii="Times New Roman" w:hAnsi="Times New Roman" w:cs="Times New Roman"/>
        </w:rPr>
        <w:t>外观结构应与以下模型图一致。</w:t>
      </w:r>
    </w:p>
    <w:p>
      <w:pPr>
        <w:ind w:firstLine="0" w:firstLineChars="0"/>
        <w:jc w:val="center"/>
        <w:rPr>
          <w:rFonts w:ascii="Times New Roman" w:hAnsi="Times New Roman" w:cs="Times New Roman"/>
        </w:rPr>
      </w:pPr>
      <w:r>
        <w:drawing>
          <wp:inline distT="0" distB="0" distL="114300" distR="114300">
            <wp:extent cx="5130165" cy="2814320"/>
            <wp:effectExtent l="0" t="0" r="0" b="508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15">
                      <a:extLst>
                        <a:ext uri="{28A0092B-C50C-407E-A947-70E740481C1C}">
                          <a14:useLocalDpi xmlns:a14="http://schemas.microsoft.com/office/drawing/2010/main" val="0"/>
                        </a:ext>
                      </a:extLst>
                    </a:blip>
                    <a:stretch>
                      <a:fillRect/>
                    </a:stretch>
                  </pic:blipFill>
                  <pic:spPr>
                    <a:xfrm>
                      <a:off x="0" y="0"/>
                      <a:ext cx="5144293" cy="2822332"/>
                    </a:xfrm>
                    <a:prstGeom prst="rect">
                      <a:avLst/>
                    </a:prstGeom>
                    <a:noFill/>
                    <a:ln>
                      <a:noFill/>
                    </a:ln>
                  </pic:spPr>
                </pic:pic>
              </a:graphicData>
            </a:graphic>
          </wp:inline>
        </w:drawing>
      </w:r>
    </w:p>
    <w:p>
      <w:pPr>
        <w:ind w:firstLine="0" w:firstLineChars="0"/>
        <w:jc w:val="center"/>
        <w:rPr>
          <w:rFonts w:ascii="黑体" w:hAnsi="黑体" w:eastAsia="黑体"/>
          <w:bCs/>
          <w:sz w:val="21"/>
          <w:szCs w:val="21"/>
        </w:rPr>
      </w:pPr>
      <w:r>
        <w:rPr>
          <w:rFonts w:hint="eastAsia" w:ascii="黑体" w:hAnsi="黑体" w:eastAsia="黑体"/>
          <w:bCs/>
          <w:sz w:val="21"/>
          <w:szCs w:val="21"/>
        </w:rPr>
        <w:t>图1 低压裸露导线绝缘安全保护套帆布袋外观</w:t>
      </w:r>
    </w:p>
    <w:p>
      <w:pPr>
        <w:pStyle w:val="2"/>
        <w:ind w:firstLine="480"/>
        <w:jc w:val="center"/>
      </w:pPr>
      <w:r>
        <w:drawing>
          <wp:inline distT="0" distB="0" distL="114300" distR="114300">
            <wp:extent cx="3839845" cy="2432685"/>
            <wp:effectExtent l="0" t="0" r="8255" b="5715"/>
            <wp:docPr id="8"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3"/>
                    <pic:cNvPicPr>
                      <a:picLocks noChangeAspect="1"/>
                    </pic:cNvPicPr>
                  </pic:nvPicPr>
                  <pic:blipFill>
                    <a:blip r:embed="rId16">
                      <a:extLst>
                        <a:ext uri="{28A0092B-C50C-407E-A947-70E740481C1C}">
                          <a14:useLocalDpi xmlns:a14="http://schemas.microsoft.com/office/drawing/2010/main" val="0"/>
                        </a:ext>
                      </a:extLst>
                    </a:blip>
                    <a:stretch>
                      <a:fillRect/>
                    </a:stretch>
                  </pic:blipFill>
                  <pic:spPr>
                    <a:xfrm>
                      <a:off x="0" y="0"/>
                      <a:ext cx="3845120" cy="2436186"/>
                    </a:xfrm>
                    <a:prstGeom prst="rect">
                      <a:avLst/>
                    </a:prstGeom>
                    <a:noFill/>
                    <a:ln>
                      <a:noFill/>
                    </a:ln>
                  </pic:spPr>
                </pic:pic>
              </a:graphicData>
            </a:graphic>
          </wp:inline>
        </w:drawing>
      </w:r>
    </w:p>
    <w:p>
      <w:pPr>
        <w:pStyle w:val="2"/>
        <w:ind w:firstLine="420"/>
        <w:jc w:val="center"/>
        <w:rPr>
          <w:rFonts w:ascii="黑体" w:hAnsi="黑体" w:eastAsia="黑体"/>
          <w:bCs/>
          <w:sz w:val="21"/>
          <w:szCs w:val="21"/>
        </w:rPr>
      </w:pPr>
      <w:r>
        <w:rPr>
          <w:rFonts w:hint="eastAsia" w:ascii="黑体" w:hAnsi="黑体" w:eastAsia="黑体"/>
          <w:bCs/>
          <w:sz w:val="21"/>
          <w:szCs w:val="21"/>
        </w:rPr>
        <w:t>图2 低压裸露导线绝缘安全保护套剖视图</w:t>
      </w:r>
    </w:p>
    <w:p>
      <w:pPr>
        <w:ind w:firstLine="0" w:firstLineChars="0"/>
        <w:jc w:val="center"/>
        <w:rPr>
          <w:rFonts w:ascii="Times New Roman" w:hAnsi="Times New Roman" w:cs="Times New Roman"/>
        </w:rPr>
      </w:pPr>
    </w:p>
    <w:bookmarkEnd w:id="66"/>
    <w:bookmarkEnd w:id="67"/>
    <w:bookmarkEnd w:id="68"/>
    <w:p>
      <w:pPr>
        <w:pStyle w:val="5"/>
        <w:spacing w:before="0" w:line="240" w:lineRule="auto"/>
      </w:pPr>
      <w:bookmarkStart w:id="69" w:name="_Toc7808"/>
      <w:bookmarkStart w:id="70" w:name="_Toc19517"/>
      <w:bookmarkStart w:id="71" w:name="_Toc29694"/>
      <w:bookmarkStart w:id="72" w:name="_Toc21438"/>
      <w:bookmarkStart w:id="73" w:name="_Toc437603902"/>
      <w:bookmarkStart w:id="74" w:name="_Toc444945519"/>
      <w:bookmarkStart w:id="75" w:name="_Toc26699"/>
      <w:r>
        <w:rPr>
          <w:rFonts w:hint="eastAsia"/>
        </w:rPr>
        <w:t>2.2低压裸露导线绝缘安全保护套整体</w:t>
      </w:r>
      <w:r>
        <w:t>要求</w:t>
      </w:r>
      <w:bookmarkEnd w:id="69"/>
      <w:bookmarkEnd w:id="70"/>
      <w:bookmarkEnd w:id="71"/>
      <w:bookmarkEnd w:id="72"/>
    </w:p>
    <w:bookmarkEnd w:id="73"/>
    <w:bookmarkEnd w:id="74"/>
    <w:p>
      <w:pPr>
        <w:pStyle w:val="6"/>
        <w:tabs>
          <w:tab w:val="left" w:pos="432"/>
        </w:tabs>
      </w:pPr>
      <w:bookmarkStart w:id="76" w:name="_Toc3746"/>
      <w:bookmarkStart w:id="77" w:name="_Toc18069"/>
      <w:bookmarkStart w:id="78" w:name="_Toc15534"/>
      <w:bookmarkStart w:id="79" w:name="_Toc14850"/>
      <w:r>
        <w:rPr>
          <w:rFonts w:hint="eastAsia"/>
        </w:rPr>
        <w:t>2.2.1 低压裸露导线绝缘安全保护套功能</w:t>
      </w:r>
      <w:r>
        <w:t>要求</w:t>
      </w:r>
      <w:bookmarkEnd w:id="76"/>
      <w:bookmarkEnd w:id="77"/>
      <w:bookmarkEnd w:id="78"/>
      <w:bookmarkEnd w:id="79"/>
    </w:p>
    <w:p>
      <w:pPr>
        <w:autoSpaceDE w:val="0"/>
        <w:autoSpaceDN w:val="0"/>
        <w:adjustRightInd w:val="0"/>
        <w:snapToGrid w:val="0"/>
        <w:ind w:firstLine="480" w:firstLineChars="0"/>
        <w:rPr>
          <w:rFonts w:ascii="宋体" w:hAnsi="宋体" w:cs="宋体"/>
          <w:b/>
          <w:bCs/>
        </w:rPr>
      </w:pPr>
      <w:r>
        <w:rPr>
          <w:rFonts w:hint="eastAsia"/>
          <w:b/>
          <w:bCs/>
        </w:rPr>
        <w:t>（1）</w:t>
      </w:r>
      <w:r>
        <w:rPr>
          <w:rFonts w:hint="eastAsia" w:ascii="宋体" w:hAnsi="宋体" w:cs="宋体"/>
          <w:b/>
          <w:bCs/>
        </w:rPr>
        <w:t>★.标识区分防止混淆功能</w:t>
      </w:r>
    </w:p>
    <w:p>
      <w:pPr>
        <w:numPr>
          <w:ilvl w:val="255"/>
          <w:numId w:val="0"/>
        </w:numPr>
        <w:ind w:firstLine="420"/>
      </w:pPr>
      <w:r>
        <w:rPr>
          <w:rFonts w:hint="eastAsia"/>
        </w:rPr>
        <w:t>护套整体设计为红、黄、绿、蓝四种颜色，并配有不同数字标识，可清晰区分电压、电流及相位，从根本上避免在复杂作业中导线相互混淆的风险。有效避免导线复接时接错线的情况。</w:t>
      </w:r>
    </w:p>
    <w:p>
      <w:pPr>
        <w:autoSpaceDE w:val="0"/>
        <w:autoSpaceDN w:val="0"/>
        <w:adjustRightInd w:val="0"/>
        <w:snapToGrid w:val="0"/>
        <w:ind w:firstLine="480" w:firstLineChars="0"/>
        <w:rPr>
          <w:b/>
          <w:bCs/>
        </w:rPr>
      </w:pPr>
      <w:r>
        <w:rPr>
          <w:rFonts w:hint="eastAsia"/>
          <w:b/>
          <w:bCs/>
        </w:rPr>
        <w:t>（2）</w:t>
      </w:r>
      <w:r>
        <w:rPr>
          <w:rFonts w:hint="eastAsia" w:ascii="宋体" w:hAnsi="宋体" w:cs="宋体"/>
          <w:b/>
          <w:bCs/>
        </w:rPr>
        <w:t>★</w:t>
      </w:r>
      <w:r>
        <w:rPr>
          <w:rFonts w:hint="eastAsia"/>
          <w:b/>
          <w:bCs/>
        </w:rPr>
        <w:t>阶梯兼容多种线径功能</w:t>
      </w:r>
    </w:p>
    <w:p>
      <w:pPr>
        <w:numPr>
          <w:ilvl w:val="255"/>
          <w:numId w:val="0"/>
        </w:numPr>
        <w:ind w:firstLine="420"/>
      </w:pPr>
      <w:r>
        <w:rPr>
          <w:rFonts w:hint="eastAsia"/>
        </w:rPr>
        <w:t>护套内部采用阶梯式收紧结构，自上而下口径渐大。适应不同粗细的导线，细线在上部夹紧，粗线在下部夹紧，实现单一规格兼容多种常见线径。投标方需详细描述功能原理。</w:t>
      </w:r>
    </w:p>
    <w:p>
      <w:pPr>
        <w:autoSpaceDE w:val="0"/>
        <w:autoSpaceDN w:val="0"/>
        <w:adjustRightInd w:val="0"/>
        <w:snapToGrid w:val="0"/>
        <w:ind w:firstLine="480" w:firstLineChars="0"/>
        <w:rPr>
          <w:rFonts w:ascii="宋体" w:hAnsi="宋体" w:cs="宋体"/>
          <w:b/>
          <w:bCs/>
        </w:rPr>
      </w:pPr>
      <w:r>
        <w:rPr>
          <w:rFonts w:hint="eastAsia"/>
          <w:b/>
          <w:bCs/>
        </w:rPr>
        <w:t>（3）</w:t>
      </w:r>
      <w:r>
        <w:rPr>
          <w:rFonts w:hint="eastAsia" w:ascii="宋体" w:hAnsi="宋体" w:cs="宋体"/>
          <w:b/>
          <w:bCs/>
        </w:rPr>
        <w:t>★ 快速可靠绝缘防护功能</w:t>
      </w:r>
    </w:p>
    <w:p>
      <w:pPr>
        <w:numPr>
          <w:ilvl w:val="255"/>
          <w:numId w:val="0"/>
        </w:numPr>
        <w:ind w:firstLine="420"/>
      </w:pPr>
      <w:r>
        <w:rPr>
          <w:rFonts w:hint="eastAsia"/>
        </w:rPr>
        <w:t>护套采用绝缘软材料制成，利用其自身弹性变形紧密包裹导线裸露线芯，能快速提供可靠的临时绝缘，有效防止作业中发生短路或人员触电或导线短路接地。</w:t>
      </w:r>
    </w:p>
    <w:p>
      <w:pPr>
        <w:autoSpaceDE w:val="0"/>
        <w:autoSpaceDN w:val="0"/>
        <w:adjustRightInd w:val="0"/>
        <w:snapToGrid w:val="0"/>
        <w:ind w:firstLine="480" w:firstLineChars="0"/>
        <w:rPr>
          <w:rFonts w:ascii="宋体" w:hAnsi="宋体" w:cs="宋体"/>
          <w:b/>
          <w:bCs/>
        </w:rPr>
      </w:pPr>
      <w:r>
        <w:rPr>
          <w:rFonts w:hint="eastAsia"/>
          <w:b/>
          <w:bCs/>
        </w:rPr>
        <w:t>（3）</w:t>
      </w:r>
      <w:r>
        <w:rPr>
          <w:rFonts w:hint="eastAsia" w:ascii="宋体" w:hAnsi="宋体" w:cs="宋体"/>
          <w:b/>
          <w:bCs/>
        </w:rPr>
        <w:t>★便捷收纳功能</w:t>
      </w:r>
    </w:p>
    <w:p>
      <w:pPr>
        <w:numPr>
          <w:ilvl w:val="255"/>
          <w:numId w:val="0"/>
        </w:numPr>
        <w:ind w:firstLine="420"/>
      </w:pPr>
      <w:r>
        <w:rPr>
          <w:rFonts w:hint="eastAsia"/>
        </w:rPr>
        <w:t>产品配有专用收纳袋，袋口采用松紧带封边便于取放，并内置磁铁可吸附于电表箱等金属表面，可有效提升现场作业时工具的存取效率和整理便利性。</w:t>
      </w:r>
    </w:p>
    <w:p>
      <w:pPr>
        <w:numPr>
          <w:ilvl w:val="255"/>
          <w:numId w:val="0"/>
        </w:numPr>
        <w:ind w:firstLine="420"/>
      </w:pPr>
      <w:r>
        <w:rPr>
          <w:rFonts w:hint="eastAsia"/>
          <w:b/>
          <w:bCs/>
        </w:rPr>
        <w:t>（</w:t>
      </w:r>
      <w:r>
        <w:rPr>
          <w:b/>
          <w:bCs/>
        </w:rPr>
        <w:t>4</w:t>
      </w:r>
      <w:r>
        <w:rPr>
          <w:rFonts w:hint="eastAsia"/>
          <w:b/>
          <w:bCs/>
        </w:rPr>
        <w:t>）</w:t>
      </w:r>
      <w:r>
        <w:rPr>
          <w:rFonts w:hint="eastAsia" w:ascii="宋体" w:hAnsi="宋体" w:cs="宋体"/>
          <w:b/>
          <w:bCs/>
        </w:rPr>
        <w:t>★产品相关专利</w:t>
      </w:r>
    </w:p>
    <w:p>
      <w:pPr>
        <w:ind w:firstLine="480"/>
      </w:pPr>
      <w:r>
        <w:rPr>
          <w:rFonts w:hint="eastAsia"/>
        </w:rPr>
        <w:t>产品应具备自主知识产权，需提供产品相关专利专利文件。</w:t>
      </w:r>
    </w:p>
    <w:p>
      <w:pPr>
        <w:pStyle w:val="6"/>
        <w:numPr>
          <w:ilvl w:val="255"/>
          <w:numId w:val="0"/>
        </w:numPr>
      </w:pPr>
      <w:bookmarkStart w:id="80" w:name="_Toc24952"/>
      <w:bookmarkStart w:id="81" w:name="_Toc13463"/>
      <w:bookmarkStart w:id="82" w:name="_Toc28022"/>
      <w:bookmarkStart w:id="83" w:name="_Toc23285"/>
      <w:r>
        <w:rPr>
          <w:rFonts w:hint="eastAsia"/>
        </w:rPr>
        <w:t>2.2.2 低压裸露导线绝缘安全保护套</w:t>
      </w:r>
      <w:r>
        <w:t>使用条件要求</w:t>
      </w:r>
      <w:bookmarkEnd w:id="80"/>
      <w:bookmarkEnd w:id="81"/>
      <w:bookmarkEnd w:id="82"/>
      <w:bookmarkEnd w:id="83"/>
    </w:p>
    <w:p>
      <w:pPr>
        <w:ind w:firstLine="480"/>
      </w:pPr>
      <w:r>
        <w:rPr>
          <w:rFonts w:hint="eastAsia"/>
        </w:rPr>
        <w:t>（1）环境温度：-25℃～65℃；</w:t>
      </w:r>
    </w:p>
    <w:p>
      <w:pPr>
        <w:ind w:firstLine="480"/>
      </w:pPr>
      <w:r>
        <w:rPr>
          <w:rFonts w:hint="eastAsia"/>
        </w:rPr>
        <w:t>（2）最大日温差：1</w:t>
      </w:r>
      <w:r>
        <w:t>5K</w:t>
      </w:r>
      <w:r>
        <w:rPr>
          <w:rFonts w:hint="eastAsia"/>
        </w:rPr>
        <w:t>；</w:t>
      </w:r>
    </w:p>
    <w:p>
      <w:pPr>
        <w:ind w:firstLine="480"/>
      </w:pPr>
      <w:r>
        <w:rPr>
          <w:rFonts w:hint="eastAsia"/>
        </w:rPr>
        <w:t>（3）环境温度最大变化率：1℃/min；</w:t>
      </w:r>
    </w:p>
    <w:p>
      <w:pPr>
        <w:ind w:firstLine="480"/>
      </w:pPr>
      <w:r>
        <w:rPr>
          <w:rFonts w:hint="eastAsia"/>
        </w:rPr>
        <w:t>（2）环境相对湿度：5％～90％</w:t>
      </w:r>
    </w:p>
    <w:p>
      <w:pPr>
        <w:pStyle w:val="6"/>
        <w:tabs>
          <w:tab w:val="left" w:pos="432"/>
        </w:tabs>
      </w:pPr>
      <w:bookmarkStart w:id="84" w:name="_Toc15617"/>
      <w:bookmarkStart w:id="85" w:name="_Toc24557"/>
      <w:bookmarkStart w:id="86" w:name="_Toc22988"/>
      <w:bookmarkStart w:id="87" w:name="_Toc19033"/>
      <w:r>
        <w:t>2.</w:t>
      </w:r>
      <w:r>
        <w:rPr>
          <w:rFonts w:hint="eastAsia"/>
        </w:rPr>
        <w:t>2.3 低压裸露导线绝缘安全保护套</w:t>
      </w:r>
      <w:r>
        <w:t>技术参数和性能要求</w:t>
      </w:r>
      <w:bookmarkEnd w:id="84"/>
      <w:bookmarkEnd w:id="85"/>
      <w:bookmarkEnd w:id="86"/>
      <w:bookmarkEnd w:id="87"/>
    </w:p>
    <w:p>
      <w:pPr>
        <w:autoSpaceDE w:val="0"/>
        <w:autoSpaceDN w:val="0"/>
        <w:adjustRightInd w:val="0"/>
        <w:ind w:firstLine="0" w:firstLineChars="0"/>
      </w:pPr>
      <w:bookmarkStart w:id="88" w:name="_Toc21160"/>
      <w:r>
        <w:rPr>
          <w:rFonts w:hint="eastAsia" w:ascii="宋体" w:hAnsi="宋体" w:cs="宋体"/>
          <w:bCs/>
        </w:rPr>
        <w:t>低压裸露导线绝缘安全保护套</w:t>
      </w:r>
      <w:r>
        <w:t>技术参数</w:t>
      </w:r>
      <w:bookmarkEnd w:id="75"/>
      <w:bookmarkEnd w:id="88"/>
      <w:r>
        <w:rPr>
          <w:rFonts w:hint="eastAsia"/>
        </w:rPr>
        <w:t>表</w:t>
      </w:r>
    </w:p>
    <w:tbl>
      <w:tblPr>
        <w:tblStyle w:val="31"/>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9"/>
        <w:gridCol w:w="1952"/>
        <w:gridCol w:w="4723"/>
        <w:gridCol w:w="12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589" w:type="dxa"/>
            <w:vAlign w:val="center"/>
          </w:tcPr>
          <w:p>
            <w:pPr>
              <w:adjustRightInd w:val="0"/>
              <w:snapToGrid w:val="0"/>
              <w:spacing w:line="240" w:lineRule="auto"/>
              <w:ind w:firstLine="0" w:firstLineChars="0"/>
              <w:jc w:val="center"/>
              <w:rPr>
                <w:rFonts w:ascii="宋体" w:hAnsi="宋体" w:cs="宋体"/>
                <w:b/>
                <w:bCs/>
                <w:sz w:val="21"/>
                <w:szCs w:val="21"/>
              </w:rPr>
            </w:pPr>
            <w:r>
              <w:rPr>
                <w:rFonts w:hint="eastAsia" w:ascii="宋体" w:hAnsi="宋体" w:cs="宋体"/>
                <w:b/>
                <w:bCs/>
                <w:sz w:val="21"/>
                <w:szCs w:val="21"/>
              </w:rPr>
              <w:t>序号</w:t>
            </w:r>
          </w:p>
        </w:tc>
        <w:tc>
          <w:tcPr>
            <w:tcW w:w="1952" w:type="dxa"/>
            <w:vAlign w:val="center"/>
          </w:tcPr>
          <w:p>
            <w:pPr>
              <w:adjustRightInd w:val="0"/>
              <w:snapToGrid w:val="0"/>
              <w:spacing w:line="240" w:lineRule="auto"/>
              <w:ind w:firstLine="0" w:firstLineChars="0"/>
              <w:jc w:val="center"/>
              <w:rPr>
                <w:rFonts w:ascii="宋体" w:hAnsi="宋体" w:cs="宋体"/>
                <w:b/>
                <w:bCs/>
                <w:sz w:val="21"/>
                <w:szCs w:val="21"/>
              </w:rPr>
            </w:pPr>
            <w:r>
              <w:rPr>
                <w:rFonts w:hint="eastAsia" w:ascii="宋体" w:hAnsi="宋体" w:cs="宋体"/>
                <w:b/>
                <w:bCs/>
                <w:sz w:val="21"/>
                <w:szCs w:val="21"/>
              </w:rPr>
              <w:t>名称</w:t>
            </w:r>
          </w:p>
        </w:tc>
        <w:tc>
          <w:tcPr>
            <w:tcW w:w="4723" w:type="dxa"/>
            <w:vAlign w:val="center"/>
          </w:tcPr>
          <w:p>
            <w:pPr>
              <w:adjustRightInd w:val="0"/>
              <w:snapToGrid w:val="0"/>
              <w:spacing w:line="240" w:lineRule="auto"/>
              <w:ind w:firstLine="0" w:firstLineChars="0"/>
              <w:jc w:val="center"/>
              <w:rPr>
                <w:rFonts w:ascii="宋体" w:hAnsi="宋体" w:cs="宋体"/>
                <w:b/>
                <w:bCs/>
                <w:sz w:val="21"/>
                <w:szCs w:val="21"/>
              </w:rPr>
            </w:pPr>
            <w:r>
              <w:rPr>
                <w:rFonts w:hint="eastAsia" w:ascii="宋体" w:hAnsi="宋体" w:cs="宋体"/>
                <w:b/>
                <w:bCs/>
                <w:sz w:val="21"/>
                <w:szCs w:val="21"/>
              </w:rPr>
              <w:t>标准参数值</w:t>
            </w:r>
          </w:p>
        </w:tc>
        <w:tc>
          <w:tcPr>
            <w:tcW w:w="1258" w:type="dxa"/>
            <w:vAlign w:val="center"/>
          </w:tcPr>
          <w:p>
            <w:pPr>
              <w:adjustRightInd w:val="0"/>
              <w:snapToGrid w:val="0"/>
              <w:spacing w:line="240" w:lineRule="auto"/>
              <w:ind w:firstLine="0" w:firstLineChars="0"/>
              <w:jc w:val="center"/>
              <w:rPr>
                <w:rFonts w:ascii="宋体" w:hAnsi="宋体" w:cs="宋体"/>
                <w:b/>
                <w:bCs/>
                <w:sz w:val="21"/>
                <w:szCs w:val="21"/>
              </w:rPr>
            </w:pPr>
            <w:r>
              <w:rPr>
                <w:rFonts w:hint="eastAsia" w:ascii="宋体" w:hAnsi="宋体" w:cs="宋体"/>
                <w:b/>
                <w:bCs/>
                <w:sz w:val="21"/>
                <w:szCs w:val="21"/>
              </w:rPr>
              <w:t>投标人保证值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2" w:type="dxa"/>
            <w:gridSpan w:val="4"/>
            <w:vAlign w:val="center"/>
          </w:tcPr>
          <w:p>
            <w:pPr>
              <w:adjustRightInd w:val="0"/>
              <w:snapToGrid w:val="0"/>
              <w:spacing w:line="240" w:lineRule="auto"/>
              <w:ind w:firstLine="0" w:firstLineChars="0"/>
              <w:jc w:val="center"/>
              <w:rPr>
                <w:rFonts w:ascii="宋体" w:hAnsi="宋体" w:cs="宋体"/>
                <w:b/>
                <w:bCs/>
                <w:sz w:val="21"/>
                <w:szCs w:val="21"/>
              </w:rPr>
            </w:pPr>
            <w:r>
              <w:rPr>
                <w:rFonts w:hint="eastAsia" w:ascii="宋体" w:hAnsi="宋体" w:cs="宋体"/>
                <w:b/>
                <w:bCs/>
                <w:sz w:val="21"/>
              </w:rPr>
              <w:t>★</w:t>
            </w:r>
            <w:r>
              <w:rPr>
                <w:rFonts w:hint="eastAsia" w:ascii="宋体" w:hAnsi="宋体" w:cs="宋体"/>
                <w:b/>
                <w:bCs/>
                <w:kern w:val="0"/>
                <w:sz w:val="21"/>
                <w:szCs w:val="21"/>
              </w:rPr>
              <w:t>安全保护套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89" w:type="dxa"/>
            <w:vAlign w:val="center"/>
          </w:tcPr>
          <w:p>
            <w:pPr>
              <w:adjustRightInd w:val="0"/>
              <w:snapToGrid w:val="0"/>
              <w:spacing w:line="240" w:lineRule="auto"/>
              <w:ind w:firstLine="0" w:firstLineChars="0"/>
              <w:jc w:val="center"/>
              <w:rPr>
                <w:rFonts w:ascii="宋体" w:hAnsi="宋体" w:cs="宋体"/>
                <w:sz w:val="21"/>
                <w:szCs w:val="21"/>
              </w:rPr>
            </w:pPr>
            <w:r>
              <w:rPr>
                <w:rFonts w:hint="eastAsia" w:ascii="宋体" w:hAnsi="宋体" w:cs="宋体"/>
                <w:sz w:val="21"/>
                <w:szCs w:val="21"/>
              </w:rPr>
              <w:t>1</w:t>
            </w:r>
          </w:p>
        </w:tc>
        <w:tc>
          <w:tcPr>
            <w:tcW w:w="1952" w:type="dxa"/>
            <w:shd w:val="clear" w:color="auto" w:fill="auto"/>
            <w:vAlign w:val="center"/>
          </w:tcPr>
          <w:p>
            <w:pPr>
              <w:widowControl/>
              <w:snapToGrid w:val="0"/>
              <w:spacing w:line="240" w:lineRule="auto"/>
              <w:ind w:firstLine="0" w:firstLineChars="0"/>
              <w:jc w:val="center"/>
              <w:rPr>
                <w:rFonts w:ascii="宋体" w:hAnsi="宋体" w:cs="宋体"/>
                <w:kern w:val="0"/>
                <w:sz w:val="21"/>
                <w:szCs w:val="21"/>
              </w:rPr>
            </w:pPr>
            <w:r>
              <w:rPr>
                <w:rFonts w:hint="eastAsia" w:ascii="宋体" w:hAnsi="宋体" w:cs="宋体"/>
                <w:kern w:val="0"/>
                <w:sz w:val="21"/>
                <w:szCs w:val="21"/>
              </w:rPr>
              <w:t>单个护套尺寸</w:t>
            </w:r>
          </w:p>
        </w:tc>
        <w:tc>
          <w:tcPr>
            <w:tcW w:w="4723" w:type="dxa"/>
            <w:shd w:val="clear" w:color="auto" w:fill="auto"/>
            <w:vAlign w:val="center"/>
          </w:tcPr>
          <w:p>
            <w:pPr>
              <w:widowControl/>
              <w:snapToGrid w:val="0"/>
              <w:spacing w:line="240" w:lineRule="auto"/>
              <w:ind w:firstLine="0" w:firstLineChars="0"/>
              <w:jc w:val="left"/>
              <w:rPr>
                <w:rFonts w:ascii="宋体" w:hAnsi="宋体" w:cs="宋体"/>
                <w:kern w:val="0"/>
                <w:sz w:val="21"/>
                <w:szCs w:val="21"/>
              </w:rPr>
            </w:pPr>
            <w:r>
              <w:rPr>
                <w:rFonts w:hint="eastAsia" w:ascii="宋体" w:hAnsi="宋体" w:cs="宋体"/>
                <w:kern w:val="0"/>
                <w:sz w:val="21"/>
                <w:szCs w:val="21"/>
              </w:rPr>
              <w:t>直径≤14mm；高度≤55mm</w:t>
            </w:r>
          </w:p>
        </w:tc>
        <w:tc>
          <w:tcPr>
            <w:tcW w:w="1258" w:type="dxa"/>
            <w:vAlign w:val="center"/>
          </w:tcPr>
          <w:p>
            <w:pPr>
              <w:adjustRightInd w:val="0"/>
              <w:snapToGrid w:val="0"/>
              <w:spacing w:line="240" w:lineRule="auto"/>
              <w:ind w:firstLine="0" w:firstLineChars="0"/>
              <w:jc w:val="center"/>
              <w:rPr>
                <w:rFonts w:ascii="宋体" w:hAnsi="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89" w:type="dxa"/>
            <w:vAlign w:val="center"/>
          </w:tcPr>
          <w:p>
            <w:pPr>
              <w:adjustRightInd w:val="0"/>
              <w:snapToGrid w:val="0"/>
              <w:spacing w:line="240" w:lineRule="auto"/>
              <w:ind w:firstLine="0" w:firstLineChars="0"/>
              <w:jc w:val="center"/>
              <w:rPr>
                <w:rFonts w:ascii="宋体" w:hAnsi="宋体" w:cs="宋体"/>
                <w:sz w:val="21"/>
                <w:szCs w:val="21"/>
              </w:rPr>
            </w:pPr>
            <w:r>
              <w:rPr>
                <w:rFonts w:hint="eastAsia" w:ascii="宋体" w:hAnsi="宋体" w:cs="宋体"/>
                <w:sz w:val="21"/>
                <w:szCs w:val="21"/>
              </w:rPr>
              <w:t>2</w:t>
            </w:r>
          </w:p>
        </w:tc>
        <w:tc>
          <w:tcPr>
            <w:tcW w:w="1952" w:type="dxa"/>
            <w:shd w:val="clear" w:color="auto" w:fill="auto"/>
            <w:vAlign w:val="center"/>
          </w:tcPr>
          <w:p>
            <w:pPr>
              <w:widowControl/>
              <w:snapToGrid w:val="0"/>
              <w:spacing w:line="240" w:lineRule="auto"/>
              <w:ind w:firstLine="0" w:firstLineChars="0"/>
              <w:jc w:val="center"/>
              <w:rPr>
                <w:rFonts w:ascii="宋体" w:hAnsi="宋体" w:cs="宋体"/>
                <w:kern w:val="0"/>
                <w:sz w:val="21"/>
                <w:szCs w:val="21"/>
              </w:rPr>
            </w:pPr>
            <w:r>
              <w:rPr>
                <w:rFonts w:hint="eastAsia" w:ascii="宋体" w:hAnsi="宋体" w:cs="宋体"/>
                <w:kern w:val="0"/>
                <w:sz w:val="21"/>
                <w:szCs w:val="21"/>
              </w:rPr>
              <w:t>适配导线线径</w:t>
            </w:r>
          </w:p>
        </w:tc>
        <w:tc>
          <w:tcPr>
            <w:tcW w:w="4723" w:type="dxa"/>
            <w:shd w:val="clear" w:color="auto" w:fill="auto"/>
            <w:vAlign w:val="center"/>
          </w:tcPr>
          <w:p>
            <w:pPr>
              <w:widowControl/>
              <w:snapToGrid w:val="0"/>
              <w:spacing w:line="240" w:lineRule="auto"/>
              <w:ind w:firstLine="0" w:firstLineChars="0"/>
              <w:jc w:val="left"/>
              <w:rPr>
                <w:rFonts w:ascii="宋体" w:hAnsi="宋体" w:cs="宋体"/>
                <w:kern w:val="0"/>
                <w:sz w:val="21"/>
                <w:szCs w:val="21"/>
              </w:rPr>
            </w:pPr>
            <w:r>
              <w:rPr>
                <w:rFonts w:ascii="宋体" w:hAnsi="宋体" w:cs="宋体"/>
                <w:kern w:val="0"/>
                <w:sz w:val="21"/>
                <w:szCs w:val="21"/>
              </w:rPr>
              <w:t>2.5mm²</w:t>
            </w:r>
            <w:r>
              <w:rPr>
                <w:rFonts w:hint="eastAsia" w:ascii="宋体" w:hAnsi="宋体" w:cs="宋体"/>
                <w:kern w:val="0"/>
                <w:sz w:val="21"/>
                <w:szCs w:val="21"/>
              </w:rPr>
              <w:t>；</w:t>
            </w:r>
            <w:r>
              <w:rPr>
                <w:rFonts w:ascii="宋体" w:hAnsi="宋体" w:cs="宋体"/>
                <w:kern w:val="0"/>
                <w:sz w:val="21"/>
                <w:szCs w:val="21"/>
              </w:rPr>
              <w:t>4mm²</w:t>
            </w:r>
          </w:p>
        </w:tc>
        <w:tc>
          <w:tcPr>
            <w:tcW w:w="1258" w:type="dxa"/>
            <w:vAlign w:val="center"/>
          </w:tcPr>
          <w:p>
            <w:pPr>
              <w:adjustRightInd w:val="0"/>
              <w:snapToGrid w:val="0"/>
              <w:spacing w:line="240" w:lineRule="auto"/>
              <w:ind w:firstLine="0" w:firstLineChars="0"/>
              <w:jc w:val="center"/>
              <w:rPr>
                <w:rFonts w:ascii="宋体" w:hAnsi="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89" w:type="dxa"/>
            <w:vAlign w:val="center"/>
          </w:tcPr>
          <w:p>
            <w:pPr>
              <w:adjustRightInd w:val="0"/>
              <w:snapToGrid w:val="0"/>
              <w:spacing w:line="240" w:lineRule="auto"/>
              <w:ind w:firstLine="0" w:firstLineChars="0"/>
              <w:jc w:val="center"/>
              <w:rPr>
                <w:rFonts w:ascii="宋体" w:hAnsi="宋体" w:cs="宋体"/>
                <w:sz w:val="21"/>
                <w:szCs w:val="21"/>
              </w:rPr>
            </w:pPr>
            <w:r>
              <w:rPr>
                <w:rFonts w:hint="eastAsia" w:ascii="宋体" w:hAnsi="宋体" w:cs="宋体"/>
                <w:sz w:val="21"/>
                <w:szCs w:val="21"/>
              </w:rPr>
              <w:t>3</w:t>
            </w:r>
          </w:p>
        </w:tc>
        <w:tc>
          <w:tcPr>
            <w:tcW w:w="1952" w:type="dxa"/>
            <w:shd w:val="clear" w:color="auto" w:fill="auto"/>
            <w:vAlign w:val="center"/>
          </w:tcPr>
          <w:p>
            <w:pPr>
              <w:widowControl/>
              <w:snapToGrid w:val="0"/>
              <w:spacing w:line="240" w:lineRule="auto"/>
              <w:ind w:firstLine="0" w:firstLineChars="0"/>
              <w:jc w:val="center"/>
              <w:rPr>
                <w:rFonts w:ascii="宋体" w:hAnsi="宋体" w:cs="宋体"/>
                <w:kern w:val="0"/>
                <w:sz w:val="21"/>
                <w:szCs w:val="21"/>
              </w:rPr>
            </w:pPr>
            <w:r>
              <w:rPr>
                <w:rFonts w:hint="eastAsia" w:ascii="宋体" w:hAnsi="宋体" w:cs="宋体"/>
                <w:kern w:val="0"/>
                <w:sz w:val="21"/>
                <w:szCs w:val="21"/>
              </w:rPr>
              <w:t>主体材质</w:t>
            </w:r>
          </w:p>
        </w:tc>
        <w:tc>
          <w:tcPr>
            <w:tcW w:w="4723" w:type="dxa"/>
            <w:shd w:val="clear" w:color="auto" w:fill="auto"/>
            <w:vAlign w:val="center"/>
          </w:tcPr>
          <w:p>
            <w:pPr>
              <w:widowControl/>
              <w:snapToGrid w:val="0"/>
              <w:spacing w:line="240" w:lineRule="auto"/>
              <w:ind w:firstLine="0" w:firstLineChars="0"/>
              <w:jc w:val="left"/>
              <w:rPr>
                <w:rFonts w:ascii="宋体" w:hAnsi="宋体" w:cs="宋体"/>
                <w:kern w:val="0"/>
                <w:sz w:val="21"/>
                <w:szCs w:val="21"/>
              </w:rPr>
            </w:pPr>
            <w:r>
              <w:rPr>
                <w:rFonts w:ascii="宋体" w:hAnsi="宋体" w:cs="宋体"/>
                <w:kern w:val="0"/>
                <w:sz w:val="21"/>
                <w:szCs w:val="21"/>
              </w:rPr>
              <w:t>TPU/</w:t>
            </w:r>
            <w:r>
              <w:rPr>
                <w:rFonts w:hint="eastAsia" w:ascii="宋体" w:hAnsi="宋体" w:cs="宋体"/>
                <w:kern w:val="0"/>
                <w:sz w:val="21"/>
                <w:szCs w:val="21"/>
              </w:rPr>
              <w:t>软硅胶</w:t>
            </w:r>
          </w:p>
        </w:tc>
        <w:tc>
          <w:tcPr>
            <w:tcW w:w="1258" w:type="dxa"/>
            <w:vAlign w:val="center"/>
          </w:tcPr>
          <w:p>
            <w:pPr>
              <w:adjustRightInd w:val="0"/>
              <w:snapToGrid w:val="0"/>
              <w:spacing w:line="240" w:lineRule="auto"/>
              <w:ind w:firstLine="0" w:firstLineChars="0"/>
              <w:jc w:val="center"/>
              <w:rPr>
                <w:rFonts w:ascii="宋体" w:hAnsi="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89" w:type="dxa"/>
            <w:vAlign w:val="center"/>
          </w:tcPr>
          <w:p>
            <w:pPr>
              <w:adjustRightInd w:val="0"/>
              <w:snapToGrid w:val="0"/>
              <w:spacing w:line="240" w:lineRule="auto"/>
              <w:ind w:firstLine="0" w:firstLineChars="0"/>
              <w:jc w:val="center"/>
              <w:rPr>
                <w:rFonts w:ascii="宋体" w:hAnsi="宋体" w:cs="宋体"/>
                <w:sz w:val="21"/>
                <w:szCs w:val="21"/>
              </w:rPr>
            </w:pPr>
            <w:r>
              <w:rPr>
                <w:rFonts w:hint="eastAsia" w:ascii="宋体" w:hAnsi="宋体" w:cs="宋体"/>
                <w:sz w:val="21"/>
                <w:szCs w:val="21"/>
              </w:rPr>
              <w:t>4</w:t>
            </w:r>
          </w:p>
        </w:tc>
        <w:tc>
          <w:tcPr>
            <w:tcW w:w="1952" w:type="dxa"/>
            <w:shd w:val="clear" w:color="auto" w:fill="auto"/>
            <w:vAlign w:val="center"/>
          </w:tcPr>
          <w:p>
            <w:pPr>
              <w:widowControl/>
              <w:snapToGrid w:val="0"/>
              <w:spacing w:line="240" w:lineRule="auto"/>
              <w:ind w:firstLine="0" w:firstLineChars="0"/>
              <w:jc w:val="center"/>
              <w:rPr>
                <w:rFonts w:ascii="宋体" w:hAnsi="宋体" w:cs="宋体"/>
                <w:kern w:val="0"/>
                <w:sz w:val="21"/>
                <w:szCs w:val="21"/>
              </w:rPr>
            </w:pPr>
            <w:r>
              <w:rPr>
                <w:rFonts w:hint="eastAsia" w:ascii="宋体" w:hAnsi="宋体" w:cs="宋体"/>
                <w:kern w:val="0"/>
                <w:sz w:val="21"/>
                <w:szCs w:val="21"/>
              </w:rPr>
              <w:t>加工工艺</w:t>
            </w:r>
          </w:p>
        </w:tc>
        <w:tc>
          <w:tcPr>
            <w:tcW w:w="4723" w:type="dxa"/>
            <w:shd w:val="clear" w:color="auto" w:fill="auto"/>
            <w:vAlign w:val="center"/>
          </w:tcPr>
          <w:p>
            <w:pPr>
              <w:widowControl/>
              <w:snapToGrid w:val="0"/>
              <w:spacing w:line="240" w:lineRule="auto"/>
              <w:ind w:firstLine="0" w:firstLineChars="0"/>
              <w:jc w:val="left"/>
              <w:rPr>
                <w:rFonts w:ascii="宋体" w:hAnsi="宋体" w:cs="宋体"/>
                <w:kern w:val="0"/>
                <w:sz w:val="21"/>
                <w:szCs w:val="21"/>
              </w:rPr>
            </w:pPr>
            <w:r>
              <w:rPr>
                <w:rFonts w:hint="eastAsia" w:ascii="宋体" w:hAnsi="宋体" w:cs="宋体"/>
                <w:kern w:val="0"/>
                <w:sz w:val="21"/>
                <w:szCs w:val="21"/>
              </w:rPr>
              <w:t>注塑成型</w:t>
            </w:r>
          </w:p>
        </w:tc>
        <w:tc>
          <w:tcPr>
            <w:tcW w:w="1258" w:type="dxa"/>
            <w:vAlign w:val="center"/>
          </w:tcPr>
          <w:p>
            <w:pPr>
              <w:adjustRightInd w:val="0"/>
              <w:snapToGrid w:val="0"/>
              <w:spacing w:line="240" w:lineRule="auto"/>
              <w:ind w:firstLine="0" w:firstLineChars="0"/>
              <w:jc w:val="center"/>
              <w:rPr>
                <w:rFonts w:ascii="宋体" w:hAnsi="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89" w:type="dxa"/>
            <w:vAlign w:val="center"/>
          </w:tcPr>
          <w:p>
            <w:pPr>
              <w:adjustRightInd w:val="0"/>
              <w:snapToGrid w:val="0"/>
              <w:spacing w:line="240" w:lineRule="auto"/>
              <w:ind w:firstLine="0" w:firstLineChars="0"/>
              <w:jc w:val="center"/>
              <w:rPr>
                <w:rFonts w:ascii="宋体" w:hAnsi="宋体" w:cs="宋体"/>
                <w:sz w:val="21"/>
                <w:szCs w:val="21"/>
              </w:rPr>
            </w:pPr>
            <w:r>
              <w:rPr>
                <w:rFonts w:hint="eastAsia" w:ascii="宋体" w:hAnsi="宋体" w:cs="宋体"/>
                <w:sz w:val="21"/>
                <w:szCs w:val="21"/>
              </w:rPr>
              <w:t>5</w:t>
            </w:r>
          </w:p>
        </w:tc>
        <w:tc>
          <w:tcPr>
            <w:tcW w:w="1952" w:type="dxa"/>
            <w:shd w:val="clear" w:color="auto" w:fill="auto"/>
            <w:vAlign w:val="center"/>
          </w:tcPr>
          <w:p>
            <w:pPr>
              <w:widowControl/>
              <w:snapToGrid w:val="0"/>
              <w:spacing w:line="240" w:lineRule="auto"/>
              <w:ind w:firstLine="0" w:firstLineChars="0"/>
              <w:jc w:val="center"/>
              <w:rPr>
                <w:rFonts w:ascii="宋体" w:hAnsi="宋体" w:cs="宋体"/>
                <w:kern w:val="0"/>
                <w:sz w:val="21"/>
                <w:szCs w:val="21"/>
              </w:rPr>
            </w:pPr>
            <w:r>
              <w:rPr>
                <w:rFonts w:hint="eastAsia" w:ascii="宋体" w:hAnsi="宋体" w:cs="宋体"/>
                <w:kern w:val="0"/>
                <w:sz w:val="21"/>
                <w:szCs w:val="21"/>
              </w:rPr>
              <w:t>主体柔软度</w:t>
            </w:r>
          </w:p>
        </w:tc>
        <w:tc>
          <w:tcPr>
            <w:tcW w:w="4723" w:type="dxa"/>
            <w:shd w:val="clear" w:color="auto" w:fill="auto"/>
            <w:vAlign w:val="center"/>
          </w:tcPr>
          <w:p>
            <w:pPr>
              <w:widowControl/>
              <w:snapToGrid w:val="0"/>
              <w:spacing w:line="240" w:lineRule="auto"/>
              <w:ind w:firstLine="0" w:firstLineChars="0"/>
              <w:jc w:val="left"/>
              <w:rPr>
                <w:rFonts w:ascii="宋体" w:hAnsi="宋体" w:cs="宋体"/>
                <w:kern w:val="0"/>
                <w:sz w:val="21"/>
                <w:szCs w:val="21"/>
              </w:rPr>
            </w:pPr>
            <w:r>
              <w:rPr>
                <w:rFonts w:ascii="宋体" w:hAnsi="宋体" w:cs="宋体"/>
                <w:kern w:val="0"/>
                <w:sz w:val="21"/>
                <w:szCs w:val="21"/>
              </w:rPr>
              <w:t>70</w:t>
            </w:r>
            <w:r>
              <w:rPr>
                <w:rFonts w:hint="eastAsia" w:ascii="宋体" w:hAnsi="宋体" w:cs="宋体"/>
                <w:kern w:val="0"/>
                <w:sz w:val="21"/>
                <w:szCs w:val="21"/>
              </w:rPr>
              <w:t>度</w:t>
            </w:r>
          </w:p>
        </w:tc>
        <w:tc>
          <w:tcPr>
            <w:tcW w:w="1258" w:type="dxa"/>
            <w:vAlign w:val="center"/>
          </w:tcPr>
          <w:p>
            <w:pPr>
              <w:adjustRightInd w:val="0"/>
              <w:snapToGrid w:val="0"/>
              <w:spacing w:line="240" w:lineRule="auto"/>
              <w:ind w:firstLine="0" w:firstLineChars="0"/>
              <w:jc w:val="center"/>
              <w:rPr>
                <w:rFonts w:ascii="宋体" w:hAnsi="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89" w:type="dxa"/>
            <w:vMerge w:val="restart"/>
            <w:vAlign w:val="center"/>
          </w:tcPr>
          <w:p>
            <w:pPr>
              <w:adjustRightInd w:val="0"/>
              <w:snapToGrid w:val="0"/>
              <w:spacing w:line="240" w:lineRule="auto"/>
              <w:ind w:firstLine="0" w:firstLineChars="0"/>
              <w:jc w:val="center"/>
              <w:rPr>
                <w:rFonts w:ascii="宋体" w:hAnsi="宋体" w:cs="宋体"/>
                <w:sz w:val="21"/>
                <w:szCs w:val="21"/>
              </w:rPr>
            </w:pPr>
            <w:r>
              <w:rPr>
                <w:rFonts w:hint="eastAsia" w:ascii="宋体" w:hAnsi="宋体" w:cs="宋体"/>
                <w:sz w:val="21"/>
                <w:szCs w:val="21"/>
              </w:rPr>
              <w:t>6</w:t>
            </w:r>
          </w:p>
        </w:tc>
        <w:tc>
          <w:tcPr>
            <w:tcW w:w="1952" w:type="dxa"/>
            <w:vMerge w:val="restart"/>
            <w:shd w:val="clear" w:color="auto" w:fill="auto"/>
            <w:vAlign w:val="center"/>
          </w:tcPr>
          <w:p>
            <w:pPr>
              <w:widowControl/>
              <w:snapToGrid w:val="0"/>
              <w:spacing w:line="240" w:lineRule="auto"/>
              <w:ind w:firstLine="0" w:firstLineChars="0"/>
              <w:jc w:val="center"/>
              <w:rPr>
                <w:rFonts w:ascii="宋体" w:hAnsi="宋体" w:cs="宋体"/>
                <w:kern w:val="0"/>
                <w:sz w:val="21"/>
                <w:szCs w:val="21"/>
              </w:rPr>
            </w:pPr>
            <w:r>
              <w:rPr>
                <w:rFonts w:hint="eastAsia" w:ascii="宋体" w:hAnsi="宋体" w:cs="宋体"/>
                <w:kern w:val="0"/>
                <w:sz w:val="21"/>
                <w:szCs w:val="21"/>
              </w:rPr>
              <w:t>颜色及标号</w:t>
            </w:r>
          </w:p>
        </w:tc>
        <w:tc>
          <w:tcPr>
            <w:tcW w:w="4723" w:type="dxa"/>
            <w:shd w:val="clear" w:color="auto" w:fill="auto"/>
            <w:vAlign w:val="center"/>
          </w:tcPr>
          <w:p>
            <w:pPr>
              <w:widowControl/>
              <w:snapToGrid w:val="0"/>
              <w:spacing w:line="240" w:lineRule="auto"/>
              <w:ind w:firstLine="0" w:firstLineChars="0"/>
              <w:jc w:val="left"/>
              <w:rPr>
                <w:rFonts w:ascii="宋体" w:hAnsi="宋体" w:cs="宋体"/>
                <w:kern w:val="0"/>
                <w:sz w:val="21"/>
                <w:szCs w:val="21"/>
              </w:rPr>
            </w:pPr>
            <w:r>
              <w:rPr>
                <w:rFonts w:hint="eastAsia" w:ascii="宋体" w:hAnsi="宋体" w:cs="宋体"/>
                <w:kern w:val="0"/>
                <w:sz w:val="21"/>
                <w:szCs w:val="21"/>
              </w:rPr>
              <w:t>红1、红2、红3</w:t>
            </w:r>
          </w:p>
        </w:tc>
        <w:tc>
          <w:tcPr>
            <w:tcW w:w="1258" w:type="dxa"/>
            <w:vAlign w:val="center"/>
          </w:tcPr>
          <w:p>
            <w:pPr>
              <w:adjustRightInd w:val="0"/>
              <w:snapToGrid w:val="0"/>
              <w:spacing w:line="240" w:lineRule="auto"/>
              <w:ind w:firstLine="0" w:firstLineChars="0"/>
              <w:jc w:val="center"/>
              <w:rPr>
                <w:rFonts w:ascii="宋体" w:hAnsi="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89" w:type="dxa"/>
            <w:vMerge w:val="continue"/>
            <w:vAlign w:val="center"/>
          </w:tcPr>
          <w:p>
            <w:pPr>
              <w:adjustRightInd w:val="0"/>
              <w:snapToGrid w:val="0"/>
              <w:spacing w:line="240" w:lineRule="auto"/>
              <w:ind w:firstLine="0" w:firstLineChars="0"/>
              <w:jc w:val="center"/>
              <w:rPr>
                <w:rFonts w:ascii="宋体" w:hAnsi="宋体" w:cs="宋体"/>
                <w:sz w:val="21"/>
                <w:szCs w:val="21"/>
              </w:rPr>
            </w:pPr>
          </w:p>
        </w:tc>
        <w:tc>
          <w:tcPr>
            <w:tcW w:w="1952" w:type="dxa"/>
            <w:vMerge w:val="continue"/>
            <w:shd w:val="clear" w:color="auto" w:fill="auto"/>
            <w:vAlign w:val="center"/>
          </w:tcPr>
          <w:p>
            <w:pPr>
              <w:widowControl/>
              <w:snapToGrid w:val="0"/>
              <w:spacing w:line="240" w:lineRule="auto"/>
              <w:ind w:firstLine="0" w:firstLineChars="0"/>
              <w:jc w:val="center"/>
              <w:rPr>
                <w:rFonts w:ascii="宋体" w:hAnsi="宋体" w:cs="宋体"/>
                <w:kern w:val="0"/>
                <w:sz w:val="21"/>
                <w:szCs w:val="21"/>
              </w:rPr>
            </w:pPr>
          </w:p>
        </w:tc>
        <w:tc>
          <w:tcPr>
            <w:tcW w:w="4723" w:type="dxa"/>
            <w:shd w:val="clear" w:color="auto" w:fill="auto"/>
            <w:vAlign w:val="center"/>
          </w:tcPr>
          <w:p>
            <w:pPr>
              <w:widowControl/>
              <w:snapToGrid w:val="0"/>
              <w:spacing w:line="240" w:lineRule="auto"/>
              <w:ind w:firstLine="0" w:firstLineChars="0"/>
              <w:jc w:val="left"/>
              <w:rPr>
                <w:rFonts w:ascii="宋体" w:hAnsi="宋体" w:cs="宋体"/>
                <w:kern w:val="0"/>
                <w:sz w:val="21"/>
                <w:szCs w:val="21"/>
              </w:rPr>
            </w:pPr>
            <w:r>
              <w:rPr>
                <w:rFonts w:hint="eastAsia" w:ascii="宋体" w:hAnsi="宋体" w:cs="宋体"/>
                <w:kern w:val="0"/>
                <w:sz w:val="21"/>
                <w:szCs w:val="21"/>
              </w:rPr>
              <w:t>黄1、黄2、黄3</w:t>
            </w:r>
          </w:p>
        </w:tc>
        <w:tc>
          <w:tcPr>
            <w:tcW w:w="1258" w:type="dxa"/>
            <w:vAlign w:val="center"/>
          </w:tcPr>
          <w:p>
            <w:pPr>
              <w:adjustRightInd w:val="0"/>
              <w:snapToGrid w:val="0"/>
              <w:spacing w:line="240" w:lineRule="auto"/>
              <w:ind w:firstLine="0" w:firstLineChars="0"/>
              <w:jc w:val="center"/>
              <w:rPr>
                <w:rFonts w:ascii="宋体" w:hAnsi="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89" w:type="dxa"/>
            <w:vMerge w:val="continue"/>
            <w:vAlign w:val="center"/>
          </w:tcPr>
          <w:p>
            <w:pPr>
              <w:adjustRightInd w:val="0"/>
              <w:snapToGrid w:val="0"/>
              <w:spacing w:line="240" w:lineRule="auto"/>
              <w:ind w:firstLine="0" w:firstLineChars="0"/>
              <w:jc w:val="center"/>
              <w:rPr>
                <w:rFonts w:ascii="宋体" w:hAnsi="宋体" w:cs="宋体"/>
                <w:sz w:val="21"/>
                <w:szCs w:val="21"/>
              </w:rPr>
            </w:pPr>
          </w:p>
        </w:tc>
        <w:tc>
          <w:tcPr>
            <w:tcW w:w="1952" w:type="dxa"/>
            <w:vMerge w:val="continue"/>
            <w:shd w:val="clear" w:color="auto" w:fill="auto"/>
            <w:vAlign w:val="center"/>
          </w:tcPr>
          <w:p>
            <w:pPr>
              <w:widowControl/>
              <w:snapToGrid w:val="0"/>
              <w:spacing w:line="240" w:lineRule="auto"/>
              <w:ind w:firstLine="0" w:firstLineChars="0"/>
              <w:jc w:val="center"/>
              <w:rPr>
                <w:rFonts w:ascii="宋体" w:hAnsi="宋体" w:cs="宋体"/>
                <w:kern w:val="0"/>
                <w:sz w:val="21"/>
                <w:szCs w:val="21"/>
              </w:rPr>
            </w:pPr>
          </w:p>
        </w:tc>
        <w:tc>
          <w:tcPr>
            <w:tcW w:w="4723" w:type="dxa"/>
            <w:shd w:val="clear" w:color="auto" w:fill="auto"/>
            <w:vAlign w:val="center"/>
          </w:tcPr>
          <w:p>
            <w:pPr>
              <w:widowControl/>
              <w:snapToGrid w:val="0"/>
              <w:spacing w:line="240" w:lineRule="auto"/>
              <w:ind w:firstLine="0" w:firstLineChars="0"/>
              <w:jc w:val="left"/>
              <w:rPr>
                <w:rFonts w:ascii="宋体" w:hAnsi="宋体" w:cs="宋体"/>
                <w:kern w:val="0"/>
                <w:sz w:val="21"/>
                <w:szCs w:val="21"/>
              </w:rPr>
            </w:pPr>
            <w:r>
              <w:rPr>
                <w:rFonts w:hint="eastAsia" w:ascii="宋体" w:hAnsi="宋体" w:cs="宋体"/>
                <w:kern w:val="0"/>
                <w:sz w:val="21"/>
                <w:szCs w:val="21"/>
              </w:rPr>
              <w:t>绿1、绿2、绿3</w:t>
            </w:r>
          </w:p>
        </w:tc>
        <w:tc>
          <w:tcPr>
            <w:tcW w:w="1258" w:type="dxa"/>
            <w:vAlign w:val="center"/>
          </w:tcPr>
          <w:p>
            <w:pPr>
              <w:adjustRightInd w:val="0"/>
              <w:snapToGrid w:val="0"/>
              <w:spacing w:line="240" w:lineRule="auto"/>
              <w:ind w:firstLine="0" w:firstLineChars="0"/>
              <w:jc w:val="center"/>
              <w:rPr>
                <w:rFonts w:ascii="宋体" w:hAnsi="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89" w:type="dxa"/>
            <w:vMerge w:val="continue"/>
            <w:vAlign w:val="center"/>
          </w:tcPr>
          <w:p>
            <w:pPr>
              <w:adjustRightInd w:val="0"/>
              <w:snapToGrid w:val="0"/>
              <w:spacing w:line="240" w:lineRule="auto"/>
              <w:ind w:firstLine="0" w:firstLineChars="0"/>
              <w:jc w:val="center"/>
              <w:rPr>
                <w:rFonts w:ascii="宋体" w:hAnsi="宋体" w:cs="宋体"/>
                <w:sz w:val="21"/>
                <w:szCs w:val="21"/>
              </w:rPr>
            </w:pPr>
          </w:p>
        </w:tc>
        <w:tc>
          <w:tcPr>
            <w:tcW w:w="1952" w:type="dxa"/>
            <w:vMerge w:val="continue"/>
            <w:shd w:val="clear" w:color="auto" w:fill="auto"/>
            <w:vAlign w:val="center"/>
          </w:tcPr>
          <w:p>
            <w:pPr>
              <w:widowControl/>
              <w:snapToGrid w:val="0"/>
              <w:spacing w:line="240" w:lineRule="auto"/>
              <w:ind w:firstLine="0" w:firstLineChars="0"/>
              <w:jc w:val="center"/>
              <w:rPr>
                <w:rFonts w:ascii="宋体" w:hAnsi="宋体" w:cs="宋体"/>
                <w:kern w:val="0"/>
                <w:sz w:val="21"/>
                <w:szCs w:val="21"/>
              </w:rPr>
            </w:pPr>
          </w:p>
        </w:tc>
        <w:tc>
          <w:tcPr>
            <w:tcW w:w="4723" w:type="dxa"/>
            <w:shd w:val="clear" w:color="auto" w:fill="auto"/>
            <w:vAlign w:val="center"/>
          </w:tcPr>
          <w:p>
            <w:pPr>
              <w:widowControl/>
              <w:snapToGrid w:val="0"/>
              <w:spacing w:line="240" w:lineRule="auto"/>
              <w:ind w:firstLine="0" w:firstLineChars="0"/>
              <w:jc w:val="left"/>
              <w:rPr>
                <w:rFonts w:ascii="宋体" w:hAnsi="宋体" w:cs="宋体"/>
                <w:kern w:val="0"/>
                <w:sz w:val="21"/>
                <w:szCs w:val="21"/>
              </w:rPr>
            </w:pPr>
            <w:r>
              <w:rPr>
                <w:rFonts w:hint="eastAsia" w:ascii="宋体" w:hAnsi="宋体" w:cs="宋体"/>
                <w:kern w:val="0"/>
                <w:sz w:val="21"/>
                <w:szCs w:val="21"/>
              </w:rPr>
              <w:t>蓝</w:t>
            </w:r>
          </w:p>
        </w:tc>
        <w:tc>
          <w:tcPr>
            <w:tcW w:w="1258" w:type="dxa"/>
            <w:vAlign w:val="center"/>
          </w:tcPr>
          <w:p>
            <w:pPr>
              <w:adjustRightInd w:val="0"/>
              <w:snapToGrid w:val="0"/>
              <w:spacing w:line="240" w:lineRule="auto"/>
              <w:ind w:firstLine="0" w:firstLineChars="0"/>
              <w:jc w:val="center"/>
              <w:rPr>
                <w:rFonts w:ascii="宋体" w:hAnsi="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89" w:type="dxa"/>
            <w:vMerge w:val="restart"/>
            <w:vAlign w:val="center"/>
          </w:tcPr>
          <w:p>
            <w:pPr>
              <w:adjustRightInd w:val="0"/>
              <w:snapToGrid w:val="0"/>
              <w:spacing w:line="240" w:lineRule="auto"/>
              <w:ind w:firstLine="0" w:firstLineChars="0"/>
              <w:jc w:val="center"/>
              <w:rPr>
                <w:rFonts w:ascii="宋体" w:hAnsi="宋体" w:cs="宋体"/>
                <w:sz w:val="21"/>
                <w:szCs w:val="21"/>
              </w:rPr>
            </w:pPr>
            <w:r>
              <w:rPr>
                <w:rFonts w:hint="eastAsia" w:ascii="宋体" w:hAnsi="宋体" w:cs="宋体"/>
                <w:sz w:val="21"/>
                <w:szCs w:val="21"/>
              </w:rPr>
              <w:t>7</w:t>
            </w:r>
          </w:p>
        </w:tc>
        <w:tc>
          <w:tcPr>
            <w:tcW w:w="1952" w:type="dxa"/>
            <w:vMerge w:val="restart"/>
            <w:shd w:val="clear" w:color="auto" w:fill="auto"/>
            <w:vAlign w:val="center"/>
          </w:tcPr>
          <w:p>
            <w:pPr>
              <w:widowControl/>
              <w:snapToGrid w:val="0"/>
              <w:spacing w:line="240" w:lineRule="auto"/>
              <w:ind w:firstLine="0" w:firstLineChars="0"/>
              <w:jc w:val="center"/>
              <w:rPr>
                <w:rFonts w:ascii="宋体" w:hAnsi="宋体" w:cs="宋体"/>
                <w:kern w:val="0"/>
                <w:sz w:val="21"/>
                <w:szCs w:val="21"/>
              </w:rPr>
            </w:pPr>
            <w:r>
              <w:rPr>
                <w:rFonts w:hint="eastAsia" w:ascii="宋体" w:hAnsi="宋体" w:cs="宋体"/>
                <w:kern w:val="0"/>
                <w:sz w:val="21"/>
                <w:szCs w:val="21"/>
              </w:rPr>
              <w:t>夹持深度</w:t>
            </w:r>
          </w:p>
        </w:tc>
        <w:tc>
          <w:tcPr>
            <w:tcW w:w="4723" w:type="dxa"/>
            <w:shd w:val="clear" w:color="auto" w:fill="auto"/>
            <w:vAlign w:val="center"/>
          </w:tcPr>
          <w:p>
            <w:pPr>
              <w:widowControl/>
              <w:snapToGrid w:val="0"/>
              <w:spacing w:line="240" w:lineRule="auto"/>
              <w:ind w:firstLine="0" w:firstLineChars="0"/>
              <w:jc w:val="left"/>
              <w:rPr>
                <w:rFonts w:ascii="宋体" w:hAnsi="宋体" w:cs="宋体"/>
                <w:kern w:val="0"/>
                <w:sz w:val="21"/>
                <w:szCs w:val="21"/>
              </w:rPr>
            </w:pPr>
            <w:r>
              <w:rPr>
                <w:rFonts w:hint="eastAsia" w:ascii="宋体" w:hAnsi="宋体" w:cs="宋体"/>
                <w:kern w:val="0"/>
                <w:sz w:val="21"/>
                <w:szCs w:val="21"/>
              </w:rPr>
              <w:t>2.5mm²不少于40mm；</w:t>
            </w:r>
          </w:p>
        </w:tc>
        <w:tc>
          <w:tcPr>
            <w:tcW w:w="1258" w:type="dxa"/>
            <w:vAlign w:val="center"/>
          </w:tcPr>
          <w:p>
            <w:pPr>
              <w:adjustRightInd w:val="0"/>
              <w:snapToGrid w:val="0"/>
              <w:spacing w:line="240" w:lineRule="auto"/>
              <w:ind w:firstLine="0" w:firstLineChars="0"/>
              <w:jc w:val="center"/>
              <w:rPr>
                <w:rFonts w:ascii="宋体" w:hAnsi="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89" w:type="dxa"/>
            <w:vMerge w:val="continue"/>
            <w:vAlign w:val="center"/>
          </w:tcPr>
          <w:p>
            <w:pPr>
              <w:adjustRightInd w:val="0"/>
              <w:snapToGrid w:val="0"/>
              <w:spacing w:line="240" w:lineRule="auto"/>
              <w:ind w:firstLine="0" w:firstLineChars="0"/>
              <w:jc w:val="center"/>
              <w:rPr>
                <w:rFonts w:ascii="宋体" w:hAnsi="宋体" w:cs="宋体"/>
                <w:sz w:val="21"/>
                <w:szCs w:val="21"/>
              </w:rPr>
            </w:pPr>
          </w:p>
        </w:tc>
        <w:tc>
          <w:tcPr>
            <w:tcW w:w="1952" w:type="dxa"/>
            <w:vMerge w:val="continue"/>
            <w:shd w:val="clear" w:color="auto" w:fill="auto"/>
            <w:vAlign w:val="center"/>
          </w:tcPr>
          <w:p>
            <w:pPr>
              <w:widowControl/>
              <w:snapToGrid w:val="0"/>
              <w:spacing w:line="240" w:lineRule="auto"/>
              <w:ind w:firstLine="0" w:firstLineChars="0"/>
              <w:jc w:val="center"/>
              <w:rPr>
                <w:rFonts w:ascii="宋体" w:hAnsi="宋体" w:cs="宋体"/>
                <w:kern w:val="0"/>
                <w:sz w:val="21"/>
                <w:szCs w:val="21"/>
              </w:rPr>
            </w:pPr>
          </w:p>
        </w:tc>
        <w:tc>
          <w:tcPr>
            <w:tcW w:w="4723" w:type="dxa"/>
            <w:shd w:val="clear" w:color="auto" w:fill="auto"/>
            <w:vAlign w:val="center"/>
          </w:tcPr>
          <w:p>
            <w:pPr>
              <w:widowControl/>
              <w:snapToGrid w:val="0"/>
              <w:spacing w:line="240" w:lineRule="auto"/>
              <w:ind w:firstLine="0" w:firstLineChars="0"/>
              <w:jc w:val="left"/>
              <w:rPr>
                <w:rFonts w:ascii="宋体" w:hAnsi="宋体" w:cs="宋体"/>
                <w:kern w:val="0"/>
                <w:sz w:val="21"/>
                <w:szCs w:val="21"/>
              </w:rPr>
            </w:pPr>
            <w:r>
              <w:rPr>
                <w:rFonts w:hint="eastAsia" w:ascii="宋体" w:hAnsi="宋体" w:cs="宋体"/>
                <w:kern w:val="0"/>
                <w:sz w:val="21"/>
                <w:szCs w:val="21"/>
              </w:rPr>
              <w:t>4mm²不少于35mm；</w:t>
            </w:r>
          </w:p>
        </w:tc>
        <w:tc>
          <w:tcPr>
            <w:tcW w:w="1258" w:type="dxa"/>
            <w:vAlign w:val="center"/>
          </w:tcPr>
          <w:p>
            <w:pPr>
              <w:adjustRightInd w:val="0"/>
              <w:snapToGrid w:val="0"/>
              <w:spacing w:line="240" w:lineRule="auto"/>
              <w:ind w:firstLine="0" w:firstLineChars="0"/>
              <w:jc w:val="center"/>
              <w:rPr>
                <w:rFonts w:ascii="宋体" w:hAnsi="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2" w:type="dxa"/>
            <w:gridSpan w:val="4"/>
            <w:vAlign w:val="center"/>
          </w:tcPr>
          <w:p>
            <w:pPr>
              <w:adjustRightInd w:val="0"/>
              <w:snapToGrid w:val="0"/>
              <w:spacing w:line="240" w:lineRule="auto"/>
              <w:ind w:firstLine="0" w:firstLineChars="0"/>
              <w:jc w:val="center"/>
              <w:rPr>
                <w:rFonts w:ascii="宋体" w:hAnsi="宋体" w:cs="宋体"/>
                <w:sz w:val="21"/>
                <w:szCs w:val="21"/>
              </w:rPr>
            </w:pPr>
            <w:r>
              <w:rPr>
                <w:rFonts w:hint="eastAsia" w:ascii="宋体" w:hAnsi="宋体" w:cs="宋体"/>
                <w:b/>
                <w:bCs/>
                <w:sz w:val="21"/>
              </w:rPr>
              <w:t>★</w:t>
            </w:r>
            <w:r>
              <w:rPr>
                <w:rFonts w:hint="eastAsia" w:ascii="宋体" w:hAnsi="宋体" w:cs="宋体"/>
                <w:b/>
                <w:bCs/>
                <w:sz w:val="21"/>
                <w:szCs w:val="21"/>
              </w:rPr>
              <w:t>帆布收纳包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89" w:type="dxa"/>
            <w:vMerge w:val="restart"/>
            <w:vAlign w:val="center"/>
          </w:tcPr>
          <w:p>
            <w:pPr>
              <w:adjustRightInd w:val="0"/>
              <w:snapToGrid w:val="0"/>
              <w:spacing w:line="240" w:lineRule="auto"/>
              <w:ind w:firstLine="0" w:firstLineChars="0"/>
              <w:jc w:val="center"/>
              <w:rPr>
                <w:rFonts w:ascii="宋体" w:hAnsi="宋体" w:cs="宋体"/>
                <w:sz w:val="21"/>
                <w:szCs w:val="21"/>
              </w:rPr>
            </w:pPr>
            <w:r>
              <w:rPr>
                <w:rFonts w:hint="eastAsia" w:ascii="宋体" w:hAnsi="宋体" w:cs="宋体"/>
                <w:sz w:val="21"/>
                <w:szCs w:val="21"/>
              </w:rPr>
              <w:t>1</w:t>
            </w:r>
          </w:p>
        </w:tc>
        <w:tc>
          <w:tcPr>
            <w:tcW w:w="1952" w:type="dxa"/>
            <w:vMerge w:val="restart"/>
            <w:shd w:val="clear" w:color="auto" w:fill="auto"/>
            <w:vAlign w:val="center"/>
          </w:tcPr>
          <w:p>
            <w:pPr>
              <w:widowControl/>
              <w:snapToGrid w:val="0"/>
              <w:spacing w:line="240" w:lineRule="auto"/>
              <w:ind w:firstLine="0" w:firstLineChars="0"/>
              <w:jc w:val="center"/>
              <w:rPr>
                <w:rFonts w:ascii="宋体" w:hAnsi="宋体" w:cs="宋体"/>
                <w:kern w:val="0"/>
                <w:sz w:val="21"/>
                <w:szCs w:val="21"/>
              </w:rPr>
            </w:pPr>
            <w:r>
              <w:rPr>
                <w:rFonts w:hint="eastAsia" w:ascii="宋体" w:hAnsi="宋体" w:cs="宋体"/>
                <w:kern w:val="0"/>
                <w:sz w:val="21"/>
                <w:szCs w:val="21"/>
              </w:rPr>
              <w:t>收纳袋尺寸</w:t>
            </w:r>
          </w:p>
        </w:tc>
        <w:tc>
          <w:tcPr>
            <w:tcW w:w="4723" w:type="dxa"/>
            <w:shd w:val="clear" w:color="auto" w:fill="auto"/>
            <w:vAlign w:val="center"/>
          </w:tcPr>
          <w:p>
            <w:pPr>
              <w:widowControl/>
              <w:snapToGrid w:val="0"/>
              <w:spacing w:line="240" w:lineRule="auto"/>
              <w:ind w:firstLine="0" w:firstLineChars="0"/>
              <w:jc w:val="left"/>
              <w:rPr>
                <w:rFonts w:ascii="宋体" w:hAnsi="宋体" w:cs="宋体"/>
                <w:kern w:val="0"/>
                <w:sz w:val="21"/>
                <w:szCs w:val="21"/>
              </w:rPr>
            </w:pPr>
            <w:r>
              <w:rPr>
                <w:rFonts w:hint="eastAsia" w:ascii="宋体" w:hAnsi="宋体" w:cs="宋体"/>
                <w:kern w:val="0"/>
                <w:sz w:val="21"/>
                <w:szCs w:val="21"/>
              </w:rPr>
              <w:t>展平：长≤220mm；宽≤100mm；高≤25mm；</w:t>
            </w:r>
          </w:p>
        </w:tc>
        <w:tc>
          <w:tcPr>
            <w:tcW w:w="1258" w:type="dxa"/>
            <w:vAlign w:val="center"/>
          </w:tcPr>
          <w:p>
            <w:pPr>
              <w:adjustRightInd w:val="0"/>
              <w:snapToGrid w:val="0"/>
              <w:spacing w:line="240" w:lineRule="auto"/>
              <w:ind w:firstLine="0" w:firstLineChars="0"/>
              <w:jc w:val="center"/>
              <w:rPr>
                <w:rFonts w:ascii="宋体" w:hAnsi="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89" w:type="dxa"/>
            <w:vMerge w:val="continue"/>
            <w:vAlign w:val="center"/>
          </w:tcPr>
          <w:p>
            <w:pPr>
              <w:adjustRightInd w:val="0"/>
              <w:snapToGrid w:val="0"/>
              <w:spacing w:line="240" w:lineRule="auto"/>
              <w:ind w:firstLine="0" w:firstLineChars="0"/>
              <w:jc w:val="center"/>
              <w:rPr>
                <w:rFonts w:ascii="宋体" w:hAnsi="宋体" w:cs="宋体"/>
                <w:sz w:val="21"/>
                <w:szCs w:val="21"/>
              </w:rPr>
            </w:pPr>
          </w:p>
        </w:tc>
        <w:tc>
          <w:tcPr>
            <w:tcW w:w="1952" w:type="dxa"/>
            <w:vMerge w:val="continue"/>
            <w:shd w:val="clear" w:color="auto" w:fill="auto"/>
            <w:vAlign w:val="center"/>
          </w:tcPr>
          <w:p>
            <w:pPr>
              <w:widowControl/>
              <w:snapToGrid w:val="0"/>
              <w:spacing w:line="240" w:lineRule="auto"/>
              <w:ind w:firstLine="0" w:firstLineChars="0"/>
              <w:jc w:val="center"/>
              <w:rPr>
                <w:rFonts w:ascii="宋体" w:hAnsi="宋体" w:cs="宋体"/>
                <w:kern w:val="0"/>
                <w:sz w:val="21"/>
                <w:szCs w:val="21"/>
              </w:rPr>
            </w:pPr>
          </w:p>
        </w:tc>
        <w:tc>
          <w:tcPr>
            <w:tcW w:w="4723" w:type="dxa"/>
            <w:shd w:val="clear" w:color="auto" w:fill="auto"/>
            <w:vAlign w:val="center"/>
          </w:tcPr>
          <w:p>
            <w:pPr>
              <w:widowControl/>
              <w:snapToGrid w:val="0"/>
              <w:spacing w:line="240" w:lineRule="auto"/>
              <w:ind w:firstLine="0" w:firstLineChars="0"/>
              <w:jc w:val="left"/>
              <w:rPr>
                <w:rFonts w:ascii="宋体" w:hAnsi="宋体" w:cs="宋体"/>
                <w:kern w:val="0"/>
                <w:sz w:val="21"/>
                <w:szCs w:val="21"/>
              </w:rPr>
            </w:pPr>
            <w:r>
              <w:rPr>
                <w:rFonts w:hint="eastAsia" w:ascii="宋体" w:hAnsi="宋体" w:cs="宋体"/>
                <w:kern w:val="0"/>
                <w:sz w:val="21"/>
                <w:szCs w:val="21"/>
              </w:rPr>
              <w:t>卷起：直径：≤80mm；高≤100mm</w:t>
            </w:r>
          </w:p>
        </w:tc>
        <w:tc>
          <w:tcPr>
            <w:tcW w:w="1258" w:type="dxa"/>
            <w:vAlign w:val="center"/>
          </w:tcPr>
          <w:p>
            <w:pPr>
              <w:adjustRightInd w:val="0"/>
              <w:snapToGrid w:val="0"/>
              <w:spacing w:line="240" w:lineRule="auto"/>
              <w:ind w:firstLine="0" w:firstLineChars="0"/>
              <w:jc w:val="center"/>
              <w:rPr>
                <w:rFonts w:ascii="宋体" w:hAnsi="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89" w:type="dxa"/>
            <w:vAlign w:val="center"/>
          </w:tcPr>
          <w:p>
            <w:pPr>
              <w:adjustRightInd w:val="0"/>
              <w:snapToGrid w:val="0"/>
              <w:spacing w:line="240" w:lineRule="auto"/>
              <w:ind w:firstLine="0" w:firstLineChars="0"/>
              <w:jc w:val="center"/>
              <w:rPr>
                <w:rFonts w:ascii="宋体" w:hAnsi="宋体" w:cs="宋体"/>
                <w:sz w:val="21"/>
                <w:szCs w:val="21"/>
              </w:rPr>
            </w:pPr>
            <w:r>
              <w:rPr>
                <w:rFonts w:hint="eastAsia" w:ascii="宋体" w:hAnsi="宋体" w:cs="宋体"/>
                <w:sz w:val="21"/>
                <w:szCs w:val="21"/>
              </w:rPr>
              <w:t>2</w:t>
            </w:r>
          </w:p>
        </w:tc>
        <w:tc>
          <w:tcPr>
            <w:tcW w:w="1952" w:type="dxa"/>
            <w:shd w:val="clear" w:color="auto" w:fill="auto"/>
            <w:vAlign w:val="center"/>
          </w:tcPr>
          <w:p>
            <w:pPr>
              <w:widowControl/>
              <w:snapToGrid w:val="0"/>
              <w:spacing w:line="240" w:lineRule="auto"/>
              <w:ind w:firstLine="0" w:firstLineChars="0"/>
              <w:jc w:val="center"/>
              <w:rPr>
                <w:rFonts w:ascii="宋体" w:hAnsi="宋体" w:cs="宋体"/>
                <w:kern w:val="0"/>
                <w:sz w:val="21"/>
                <w:szCs w:val="21"/>
              </w:rPr>
            </w:pPr>
            <w:r>
              <w:rPr>
                <w:rFonts w:hint="eastAsia" w:ascii="宋体" w:hAnsi="宋体" w:cs="宋体"/>
                <w:kern w:val="0"/>
                <w:sz w:val="21"/>
                <w:szCs w:val="21"/>
              </w:rPr>
              <w:t>收纳袋容量</w:t>
            </w:r>
          </w:p>
        </w:tc>
        <w:tc>
          <w:tcPr>
            <w:tcW w:w="4723" w:type="dxa"/>
            <w:shd w:val="clear" w:color="auto" w:fill="auto"/>
            <w:vAlign w:val="center"/>
          </w:tcPr>
          <w:p>
            <w:pPr>
              <w:widowControl/>
              <w:snapToGrid w:val="0"/>
              <w:spacing w:line="240" w:lineRule="auto"/>
              <w:ind w:firstLine="0" w:firstLineChars="0"/>
              <w:jc w:val="left"/>
              <w:rPr>
                <w:rFonts w:ascii="宋体" w:hAnsi="宋体" w:cs="宋体"/>
                <w:kern w:val="0"/>
                <w:sz w:val="21"/>
                <w:szCs w:val="21"/>
              </w:rPr>
            </w:pPr>
            <w:r>
              <w:rPr>
                <w:rFonts w:hint="eastAsia" w:ascii="宋体" w:hAnsi="宋体" w:cs="宋体"/>
                <w:sz w:val="21"/>
                <w:szCs w:val="24"/>
              </w:rPr>
              <w:t>收纳10枚</w:t>
            </w:r>
          </w:p>
        </w:tc>
        <w:tc>
          <w:tcPr>
            <w:tcW w:w="1258" w:type="dxa"/>
            <w:vAlign w:val="center"/>
          </w:tcPr>
          <w:p>
            <w:pPr>
              <w:adjustRightInd w:val="0"/>
              <w:snapToGrid w:val="0"/>
              <w:spacing w:line="240" w:lineRule="auto"/>
              <w:ind w:firstLine="0" w:firstLineChars="0"/>
              <w:jc w:val="center"/>
              <w:rPr>
                <w:rFonts w:ascii="宋体" w:hAnsi="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89" w:type="dxa"/>
            <w:vAlign w:val="center"/>
          </w:tcPr>
          <w:p>
            <w:pPr>
              <w:adjustRightInd w:val="0"/>
              <w:snapToGrid w:val="0"/>
              <w:spacing w:line="240" w:lineRule="auto"/>
              <w:ind w:firstLine="0" w:firstLineChars="0"/>
              <w:jc w:val="center"/>
              <w:rPr>
                <w:rFonts w:ascii="宋体" w:hAnsi="宋体" w:cs="宋体"/>
                <w:sz w:val="21"/>
                <w:szCs w:val="21"/>
              </w:rPr>
            </w:pPr>
            <w:r>
              <w:rPr>
                <w:rFonts w:hint="eastAsia" w:ascii="宋体" w:hAnsi="宋体" w:cs="宋体"/>
                <w:sz w:val="21"/>
                <w:szCs w:val="21"/>
              </w:rPr>
              <w:t>3</w:t>
            </w:r>
          </w:p>
        </w:tc>
        <w:tc>
          <w:tcPr>
            <w:tcW w:w="1952" w:type="dxa"/>
            <w:shd w:val="clear" w:color="auto" w:fill="auto"/>
            <w:vAlign w:val="center"/>
          </w:tcPr>
          <w:p>
            <w:pPr>
              <w:widowControl/>
              <w:snapToGrid w:val="0"/>
              <w:spacing w:line="240" w:lineRule="auto"/>
              <w:ind w:firstLine="0" w:firstLineChars="0"/>
              <w:jc w:val="center"/>
              <w:rPr>
                <w:rFonts w:ascii="宋体" w:hAnsi="宋体" w:cs="宋体"/>
                <w:kern w:val="0"/>
                <w:sz w:val="21"/>
                <w:szCs w:val="21"/>
              </w:rPr>
            </w:pPr>
            <w:r>
              <w:rPr>
                <w:rFonts w:hint="eastAsia" w:ascii="宋体" w:hAnsi="宋体" w:cs="宋体"/>
                <w:kern w:val="0"/>
                <w:sz w:val="21"/>
                <w:szCs w:val="21"/>
              </w:rPr>
              <w:t>保护套摆放布局</w:t>
            </w:r>
          </w:p>
        </w:tc>
        <w:tc>
          <w:tcPr>
            <w:tcW w:w="4723" w:type="dxa"/>
            <w:shd w:val="clear" w:color="auto" w:fill="auto"/>
            <w:vAlign w:val="center"/>
          </w:tcPr>
          <w:p>
            <w:pPr>
              <w:widowControl/>
              <w:snapToGrid w:val="0"/>
              <w:spacing w:line="240" w:lineRule="auto"/>
              <w:ind w:firstLine="0" w:firstLineChars="0"/>
              <w:jc w:val="left"/>
              <w:rPr>
                <w:rFonts w:ascii="宋体" w:hAnsi="宋体" w:cs="宋体"/>
                <w:kern w:val="0"/>
                <w:sz w:val="21"/>
                <w:szCs w:val="21"/>
              </w:rPr>
            </w:pPr>
            <w:r>
              <w:rPr>
                <w:rFonts w:hint="eastAsia" w:ascii="宋体" w:hAnsi="宋体" w:cs="宋体"/>
                <w:kern w:val="0"/>
                <w:sz w:val="21"/>
                <w:szCs w:val="21"/>
              </w:rPr>
              <w:t>独立间隔，一字排列</w:t>
            </w:r>
          </w:p>
        </w:tc>
        <w:tc>
          <w:tcPr>
            <w:tcW w:w="1258" w:type="dxa"/>
            <w:vAlign w:val="center"/>
          </w:tcPr>
          <w:p>
            <w:pPr>
              <w:adjustRightInd w:val="0"/>
              <w:snapToGrid w:val="0"/>
              <w:spacing w:line="240" w:lineRule="auto"/>
              <w:ind w:firstLine="0" w:firstLineChars="0"/>
              <w:jc w:val="center"/>
              <w:rPr>
                <w:rFonts w:ascii="宋体" w:hAnsi="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89" w:type="dxa"/>
            <w:vAlign w:val="center"/>
          </w:tcPr>
          <w:p>
            <w:pPr>
              <w:adjustRightInd w:val="0"/>
              <w:snapToGrid w:val="0"/>
              <w:spacing w:line="240" w:lineRule="auto"/>
              <w:ind w:firstLine="0" w:firstLineChars="0"/>
              <w:jc w:val="center"/>
              <w:rPr>
                <w:rFonts w:ascii="宋体" w:hAnsi="宋体" w:cs="宋体"/>
                <w:sz w:val="21"/>
                <w:szCs w:val="21"/>
              </w:rPr>
            </w:pPr>
            <w:r>
              <w:rPr>
                <w:rFonts w:hint="eastAsia" w:ascii="宋体" w:hAnsi="宋体" w:cs="宋体"/>
                <w:sz w:val="21"/>
                <w:szCs w:val="21"/>
              </w:rPr>
              <w:t>4</w:t>
            </w:r>
          </w:p>
        </w:tc>
        <w:tc>
          <w:tcPr>
            <w:tcW w:w="1952" w:type="dxa"/>
            <w:shd w:val="clear" w:color="auto" w:fill="auto"/>
            <w:vAlign w:val="center"/>
          </w:tcPr>
          <w:p>
            <w:pPr>
              <w:widowControl/>
              <w:snapToGrid w:val="0"/>
              <w:spacing w:line="240" w:lineRule="auto"/>
              <w:ind w:firstLine="0" w:firstLineChars="0"/>
              <w:jc w:val="center"/>
              <w:rPr>
                <w:rFonts w:ascii="宋体" w:hAnsi="宋体" w:cs="宋体"/>
                <w:kern w:val="0"/>
                <w:sz w:val="21"/>
                <w:szCs w:val="21"/>
              </w:rPr>
            </w:pPr>
            <w:r>
              <w:rPr>
                <w:rFonts w:hint="eastAsia" w:ascii="宋体" w:hAnsi="宋体" w:cs="宋体"/>
                <w:kern w:val="0"/>
                <w:sz w:val="21"/>
                <w:szCs w:val="21"/>
              </w:rPr>
              <w:t>收纳袋间隔</w:t>
            </w:r>
          </w:p>
        </w:tc>
        <w:tc>
          <w:tcPr>
            <w:tcW w:w="4723" w:type="dxa"/>
            <w:shd w:val="clear" w:color="auto" w:fill="auto"/>
            <w:vAlign w:val="center"/>
          </w:tcPr>
          <w:p>
            <w:pPr>
              <w:widowControl/>
              <w:snapToGrid w:val="0"/>
              <w:spacing w:line="240" w:lineRule="auto"/>
              <w:ind w:firstLine="0" w:firstLineChars="0"/>
              <w:jc w:val="left"/>
              <w:rPr>
                <w:rFonts w:ascii="宋体" w:hAnsi="宋体" w:cs="宋体"/>
                <w:kern w:val="0"/>
                <w:sz w:val="21"/>
                <w:szCs w:val="21"/>
              </w:rPr>
            </w:pPr>
            <w:r>
              <w:rPr>
                <w:rFonts w:hint="eastAsia" w:ascii="宋体" w:hAnsi="宋体" w:cs="宋体"/>
                <w:kern w:val="0"/>
                <w:sz w:val="21"/>
                <w:szCs w:val="21"/>
              </w:rPr>
              <w:t>弹性间隔带</w:t>
            </w:r>
          </w:p>
        </w:tc>
        <w:tc>
          <w:tcPr>
            <w:tcW w:w="1258" w:type="dxa"/>
            <w:vAlign w:val="center"/>
          </w:tcPr>
          <w:p>
            <w:pPr>
              <w:adjustRightInd w:val="0"/>
              <w:snapToGrid w:val="0"/>
              <w:spacing w:line="240" w:lineRule="auto"/>
              <w:ind w:firstLine="0" w:firstLineChars="0"/>
              <w:jc w:val="center"/>
              <w:rPr>
                <w:rFonts w:ascii="宋体" w:hAnsi="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89" w:type="dxa"/>
            <w:vAlign w:val="center"/>
          </w:tcPr>
          <w:p>
            <w:pPr>
              <w:adjustRightInd w:val="0"/>
              <w:snapToGrid w:val="0"/>
              <w:spacing w:line="240" w:lineRule="auto"/>
              <w:ind w:firstLine="0" w:firstLineChars="0"/>
              <w:jc w:val="center"/>
              <w:rPr>
                <w:rFonts w:ascii="宋体" w:hAnsi="宋体" w:cs="宋体"/>
                <w:sz w:val="21"/>
                <w:szCs w:val="21"/>
              </w:rPr>
            </w:pPr>
            <w:r>
              <w:rPr>
                <w:rFonts w:hint="eastAsia" w:ascii="宋体" w:hAnsi="宋体" w:cs="宋体"/>
                <w:sz w:val="21"/>
                <w:szCs w:val="21"/>
              </w:rPr>
              <w:t>5</w:t>
            </w:r>
          </w:p>
        </w:tc>
        <w:tc>
          <w:tcPr>
            <w:tcW w:w="1952" w:type="dxa"/>
            <w:shd w:val="clear" w:color="auto" w:fill="auto"/>
            <w:vAlign w:val="center"/>
          </w:tcPr>
          <w:p>
            <w:pPr>
              <w:widowControl/>
              <w:snapToGrid w:val="0"/>
              <w:spacing w:line="240" w:lineRule="auto"/>
              <w:ind w:firstLine="0" w:firstLineChars="0"/>
              <w:jc w:val="center"/>
              <w:rPr>
                <w:rFonts w:ascii="宋体" w:hAnsi="宋体" w:cs="宋体"/>
                <w:kern w:val="0"/>
                <w:sz w:val="21"/>
                <w:szCs w:val="21"/>
              </w:rPr>
            </w:pPr>
            <w:r>
              <w:rPr>
                <w:rFonts w:hint="eastAsia" w:ascii="宋体" w:hAnsi="宋体" w:cs="宋体"/>
                <w:kern w:val="0"/>
                <w:sz w:val="21"/>
                <w:szCs w:val="21"/>
              </w:rPr>
              <w:t>磁吸配件</w:t>
            </w:r>
          </w:p>
        </w:tc>
        <w:tc>
          <w:tcPr>
            <w:tcW w:w="4723" w:type="dxa"/>
            <w:shd w:val="clear" w:color="auto" w:fill="auto"/>
            <w:vAlign w:val="center"/>
          </w:tcPr>
          <w:p>
            <w:pPr>
              <w:widowControl/>
              <w:snapToGrid w:val="0"/>
              <w:spacing w:line="240" w:lineRule="auto"/>
              <w:ind w:firstLine="0" w:firstLineChars="0"/>
              <w:jc w:val="left"/>
              <w:rPr>
                <w:rFonts w:ascii="宋体" w:hAnsi="宋体" w:cs="宋体"/>
                <w:kern w:val="0"/>
                <w:sz w:val="21"/>
                <w:szCs w:val="21"/>
              </w:rPr>
            </w:pPr>
            <w:r>
              <w:rPr>
                <w:rFonts w:ascii="宋体" w:hAnsi="宋体" w:cs="宋体"/>
                <w:kern w:val="0"/>
                <w:sz w:val="21"/>
                <w:szCs w:val="21"/>
              </w:rPr>
              <w:t>30x10x5</w:t>
            </w:r>
            <w:r>
              <w:rPr>
                <w:rFonts w:hint="eastAsia" w:ascii="宋体" w:hAnsi="宋体" w:cs="宋体"/>
                <w:kern w:val="0"/>
                <w:sz w:val="21"/>
                <w:szCs w:val="21"/>
              </w:rPr>
              <w:t>（mm）方型汝磁铁2块</w:t>
            </w:r>
          </w:p>
        </w:tc>
        <w:tc>
          <w:tcPr>
            <w:tcW w:w="1258" w:type="dxa"/>
            <w:vAlign w:val="center"/>
          </w:tcPr>
          <w:p>
            <w:pPr>
              <w:adjustRightInd w:val="0"/>
              <w:snapToGrid w:val="0"/>
              <w:spacing w:line="240" w:lineRule="auto"/>
              <w:ind w:firstLine="0" w:firstLineChars="0"/>
              <w:jc w:val="center"/>
              <w:rPr>
                <w:rFonts w:ascii="宋体" w:hAnsi="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89" w:type="dxa"/>
            <w:vAlign w:val="center"/>
          </w:tcPr>
          <w:p>
            <w:pPr>
              <w:adjustRightInd w:val="0"/>
              <w:snapToGrid w:val="0"/>
              <w:spacing w:line="240" w:lineRule="auto"/>
              <w:ind w:firstLine="0" w:firstLineChars="0"/>
              <w:jc w:val="center"/>
              <w:rPr>
                <w:rFonts w:ascii="宋体" w:hAnsi="宋体" w:cs="宋体"/>
                <w:sz w:val="21"/>
                <w:szCs w:val="21"/>
              </w:rPr>
            </w:pPr>
            <w:r>
              <w:rPr>
                <w:rFonts w:hint="eastAsia" w:ascii="宋体" w:hAnsi="宋体" w:cs="宋体"/>
                <w:sz w:val="21"/>
                <w:szCs w:val="21"/>
              </w:rPr>
              <w:t>6</w:t>
            </w:r>
          </w:p>
        </w:tc>
        <w:tc>
          <w:tcPr>
            <w:tcW w:w="1952" w:type="dxa"/>
            <w:shd w:val="clear" w:color="auto" w:fill="auto"/>
            <w:vAlign w:val="center"/>
          </w:tcPr>
          <w:p>
            <w:pPr>
              <w:widowControl/>
              <w:snapToGrid w:val="0"/>
              <w:spacing w:line="240" w:lineRule="auto"/>
              <w:ind w:firstLine="0" w:firstLineChars="0"/>
              <w:jc w:val="center"/>
              <w:rPr>
                <w:rFonts w:ascii="宋体" w:hAnsi="宋体" w:cs="宋体"/>
                <w:kern w:val="0"/>
                <w:sz w:val="21"/>
                <w:szCs w:val="21"/>
              </w:rPr>
            </w:pPr>
            <w:r>
              <w:rPr>
                <w:rFonts w:hint="eastAsia" w:ascii="宋体" w:hAnsi="宋体" w:cs="宋体"/>
                <w:kern w:val="0"/>
                <w:sz w:val="21"/>
                <w:szCs w:val="21"/>
              </w:rPr>
              <w:t>粘扣带长度</w:t>
            </w:r>
          </w:p>
        </w:tc>
        <w:tc>
          <w:tcPr>
            <w:tcW w:w="4723" w:type="dxa"/>
            <w:shd w:val="clear" w:color="auto" w:fill="auto"/>
            <w:vAlign w:val="center"/>
          </w:tcPr>
          <w:p>
            <w:pPr>
              <w:widowControl/>
              <w:snapToGrid w:val="0"/>
              <w:spacing w:line="240" w:lineRule="auto"/>
              <w:ind w:firstLine="0" w:firstLineChars="0"/>
              <w:jc w:val="left"/>
              <w:rPr>
                <w:rFonts w:ascii="宋体" w:hAnsi="宋体" w:cs="宋体"/>
                <w:kern w:val="0"/>
                <w:sz w:val="21"/>
                <w:szCs w:val="21"/>
              </w:rPr>
            </w:pPr>
            <w:r>
              <w:rPr>
                <w:rFonts w:hint="eastAsia" w:ascii="宋体" w:hAnsi="宋体" w:cs="宋体"/>
                <w:kern w:val="0"/>
                <w:sz w:val="21"/>
                <w:szCs w:val="21"/>
              </w:rPr>
              <w:t>≥8cm</w:t>
            </w:r>
          </w:p>
        </w:tc>
        <w:tc>
          <w:tcPr>
            <w:tcW w:w="1258" w:type="dxa"/>
            <w:vAlign w:val="center"/>
          </w:tcPr>
          <w:p>
            <w:pPr>
              <w:adjustRightInd w:val="0"/>
              <w:snapToGrid w:val="0"/>
              <w:spacing w:line="240" w:lineRule="auto"/>
              <w:ind w:firstLine="0" w:firstLineChars="0"/>
              <w:jc w:val="center"/>
              <w:rPr>
                <w:rFonts w:ascii="宋体" w:hAnsi="宋体" w:cs="宋体"/>
                <w:sz w:val="21"/>
                <w:szCs w:val="21"/>
              </w:rPr>
            </w:pPr>
          </w:p>
        </w:tc>
      </w:tr>
    </w:tbl>
    <w:p>
      <w:pPr>
        <w:ind w:firstLine="0" w:firstLineChars="0"/>
      </w:pPr>
      <w:bookmarkStart w:id="89" w:name="_Toc29894"/>
      <w:bookmarkStart w:id="90" w:name="_Toc2256"/>
      <w:bookmarkStart w:id="91" w:name="_Toc27376"/>
    </w:p>
    <w:p>
      <w:pPr>
        <w:pStyle w:val="6"/>
        <w:numPr>
          <w:ilvl w:val="255"/>
          <w:numId w:val="0"/>
        </w:numPr>
      </w:pPr>
      <w:bookmarkStart w:id="92" w:name="_Toc2043"/>
      <w:bookmarkStart w:id="93" w:name="_Toc5223"/>
      <w:bookmarkStart w:id="94" w:name="_Toc29222"/>
      <w:r>
        <w:t>2.</w:t>
      </w:r>
      <w:r>
        <w:rPr>
          <w:rFonts w:hint="eastAsia"/>
        </w:rPr>
        <w:t>2.4</w:t>
      </w:r>
      <w:r>
        <w:t xml:space="preserve"> </w:t>
      </w:r>
      <w:bookmarkEnd w:id="89"/>
      <w:r>
        <w:rPr>
          <w:rFonts w:hint="eastAsia"/>
        </w:rPr>
        <w:t>产品配置表</w:t>
      </w:r>
      <w:bookmarkEnd w:id="90"/>
      <w:bookmarkEnd w:id="92"/>
      <w:bookmarkEnd w:id="93"/>
      <w:bookmarkEnd w:id="94"/>
    </w:p>
    <w:tbl>
      <w:tblPr>
        <w:tblStyle w:val="31"/>
        <w:tblW w:w="85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6"/>
        <w:gridCol w:w="3086"/>
        <w:gridCol w:w="1230"/>
        <w:gridCol w:w="1215"/>
        <w:gridCol w:w="20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blHeader/>
          <w:jc w:val="center"/>
        </w:trPr>
        <w:tc>
          <w:tcPr>
            <w:tcW w:w="986" w:type="dxa"/>
            <w:vAlign w:val="center"/>
          </w:tcPr>
          <w:p>
            <w:pPr>
              <w:topLinePunct/>
              <w:snapToGrid w:val="0"/>
              <w:spacing w:before="81" w:beforeLines="26" w:after="81" w:afterLines="26" w:line="240" w:lineRule="auto"/>
              <w:ind w:firstLine="0" w:firstLineChars="0"/>
              <w:jc w:val="center"/>
              <w:rPr>
                <w:rFonts w:ascii="宋体" w:hAnsi="宋体" w:cs="宋体"/>
                <w:b/>
                <w:bCs/>
                <w:color w:val="000000"/>
                <w:sz w:val="21"/>
                <w:szCs w:val="21"/>
              </w:rPr>
            </w:pPr>
            <w:r>
              <w:rPr>
                <w:rFonts w:hint="eastAsia" w:ascii="宋体" w:hAnsi="宋体" w:cs="宋体"/>
                <w:b/>
                <w:bCs/>
                <w:color w:val="000000"/>
                <w:sz w:val="21"/>
                <w:szCs w:val="21"/>
              </w:rPr>
              <w:t>序号</w:t>
            </w:r>
          </w:p>
        </w:tc>
        <w:tc>
          <w:tcPr>
            <w:tcW w:w="3086" w:type="dxa"/>
            <w:vAlign w:val="center"/>
          </w:tcPr>
          <w:p>
            <w:pPr>
              <w:topLinePunct/>
              <w:snapToGrid w:val="0"/>
              <w:spacing w:before="81" w:beforeLines="26" w:after="81" w:afterLines="26" w:line="240" w:lineRule="auto"/>
              <w:ind w:firstLine="0" w:firstLineChars="0"/>
              <w:jc w:val="center"/>
              <w:rPr>
                <w:rFonts w:ascii="宋体" w:hAnsi="宋体" w:cs="宋体"/>
                <w:b/>
                <w:bCs/>
                <w:color w:val="000000"/>
                <w:sz w:val="21"/>
                <w:szCs w:val="21"/>
              </w:rPr>
            </w:pPr>
            <w:r>
              <w:rPr>
                <w:rFonts w:hint="eastAsia" w:ascii="宋体" w:hAnsi="宋体" w:cs="宋体"/>
                <w:b/>
                <w:bCs/>
                <w:color w:val="000000"/>
                <w:sz w:val="21"/>
                <w:szCs w:val="21"/>
              </w:rPr>
              <w:t>主要组件名称</w:t>
            </w:r>
          </w:p>
        </w:tc>
        <w:tc>
          <w:tcPr>
            <w:tcW w:w="1230" w:type="dxa"/>
            <w:vAlign w:val="center"/>
          </w:tcPr>
          <w:p>
            <w:pPr>
              <w:topLinePunct/>
              <w:snapToGrid w:val="0"/>
              <w:spacing w:before="81" w:beforeLines="26" w:after="81" w:afterLines="26" w:line="240" w:lineRule="auto"/>
              <w:ind w:firstLine="0" w:firstLineChars="0"/>
              <w:jc w:val="center"/>
              <w:rPr>
                <w:rFonts w:ascii="宋体" w:hAnsi="宋体" w:cs="宋体"/>
                <w:b/>
                <w:bCs/>
                <w:color w:val="000000"/>
                <w:sz w:val="21"/>
                <w:szCs w:val="21"/>
              </w:rPr>
            </w:pPr>
            <w:r>
              <w:rPr>
                <w:rFonts w:hint="eastAsia" w:ascii="宋体" w:hAnsi="宋体" w:cs="宋体"/>
                <w:b/>
                <w:bCs/>
                <w:color w:val="000000"/>
                <w:sz w:val="21"/>
                <w:szCs w:val="21"/>
              </w:rPr>
              <w:t>单位</w:t>
            </w:r>
          </w:p>
        </w:tc>
        <w:tc>
          <w:tcPr>
            <w:tcW w:w="1215" w:type="dxa"/>
            <w:vAlign w:val="center"/>
          </w:tcPr>
          <w:p>
            <w:pPr>
              <w:topLinePunct/>
              <w:snapToGrid w:val="0"/>
              <w:spacing w:before="81" w:beforeLines="26" w:after="81" w:afterLines="26" w:line="240" w:lineRule="auto"/>
              <w:ind w:firstLine="0" w:firstLineChars="0"/>
              <w:jc w:val="center"/>
              <w:rPr>
                <w:rFonts w:ascii="宋体" w:hAnsi="宋体" w:cs="宋体"/>
                <w:b/>
                <w:bCs/>
                <w:color w:val="000000"/>
                <w:sz w:val="21"/>
                <w:szCs w:val="21"/>
              </w:rPr>
            </w:pPr>
            <w:r>
              <w:rPr>
                <w:rFonts w:hint="eastAsia" w:ascii="宋体" w:hAnsi="宋体" w:cs="宋体"/>
                <w:b/>
                <w:bCs/>
                <w:color w:val="000000"/>
                <w:sz w:val="21"/>
                <w:szCs w:val="21"/>
              </w:rPr>
              <w:t>数量</w:t>
            </w:r>
          </w:p>
        </w:tc>
        <w:tc>
          <w:tcPr>
            <w:tcW w:w="2000" w:type="dxa"/>
            <w:vAlign w:val="center"/>
          </w:tcPr>
          <w:p>
            <w:pPr>
              <w:topLinePunct/>
              <w:snapToGrid w:val="0"/>
              <w:spacing w:before="81" w:beforeLines="26" w:after="81" w:afterLines="26" w:line="240" w:lineRule="auto"/>
              <w:ind w:firstLine="0" w:firstLineChars="0"/>
              <w:jc w:val="center"/>
              <w:rPr>
                <w:rFonts w:ascii="宋体" w:hAnsi="宋体" w:cs="宋体"/>
                <w:b/>
                <w:bCs/>
                <w:color w:val="000000"/>
                <w:sz w:val="21"/>
                <w:szCs w:val="21"/>
              </w:rPr>
            </w:pPr>
            <w:r>
              <w:rPr>
                <w:rFonts w:hint="eastAsia" w:ascii="宋体" w:hAnsi="宋体" w:cs="宋体"/>
                <w:b/>
                <w:bCs/>
                <w:color w:val="000000"/>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6" w:type="dxa"/>
            <w:vAlign w:val="center"/>
          </w:tcPr>
          <w:p>
            <w:pPr>
              <w:topLinePunct/>
              <w:snapToGrid w:val="0"/>
              <w:spacing w:line="240" w:lineRule="auto"/>
              <w:ind w:firstLine="0" w:firstLineChars="0"/>
              <w:jc w:val="center"/>
              <w:rPr>
                <w:rFonts w:ascii="宋体" w:hAnsi="宋体" w:cs="宋体"/>
                <w:kern w:val="21"/>
                <w:sz w:val="21"/>
                <w:szCs w:val="21"/>
              </w:rPr>
            </w:pPr>
            <w:r>
              <w:rPr>
                <w:rFonts w:hint="eastAsia" w:ascii="宋体" w:hAnsi="宋体" w:cs="宋体"/>
                <w:kern w:val="21"/>
                <w:sz w:val="21"/>
                <w:szCs w:val="21"/>
              </w:rPr>
              <w:t>1</w:t>
            </w:r>
          </w:p>
        </w:tc>
        <w:tc>
          <w:tcPr>
            <w:tcW w:w="3086" w:type="dxa"/>
            <w:vAlign w:val="center"/>
          </w:tcPr>
          <w:p>
            <w:pPr>
              <w:widowControl/>
              <w:snapToGrid w:val="0"/>
              <w:spacing w:line="240" w:lineRule="auto"/>
              <w:ind w:firstLine="0" w:firstLineChars="0"/>
              <w:jc w:val="left"/>
              <w:textAlignment w:val="bottom"/>
              <w:rPr>
                <w:rFonts w:ascii="宋体" w:hAnsi="宋体" w:cs="宋体"/>
                <w:color w:val="000000"/>
                <w:sz w:val="21"/>
                <w:szCs w:val="21"/>
              </w:rPr>
            </w:pPr>
            <w:r>
              <w:rPr>
                <w:rFonts w:hint="eastAsia" w:ascii="宋体" w:hAnsi="宋体" w:cs="宋体"/>
                <w:bCs/>
                <w:sz w:val="21"/>
                <w:szCs w:val="21"/>
              </w:rPr>
              <w:t>低压裸露导线绝缘安全保护套</w:t>
            </w:r>
          </w:p>
        </w:tc>
        <w:tc>
          <w:tcPr>
            <w:tcW w:w="1230" w:type="dxa"/>
            <w:vAlign w:val="center"/>
          </w:tcPr>
          <w:p>
            <w:pPr>
              <w:widowControl/>
              <w:snapToGrid w:val="0"/>
              <w:spacing w:line="240" w:lineRule="auto"/>
              <w:ind w:firstLine="0" w:firstLineChars="0"/>
              <w:jc w:val="center"/>
              <w:textAlignment w:val="bottom"/>
              <w:rPr>
                <w:rFonts w:ascii="宋体" w:hAnsi="宋体" w:cs="宋体"/>
                <w:color w:val="000000"/>
                <w:sz w:val="21"/>
                <w:szCs w:val="21"/>
              </w:rPr>
            </w:pPr>
            <w:r>
              <w:rPr>
                <w:rFonts w:hint="eastAsia" w:ascii="宋体" w:hAnsi="宋体" w:cs="宋体"/>
                <w:sz w:val="24"/>
                <w:szCs w:val="24"/>
              </w:rPr>
              <w:t>件</w:t>
            </w:r>
          </w:p>
        </w:tc>
        <w:tc>
          <w:tcPr>
            <w:tcW w:w="1215" w:type="dxa"/>
            <w:vAlign w:val="center"/>
          </w:tcPr>
          <w:p>
            <w:pPr>
              <w:widowControl/>
              <w:snapToGrid w:val="0"/>
              <w:spacing w:line="240" w:lineRule="auto"/>
              <w:ind w:firstLine="0" w:firstLineChars="0"/>
              <w:jc w:val="center"/>
              <w:textAlignment w:val="bottom"/>
              <w:rPr>
                <w:rFonts w:ascii="宋体" w:hAnsi="宋体" w:cs="宋体"/>
                <w:color w:val="000000"/>
                <w:sz w:val="21"/>
                <w:szCs w:val="21"/>
              </w:rPr>
            </w:pPr>
            <w:r>
              <w:rPr>
                <w:rFonts w:hint="eastAsia" w:ascii="宋体" w:hAnsi="宋体" w:cs="宋体"/>
                <w:color w:val="000000"/>
                <w:kern w:val="0"/>
                <w:sz w:val="21"/>
                <w:szCs w:val="21"/>
                <w:lang w:bidi="ar"/>
              </w:rPr>
              <w:t>1</w:t>
            </w:r>
          </w:p>
        </w:tc>
        <w:tc>
          <w:tcPr>
            <w:tcW w:w="2000" w:type="dxa"/>
            <w:vAlign w:val="center"/>
          </w:tcPr>
          <w:p>
            <w:pPr>
              <w:topLinePunct/>
              <w:snapToGrid w:val="0"/>
              <w:spacing w:before="70" w:after="70" w:line="240" w:lineRule="auto"/>
              <w:ind w:firstLine="0" w:firstLineChars="0"/>
              <w:jc w:val="center"/>
              <w:rPr>
                <w:rFonts w:ascii="宋体" w:hAnsi="宋体" w:cs="宋体"/>
                <w:kern w:val="21"/>
                <w:sz w:val="21"/>
                <w:szCs w:val="21"/>
              </w:rPr>
            </w:pPr>
            <w:r>
              <w:rPr>
                <w:rFonts w:hint="eastAsia" w:ascii="宋体" w:hAnsi="宋体" w:cs="宋体"/>
                <w:sz w:val="24"/>
                <w:szCs w:val="24"/>
              </w:rPr>
              <w:t>件</w:t>
            </w:r>
            <w:r>
              <w:rPr>
                <w:rFonts w:hint="eastAsia" w:ascii="宋体" w:hAnsi="宋体" w:cs="宋体"/>
                <w:sz w:val="24"/>
                <w:szCs w:val="24"/>
                <w:lang w:eastAsia="zh-CN"/>
              </w:rPr>
              <w:t>（</w:t>
            </w:r>
            <w:r>
              <w:rPr>
                <w:rFonts w:hint="eastAsia" w:ascii="宋体" w:hAnsi="宋体" w:cs="宋体"/>
                <w:sz w:val="24"/>
                <w:szCs w:val="24"/>
              </w:rPr>
              <w:t>35套/件）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6" w:type="dxa"/>
            <w:vAlign w:val="center"/>
          </w:tcPr>
          <w:p>
            <w:pPr>
              <w:topLinePunct/>
              <w:snapToGrid w:val="0"/>
              <w:spacing w:line="240" w:lineRule="auto"/>
              <w:ind w:firstLine="0" w:firstLineChars="0"/>
              <w:jc w:val="center"/>
              <w:rPr>
                <w:rFonts w:hint="eastAsia" w:ascii="宋体" w:hAnsi="宋体" w:eastAsia="宋体" w:cs="宋体"/>
                <w:kern w:val="21"/>
                <w:sz w:val="21"/>
                <w:szCs w:val="21"/>
                <w:lang w:eastAsia="zh-CN"/>
              </w:rPr>
            </w:pPr>
            <w:r>
              <w:rPr>
                <w:rFonts w:hint="eastAsia" w:ascii="宋体" w:hAnsi="宋体" w:cs="宋体"/>
                <w:kern w:val="21"/>
                <w:sz w:val="21"/>
                <w:szCs w:val="21"/>
                <w:lang w:val="en-US" w:eastAsia="zh-CN"/>
              </w:rPr>
              <w:t>2</w:t>
            </w:r>
          </w:p>
        </w:tc>
        <w:tc>
          <w:tcPr>
            <w:tcW w:w="3086" w:type="dxa"/>
            <w:vAlign w:val="center"/>
          </w:tcPr>
          <w:p>
            <w:pPr>
              <w:widowControl/>
              <w:snapToGrid w:val="0"/>
              <w:spacing w:line="240" w:lineRule="auto"/>
              <w:ind w:firstLine="0" w:firstLineChars="0"/>
              <w:jc w:val="left"/>
              <w:textAlignment w:val="bottom"/>
              <w:rPr>
                <w:rFonts w:ascii="宋体" w:hAnsi="宋体" w:cs="宋体"/>
                <w:sz w:val="21"/>
                <w:szCs w:val="21"/>
              </w:rPr>
            </w:pPr>
            <w:r>
              <w:rPr>
                <w:rFonts w:hint="eastAsia" w:ascii="宋体" w:hAnsi="宋体" w:cs="宋体"/>
                <w:sz w:val="21"/>
                <w:szCs w:val="21"/>
              </w:rPr>
              <w:t>产品说明书</w:t>
            </w:r>
          </w:p>
        </w:tc>
        <w:tc>
          <w:tcPr>
            <w:tcW w:w="1230" w:type="dxa"/>
            <w:vAlign w:val="center"/>
          </w:tcPr>
          <w:p>
            <w:pPr>
              <w:widowControl/>
              <w:snapToGrid w:val="0"/>
              <w:spacing w:line="240" w:lineRule="auto"/>
              <w:ind w:firstLine="0" w:firstLineChars="0"/>
              <w:jc w:val="center"/>
              <w:textAlignment w:val="bottom"/>
              <w:rPr>
                <w:rFonts w:ascii="宋体" w:hAnsi="宋体" w:cs="宋体"/>
                <w:color w:val="000000"/>
                <w:kern w:val="0"/>
                <w:sz w:val="21"/>
                <w:szCs w:val="21"/>
                <w:lang w:bidi="ar"/>
              </w:rPr>
            </w:pPr>
            <w:r>
              <w:rPr>
                <w:rFonts w:hint="eastAsia" w:ascii="宋体" w:hAnsi="宋体" w:cs="宋体"/>
                <w:color w:val="000000"/>
                <w:kern w:val="0"/>
                <w:sz w:val="21"/>
                <w:szCs w:val="21"/>
                <w:lang w:bidi="ar"/>
              </w:rPr>
              <w:t>个</w:t>
            </w:r>
          </w:p>
        </w:tc>
        <w:tc>
          <w:tcPr>
            <w:tcW w:w="1215" w:type="dxa"/>
            <w:vAlign w:val="center"/>
          </w:tcPr>
          <w:p>
            <w:pPr>
              <w:widowControl/>
              <w:snapToGrid w:val="0"/>
              <w:spacing w:line="240" w:lineRule="auto"/>
              <w:ind w:firstLine="0" w:firstLineChars="0"/>
              <w:jc w:val="center"/>
              <w:textAlignment w:val="bottom"/>
              <w:rPr>
                <w:rFonts w:ascii="宋体" w:hAnsi="宋体" w:cs="宋体"/>
                <w:color w:val="000000"/>
                <w:kern w:val="0"/>
                <w:sz w:val="21"/>
                <w:szCs w:val="21"/>
                <w:lang w:bidi="ar"/>
              </w:rPr>
            </w:pPr>
            <w:r>
              <w:rPr>
                <w:rFonts w:hint="eastAsia" w:ascii="宋体" w:hAnsi="宋体" w:cs="宋体"/>
                <w:color w:val="000000"/>
                <w:kern w:val="0"/>
                <w:sz w:val="21"/>
                <w:szCs w:val="21"/>
                <w:lang w:bidi="ar"/>
              </w:rPr>
              <w:t>1</w:t>
            </w:r>
          </w:p>
        </w:tc>
        <w:tc>
          <w:tcPr>
            <w:tcW w:w="2000" w:type="dxa"/>
            <w:vAlign w:val="center"/>
          </w:tcPr>
          <w:p>
            <w:pPr>
              <w:topLinePunct/>
              <w:snapToGrid w:val="0"/>
              <w:spacing w:before="70" w:after="70" w:line="240" w:lineRule="auto"/>
              <w:ind w:firstLine="0" w:firstLineChars="0"/>
              <w:jc w:val="center"/>
              <w:rPr>
                <w:rFonts w:ascii="宋体" w:hAnsi="宋体" w:cs="宋体"/>
                <w:kern w:val="21"/>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6" w:type="dxa"/>
            <w:vAlign w:val="center"/>
          </w:tcPr>
          <w:p>
            <w:pPr>
              <w:topLinePunct/>
              <w:snapToGrid w:val="0"/>
              <w:spacing w:line="240" w:lineRule="auto"/>
              <w:ind w:firstLine="0" w:firstLineChars="0"/>
              <w:jc w:val="center"/>
              <w:rPr>
                <w:rFonts w:hint="eastAsia" w:ascii="宋体" w:hAnsi="宋体" w:eastAsia="宋体" w:cs="宋体"/>
                <w:kern w:val="21"/>
                <w:sz w:val="21"/>
                <w:szCs w:val="21"/>
                <w:lang w:eastAsia="zh-CN"/>
              </w:rPr>
            </w:pPr>
            <w:r>
              <w:rPr>
                <w:rFonts w:hint="eastAsia" w:ascii="宋体" w:hAnsi="宋体" w:cs="宋体"/>
                <w:kern w:val="21"/>
                <w:sz w:val="21"/>
                <w:szCs w:val="21"/>
                <w:lang w:val="en-US" w:eastAsia="zh-CN"/>
              </w:rPr>
              <w:t>3</w:t>
            </w:r>
          </w:p>
        </w:tc>
        <w:tc>
          <w:tcPr>
            <w:tcW w:w="3086" w:type="dxa"/>
            <w:vAlign w:val="center"/>
          </w:tcPr>
          <w:p>
            <w:pPr>
              <w:widowControl/>
              <w:snapToGrid w:val="0"/>
              <w:spacing w:line="240" w:lineRule="auto"/>
              <w:ind w:firstLine="0" w:firstLineChars="0"/>
              <w:jc w:val="left"/>
              <w:textAlignment w:val="bottom"/>
              <w:rPr>
                <w:rFonts w:ascii="宋体" w:hAnsi="宋体" w:cs="宋体"/>
                <w:sz w:val="21"/>
                <w:szCs w:val="21"/>
              </w:rPr>
            </w:pPr>
            <w:r>
              <w:rPr>
                <w:rFonts w:hint="eastAsia" w:ascii="宋体" w:hAnsi="宋体" w:cs="宋体"/>
                <w:sz w:val="21"/>
                <w:szCs w:val="21"/>
              </w:rPr>
              <w:t>产品合格证</w:t>
            </w:r>
          </w:p>
        </w:tc>
        <w:tc>
          <w:tcPr>
            <w:tcW w:w="1230" w:type="dxa"/>
            <w:vAlign w:val="center"/>
          </w:tcPr>
          <w:p>
            <w:pPr>
              <w:widowControl/>
              <w:snapToGrid w:val="0"/>
              <w:spacing w:line="240" w:lineRule="auto"/>
              <w:ind w:firstLine="0" w:firstLineChars="0"/>
              <w:jc w:val="center"/>
              <w:textAlignment w:val="bottom"/>
              <w:rPr>
                <w:rFonts w:ascii="宋体" w:hAnsi="宋体" w:cs="宋体"/>
                <w:color w:val="000000"/>
                <w:kern w:val="0"/>
                <w:sz w:val="21"/>
                <w:szCs w:val="21"/>
                <w:lang w:bidi="ar"/>
              </w:rPr>
            </w:pPr>
            <w:r>
              <w:rPr>
                <w:rFonts w:hint="eastAsia" w:ascii="宋体" w:hAnsi="宋体" w:cs="宋体"/>
                <w:color w:val="000000"/>
                <w:kern w:val="0"/>
                <w:sz w:val="21"/>
                <w:szCs w:val="21"/>
                <w:lang w:bidi="ar"/>
              </w:rPr>
              <w:t>个</w:t>
            </w:r>
          </w:p>
        </w:tc>
        <w:tc>
          <w:tcPr>
            <w:tcW w:w="1215" w:type="dxa"/>
            <w:vAlign w:val="center"/>
          </w:tcPr>
          <w:p>
            <w:pPr>
              <w:widowControl/>
              <w:snapToGrid w:val="0"/>
              <w:spacing w:line="240" w:lineRule="auto"/>
              <w:ind w:firstLine="0" w:firstLineChars="0"/>
              <w:jc w:val="center"/>
              <w:textAlignment w:val="bottom"/>
              <w:rPr>
                <w:rFonts w:ascii="宋体" w:hAnsi="宋体" w:cs="宋体"/>
                <w:color w:val="000000"/>
                <w:kern w:val="0"/>
                <w:sz w:val="21"/>
                <w:szCs w:val="21"/>
                <w:lang w:bidi="ar"/>
              </w:rPr>
            </w:pPr>
            <w:r>
              <w:rPr>
                <w:rFonts w:hint="eastAsia" w:ascii="宋体" w:hAnsi="宋体" w:cs="宋体"/>
                <w:color w:val="000000"/>
                <w:kern w:val="0"/>
                <w:sz w:val="21"/>
                <w:szCs w:val="21"/>
                <w:lang w:bidi="ar"/>
              </w:rPr>
              <w:t>1</w:t>
            </w:r>
          </w:p>
        </w:tc>
        <w:tc>
          <w:tcPr>
            <w:tcW w:w="2000" w:type="dxa"/>
            <w:vAlign w:val="center"/>
          </w:tcPr>
          <w:p>
            <w:pPr>
              <w:topLinePunct/>
              <w:snapToGrid w:val="0"/>
              <w:spacing w:before="70" w:after="70" w:line="240" w:lineRule="auto"/>
              <w:ind w:firstLine="0" w:firstLineChars="0"/>
              <w:jc w:val="center"/>
              <w:rPr>
                <w:rFonts w:ascii="宋体" w:hAnsi="宋体" w:cs="宋体"/>
                <w:kern w:val="21"/>
                <w:sz w:val="21"/>
                <w:szCs w:val="21"/>
              </w:rPr>
            </w:pPr>
          </w:p>
        </w:tc>
      </w:tr>
    </w:tbl>
    <w:p>
      <w:pPr>
        <w:pStyle w:val="23"/>
        <w:tabs>
          <w:tab w:val="left" w:pos="284"/>
          <w:tab w:val="right" w:leader="dot" w:pos="8296"/>
        </w:tabs>
        <w:spacing w:before="118" w:after="118"/>
        <w:ind w:firstLine="482"/>
      </w:pPr>
      <w:r>
        <w:rPr>
          <w:rFonts w:hint="eastAsia"/>
        </w:rPr>
        <w:t>注：配置清单至少包含以上内容。</w:t>
      </w:r>
    </w:p>
    <w:p>
      <w:pPr>
        <w:pStyle w:val="4"/>
        <w:spacing w:before="312" w:beforeLines="100"/>
      </w:pPr>
      <w:bookmarkStart w:id="95" w:name="_Toc32695"/>
      <w:bookmarkStart w:id="96" w:name="_Toc8500"/>
      <w:bookmarkStart w:id="97" w:name="_Toc10167"/>
      <w:bookmarkStart w:id="98" w:name="_Toc27313"/>
      <w:r>
        <w:rPr>
          <w:rFonts w:hint="eastAsia"/>
        </w:rPr>
        <w:t>三</w:t>
      </w:r>
      <w:r>
        <w:t>、</w:t>
      </w:r>
      <w:r>
        <w:rPr>
          <w:rFonts w:hint="eastAsia"/>
        </w:rPr>
        <w:t>包装和运输</w:t>
      </w:r>
      <w:bookmarkEnd w:id="91"/>
      <w:bookmarkEnd w:id="95"/>
      <w:bookmarkEnd w:id="96"/>
      <w:bookmarkEnd w:id="97"/>
      <w:bookmarkEnd w:id="98"/>
    </w:p>
    <w:p>
      <w:pPr>
        <w:ind w:firstLine="420" w:firstLineChars="0"/>
        <w:rPr>
          <w:rFonts w:ascii="宋体" w:hAnsi="宋体"/>
          <w:szCs w:val="24"/>
        </w:rPr>
      </w:pPr>
      <w:r>
        <w:rPr>
          <w:rFonts w:hint="eastAsia" w:ascii="宋体" w:hAnsi="宋体"/>
          <w:szCs w:val="24"/>
        </w:rPr>
        <w:t>投标方必须按以下要求对设备进行包装运输，凡招标方的要求与下述不同时，按招标方的要求进行。</w:t>
      </w:r>
    </w:p>
    <w:p>
      <w:pPr>
        <w:ind w:left="480" w:leftChars="200" w:firstLine="0" w:firstLineChars="0"/>
        <w:rPr>
          <w:rFonts w:hint="eastAsia" w:ascii="宋体" w:hAnsi="宋体" w:cs="宋体"/>
          <w:szCs w:val="24"/>
        </w:rPr>
      </w:pPr>
      <w:r>
        <w:rPr>
          <w:rFonts w:hint="eastAsia" w:ascii="宋体" w:hAnsi="宋体" w:cs="宋体"/>
          <w:szCs w:val="24"/>
        </w:rPr>
        <w:t>3.1 投标方所供的货物和附件，在货运途中需用加厚纸箱包封运输，箱内需</w:t>
      </w:r>
    </w:p>
    <w:p>
      <w:pPr>
        <w:ind w:left="0" w:leftChars="0" w:firstLine="0" w:firstLineChars="0"/>
        <w:rPr>
          <w:rFonts w:ascii="宋体" w:hAnsi="宋体" w:cs="宋体"/>
          <w:szCs w:val="24"/>
        </w:rPr>
      </w:pPr>
      <w:r>
        <w:rPr>
          <w:rFonts w:hint="eastAsia" w:ascii="宋体" w:hAnsi="宋体" w:cs="宋体"/>
          <w:szCs w:val="24"/>
        </w:rPr>
        <w:t>加塞泡沫防震层，采取有效的防雨、防潮、防震措施，以适应远途运输的要求。</w:t>
      </w:r>
    </w:p>
    <w:p>
      <w:pPr>
        <w:ind w:left="480" w:leftChars="200" w:firstLine="0" w:firstLineChars="0"/>
        <w:jc w:val="left"/>
        <w:rPr>
          <w:rFonts w:hint="eastAsia" w:ascii="宋体" w:hAnsi="宋体" w:cs="宋体"/>
          <w:szCs w:val="24"/>
        </w:rPr>
      </w:pPr>
      <w:r>
        <w:rPr>
          <w:rFonts w:hint="eastAsia" w:ascii="宋体" w:hAnsi="宋体" w:cs="宋体"/>
          <w:szCs w:val="24"/>
        </w:rPr>
        <w:t>3.2 投标方对每一件非自身生产而外购的配套设备均严格执行原设备制造</w:t>
      </w:r>
    </w:p>
    <w:p>
      <w:pPr>
        <w:ind w:left="0" w:leftChars="0" w:firstLine="0" w:firstLineChars="0"/>
        <w:jc w:val="left"/>
        <w:rPr>
          <w:rFonts w:ascii="宋体" w:hAnsi="宋体" w:cs="宋体"/>
          <w:szCs w:val="24"/>
        </w:rPr>
      </w:pPr>
      <w:r>
        <w:rPr>
          <w:rFonts w:hint="eastAsia" w:ascii="宋体" w:hAnsi="宋体" w:cs="宋体"/>
          <w:szCs w:val="24"/>
        </w:rPr>
        <w:t>商推荐的运输建议，以确保设备在运输时完好如初。</w:t>
      </w:r>
    </w:p>
    <w:p>
      <w:pPr>
        <w:ind w:firstLine="480" w:firstLineChars="200"/>
        <w:jc w:val="left"/>
        <w:rPr>
          <w:rFonts w:ascii="宋体" w:hAnsi="宋体" w:cs="宋体"/>
          <w:szCs w:val="24"/>
        </w:rPr>
      </w:pPr>
      <w:r>
        <w:rPr>
          <w:rFonts w:hint="eastAsia" w:ascii="宋体" w:hAnsi="宋体" w:cs="宋体"/>
          <w:szCs w:val="24"/>
        </w:rPr>
        <w:t>3.3 投标方将包装所有供货货物，以使货物免遭污染，机械损伤和性能下降。</w:t>
      </w:r>
    </w:p>
    <w:p>
      <w:pPr>
        <w:ind w:left="480" w:leftChars="200" w:firstLine="0" w:firstLineChars="0"/>
        <w:jc w:val="left"/>
        <w:rPr>
          <w:rFonts w:hint="eastAsia" w:ascii="宋体" w:hAnsi="宋体" w:cs="宋体"/>
          <w:szCs w:val="24"/>
        </w:rPr>
      </w:pPr>
      <w:r>
        <w:rPr>
          <w:rFonts w:hint="eastAsia" w:ascii="宋体" w:hAnsi="宋体" w:cs="宋体"/>
          <w:szCs w:val="24"/>
        </w:rPr>
        <w:t>3.4 所有货物分别包装、装箱、或采取其他防护措施，以避免设备在运输过</w:t>
      </w:r>
    </w:p>
    <w:p>
      <w:pPr>
        <w:ind w:left="0" w:leftChars="0" w:firstLine="0" w:firstLineChars="0"/>
        <w:jc w:val="left"/>
        <w:rPr>
          <w:rFonts w:ascii="宋体" w:hAnsi="宋体" w:cs="宋体"/>
          <w:szCs w:val="24"/>
        </w:rPr>
      </w:pPr>
      <w:r>
        <w:rPr>
          <w:rFonts w:hint="eastAsia" w:ascii="宋体" w:hAnsi="宋体" w:cs="宋体"/>
          <w:szCs w:val="24"/>
        </w:rPr>
        <w:t>程中散失、损坏或被盗。</w:t>
      </w:r>
    </w:p>
    <w:p>
      <w:pPr>
        <w:ind w:left="480" w:leftChars="200" w:firstLine="0" w:firstLineChars="0"/>
        <w:jc w:val="left"/>
        <w:rPr>
          <w:rFonts w:hint="eastAsia" w:ascii="宋体" w:hAnsi="宋体" w:cs="宋体"/>
          <w:szCs w:val="24"/>
        </w:rPr>
      </w:pPr>
      <w:r>
        <w:rPr>
          <w:rFonts w:hint="eastAsia" w:ascii="宋体" w:hAnsi="宋体" w:cs="宋体"/>
          <w:szCs w:val="24"/>
        </w:rPr>
        <w:t>3.5 包装箱内装有技术文件，在包装箱外有标明技术文件放置处。技术文件</w:t>
      </w:r>
    </w:p>
    <w:p>
      <w:pPr>
        <w:ind w:left="0" w:leftChars="0" w:firstLine="0" w:firstLineChars="0"/>
        <w:jc w:val="left"/>
        <w:rPr>
          <w:rFonts w:ascii="宋体" w:hAnsi="宋体" w:cs="宋体"/>
          <w:szCs w:val="24"/>
        </w:rPr>
      </w:pPr>
      <w:r>
        <w:rPr>
          <w:rFonts w:hint="eastAsia" w:ascii="宋体" w:hAnsi="宋体" w:cs="宋体"/>
          <w:szCs w:val="24"/>
        </w:rPr>
        <w:t>有：产品合格证、使用说明书、装箱单及招标方指定的技术资料等。外包装箱上有：制造厂名称和地址、产品名称和型号、装箱数量、装箱日期等。</w:t>
      </w:r>
    </w:p>
    <w:p>
      <w:pPr>
        <w:ind w:firstLine="480" w:firstLineChars="200"/>
        <w:jc w:val="left"/>
        <w:rPr>
          <w:rFonts w:ascii="宋体" w:hAnsi="宋体" w:cs="宋体"/>
          <w:szCs w:val="24"/>
        </w:rPr>
      </w:pPr>
      <w:r>
        <w:rPr>
          <w:rFonts w:hint="eastAsia" w:ascii="宋体" w:hAnsi="宋体" w:cs="宋体"/>
          <w:szCs w:val="24"/>
        </w:rPr>
        <w:t>3.6 从投标方到用户方指定的目的地的运输由投标方负责。</w:t>
      </w:r>
    </w:p>
    <w:p>
      <w:pPr>
        <w:ind w:left="480" w:leftChars="200" w:firstLine="0" w:firstLineChars="0"/>
        <w:jc w:val="left"/>
        <w:rPr>
          <w:rFonts w:hint="eastAsia" w:ascii="宋体" w:hAnsi="宋体" w:cs="宋体"/>
          <w:szCs w:val="24"/>
        </w:rPr>
      </w:pPr>
      <w:r>
        <w:rPr>
          <w:rFonts w:hint="eastAsia" w:ascii="宋体" w:hAnsi="宋体" w:cs="宋体"/>
          <w:szCs w:val="24"/>
        </w:rPr>
        <w:t>3.7 在设备到达目的地后，由招标方组织用户方和投标方参加开箱检查接收。</w:t>
      </w:r>
    </w:p>
    <w:p>
      <w:pPr>
        <w:ind w:left="0" w:leftChars="0" w:firstLine="0" w:firstLineChars="0"/>
        <w:jc w:val="left"/>
        <w:rPr>
          <w:rFonts w:ascii="宋体" w:hAnsi="宋体" w:cs="宋体"/>
          <w:szCs w:val="24"/>
        </w:rPr>
      </w:pPr>
      <w:r>
        <w:rPr>
          <w:rFonts w:hint="eastAsia" w:ascii="宋体" w:hAnsi="宋体" w:cs="宋体"/>
          <w:szCs w:val="24"/>
        </w:rPr>
        <w:t>如果发现任一设备有偏差、损坏、损失、遗漏或数量、质量、技术规范因投标方的责任与供货需求不符，招标方有权不予接收，并按招标方要求补齐或者更换。</w:t>
      </w:r>
    </w:p>
    <w:p>
      <w:pPr>
        <w:pStyle w:val="30"/>
        <w:ind w:firstLine="480" w:firstLineChars="200"/>
        <w:rPr>
          <w:rFonts w:ascii="宋体" w:hAnsi="宋体" w:cs="宋体"/>
          <w:szCs w:val="21"/>
        </w:rPr>
      </w:pPr>
      <w:r>
        <w:rPr>
          <w:rFonts w:hint="eastAsia" w:ascii="宋体" w:hAnsi="宋体" w:cs="宋体"/>
          <w:szCs w:val="24"/>
        </w:rPr>
        <w:t>3.</w:t>
      </w:r>
      <w:r>
        <w:rPr>
          <w:rFonts w:ascii="宋体" w:hAnsi="宋体" w:cs="宋体"/>
          <w:szCs w:val="24"/>
        </w:rPr>
        <w:t xml:space="preserve">8 </w:t>
      </w:r>
      <w:r>
        <w:rPr>
          <w:rFonts w:hint="eastAsia" w:ascii="宋体" w:hAnsi="宋体" w:cs="宋体"/>
          <w:szCs w:val="21"/>
        </w:rPr>
        <w:t>投标方应按照招标方要求进行产品包装，使用招标方指定的包装模版。</w:t>
      </w:r>
    </w:p>
    <w:p>
      <w:pPr>
        <w:ind w:firstLine="480" w:firstLineChars="200"/>
        <w:rPr>
          <w:rFonts w:hint="eastAsia" w:ascii="宋体" w:hAnsi="宋体" w:cs="宋体"/>
          <w:szCs w:val="21"/>
        </w:rPr>
      </w:pPr>
      <w:r>
        <w:rPr>
          <w:rFonts w:hint="eastAsia" w:ascii="宋体" w:hAnsi="宋体" w:cs="宋体"/>
          <w:szCs w:val="21"/>
        </w:rPr>
        <w:t>3.9 投标方应按照招标方要求提供产品原材料、配件可追溯的明细表。</w:t>
      </w:r>
    </w:p>
    <w:p>
      <w:pPr>
        <w:pStyle w:val="2"/>
        <w:rPr>
          <w:rFonts w:hint="eastAsia" w:ascii="宋体" w:hAnsi="宋体" w:eastAsia="宋体" w:cs="宋体"/>
          <w:kern w:val="2"/>
          <w:sz w:val="24"/>
          <w:szCs w:val="21"/>
          <w:lang w:val="en-US" w:eastAsia="zh-CN" w:bidi="ar-SA"/>
        </w:rPr>
      </w:pPr>
      <w:r>
        <w:rPr>
          <w:rFonts w:hint="eastAsia" w:ascii="宋体" w:hAnsi="宋体" w:eastAsia="宋体" w:cs="宋体"/>
          <w:kern w:val="2"/>
          <w:sz w:val="24"/>
          <w:szCs w:val="21"/>
          <w:lang w:val="en-US" w:eastAsia="zh-CN" w:bidi="ar-SA"/>
        </w:rPr>
        <w:t>3.10交货时间及地点以合同的《委托生产加工订单》约定为准。若最终采购方需变更收货时间及地点，中标方应按照最终招标方的要求无条件配合送货。</w:t>
      </w:r>
    </w:p>
    <w:p>
      <w:pPr>
        <w:pStyle w:val="2"/>
        <w:rPr>
          <w:rFonts w:hint="eastAsia" w:ascii="宋体" w:hAnsi="宋体" w:eastAsia="宋体" w:cs="宋体"/>
          <w:kern w:val="2"/>
          <w:sz w:val="24"/>
          <w:szCs w:val="21"/>
          <w:lang w:val="en-US" w:eastAsia="zh-CN" w:bidi="ar-SA"/>
        </w:rPr>
      </w:pPr>
      <w:r>
        <w:rPr>
          <w:rFonts w:hint="eastAsia" w:ascii="宋体" w:hAnsi="宋体" w:eastAsia="宋体" w:cs="宋体"/>
          <w:kern w:val="2"/>
          <w:sz w:val="24"/>
          <w:szCs w:val="21"/>
          <w:lang w:val="en-US" w:eastAsia="zh-CN" w:bidi="ar-SA"/>
        </w:rPr>
        <w:t>3.11招标方须提前将货物运输方式向招标方报备，并完整提供对应运输相关资料，全程配合招标方整理、完善全套发货资料。</w:t>
      </w:r>
    </w:p>
    <w:p>
      <w:pPr>
        <w:pStyle w:val="4"/>
        <w:spacing w:before="312" w:beforeLines="100"/>
      </w:pPr>
      <w:bookmarkStart w:id="99" w:name="_Toc14905"/>
      <w:bookmarkStart w:id="100" w:name="_Toc1736"/>
      <w:bookmarkStart w:id="101" w:name="_Toc444945521"/>
      <w:bookmarkStart w:id="102" w:name="_Toc1715"/>
      <w:bookmarkStart w:id="103" w:name="_Toc18312"/>
      <w:bookmarkStart w:id="104" w:name="_Toc12177"/>
      <w:r>
        <w:rPr>
          <w:rFonts w:hint="eastAsia"/>
        </w:rPr>
        <w:t>四</w:t>
      </w:r>
      <w:r>
        <w:t>、</w:t>
      </w:r>
      <w:r>
        <w:rPr>
          <w:rFonts w:hint="eastAsia"/>
        </w:rPr>
        <w:t>技术服务</w:t>
      </w:r>
      <w:bookmarkEnd w:id="99"/>
      <w:bookmarkEnd w:id="100"/>
      <w:bookmarkEnd w:id="101"/>
      <w:bookmarkEnd w:id="102"/>
      <w:bookmarkEnd w:id="103"/>
      <w:bookmarkEnd w:id="104"/>
    </w:p>
    <w:p>
      <w:pPr>
        <w:ind w:firstLine="480"/>
        <w:rPr>
          <w:rFonts w:ascii="宋体" w:hAnsi="宋体"/>
          <w:szCs w:val="24"/>
        </w:rPr>
      </w:pPr>
      <w:r>
        <w:rPr>
          <w:rFonts w:hint="eastAsia" w:ascii="宋体" w:hAnsi="宋体"/>
          <w:szCs w:val="24"/>
        </w:rPr>
        <w:t>4.1 技术培训</w:t>
      </w:r>
    </w:p>
    <w:p>
      <w:pPr>
        <w:ind w:firstLine="480"/>
        <w:rPr>
          <w:rFonts w:ascii="宋体" w:hAnsi="宋体"/>
          <w:szCs w:val="24"/>
        </w:rPr>
      </w:pPr>
      <w:r>
        <w:rPr>
          <w:rFonts w:hint="eastAsia" w:ascii="宋体" w:hAnsi="宋体"/>
          <w:szCs w:val="24"/>
        </w:rPr>
        <w:t>4.1.1 投标方应对用户提供技术培训和操作指导，投标方负责培训全部费用；</w:t>
      </w:r>
    </w:p>
    <w:p>
      <w:pPr>
        <w:ind w:firstLine="480"/>
        <w:rPr>
          <w:rFonts w:ascii="宋体" w:hAnsi="宋体"/>
          <w:szCs w:val="24"/>
        </w:rPr>
      </w:pPr>
      <w:r>
        <w:rPr>
          <w:rFonts w:hint="eastAsia" w:ascii="宋体" w:hAnsi="宋体"/>
          <w:szCs w:val="24"/>
        </w:rPr>
        <w:t>4.1.2 投标方提供培训应分为线上培训和现场培训两种；</w:t>
      </w:r>
    </w:p>
    <w:p>
      <w:pPr>
        <w:ind w:firstLine="480"/>
        <w:rPr>
          <w:rFonts w:ascii="宋体" w:hAnsi="宋体"/>
          <w:szCs w:val="24"/>
        </w:rPr>
      </w:pPr>
      <w:r>
        <w:rPr>
          <w:rFonts w:hint="eastAsia" w:ascii="宋体" w:hAnsi="宋体"/>
          <w:szCs w:val="24"/>
        </w:rPr>
        <w:t>4.1.3 投标方提供培训教师、培训安排、培训教材及培训设备；</w:t>
      </w:r>
    </w:p>
    <w:p>
      <w:pPr>
        <w:ind w:firstLine="480"/>
        <w:rPr>
          <w:rFonts w:ascii="宋体" w:hAnsi="宋体"/>
          <w:szCs w:val="24"/>
        </w:rPr>
      </w:pPr>
      <w:r>
        <w:rPr>
          <w:rFonts w:hint="eastAsia" w:ascii="宋体" w:hAnsi="宋体"/>
          <w:szCs w:val="24"/>
        </w:rPr>
        <w:t>4.1.4 投标方应设计专门的培训课程，重点包括</w:t>
      </w:r>
      <w:r>
        <w:rPr>
          <w:rFonts w:hint="eastAsia" w:ascii="宋体" w:hAnsi="宋体" w:cs="宋体"/>
          <w:bCs/>
        </w:rPr>
        <w:t>变电站全景感知系统及装置</w:t>
      </w:r>
      <w:r>
        <w:rPr>
          <w:rFonts w:hint="eastAsia" w:ascii="宋体" w:hAnsi="宋体"/>
          <w:szCs w:val="24"/>
        </w:rPr>
        <w:t>的整体使用方法，常见故障排查处理等。培训内容包括以上但不限于此。</w:t>
      </w:r>
    </w:p>
    <w:p>
      <w:pPr>
        <w:ind w:firstLine="480"/>
        <w:rPr>
          <w:rFonts w:ascii="宋体" w:hAnsi="宋体"/>
          <w:szCs w:val="24"/>
        </w:rPr>
      </w:pPr>
      <w:bookmarkStart w:id="105" w:name="_Toc60566153"/>
      <w:r>
        <w:rPr>
          <w:rFonts w:hint="eastAsia" w:ascii="宋体" w:hAnsi="宋体"/>
          <w:szCs w:val="24"/>
        </w:rPr>
        <w:t>4.2 现场</w:t>
      </w:r>
      <w:r>
        <w:rPr>
          <w:rFonts w:hint="eastAsia" w:ascii="宋体" w:hAnsi="宋体" w:cs="宋体"/>
          <w:szCs w:val="24"/>
        </w:rPr>
        <w:t>技术</w:t>
      </w:r>
      <w:r>
        <w:rPr>
          <w:rFonts w:hint="eastAsia" w:ascii="宋体" w:hAnsi="宋体"/>
          <w:szCs w:val="24"/>
        </w:rPr>
        <w:t>服务</w:t>
      </w:r>
    </w:p>
    <w:p>
      <w:pPr>
        <w:ind w:firstLine="480"/>
        <w:rPr>
          <w:rFonts w:ascii="宋体" w:hAnsi="宋体"/>
          <w:szCs w:val="24"/>
        </w:rPr>
      </w:pPr>
      <w:r>
        <w:rPr>
          <w:rFonts w:hint="eastAsia" w:ascii="宋体" w:hAnsi="宋体"/>
          <w:szCs w:val="24"/>
        </w:rPr>
        <w:t>4.2.1投标方合格的工程师负责设备的安装接线、调试和测试，</w:t>
      </w:r>
      <w:r>
        <w:rPr>
          <w:rFonts w:ascii="Times New Roman"/>
          <w:szCs w:val="24"/>
        </w:rPr>
        <w:t>在试验和调试期间所有损坏的供货范围内设备，投标方应免费给予更换</w:t>
      </w:r>
      <w:r>
        <w:rPr>
          <w:rFonts w:hint="eastAsia" w:ascii="宋体" w:hAnsi="宋体"/>
          <w:szCs w:val="24"/>
        </w:rPr>
        <w:t>。</w:t>
      </w:r>
    </w:p>
    <w:p>
      <w:pPr>
        <w:ind w:firstLine="480"/>
        <w:rPr>
          <w:rFonts w:ascii="宋体" w:hAnsi="宋体"/>
          <w:szCs w:val="24"/>
        </w:rPr>
      </w:pPr>
      <w:r>
        <w:rPr>
          <w:rFonts w:hint="eastAsia" w:ascii="宋体" w:hAnsi="宋体"/>
          <w:szCs w:val="24"/>
        </w:rPr>
        <w:t>4.2.2 投标方派出的工程师，还应负责对买方的安装及维护人员进行现场培训，培训内容包括但不限于如何启动、操作及维护设备。</w:t>
      </w:r>
    </w:p>
    <w:p>
      <w:pPr>
        <w:ind w:firstLine="480"/>
        <w:rPr>
          <w:rFonts w:ascii="宋体" w:hAnsi="宋体"/>
          <w:szCs w:val="24"/>
        </w:rPr>
      </w:pPr>
      <w:r>
        <w:rPr>
          <w:rFonts w:hint="eastAsia" w:ascii="宋体" w:hAnsi="宋体"/>
          <w:szCs w:val="24"/>
        </w:rPr>
        <w:t>4</w:t>
      </w:r>
      <w:r>
        <w:rPr>
          <w:rFonts w:ascii="宋体" w:hAnsi="宋体"/>
          <w:szCs w:val="24"/>
        </w:rPr>
        <w:t>.3远程技术支持</w:t>
      </w:r>
    </w:p>
    <w:p>
      <w:pPr>
        <w:ind w:firstLine="480"/>
        <w:rPr>
          <w:rFonts w:ascii="宋体" w:hAnsi="宋体"/>
          <w:szCs w:val="24"/>
        </w:rPr>
      </w:pPr>
      <w:r>
        <w:rPr>
          <w:rFonts w:hint="eastAsia" w:ascii="宋体" w:hAnsi="宋体"/>
          <w:szCs w:val="24"/>
        </w:rPr>
        <w:t>4</w:t>
      </w:r>
      <w:r>
        <w:rPr>
          <w:rFonts w:ascii="宋体" w:hAnsi="宋体"/>
          <w:szCs w:val="24"/>
        </w:rPr>
        <w:t>.3.1</w:t>
      </w:r>
      <w:r>
        <w:rPr>
          <w:rFonts w:hint="eastAsia" w:ascii="宋体" w:hAnsi="宋体"/>
          <w:szCs w:val="24"/>
        </w:rPr>
        <w:t>中标方免费提供远程技术服务，远程技术服务项目期限不受限于保修期，远程技术服务在设备报废前有效。</w:t>
      </w:r>
    </w:p>
    <w:p>
      <w:pPr>
        <w:ind w:firstLine="480"/>
        <w:rPr>
          <w:rFonts w:ascii="宋体" w:hAnsi="宋体"/>
          <w:szCs w:val="24"/>
        </w:rPr>
      </w:pPr>
      <w:r>
        <w:rPr>
          <w:rFonts w:hint="eastAsia" w:ascii="宋体" w:hAnsi="宋体"/>
          <w:szCs w:val="24"/>
        </w:rPr>
        <w:t>4</w:t>
      </w:r>
      <w:r>
        <w:rPr>
          <w:rFonts w:ascii="宋体" w:hAnsi="宋体"/>
          <w:szCs w:val="24"/>
        </w:rPr>
        <w:t xml:space="preserve">.3.2 </w:t>
      </w:r>
      <w:r>
        <w:rPr>
          <w:rFonts w:hint="eastAsia" w:ascii="宋体" w:hAnsi="宋体"/>
          <w:szCs w:val="24"/>
        </w:rPr>
        <w:t>中</w:t>
      </w:r>
      <w:r>
        <w:rPr>
          <w:rFonts w:ascii="Times New Roman" w:hAnsi="Times New Roman"/>
          <w:szCs w:val="24"/>
        </w:rPr>
        <w:t>标方通过网络直播等方式每年组织</w:t>
      </w:r>
      <w:r>
        <w:rPr>
          <w:rFonts w:hint="eastAsia" w:ascii="Times New Roman" w:hAnsi="Times New Roman"/>
          <w:szCs w:val="24"/>
        </w:rPr>
        <w:t>1-</w:t>
      </w:r>
      <w:r>
        <w:rPr>
          <w:rFonts w:ascii="Times New Roman" w:hAnsi="Times New Roman"/>
          <w:szCs w:val="24"/>
        </w:rPr>
        <w:t>2次</w:t>
      </w:r>
      <w:r>
        <w:rPr>
          <w:rFonts w:hint="eastAsia" w:ascii="Times New Roman" w:hAnsi="Times New Roman"/>
          <w:szCs w:val="24"/>
        </w:rPr>
        <w:t>设备</w:t>
      </w:r>
      <w:r>
        <w:rPr>
          <w:rFonts w:ascii="Times New Roman" w:hAnsi="Times New Roman"/>
          <w:szCs w:val="24"/>
        </w:rPr>
        <w:t>使用及日常维护培训课程</w:t>
      </w:r>
      <w:r>
        <w:rPr>
          <w:rFonts w:hint="eastAsia" w:ascii="Times New Roman" w:hAnsi="Times New Roman"/>
          <w:szCs w:val="24"/>
        </w:rPr>
        <w:t>。</w:t>
      </w:r>
      <w:bookmarkEnd w:id="105"/>
    </w:p>
    <w:p>
      <w:pPr>
        <w:pStyle w:val="4"/>
        <w:spacing w:before="312" w:beforeLines="100"/>
      </w:pPr>
      <w:bookmarkStart w:id="106" w:name="_Toc636"/>
      <w:bookmarkStart w:id="107" w:name="_Toc3018"/>
      <w:bookmarkStart w:id="108" w:name="_Toc24630"/>
      <w:bookmarkStart w:id="109" w:name="_Toc4742"/>
      <w:bookmarkStart w:id="110" w:name="_Toc20362"/>
      <w:r>
        <w:rPr>
          <w:rFonts w:hint="eastAsia"/>
        </w:rPr>
        <w:t>五、质量保证和试验</w:t>
      </w:r>
      <w:bookmarkEnd w:id="106"/>
      <w:bookmarkEnd w:id="107"/>
      <w:bookmarkEnd w:id="108"/>
      <w:bookmarkEnd w:id="109"/>
      <w:bookmarkEnd w:id="110"/>
      <w:r>
        <w:t xml:space="preserve"> </w:t>
      </w:r>
    </w:p>
    <w:p>
      <w:pPr>
        <w:ind w:firstLine="480"/>
        <w:rPr>
          <w:rFonts w:ascii="宋体" w:hAnsi="宋体"/>
          <w:szCs w:val="24"/>
        </w:rPr>
      </w:pPr>
      <w:r>
        <w:rPr>
          <w:rFonts w:hint="eastAsia" w:ascii="宋体" w:hAnsi="宋体"/>
          <w:szCs w:val="24"/>
        </w:rPr>
        <w:t>5.1 投标方应确保其</w:t>
      </w:r>
      <w:r>
        <w:rPr>
          <w:rFonts w:hint="eastAsia" w:ascii="宋体" w:hAnsi="宋体" w:cs="宋体"/>
          <w:bCs/>
        </w:rPr>
        <w:t>低压裸露导线绝缘安全保护套</w:t>
      </w:r>
      <w:r>
        <w:rPr>
          <w:rFonts w:hint="eastAsia" w:ascii="宋体" w:hAnsi="宋体"/>
          <w:szCs w:val="24"/>
        </w:rPr>
        <w:t>的完整性和可用性，保证保护套能够投入正常使用。若出现由于投标方提供的货物应用不满足要求或所提供的技术支持和服务不全面而导致功能无法实现或不能完全实现，由投标方承担全部责任。</w:t>
      </w:r>
    </w:p>
    <w:p>
      <w:pPr>
        <w:autoSpaceDE w:val="0"/>
        <w:autoSpaceDN w:val="0"/>
        <w:adjustRightInd w:val="0"/>
        <w:ind w:firstLine="480"/>
        <w:jc w:val="left"/>
        <w:rPr>
          <w:rFonts w:ascii="宋体" w:hAnsi="宋体"/>
          <w:szCs w:val="24"/>
        </w:rPr>
      </w:pPr>
      <w:r>
        <w:rPr>
          <w:rFonts w:hint="eastAsia" w:ascii="宋体" w:hAnsi="宋体"/>
          <w:szCs w:val="24"/>
        </w:rPr>
        <w:t>5.2 随货物需附带质量保证书和保修卡，自安全保护套正式投运之日起不短于正常运行</w:t>
      </w:r>
      <w:r>
        <w:rPr>
          <w:rFonts w:hint="eastAsia" w:ascii="宋体" w:hAnsi="宋体"/>
          <w:szCs w:val="24"/>
          <w:lang w:val="en-US" w:eastAsia="zh-CN"/>
        </w:rPr>
        <w:t>一年半（18个月）</w:t>
      </w:r>
      <w:r>
        <w:rPr>
          <w:rFonts w:hint="eastAsia" w:ascii="宋体" w:hAnsi="宋体"/>
          <w:szCs w:val="24"/>
        </w:rPr>
        <w:t>为质保期，（</w:t>
      </w:r>
      <w:r>
        <w:rPr>
          <w:rFonts w:hint="eastAsia" w:ascii="宋体" w:hAnsi="宋体"/>
          <w:szCs w:val="24"/>
          <w:lang w:val="en-US" w:eastAsia="zh-CN"/>
        </w:rPr>
        <w:t>投标</w:t>
      </w:r>
      <w:r>
        <w:rPr>
          <w:rFonts w:hint="eastAsia" w:ascii="宋体" w:hAnsi="宋体"/>
          <w:szCs w:val="24"/>
        </w:rPr>
        <w:t>方承诺的质保期若长于上述时间，则按承诺时间执行），如需收取服务费用，请在投标书中说明服务种类和收费标准。</w:t>
      </w:r>
    </w:p>
    <w:p>
      <w:pPr>
        <w:autoSpaceDE w:val="0"/>
        <w:autoSpaceDN w:val="0"/>
        <w:adjustRightInd w:val="0"/>
        <w:ind w:firstLine="480"/>
        <w:jc w:val="left"/>
        <w:rPr>
          <w:rFonts w:ascii="宋体" w:hAnsi="宋体"/>
          <w:szCs w:val="24"/>
        </w:rPr>
      </w:pPr>
      <w:r>
        <w:rPr>
          <w:rFonts w:hint="eastAsia" w:ascii="宋体" w:hAnsi="宋体" w:cs="宋体"/>
        </w:rPr>
        <w:t>★</w:t>
      </w:r>
      <w:r>
        <w:rPr>
          <w:rFonts w:hint="eastAsia" w:ascii="宋体" w:hAnsi="宋体"/>
          <w:szCs w:val="24"/>
        </w:rPr>
        <w:t>5.3 投标方所供的设备应有第三方检测机构出具的</w:t>
      </w:r>
      <w:r>
        <w:rPr>
          <w:rFonts w:hint="eastAsia" w:ascii="宋体" w:hAnsi="宋体" w:cs="宋体"/>
        </w:rPr>
        <w:t>CNAS或CMA质量检验报告证明材料</w:t>
      </w:r>
      <w:r>
        <w:rPr>
          <w:rFonts w:hint="eastAsia" w:ascii="宋体" w:hAnsi="宋体"/>
          <w:szCs w:val="24"/>
        </w:rPr>
        <w:t>。</w:t>
      </w:r>
    </w:p>
    <w:p>
      <w:pPr>
        <w:adjustRightInd w:val="0"/>
        <w:snapToGrid w:val="0"/>
        <w:ind w:firstLine="480"/>
        <w:rPr>
          <w:rFonts w:ascii="宋体" w:hAnsi="宋体"/>
          <w:szCs w:val="24"/>
        </w:rPr>
      </w:pPr>
      <w:r>
        <w:rPr>
          <w:rFonts w:hint="eastAsia" w:ascii="宋体" w:hAnsi="宋体"/>
          <w:szCs w:val="24"/>
        </w:rPr>
        <w:t>5.4 投标方所供的设备应符合国家及行业、招标方等要求。</w:t>
      </w:r>
    </w:p>
    <w:p>
      <w:pPr>
        <w:adjustRightInd w:val="0"/>
        <w:snapToGrid w:val="0"/>
        <w:ind w:firstLine="480"/>
      </w:pPr>
      <w:r>
        <w:rPr>
          <w:rFonts w:hint="eastAsia" w:ascii="宋体" w:hAnsi="宋体" w:cs="宋体"/>
        </w:rPr>
        <w:t>★5.5 中标方应于签订合同后</w:t>
      </w:r>
      <w:r>
        <w:rPr>
          <w:rFonts w:hint="eastAsia" w:ascii="宋体" w:hAnsi="宋体" w:cs="宋体"/>
          <w:lang w:val="en-US" w:eastAsia="zh-CN"/>
        </w:rPr>
        <w:t>3</w:t>
      </w:r>
      <w:r>
        <w:rPr>
          <w:rFonts w:hint="eastAsia" w:ascii="宋体" w:hAnsi="宋体" w:cs="宋体"/>
        </w:rPr>
        <w:t>0个自然日内，按本技术规范书要求免费提供与招标规格型号一致的首样产品及相关附件、软件系统</w:t>
      </w:r>
      <w:r>
        <w:rPr>
          <w:rFonts w:hint="eastAsia" w:ascii="宋体" w:hAnsi="宋体" w:cs="宋体"/>
          <w:lang w:eastAsia="zh-CN"/>
        </w:rPr>
        <w:t>（</w:t>
      </w:r>
      <w:r>
        <w:rPr>
          <w:rFonts w:hint="eastAsia" w:ascii="宋体" w:hAnsi="宋体" w:cs="宋体"/>
          <w:lang w:val="en-US" w:eastAsia="zh-CN"/>
        </w:rPr>
        <w:t>若有）</w:t>
      </w:r>
      <w:r>
        <w:rPr>
          <w:rFonts w:hint="eastAsia" w:ascii="宋体" w:hAnsi="宋体" w:cs="宋体"/>
        </w:rPr>
        <w:t>等配套材料，并将首样、生产图纸、使用说明书及其他相关审查材料完整送至招标方指定地点。</w:t>
      </w:r>
      <w:r>
        <w:rPr>
          <w:rFonts w:hint="eastAsia" w:ascii="宋体" w:hAnsi="宋体" w:cs="宋体"/>
          <w:lang w:val="en-US" w:eastAsia="zh-CN"/>
        </w:rPr>
        <w:t>并</w:t>
      </w:r>
      <w:r>
        <w:rPr>
          <w:rFonts w:hint="eastAsia" w:ascii="宋体" w:hAnsi="宋体" w:cs="宋体"/>
        </w:rPr>
        <w:t>同步提供具备CNAS或CMA资质的第三方检测机构出具的质量检验报告，报告的产品名称和型号应与本标的一致，且各项性能指标均需符合本技术规范书的相关要求。经双方代表，按本技术规范书标准进行首样检测确认，若检测不合格，中标方需5个自然日内重新提交首样及补充材料，双方再按同一标准进行二次检测确认。首次或二次检测合格的，双方继续履行合同，样机将作为产品宣传推广样品留在招标方，合同约定期限满后样机退回中标方（合同履行期间，中标方可另行制作与本标的一致的模型代替样机，原提供的样机可提前退回中标方）；二次检测仍不合格，或中标方未按规定时限送样、提交材料，或不配合检测确认的，招标方有权解除本标的相关合同，中标方应当按照本标的签订的合同约定承担解除合同的违约责任。审查项目及要求须包括但不限于如下内容：</w:t>
      </w:r>
    </w:p>
    <w:tbl>
      <w:tblPr>
        <w:tblStyle w:val="31"/>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5"/>
        <w:gridCol w:w="3544"/>
        <w:gridCol w:w="43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675" w:type="dxa"/>
            <w:vAlign w:val="center"/>
          </w:tcPr>
          <w:p>
            <w:pPr>
              <w:keepNext/>
              <w:snapToGrid w:val="0"/>
              <w:spacing w:line="240" w:lineRule="auto"/>
              <w:ind w:firstLine="0" w:firstLineChars="0"/>
              <w:jc w:val="center"/>
              <w:rPr>
                <w:b/>
                <w:bCs/>
                <w:sz w:val="21"/>
                <w:szCs w:val="21"/>
              </w:rPr>
            </w:pPr>
            <w:r>
              <w:rPr>
                <w:b/>
                <w:bCs/>
                <w:sz w:val="21"/>
                <w:szCs w:val="21"/>
              </w:rPr>
              <w:t>序号</w:t>
            </w:r>
          </w:p>
        </w:tc>
        <w:tc>
          <w:tcPr>
            <w:tcW w:w="3544" w:type="dxa"/>
            <w:vAlign w:val="center"/>
          </w:tcPr>
          <w:p>
            <w:pPr>
              <w:keepNext/>
              <w:snapToGrid w:val="0"/>
              <w:spacing w:line="240" w:lineRule="auto"/>
              <w:ind w:firstLine="0" w:firstLineChars="0"/>
              <w:jc w:val="center"/>
              <w:rPr>
                <w:b/>
                <w:bCs/>
                <w:sz w:val="21"/>
                <w:szCs w:val="21"/>
              </w:rPr>
            </w:pPr>
            <w:r>
              <w:rPr>
                <w:rFonts w:hint="eastAsia"/>
                <w:b/>
                <w:bCs/>
                <w:sz w:val="21"/>
                <w:szCs w:val="21"/>
              </w:rPr>
              <w:t>检测</w:t>
            </w:r>
            <w:r>
              <w:rPr>
                <w:b/>
                <w:bCs/>
                <w:sz w:val="21"/>
                <w:szCs w:val="21"/>
              </w:rPr>
              <w:t>项目</w:t>
            </w:r>
          </w:p>
        </w:tc>
        <w:tc>
          <w:tcPr>
            <w:tcW w:w="4303" w:type="dxa"/>
            <w:vAlign w:val="center"/>
          </w:tcPr>
          <w:p>
            <w:pPr>
              <w:pStyle w:val="30"/>
              <w:keepNext/>
              <w:snapToGrid w:val="0"/>
              <w:spacing w:line="240" w:lineRule="auto"/>
              <w:ind w:firstLine="0" w:firstLineChars="0"/>
              <w:jc w:val="center"/>
              <w:rPr>
                <w:b/>
                <w:bCs/>
                <w:sz w:val="21"/>
                <w:szCs w:val="21"/>
              </w:rPr>
            </w:pPr>
            <w:r>
              <w:rPr>
                <w:b/>
                <w:bCs/>
                <w:sz w:val="21"/>
                <w:szCs w:val="21"/>
              </w:rPr>
              <w:t>技术要求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5" w:type="dxa"/>
            <w:vAlign w:val="center"/>
          </w:tcPr>
          <w:p>
            <w:pPr>
              <w:keepNext/>
              <w:snapToGrid w:val="0"/>
              <w:spacing w:line="240" w:lineRule="auto"/>
              <w:ind w:firstLine="0" w:firstLineChars="0"/>
              <w:jc w:val="center"/>
              <w:rPr>
                <w:sz w:val="21"/>
                <w:szCs w:val="21"/>
              </w:rPr>
            </w:pPr>
            <w:r>
              <w:rPr>
                <w:sz w:val="21"/>
                <w:szCs w:val="21"/>
              </w:rPr>
              <w:t>1</w:t>
            </w:r>
          </w:p>
        </w:tc>
        <w:tc>
          <w:tcPr>
            <w:tcW w:w="3544" w:type="dxa"/>
            <w:vAlign w:val="center"/>
          </w:tcPr>
          <w:p>
            <w:pPr>
              <w:keepNext/>
              <w:snapToGrid w:val="0"/>
              <w:spacing w:line="240" w:lineRule="auto"/>
              <w:ind w:firstLine="0" w:firstLineChars="0"/>
              <w:jc w:val="center"/>
              <w:rPr>
                <w:sz w:val="21"/>
                <w:szCs w:val="21"/>
              </w:rPr>
            </w:pPr>
            <w:r>
              <w:rPr>
                <w:rFonts w:hint="eastAsia" w:hAnsi="宋体" w:cs="宋体"/>
                <w:bCs/>
                <w:sz w:val="21"/>
                <w:szCs w:val="21"/>
              </w:rPr>
              <w:t>低压裸露导线绝缘安全保护套</w:t>
            </w:r>
            <w:r>
              <w:rPr>
                <w:rFonts w:hint="eastAsia"/>
                <w:sz w:val="21"/>
                <w:szCs w:val="21"/>
              </w:rPr>
              <w:t>外观</w:t>
            </w:r>
          </w:p>
        </w:tc>
        <w:tc>
          <w:tcPr>
            <w:tcW w:w="4303" w:type="dxa"/>
            <w:vAlign w:val="center"/>
          </w:tcPr>
          <w:p>
            <w:pPr>
              <w:pStyle w:val="30"/>
              <w:keepNext/>
              <w:snapToGrid w:val="0"/>
              <w:spacing w:line="240" w:lineRule="auto"/>
              <w:ind w:firstLine="0" w:firstLineChars="0"/>
              <w:jc w:val="left"/>
              <w:rPr>
                <w:sz w:val="21"/>
                <w:szCs w:val="21"/>
              </w:rPr>
            </w:pPr>
            <w:r>
              <w:rPr>
                <w:rFonts w:hint="eastAsia"/>
                <w:sz w:val="21"/>
                <w:szCs w:val="21"/>
              </w:rPr>
              <w:t>按照招标技术规范书外观要求，实物应与图纸相符。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5" w:type="dxa"/>
            <w:vMerge w:val="restart"/>
            <w:vAlign w:val="center"/>
          </w:tcPr>
          <w:p>
            <w:pPr>
              <w:keepNext/>
              <w:snapToGrid w:val="0"/>
              <w:spacing w:line="240" w:lineRule="auto"/>
              <w:ind w:firstLine="0" w:firstLineChars="0"/>
              <w:jc w:val="center"/>
              <w:rPr>
                <w:sz w:val="21"/>
                <w:szCs w:val="21"/>
              </w:rPr>
            </w:pPr>
            <w:r>
              <w:rPr>
                <w:rFonts w:hint="eastAsia"/>
                <w:sz w:val="21"/>
                <w:szCs w:val="21"/>
              </w:rPr>
              <w:t>2</w:t>
            </w:r>
          </w:p>
        </w:tc>
        <w:tc>
          <w:tcPr>
            <w:tcW w:w="3544" w:type="dxa"/>
            <w:vMerge w:val="restart"/>
            <w:vAlign w:val="center"/>
          </w:tcPr>
          <w:p>
            <w:pPr>
              <w:keepNext/>
              <w:snapToGrid w:val="0"/>
              <w:spacing w:line="240" w:lineRule="auto"/>
              <w:ind w:firstLine="0" w:firstLineChars="0"/>
              <w:jc w:val="center"/>
              <w:rPr>
                <w:rFonts w:hint="eastAsia" w:hAnsi="宋体" w:cs="宋体"/>
                <w:bCs/>
                <w:sz w:val="21"/>
                <w:szCs w:val="21"/>
              </w:rPr>
            </w:pPr>
            <w:r>
              <w:rPr>
                <w:rFonts w:hint="eastAsia" w:ascii="宋体" w:hAnsi="宋体" w:cs="宋体"/>
                <w:kern w:val="0"/>
                <w:sz w:val="21"/>
                <w:szCs w:val="21"/>
              </w:rPr>
              <w:t>颜色及标号</w:t>
            </w:r>
          </w:p>
        </w:tc>
        <w:tc>
          <w:tcPr>
            <w:tcW w:w="4303" w:type="dxa"/>
            <w:vAlign w:val="center"/>
          </w:tcPr>
          <w:p>
            <w:pPr>
              <w:pStyle w:val="30"/>
              <w:keepNext/>
              <w:snapToGrid w:val="0"/>
              <w:spacing w:line="240" w:lineRule="auto"/>
              <w:ind w:firstLine="0" w:firstLineChars="0"/>
              <w:jc w:val="left"/>
              <w:rPr>
                <w:rFonts w:hint="eastAsia"/>
                <w:sz w:val="21"/>
                <w:szCs w:val="21"/>
              </w:rPr>
            </w:pPr>
            <w:r>
              <w:rPr>
                <w:rFonts w:hint="eastAsia" w:ascii="宋体" w:hAnsi="宋体" w:cs="宋体"/>
                <w:kern w:val="0"/>
                <w:sz w:val="21"/>
                <w:szCs w:val="21"/>
              </w:rPr>
              <w:t>红1、红2、红3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5" w:type="dxa"/>
            <w:vMerge w:val="continue"/>
            <w:vAlign w:val="center"/>
          </w:tcPr>
          <w:p>
            <w:pPr>
              <w:keepNext/>
              <w:snapToGrid w:val="0"/>
              <w:spacing w:line="240" w:lineRule="auto"/>
              <w:ind w:firstLine="0" w:firstLineChars="0"/>
              <w:jc w:val="center"/>
              <w:rPr>
                <w:rFonts w:hint="eastAsia"/>
                <w:sz w:val="21"/>
                <w:szCs w:val="21"/>
              </w:rPr>
            </w:pPr>
          </w:p>
        </w:tc>
        <w:tc>
          <w:tcPr>
            <w:tcW w:w="3544" w:type="dxa"/>
            <w:vMerge w:val="continue"/>
            <w:vAlign w:val="center"/>
          </w:tcPr>
          <w:p>
            <w:pPr>
              <w:keepNext/>
              <w:snapToGrid w:val="0"/>
              <w:spacing w:line="240" w:lineRule="auto"/>
              <w:ind w:firstLine="0" w:firstLineChars="0"/>
              <w:jc w:val="center"/>
              <w:rPr>
                <w:rFonts w:hint="eastAsia" w:ascii="宋体" w:hAnsi="宋体" w:cs="宋体"/>
                <w:kern w:val="0"/>
                <w:sz w:val="21"/>
                <w:szCs w:val="21"/>
              </w:rPr>
            </w:pPr>
          </w:p>
        </w:tc>
        <w:tc>
          <w:tcPr>
            <w:tcW w:w="4303" w:type="dxa"/>
            <w:vAlign w:val="center"/>
          </w:tcPr>
          <w:p>
            <w:pPr>
              <w:pStyle w:val="30"/>
              <w:keepNext/>
              <w:snapToGrid w:val="0"/>
              <w:spacing w:line="240" w:lineRule="auto"/>
              <w:ind w:firstLine="0" w:firstLineChars="0"/>
              <w:jc w:val="left"/>
              <w:rPr>
                <w:rFonts w:hint="eastAsia" w:ascii="宋体" w:hAnsi="宋体" w:cs="宋体"/>
                <w:kern w:val="0"/>
                <w:sz w:val="21"/>
                <w:szCs w:val="21"/>
              </w:rPr>
            </w:pPr>
            <w:r>
              <w:rPr>
                <w:rFonts w:hint="eastAsia" w:ascii="宋体" w:hAnsi="宋体" w:cs="宋体"/>
                <w:kern w:val="0"/>
                <w:sz w:val="21"/>
                <w:szCs w:val="21"/>
              </w:rPr>
              <w:t>黄1、黄2、黄3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5" w:type="dxa"/>
            <w:vMerge w:val="continue"/>
            <w:vAlign w:val="center"/>
          </w:tcPr>
          <w:p>
            <w:pPr>
              <w:keepNext/>
              <w:snapToGrid w:val="0"/>
              <w:spacing w:line="240" w:lineRule="auto"/>
              <w:ind w:firstLine="0" w:firstLineChars="0"/>
              <w:jc w:val="center"/>
              <w:rPr>
                <w:rFonts w:hint="eastAsia"/>
                <w:sz w:val="21"/>
                <w:szCs w:val="21"/>
              </w:rPr>
            </w:pPr>
          </w:p>
        </w:tc>
        <w:tc>
          <w:tcPr>
            <w:tcW w:w="3544" w:type="dxa"/>
            <w:vMerge w:val="continue"/>
            <w:vAlign w:val="center"/>
          </w:tcPr>
          <w:p>
            <w:pPr>
              <w:keepNext/>
              <w:snapToGrid w:val="0"/>
              <w:spacing w:line="240" w:lineRule="auto"/>
              <w:ind w:firstLine="0" w:firstLineChars="0"/>
              <w:jc w:val="center"/>
              <w:rPr>
                <w:rFonts w:hint="eastAsia" w:ascii="宋体" w:hAnsi="宋体" w:cs="宋体"/>
                <w:kern w:val="0"/>
                <w:sz w:val="21"/>
                <w:szCs w:val="21"/>
              </w:rPr>
            </w:pPr>
          </w:p>
        </w:tc>
        <w:tc>
          <w:tcPr>
            <w:tcW w:w="4303" w:type="dxa"/>
            <w:vAlign w:val="center"/>
          </w:tcPr>
          <w:p>
            <w:pPr>
              <w:pStyle w:val="30"/>
              <w:keepNext/>
              <w:snapToGrid w:val="0"/>
              <w:spacing w:line="240" w:lineRule="auto"/>
              <w:ind w:firstLine="0" w:firstLineChars="0"/>
              <w:jc w:val="left"/>
              <w:rPr>
                <w:rFonts w:hint="eastAsia" w:ascii="宋体" w:hAnsi="宋体" w:cs="宋体"/>
                <w:kern w:val="0"/>
                <w:sz w:val="21"/>
                <w:szCs w:val="21"/>
              </w:rPr>
            </w:pPr>
            <w:r>
              <w:rPr>
                <w:rFonts w:hint="eastAsia" w:ascii="宋体" w:hAnsi="宋体" w:cs="宋体"/>
                <w:kern w:val="0"/>
                <w:sz w:val="21"/>
                <w:szCs w:val="21"/>
              </w:rPr>
              <w:t>绿1、绿2、绿3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5" w:type="dxa"/>
            <w:vMerge w:val="continue"/>
            <w:vAlign w:val="center"/>
          </w:tcPr>
          <w:p>
            <w:pPr>
              <w:keepNext/>
              <w:snapToGrid w:val="0"/>
              <w:spacing w:line="240" w:lineRule="auto"/>
              <w:ind w:firstLine="0" w:firstLineChars="0"/>
              <w:jc w:val="center"/>
              <w:rPr>
                <w:rFonts w:hint="eastAsia"/>
                <w:sz w:val="21"/>
                <w:szCs w:val="21"/>
              </w:rPr>
            </w:pPr>
          </w:p>
        </w:tc>
        <w:tc>
          <w:tcPr>
            <w:tcW w:w="3544" w:type="dxa"/>
            <w:vMerge w:val="continue"/>
            <w:vAlign w:val="center"/>
          </w:tcPr>
          <w:p>
            <w:pPr>
              <w:keepNext/>
              <w:snapToGrid w:val="0"/>
              <w:spacing w:line="240" w:lineRule="auto"/>
              <w:ind w:firstLine="0" w:firstLineChars="0"/>
              <w:jc w:val="center"/>
              <w:rPr>
                <w:rFonts w:hint="eastAsia" w:ascii="宋体" w:hAnsi="宋体" w:cs="宋体"/>
                <w:kern w:val="0"/>
                <w:sz w:val="21"/>
                <w:szCs w:val="21"/>
              </w:rPr>
            </w:pPr>
          </w:p>
        </w:tc>
        <w:tc>
          <w:tcPr>
            <w:tcW w:w="4303" w:type="dxa"/>
            <w:vAlign w:val="center"/>
          </w:tcPr>
          <w:p>
            <w:pPr>
              <w:pStyle w:val="30"/>
              <w:keepNext/>
              <w:snapToGrid w:val="0"/>
              <w:spacing w:line="240" w:lineRule="auto"/>
              <w:ind w:firstLine="0" w:firstLineChars="0"/>
              <w:jc w:val="left"/>
              <w:rPr>
                <w:rFonts w:hint="eastAsia" w:ascii="宋体" w:hAnsi="宋体" w:cs="宋体"/>
                <w:kern w:val="0"/>
                <w:sz w:val="21"/>
                <w:szCs w:val="21"/>
              </w:rPr>
            </w:pPr>
            <w:r>
              <w:rPr>
                <w:rFonts w:hint="eastAsia" w:ascii="宋体" w:hAnsi="宋体" w:cs="宋体"/>
                <w:kern w:val="0"/>
                <w:sz w:val="21"/>
                <w:szCs w:val="21"/>
              </w:rPr>
              <w:t>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5" w:type="dxa"/>
            <w:vAlign w:val="center"/>
          </w:tcPr>
          <w:p>
            <w:pPr>
              <w:keepNext/>
              <w:snapToGrid w:val="0"/>
              <w:spacing w:line="240" w:lineRule="auto"/>
              <w:ind w:firstLine="0" w:firstLineChars="0"/>
              <w:jc w:val="center"/>
              <w:rPr>
                <w:sz w:val="21"/>
                <w:szCs w:val="21"/>
              </w:rPr>
            </w:pPr>
            <w:r>
              <w:rPr>
                <w:sz w:val="21"/>
                <w:szCs w:val="21"/>
              </w:rPr>
              <w:t>3</w:t>
            </w:r>
          </w:p>
        </w:tc>
        <w:tc>
          <w:tcPr>
            <w:tcW w:w="3544" w:type="dxa"/>
            <w:vAlign w:val="center"/>
          </w:tcPr>
          <w:p>
            <w:pPr>
              <w:keepNext/>
              <w:snapToGrid w:val="0"/>
              <w:spacing w:line="240" w:lineRule="auto"/>
              <w:ind w:firstLine="0" w:firstLineChars="0"/>
              <w:jc w:val="center"/>
              <w:rPr>
                <w:sz w:val="21"/>
                <w:szCs w:val="21"/>
              </w:rPr>
            </w:pPr>
            <w:r>
              <w:rPr>
                <w:rFonts w:hint="eastAsia"/>
                <w:sz w:val="21"/>
                <w:szCs w:val="21"/>
              </w:rPr>
              <w:t>低压裸露导线绝缘安全保护套交流耐压测试</w:t>
            </w:r>
          </w:p>
        </w:tc>
        <w:tc>
          <w:tcPr>
            <w:tcW w:w="4303" w:type="dxa"/>
            <w:vAlign w:val="center"/>
          </w:tcPr>
          <w:p>
            <w:pPr>
              <w:pStyle w:val="30"/>
              <w:keepNext/>
              <w:snapToGrid w:val="0"/>
              <w:spacing w:line="240" w:lineRule="auto"/>
              <w:ind w:firstLine="0" w:firstLineChars="0"/>
              <w:jc w:val="left"/>
              <w:rPr>
                <w:sz w:val="21"/>
                <w:szCs w:val="21"/>
              </w:rPr>
            </w:pPr>
            <w:r>
              <w:rPr>
                <w:rFonts w:hint="eastAsia"/>
                <w:sz w:val="21"/>
                <w:szCs w:val="21"/>
              </w:rPr>
              <w:t>施加交流电压5k</w:t>
            </w:r>
            <w:r>
              <w:rPr>
                <w:sz w:val="21"/>
                <w:szCs w:val="21"/>
              </w:rPr>
              <w:t>V</w:t>
            </w:r>
            <w:r>
              <w:rPr>
                <w:rFonts w:hint="eastAsia"/>
                <w:sz w:val="21"/>
                <w:szCs w:val="21"/>
              </w:rPr>
              <w:t>持续1min后无电晕、无闪络、无击穿、无过热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5" w:type="dxa"/>
            <w:vAlign w:val="center"/>
          </w:tcPr>
          <w:p>
            <w:pPr>
              <w:keepNext/>
              <w:snapToGrid w:val="0"/>
              <w:spacing w:line="240" w:lineRule="auto"/>
              <w:ind w:firstLine="0" w:firstLineChars="0"/>
              <w:jc w:val="center"/>
              <w:rPr>
                <w:sz w:val="21"/>
                <w:szCs w:val="21"/>
              </w:rPr>
            </w:pPr>
            <w:r>
              <w:rPr>
                <w:sz w:val="21"/>
                <w:szCs w:val="21"/>
              </w:rPr>
              <w:t>4</w:t>
            </w:r>
          </w:p>
        </w:tc>
        <w:tc>
          <w:tcPr>
            <w:tcW w:w="3544" w:type="dxa"/>
            <w:vAlign w:val="center"/>
          </w:tcPr>
          <w:p>
            <w:pPr>
              <w:keepNext/>
              <w:snapToGrid w:val="0"/>
              <w:spacing w:line="240" w:lineRule="auto"/>
              <w:ind w:firstLine="0" w:firstLineChars="0"/>
              <w:jc w:val="center"/>
              <w:rPr>
                <w:sz w:val="21"/>
                <w:szCs w:val="21"/>
              </w:rPr>
            </w:pPr>
            <w:r>
              <w:rPr>
                <w:rFonts w:hint="eastAsia"/>
                <w:sz w:val="21"/>
                <w:szCs w:val="21"/>
              </w:rPr>
              <w:t>低压裸露导线绝缘安全保护套</w:t>
            </w:r>
            <w:r>
              <w:rPr>
                <w:rFonts w:hint="eastAsia" w:ascii="宋体" w:hAnsi="宋体" w:cs="宋体"/>
                <w:kern w:val="0"/>
                <w:sz w:val="21"/>
                <w:szCs w:val="21"/>
              </w:rPr>
              <w:t>夹持深度</w:t>
            </w:r>
          </w:p>
        </w:tc>
        <w:tc>
          <w:tcPr>
            <w:tcW w:w="4303" w:type="dxa"/>
            <w:vAlign w:val="center"/>
          </w:tcPr>
          <w:p>
            <w:pPr>
              <w:pStyle w:val="2"/>
              <w:keepNext/>
              <w:snapToGrid w:val="0"/>
              <w:spacing w:line="240" w:lineRule="auto"/>
              <w:ind w:firstLine="0" w:firstLineChars="0"/>
              <w:jc w:val="left"/>
              <w:rPr>
                <w:sz w:val="21"/>
                <w:szCs w:val="21"/>
              </w:rPr>
            </w:pPr>
            <w:r>
              <w:rPr>
                <w:rFonts w:hint="eastAsia" w:ascii="宋体" w:hAnsi="宋体" w:cs="宋体"/>
                <w:kern w:val="0"/>
                <w:sz w:val="21"/>
                <w:szCs w:val="21"/>
              </w:rPr>
              <w:t>2.5mm²不少于40mm，4mm²不少于35mm；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5" w:type="dxa"/>
            <w:vAlign w:val="center"/>
          </w:tcPr>
          <w:p>
            <w:pPr>
              <w:keepNext/>
              <w:snapToGrid w:val="0"/>
              <w:spacing w:line="240" w:lineRule="auto"/>
              <w:ind w:firstLine="0" w:firstLineChars="0"/>
              <w:jc w:val="center"/>
              <w:rPr>
                <w:sz w:val="21"/>
                <w:szCs w:val="21"/>
              </w:rPr>
            </w:pPr>
            <w:r>
              <w:rPr>
                <w:sz w:val="21"/>
                <w:szCs w:val="21"/>
              </w:rPr>
              <w:t>5</w:t>
            </w:r>
          </w:p>
        </w:tc>
        <w:tc>
          <w:tcPr>
            <w:tcW w:w="3544" w:type="dxa"/>
            <w:vAlign w:val="center"/>
          </w:tcPr>
          <w:p>
            <w:pPr>
              <w:keepNext/>
              <w:snapToGrid w:val="0"/>
              <w:spacing w:line="240" w:lineRule="auto"/>
              <w:ind w:firstLine="0" w:firstLineChars="0"/>
              <w:jc w:val="center"/>
              <w:rPr>
                <w:sz w:val="21"/>
                <w:szCs w:val="21"/>
              </w:rPr>
            </w:pPr>
            <w:r>
              <w:rPr>
                <w:rFonts w:hint="eastAsia" w:ascii="宋体" w:hAnsi="宋体" w:cs="宋体"/>
                <w:kern w:val="0"/>
                <w:sz w:val="21"/>
                <w:szCs w:val="21"/>
              </w:rPr>
              <w:t>单个护套尺寸</w:t>
            </w:r>
          </w:p>
        </w:tc>
        <w:tc>
          <w:tcPr>
            <w:tcW w:w="4303" w:type="dxa"/>
            <w:vAlign w:val="center"/>
          </w:tcPr>
          <w:p>
            <w:pPr>
              <w:keepNext/>
              <w:snapToGrid w:val="0"/>
              <w:spacing w:line="240" w:lineRule="auto"/>
              <w:ind w:firstLine="0" w:firstLineChars="0"/>
              <w:jc w:val="left"/>
              <w:rPr>
                <w:sz w:val="21"/>
                <w:szCs w:val="21"/>
              </w:rPr>
            </w:pPr>
            <w:r>
              <w:rPr>
                <w:rFonts w:hint="eastAsia" w:ascii="宋体" w:hAnsi="宋体" w:cs="宋体"/>
                <w:kern w:val="0"/>
                <w:sz w:val="21"/>
                <w:szCs w:val="21"/>
              </w:rPr>
              <w:t>直径≤14mm；高度≤55mm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5" w:type="dxa"/>
            <w:vAlign w:val="center"/>
          </w:tcPr>
          <w:p>
            <w:pPr>
              <w:keepNext/>
              <w:snapToGrid w:val="0"/>
              <w:spacing w:line="240" w:lineRule="auto"/>
              <w:ind w:firstLine="0" w:firstLineChars="0"/>
              <w:jc w:val="center"/>
              <w:rPr>
                <w:rFonts w:hint="eastAsia"/>
                <w:sz w:val="21"/>
                <w:szCs w:val="21"/>
              </w:rPr>
            </w:pPr>
            <w:r>
              <w:rPr>
                <w:sz w:val="21"/>
                <w:szCs w:val="21"/>
              </w:rPr>
              <w:t>6</w:t>
            </w:r>
          </w:p>
        </w:tc>
        <w:tc>
          <w:tcPr>
            <w:tcW w:w="3544" w:type="dxa"/>
            <w:vAlign w:val="center"/>
          </w:tcPr>
          <w:p>
            <w:pPr>
              <w:keepNext/>
              <w:snapToGrid w:val="0"/>
              <w:spacing w:line="240" w:lineRule="auto"/>
              <w:ind w:firstLine="0" w:firstLineChars="0"/>
              <w:jc w:val="center"/>
              <w:rPr>
                <w:rFonts w:hint="eastAsia" w:ascii="宋体" w:hAnsi="宋体" w:cs="宋体"/>
                <w:kern w:val="0"/>
                <w:sz w:val="21"/>
                <w:szCs w:val="21"/>
              </w:rPr>
            </w:pPr>
            <w:r>
              <w:rPr>
                <w:rFonts w:hint="eastAsia" w:ascii="宋体" w:hAnsi="宋体" w:cs="宋体"/>
                <w:kern w:val="0"/>
                <w:sz w:val="21"/>
                <w:szCs w:val="21"/>
              </w:rPr>
              <w:t>硬度测试</w:t>
            </w:r>
          </w:p>
        </w:tc>
        <w:tc>
          <w:tcPr>
            <w:tcW w:w="4303" w:type="dxa"/>
            <w:vAlign w:val="center"/>
          </w:tcPr>
          <w:p>
            <w:pPr>
              <w:keepNext/>
              <w:snapToGrid w:val="0"/>
              <w:spacing w:line="240" w:lineRule="auto"/>
              <w:ind w:firstLine="0" w:firstLineChars="0"/>
              <w:jc w:val="left"/>
              <w:rPr>
                <w:rFonts w:hint="eastAsia" w:ascii="宋体" w:hAnsi="宋体" w:cs="宋体"/>
                <w:kern w:val="0"/>
                <w:sz w:val="21"/>
                <w:szCs w:val="21"/>
              </w:rPr>
            </w:pPr>
            <w:r>
              <w:rPr>
                <w:rFonts w:hint="eastAsia" w:ascii="宋体" w:hAnsi="宋体" w:cs="宋体"/>
                <w:kern w:val="0"/>
                <w:sz w:val="21"/>
                <w:szCs w:val="21"/>
              </w:rPr>
              <w:t>使用硬度测试计测量硬度在7</w:t>
            </w:r>
            <w:r>
              <w:rPr>
                <w:rFonts w:ascii="宋体" w:hAnsi="宋体" w:cs="宋体"/>
                <w:kern w:val="0"/>
                <w:sz w:val="21"/>
                <w:szCs w:val="21"/>
              </w:rPr>
              <w:t>0</w:t>
            </w:r>
            <w:r>
              <w:rPr>
                <w:rFonts w:hint="eastAsia" w:ascii="宋体" w:hAnsi="宋体" w:cs="宋体"/>
                <w:kern w:val="0"/>
                <w:sz w:val="21"/>
                <w:szCs w:val="21"/>
              </w:rPr>
              <w:t>±</w:t>
            </w:r>
            <w:r>
              <w:rPr>
                <w:rFonts w:ascii="宋体" w:hAnsi="宋体" w:cs="宋体"/>
                <w:kern w:val="0"/>
                <w:sz w:val="21"/>
                <w:szCs w:val="21"/>
              </w:rPr>
              <w:t>3</w:t>
            </w:r>
            <w:r>
              <w:rPr>
                <w:rFonts w:hint="eastAsia" w:ascii="宋体" w:hAnsi="宋体" w:cs="宋体"/>
                <w:kern w:val="0"/>
                <w:sz w:val="21"/>
                <w:szCs w:val="21"/>
              </w:rPr>
              <w:t>度以内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5" w:type="dxa"/>
            <w:vMerge w:val="restart"/>
            <w:vAlign w:val="center"/>
          </w:tcPr>
          <w:p>
            <w:pPr>
              <w:keepNext/>
              <w:snapToGrid w:val="0"/>
              <w:spacing w:line="240" w:lineRule="auto"/>
              <w:ind w:firstLine="0" w:firstLineChars="0"/>
              <w:jc w:val="center"/>
              <w:rPr>
                <w:rFonts w:hint="eastAsia"/>
                <w:sz w:val="21"/>
                <w:szCs w:val="21"/>
              </w:rPr>
            </w:pPr>
            <w:r>
              <w:rPr>
                <w:sz w:val="21"/>
                <w:szCs w:val="21"/>
              </w:rPr>
              <w:t>7</w:t>
            </w:r>
          </w:p>
        </w:tc>
        <w:tc>
          <w:tcPr>
            <w:tcW w:w="3544" w:type="dxa"/>
            <w:vMerge w:val="restart"/>
            <w:vAlign w:val="center"/>
          </w:tcPr>
          <w:p>
            <w:pPr>
              <w:keepNext/>
              <w:snapToGrid w:val="0"/>
              <w:spacing w:line="240" w:lineRule="auto"/>
              <w:ind w:firstLine="0" w:firstLineChars="0"/>
              <w:jc w:val="center"/>
              <w:rPr>
                <w:rFonts w:hint="eastAsia" w:ascii="宋体" w:hAnsi="宋体" w:cs="宋体"/>
                <w:kern w:val="0"/>
                <w:sz w:val="21"/>
                <w:szCs w:val="21"/>
              </w:rPr>
            </w:pPr>
            <w:r>
              <w:rPr>
                <w:rFonts w:hint="eastAsia" w:ascii="宋体" w:hAnsi="宋体" w:cs="宋体"/>
                <w:kern w:val="0"/>
                <w:sz w:val="21"/>
                <w:szCs w:val="21"/>
              </w:rPr>
              <w:t>收纳袋尺寸</w:t>
            </w:r>
          </w:p>
        </w:tc>
        <w:tc>
          <w:tcPr>
            <w:tcW w:w="4303" w:type="dxa"/>
            <w:vAlign w:val="center"/>
          </w:tcPr>
          <w:p>
            <w:pPr>
              <w:keepNext/>
              <w:snapToGrid w:val="0"/>
              <w:spacing w:line="240" w:lineRule="auto"/>
              <w:ind w:firstLine="0" w:firstLineChars="0"/>
              <w:jc w:val="left"/>
              <w:rPr>
                <w:rFonts w:hint="eastAsia" w:ascii="宋体" w:hAnsi="宋体" w:cs="宋体"/>
                <w:kern w:val="0"/>
                <w:sz w:val="21"/>
                <w:szCs w:val="21"/>
              </w:rPr>
            </w:pPr>
            <w:r>
              <w:rPr>
                <w:rFonts w:hint="eastAsia" w:ascii="宋体" w:hAnsi="宋体" w:cs="宋体"/>
                <w:kern w:val="0"/>
                <w:sz w:val="21"/>
                <w:szCs w:val="21"/>
              </w:rPr>
              <w:t>展平：长≤220mm；宽≤100mm；高≤25mm；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5" w:type="dxa"/>
            <w:vMerge w:val="continue"/>
            <w:vAlign w:val="center"/>
          </w:tcPr>
          <w:p>
            <w:pPr>
              <w:keepNext/>
              <w:snapToGrid w:val="0"/>
              <w:spacing w:line="240" w:lineRule="auto"/>
              <w:ind w:firstLine="0" w:firstLineChars="0"/>
              <w:jc w:val="center"/>
              <w:rPr>
                <w:rFonts w:hint="eastAsia"/>
                <w:sz w:val="21"/>
                <w:szCs w:val="21"/>
              </w:rPr>
            </w:pPr>
          </w:p>
        </w:tc>
        <w:tc>
          <w:tcPr>
            <w:tcW w:w="3544" w:type="dxa"/>
            <w:vMerge w:val="continue"/>
            <w:vAlign w:val="center"/>
          </w:tcPr>
          <w:p>
            <w:pPr>
              <w:keepNext/>
              <w:snapToGrid w:val="0"/>
              <w:spacing w:line="240" w:lineRule="auto"/>
              <w:ind w:firstLine="0" w:firstLineChars="0"/>
              <w:jc w:val="center"/>
              <w:rPr>
                <w:rFonts w:hint="eastAsia" w:ascii="宋体" w:hAnsi="宋体" w:cs="宋体"/>
                <w:kern w:val="0"/>
                <w:sz w:val="21"/>
                <w:szCs w:val="21"/>
              </w:rPr>
            </w:pPr>
          </w:p>
        </w:tc>
        <w:tc>
          <w:tcPr>
            <w:tcW w:w="4303" w:type="dxa"/>
            <w:vAlign w:val="center"/>
          </w:tcPr>
          <w:p>
            <w:pPr>
              <w:keepNext/>
              <w:snapToGrid w:val="0"/>
              <w:spacing w:line="240" w:lineRule="auto"/>
              <w:ind w:firstLine="0" w:firstLineChars="0"/>
              <w:jc w:val="left"/>
              <w:rPr>
                <w:rFonts w:hint="eastAsia" w:ascii="宋体" w:hAnsi="宋体" w:cs="宋体"/>
                <w:kern w:val="0"/>
                <w:sz w:val="21"/>
                <w:szCs w:val="21"/>
              </w:rPr>
            </w:pPr>
            <w:r>
              <w:rPr>
                <w:rFonts w:hint="eastAsia" w:ascii="宋体" w:hAnsi="宋体" w:cs="宋体"/>
                <w:kern w:val="0"/>
                <w:sz w:val="21"/>
                <w:szCs w:val="21"/>
              </w:rPr>
              <w:t>卷起：直径：≤80mm；高≤100mm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5" w:type="dxa"/>
            <w:vAlign w:val="center"/>
          </w:tcPr>
          <w:p>
            <w:pPr>
              <w:keepNext/>
              <w:snapToGrid w:val="0"/>
              <w:spacing w:line="240" w:lineRule="auto"/>
              <w:ind w:firstLine="0" w:firstLineChars="0"/>
              <w:jc w:val="center"/>
              <w:rPr>
                <w:rFonts w:hint="eastAsia"/>
                <w:sz w:val="21"/>
                <w:szCs w:val="21"/>
              </w:rPr>
            </w:pPr>
            <w:r>
              <w:rPr>
                <w:sz w:val="21"/>
                <w:szCs w:val="21"/>
              </w:rPr>
              <w:t>8</w:t>
            </w:r>
          </w:p>
        </w:tc>
        <w:tc>
          <w:tcPr>
            <w:tcW w:w="3544" w:type="dxa"/>
            <w:vAlign w:val="center"/>
          </w:tcPr>
          <w:p>
            <w:pPr>
              <w:keepNext/>
              <w:snapToGrid w:val="0"/>
              <w:spacing w:line="240" w:lineRule="auto"/>
              <w:ind w:firstLine="0" w:firstLineChars="0"/>
              <w:jc w:val="center"/>
              <w:rPr>
                <w:rFonts w:hint="eastAsia" w:ascii="宋体" w:hAnsi="宋体" w:cs="宋体"/>
                <w:kern w:val="0"/>
                <w:sz w:val="21"/>
                <w:szCs w:val="21"/>
              </w:rPr>
            </w:pPr>
            <w:r>
              <w:rPr>
                <w:rFonts w:hint="eastAsia" w:ascii="宋体" w:hAnsi="宋体" w:cs="宋体"/>
                <w:kern w:val="0"/>
                <w:sz w:val="21"/>
                <w:szCs w:val="21"/>
              </w:rPr>
              <w:t>收纳袋间隔</w:t>
            </w:r>
          </w:p>
        </w:tc>
        <w:tc>
          <w:tcPr>
            <w:tcW w:w="4303" w:type="dxa"/>
            <w:vAlign w:val="center"/>
          </w:tcPr>
          <w:p>
            <w:pPr>
              <w:keepNext/>
              <w:snapToGrid w:val="0"/>
              <w:spacing w:line="240" w:lineRule="auto"/>
              <w:ind w:firstLine="0" w:firstLineChars="0"/>
              <w:jc w:val="left"/>
              <w:rPr>
                <w:rFonts w:hint="eastAsia" w:ascii="宋体" w:hAnsi="宋体" w:cs="宋体"/>
                <w:kern w:val="0"/>
                <w:sz w:val="21"/>
                <w:szCs w:val="21"/>
              </w:rPr>
            </w:pPr>
            <w:r>
              <w:rPr>
                <w:rFonts w:hint="eastAsia" w:ascii="宋体" w:hAnsi="宋体" w:cs="宋体"/>
                <w:kern w:val="0"/>
                <w:sz w:val="21"/>
                <w:szCs w:val="21"/>
              </w:rPr>
              <w:t>弹性间隔带</w:t>
            </w:r>
          </w:p>
        </w:tc>
      </w:tr>
    </w:tbl>
    <w:p>
      <w:pPr>
        <w:ind w:firstLine="480"/>
        <w:jc w:val="left"/>
        <w:rPr>
          <w:rFonts w:hint="eastAsia" w:ascii="宋体" w:hAnsi="宋体"/>
          <w:szCs w:val="24"/>
          <w:lang w:val="en-US" w:eastAsia="zh-CN"/>
        </w:rPr>
      </w:pPr>
      <w:bookmarkStart w:id="111" w:name="OLE_LINK6"/>
      <w:bookmarkStart w:id="112" w:name="_Toc7186"/>
      <w:bookmarkStart w:id="113" w:name="_Toc23140"/>
      <w:bookmarkStart w:id="114" w:name="_Toc30561"/>
      <w:bookmarkStart w:id="115" w:name="_Toc27479"/>
      <w:r>
        <w:rPr>
          <w:rFonts w:hint="eastAsia" w:ascii="宋体" w:hAnsi="宋体"/>
          <w:szCs w:val="24"/>
          <w:lang w:val="en-US" w:eastAsia="zh-CN"/>
        </w:rPr>
        <w:t>5.6中标方开展产品生产、全过程管控及质量检验工作，均须严格按照本技术规范书，《生产技术交底书》、南方电网公司相关要求以及现场安装服务验收标准要求，不得擅自更改工艺、参数及质量要求。</w:t>
      </w:r>
    </w:p>
    <w:p>
      <w:pPr>
        <w:ind w:firstLine="480"/>
        <w:jc w:val="left"/>
        <w:rPr>
          <w:rFonts w:hint="default" w:ascii="宋体" w:hAnsi="宋体"/>
          <w:szCs w:val="24"/>
          <w:lang w:val="en-US" w:eastAsia="zh-CN"/>
        </w:rPr>
      </w:pPr>
      <w:r>
        <w:rPr>
          <w:rFonts w:hint="eastAsia" w:ascii="宋体" w:hAnsi="宋体"/>
          <w:szCs w:val="24"/>
          <w:lang w:val="en-US" w:eastAsia="zh-CN"/>
        </w:rPr>
        <w:t>5.7招标方</w:t>
      </w:r>
      <w:r>
        <w:rPr>
          <w:rFonts w:hint="default" w:ascii="宋体" w:hAnsi="宋体"/>
          <w:szCs w:val="24"/>
          <w:lang w:val="en-US" w:eastAsia="zh-CN"/>
        </w:rPr>
        <w:t>有权对订单产品的生产全过程进行监督核查，监督方式包括但不限于视频跟踪监督、现场跟踪、品控资料调取、发货影像取证等，</w:t>
      </w:r>
      <w:r>
        <w:rPr>
          <w:rFonts w:hint="eastAsia" w:ascii="宋体" w:hAnsi="宋体"/>
          <w:szCs w:val="24"/>
          <w:lang w:val="en-US" w:eastAsia="zh-CN"/>
        </w:rPr>
        <w:t>中标</w:t>
      </w:r>
      <w:r>
        <w:rPr>
          <w:rFonts w:hint="default" w:ascii="宋体" w:hAnsi="宋体"/>
          <w:szCs w:val="24"/>
          <w:lang w:val="en-US" w:eastAsia="zh-CN"/>
        </w:rPr>
        <w:t>方应无条件配合。</w:t>
      </w:r>
    </w:p>
    <w:bookmarkEnd w:id="111"/>
    <w:p>
      <w:pPr>
        <w:pStyle w:val="4"/>
        <w:spacing w:before="312" w:beforeLines="100"/>
      </w:pPr>
      <w:bookmarkStart w:id="116" w:name="_Toc16566"/>
      <w:r>
        <w:rPr>
          <w:rFonts w:hint="eastAsia"/>
        </w:rPr>
        <w:t>六</w:t>
      </w:r>
      <w:r>
        <w:t>、</w:t>
      </w:r>
      <w:r>
        <w:rPr>
          <w:rFonts w:hint="eastAsia"/>
        </w:rPr>
        <w:t>货物验收</w:t>
      </w:r>
      <w:bookmarkEnd w:id="112"/>
      <w:bookmarkEnd w:id="113"/>
      <w:bookmarkEnd w:id="114"/>
      <w:bookmarkEnd w:id="115"/>
      <w:bookmarkEnd w:id="116"/>
    </w:p>
    <w:p>
      <w:pPr>
        <w:ind w:firstLine="480"/>
        <w:jc w:val="left"/>
        <w:rPr>
          <w:rFonts w:ascii="宋体" w:hAnsi="宋体"/>
          <w:szCs w:val="24"/>
        </w:rPr>
      </w:pPr>
      <w:r>
        <w:rPr>
          <w:rFonts w:hint="eastAsia" w:ascii="宋体" w:hAnsi="宋体"/>
          <w:szCs w:val="24"/>
        </w:rPr>
        <w:t>6.1 中标方应在合同规定时间内，将招标范围内所界定的工作完成，并将完整的成套货物及附件和技术文件通过双方认可的验收后，交付给采购的公司，其中包括：</w:t>
      </w:r>
    </w:p>
    <w:p>
      <w:pPr>
        <w:ind w:firstLine="480"/>
        <w:jc w:val="left"/>
        <w:rPr>
          <w:rFonts w:ascii="宋体" w:hAnsi="宋体"/>
          <w:szCs w:val="24"/>
        </w:rPr>
      </w:pPr>
      <w:r>
        <w:rPr>
          <w:rFonts w:hint="eastAsia" w:ascii="宋体" w:hAnsi="宋体"/>
          <w:szCs w:val="24"/>
        </w:rPr>
        <w:t>6.1.1 满足本文件的项目目标和相应的技术要求、业务要求的完整的可最终良好运行的</w:t>
      </w:r>
      <w:r>
        <w:rPr>
          <w:rFonts w:hint="eastAsia" w:ascii="宋体" w:hAnsi="宋体" w:cs="宋体"/>
          <w:bCs/>
        </w:rPr>
        <w:t>低压裸露导线绝缘安全保护套</w:t>
      </w:r>
      <w:r>
        <w:rPr>
          <w:rFonts w:hint="eastAsia" w:ascii="宋体" w:hAnsi="宋体"/>
          <w:szCs w:val="24"/>
        </w:rPr>
        <w:t>和附件；</w:t>
      </w:r>
    </w:p>
    <w:p>
      <w:pPr>
        <w:ind w:firstLine="480"/>
        <w:jc w:val="left"/>
        <w:rPr>
          <w:rFonts w:ascii="宋体" w:hAnsi="宋体"/>
          <w:szCs w:val="24"/>
        </w:rPr>
      </w:pPr>
      <w:r>
        <w:rPr>
          <w:rFonts w:hint="eastAsia" w:ascii="宋体" w:hAnsi="宋体"/>
          <w:szCs w:val="24"/>
        </w:rPr>
        <w:t>6.1.2 应包括但不限于满足确保安全保护套正常使用所需的操作及维护有关的全套技术文件。</w:t>
      </w:r>
    </w:p>
    <w:p>
      <w:pPr>
        <w:ind w:firstLine="480"/>
        <w:jc w:val="left"/>
        <w:rPr>
          <w:rFonts w:ascii="宋体" w:hAnsi="宋体"/>
          <w:szCs w:val="24"/>
        </w:rPr>
      </w:pPr>
      <w:r>
        <w:rPr>
          <w:rFonts w:hint="eastAsia" w:ascii="宋体" w:hAnsi="宋体"/>
          <w:szCs w:val="24"/>
        </w:rPr>
        <w:t>6.2 验收时若发现设备或附件存在由中标方造成的缺陷或不符合本技术条件要求时，中标方应无条件更换。</w:t>
      </w:r>
    </w:p>
    <w:p>
      <w:pPr>
        <w:tabs>
          <w:tab w:val="left" w:pos="432"/>
          <w:tab w:val="left" w:pos="1116"/>
        </w:tabs>
        <w:suppressAutoHyphens/>
        <w:ind w:firstLine="480"/>
        <w:rPr>
          <w:rFonts w:ascii="宋体" w:hAnsi="宋体"/>
          <w:szCs w:val="24"/>
        </w:rPr>
      </w:pPr>
      <w:r>
        <w:rPr>
          <w:rFonts w:hint="eastAsia" w:ascii="宋体" w:hAnsi="宋体"/>
          <w:szCs w:val="24"/>
        </w:rPr>
        <w:t>6.3 提供售后服务保证相关证书，包括产品合格证书、产品三包凭证和保修卡。</w:t>
      </w:r>
    </w:p>
    <w:p>
      <w:pPr>
        <w:tabs>
          <w:tab w:val="left" w:pos="432"/>
          <w:tab w:val="left" w:pos="1116"/>
        </w:tabs>
        <w:suppressAutoHyphens/>
        <w:ind w:firstLine="480"/>
        <w:rPr>
          <w:rFonts w:ascii="宋体" w:hAnsi="宋体"/>
          <w:szCs w:val="24"/>
        </w:rPr>
      </w:pPr>
      <w:r>
        <w:rPr>
          <w:rFonts w:hint="eastAsia" w:ascii="宋体" w:hAnsi="宋体"/>
          <w:szCs w:val="24"/>
        </w:rPr>
        <w:t>6.4 提供产品出厂检测报告。</w:t>
      </w:r>
    </w:p>
    <w:p>
      <w:pPr>
        <w:ind w:firstLine="480"/>
        <w:rPr>
          <w:rFonts w:hint="eastAsia" w:ascii="宋体" w:hAnsi="宋体"/>
          <w:szCs w:val="24"/>
        </w:rPr>
      </w:pPr>
      <w:r>
        <w:rPr>
          <w:rFonts w:hint="eastAsia" w:ascii="宋体" w:hAnsi="宋体"/>
          <w:szCs w:val="24"/>
        </w:rPr>
        <w:t>6.5 提供中文操作手册和维护手册。</w:t>
      </w:r>
    </w:p>
    <w:p>
      <w:pPr>
        <w:ind w:firstLine="480"/>
        <w:rPr>
          <w:rFonts w:hint="eastAsia" w:ascii="宋体" w:hAnsi="宋体" w:cs="宋体"/>
        </w:rPr>
      </w:pPr>
      <w:bookmarkStart w:id="117" w:name="OLE_LINK1"/>
      <w:bookmarkStart w:id="118" w:name="OLE_LINK8"/>
      <w:r>
        <w:rPr>
          <w:rFonts w:hint="eastAsia" w:ascii="宋体" w:hAnsi="宋体" w:cs="宋体"/>
          <w:lang w:val="en-US" w:eastAsia="zh-CN"/>
        </w:rPr>
        <w:t>6.6必须满足对应批次下达合同的《委托生产加工订单》要求、符合本《技术规范书》和《生产技术交底书》、南方电网公司相关要求以及现场安装服务验收标准要求。</w:t>
      </w:r>
      <w:bookmarkEnd w:id="117"/>
      <w:bookmarkEnd w:id="118"/>
    </w:p>
    <w:p>
      <w:pPr>
        <w:pStyle w:val="4"/>
        <w:spacing w:before="312" w:beforeLines="100"/>
      </w:pPr>
      <w:bookmarkStart w:id="119" w:name="_Toc12618"/>
      <w:bookmarkStart w:id="120" w:name="_Toc1502"/>
      <w:bookmarkStart w:id="121" w:name="_Toc18474"/>
      <w:bookmarkStart w:id="122" w:name="_Toc211"/>
      <w:bookmarkStart w:id="123" w:name="_Toc28361"/>
      <w:r>
        <w:rPr>
          <w:rFonts w:hint="eastAsia"/>
        </w:rPr>
        <w:t>七</w:t>
      </w:r>
      <w:r>
        <w:t>、售后服务</w:t>
      </w:r>
      <w:bookmarkEnd w:id="119"/>
      <w:bookmarkEnd w:id="120"/>
      <w:bookmarkEnd w:id="121"/>
      <w:bookmarkEnd w:id="122"/>
      <w:bookmarkEnd w:id="123"/>
      <w:r>
        <w:t xml:space="preserve"> </w:t>
      </w:r>
    </w:p>
    <w:p>
      <w:pPr>
        <w:ind w:firstLine="480"/>
        <w:rPr>
          <w:rFonts w:ascii="宋体" w:hAnsi="宋体" w:cs="宋体"/>
        </w:rPr>
      </w:pPr>
      <w:r>
        <w:rPr>
          <w:rFonts w:hint="eastAsia" w:ascii="宋体" w:hAnsi="宋体" w:cs="宋体"/>
        </w:rPr>
        <w:t>★7.1 在质保期内，所有工作产品均须由投标方提供免费维护、保修服务，质保期自项目投产验收签字之日起算。</w:t>
      </w:r>
    </w:p>
    <w:p>
      <w:pPr>
        <w:ind w:firstLine="480"/>
        <w:rPr>
          <w:rFonts w:ascii="宋体" w:hAnsi="宋体" w:cs="宋体"/>
        </w:rPr>
      </w:pPr>
      <w:r>
        <w:rPr>
          <w:rFonts w:hint="eastAsia" w:ascii="宋体" w:hAnsi="宋体" w:cs="宋体"/>
        </w:rPr>
        <w:t>★7.2 若投标方</w:t>
      </w:r>
      <w:r>
        <w:rPr>
          <w:rFonts w:hint="eastAsia" w:ascii="宋体" w:hAnsi="宋体"/>
          <w:szCs w:val="24"/>
        </w:rPr>
        <w:t>承诺的质保期长于本技术规范书要求，</w:t>
      </w:r>
      <w:r>
        <w:rPr>
          <w:rFonts w:hint="eastAsia" w:ascii="宋体" w:hAnsi="宋体" w:cs="宋体"/>
        </w:rPr>
        <w:t>投标方应提出延长保修期内的维护、保修内容和范围（产品、技术、部件）。</w:t>
      </w:r>
    </w:p>
    <w:p>
      <w:pPr>
        <w:ind w:firstLine="480"/>
        <w:rPr>
          <w:rFonts w:ascii="宋体" w:hAnsi="宋体" w:cs="宋体"/>
        </w:rPr>
      </w:pPr>
      <w:r>
        <w:rPr>
          <w:rFonts w:hint="eastAsia" w:ascii="宋体" w:hAnsi="宋体" w:cs="宋体"/>
        </w:rPr>
        <w:t>7.3 服务响应时间：</w:t>
      </w:r>
      <w:r>
        <w:rPr>
          <w:rFonts w:hint="eastAsia" w:ascii="宋体" w:hAnsi="宋体" w:cs="宋体"/>
          <w:szCs w:val="21"/>
          <w:lang w:val="zh-CN"/>
        </w:rPr>
        <w:t>中标方对售后服务的需求必须在</w:t>
      </w:r>
      <w:r>
        <w:rPr>
          <w:rFonts w:hint="eastAsia" w:ascii="宋体" w:hAnsi="宋体" w:cs="宋体"/>
          <w:szCs w:val="21"/>
          <w:u w:val="single"/>
          <w:lang w:val="zh-CN"/>
        </w:rPr>
        <w:t>24</w:t>
      </w:r>
      <w:r>
        <w:rPr>
          <w:rFonts w:hint="eastAsia" w:ascii="宋体" w:hAnsi="宋体" w:cs="宋体"/>
          <w:szCs w:val="21"/>
          <w:lang w:val="zh-CN"/>
        </w:rPr>
        <w:t>小时答复，在</w:t>
      </w:r>
      <w:r>
        <w:rPr>
          <w:rFonts w:hint="eastAsia" w:ascii="宋体" w:hAnsi="宋体" w:cs="宋体"/>
          <w:szCs w:val="21"/>
          <w:u w:val="single"/>
          <w:lang w:val="zh-CN"/>
        </w:rPr>
        <w:t>48</w:t>
      </w:r>
      <w:r>
        <w:rPr>
          <w:rFonts w:hint="eastAsia" w:ascii="宋体" w:hAnsi="宋体" w:cs="宋体"/>
          <w:szCs w:val="21"/>
          <w:lang w:val="zh-CN"/>
        </w:rPr>
        <w:t>小时内提供技术服务，对有疑问的检测结果应能够免费提供检测分析报告</w:t>
      </w:r>
      <w:r>
        <w:rPr>
          <w:rFonts w:hint="eastAsia" w:ascii="宋体" w:hAnsi="宋体" w:cs="宋体"/>
        </w:rPr>
        <w:t>。</w:t>
      </w:r>
    </w:p>
    <w:p>
      <w:pPr>
        <w:ind w:firstLine="480"/>
        <w:rPr>
          <w:rFonts w:ascii="宋体" w:hAnsi="宋体" w:cs="宋体"/>
        </w:rPr>
      </w:pPr>
      <w:r>
        <w:rPr>
          <w:rFonts w:hint="eastAsia" w:ascii="宋体" w:hAnsi="宋体" w:cs="宋体"/>
        </w:rPr>
        <w:t>7.4 如果故障在检修</w:t>
      </w:r>
      <w:r>
        <w:rPr>
          <w:rFonts w:hint="eastAsia" w:ascii="宋体" w:hAnsi="宋体" w:cs="宋体"/>
          <w:u w:val="single"/>
        </w:rPr>
        <w:t>8</w:t>
      </w:r>
      <w:r>
        <w:rPr>
          <w:rFonts w:hint="eastAsia" w:ascii="宋体" w:hAnsi="宋体" w:cs="宋体"/>
        </w:rPr>
        <w:t>小时后仍无法排除，投标方应在</w:t>
      </w:r>
      <w:r>
        <w:rPr>
          <w:rFonts w:hint="eastAsia" w:ascii="宋体" w:hAnsi="宋体" w:cs="宋体"/>
          <w:u w:val="single"/>
        </w:rPr>
        <w:t>2天</w:t>
      </w:r>
      <w:r>
        <w:rPr>
          <w:rFonts w:hint="eastAsia" w:ascii="宋体" w:hAnsi="宋体" w:cs="宋体"/>
        </w:rPr>
        <w:t>内提供解决方案，经招标方批准后负责实施，直至故障修复。</w:t>
      </w:r>
    </w:p>
    <w:p>
      <w:pPr>
        <w:ind w:firstLine="480"/>
        <w:rPr>
          <w:rFonts w:ascii="宋体" w:hAnsi="宋体" w:cs="宋体"/>
        </w:rPr>
      </w:pPr>
      <w:r>
        <w:rPr>
          <w:rFonts w:hint="eastAsia" w:ascii="宋体" w:hAnsi="宋体" w:cs="宋体"/>
        </w:rPr>
        <w:t>★7.5 所有售后服务方式均为投标方上门，即由投标方或原厂商派员到用户使用现场。由此产生的一切费用均由投标方承担</w:t>
      </w:r>
    </w:p>
    <w:p>
      <w:pPr>
        <w:ind w:firstLine="480"/>
        <w:rPr>
          <w:rFonts w:ascii="宋体" w:hAnsi="宋体" w:cs="宋体"/>
        </w:rPr>
      </w:pPr>
      <w:r>
        <w:rPr>
          <w:rFonts w:hint="eastAsia" w:ascii="宋体" w:hAnsi="宋体" w:cs="宋体"/>
        </w:rPr>
        <w:t>7.6 对于不能明确是否是投标方工作产品出现故障时，投标方应尽力配合招标方和其他供应商进行检查，在必要时，能在上述响应时间内到达现场协助排除问题。</w:t>
      </w:r>
    </w:p>
    <w:p>
      <w:pPr>
        <w:ind w:firstLine="480"/>
        <w:rPr>
          <w:rFonts w:ascii="宋体" w:hAnsi="宋体" w:cs="宋体"/>
        </w:rPr>
      </w:pPr>
      <w:r>
        <w:rPr>
          <w:rFonts w:hint="eastAsia" w:ascii="宋体" w:hAnsi="宋体" w:cs="宋体"/>
        </w:rPr>
        <w:t>7.7 投标方必须在招标方当地配备有专业维护人员，能按要求及时响应。</w:t>
      </w:r>
    </w:p>
    <w:p>
      <w:pPr>
        <w:ind w:firstLine="480"/>
        <w:rPr>
          <w:rFonts w:ascii="宋体" w:hAnsi="宋体" w:cs="宋体"/>
        </w:rPr>
      </w:pPr>
      <w:r>
        <w:rPr>
          <w:rFonts w:hint="eastAsia" w:ascii="宋体" w:hAnsi="宋体" w:cs="宋体"/>
        </w:rPr>
        <w:t>7.8 投标方需要提出保修期后每年的维修、维护内容及费用和服务方式、范围（产品、技术、部件），供招标方选择。</w:t>
      </w:r>
    </w:p>
    <w:p>
      <w:pPr>
        <w:pStyle w:val="4"/>
        <w:spacing w:before="312" w:beforeLines="100"/>
      </w:pPr>
      <w:bookmarkStart w:id="124" w:name="_Toc18507"/>
      <w:bookmarkStart w:id="125" w:name="_Toc5773"/>
      <w:bookmarkStart w:id="126" w:name="_Toc26311"/>
      <w:bookmarkStart w:id="127" w:name="_Toc21813"/>
      <w:bookmarkStart w:id="128" w:name="_Toc4932"/>
      <w:r>
        <w:rPr>
          <w:rFonts w:hint="eastAsia"/>
        </w:rPr>
        <w:t>八</w:t>
      </w:r>
      <w:r>
        <w:t>、其他相关要求</w:t>
      </w:r>
      <w:bookmarkEnd w:id="124"/>
      <w:bookmarkEnd w:id="125"/>
      <w:bookmarkEnd w:id="126"/>
      <w:bookmarkEnd w:id="127"/>
      <w:bookmarkEnd w:id="128"/>
      <w:r>
        <w:t xml:space="preserve"> </w:t>
      </w:r>
    </w:p>
    <w:p>
      <w:pPr>
        <w:ind w:firstLine="480"/>
        <w:rPr>
          <w:rFonts w:ascii="宋体" w:hAnsi="宋体" w:cs="宋体"/>
        </w:rPr>
      </w:pPr>
      <w:r>
        <w:rPr>
          <w:rFonts w:hint="eastAsia" w:ascii="宋体" w:hAnsi="宋体" w:cs="宋体"/>
        </w:rPr>
        <w:t xml:space="preserve"> 8.1 技术配合</w:t>
      </w:r>
    </w:p>
    <w:p>
      <w:pPr>
        <w:ind w:firstLine="480"/>
        <w:rPr>
          <w:rFonts w:ascii="宋体" w:hAnsi="宋体" w:cs="宋体"/>
        </w:rPr>
      </w:pPr>
      <w:r>
        <w:rPr>
          <w:rFonts w:hint="eastAsia" w:ascii="宋体" w:hAnsi="宋体" w:cs="宋体"/>
        </w:rPr>
        <w:t>合同签订后，中标方应指定负责本项目的项目联系人，负责中标方在项目全过程的各项工作。</w:t>
      </w:r>
    </w:p>
    <w:p>
      <w:pPr>
        <w:ind w:firstLine="480"/>
        <w:rPr>
          <w:rFonts w:ascii="宋体" w:hAnsi="宋体" w:cs="宋体"/>
        </w:rPr>
      </w:pPr>
      <w:r>
        <w:rPr>
          <w:rFonts w:hint="eastAsia" w:ascii="宋体" w:hAnsi="宋体" w:cs="宋体"/>
        </w:rPr>
        <w:t>8.2 培训</w:t>
      </w:r>
    </w:p>
    <w:p>
      <w:pPr>
        <w:ind w:firstLine="480"/>
        <w:rPr>
          <w:rFonts w:ascii="宋体" w:hAnsi="宋体" w:cs="宋体"/>
        </w:rPr>
      </w:pPr>
      <w:r>
        <w:rPr>
          <w:rFonts w:hint="eastAsia" w:ascii="宋体" w:hAnsi="宋体" w:cs="宋体"/>
        </w:rPr>
        <w:t>8.2.1中标方应负责对招标方技术人员进行</w:t>
      </w:r>
      <w:r>
        <w:rPr>
          <w:rFonts w:hint="eastAsia" w:ascii="Times New Roman" w:hAnsi="Times New Roman" w:cs="Times New Roman"/>
          <w:smallCaps/>
          <w:u w:val="single"/>
        </w:rPr>
        <w:t>低压裸露导线绝缘安全保护套</w:t>
      </w:r>
      <w:r>
        <w:rPr>
          <w:rFonts w:hint="eastAsia" w:ascii="宋体" w:hAnsi="宋体" w:cs="宋体"/>
        </w:rPr>
        <w:t>的技术培训，使他们掌握或熟悉原理、使用方式、方法等。</w:t>
      </w:r>
    </w:p>
    <w:p>
      <w:pPr>
        <w:ind w:firstLine="480"/>
        <w:rPr>
          <w:rFonts w:ascii="宋体" w:hAnsi="宋体" w:cs="宋体"/>
        </w:rPr>
      </w:pPr>
      <w:r>
        <w:rPr>
          <w:rFonts w:hint="eastAsia" w:ascii="宋体" w:hAnsi="宋体" w:cs="宋体"/>
        </w:rPr>
        <w:t>8.2.2培训内容包括中标方提供的</w:t>
      </w:r>
      <w:r>
        <w:rPr>
          <w:rFonts w:hint="eastAsia" w:ascii="Times New Roman" w:hAnsi="Times New Roman" w:cs="Times New Roman"/>
          <w:smallCaps/>
          <w:u w:val="single"/>
        </w:rPr>
        <w:t>产品功能、性能及操作步骤</w:t>
      </w:r>
      <w:r>
        <w:rPr>
          <w:rFonts w:hint="eastAsia" w:ascii="宋体" w:hAnsi="宋体" w:cs="宋体"/>
        </w:rPr>
        <w:t>等。</w:t>
      </w:r>
    </w:p>
    <w:p>
      <w:pPr>
        <w:ind w:firstLine="480"/>
        <w:rPr>
          <w:rFonts w:ascii="宋体" w:hAnsi="宋体" w:cs="宋体"/>
        </w:rPr>
      </w:pPr>
      <w:r>
        <w:rPr>
          <w:rFonts w:hint="eastAsia" w:ascii="宋体" w:hAnsi="宋体" w:cs="宋体"/>
        </w:rPr>
        <w:t>8.2.3中标方应提出培训的建议日期、地点、培训时间表和课程表，经招标方同意后，开展培训工作。</w:t>
      </w:r>
    </w:p>
    <w:p>
      <w:pPr>
        <w:ind w:firstLine="480"/>
        <w:rPr>
          <w:rFonts w:ascii="宋体" w:hAnsi="宋体" w:cs="宋体"/>
        </w:rPr>
      </w:pPr>
      <w:r>
        <w:rPr>
          <w:rFonts w:hint="eastAsia" w:ascii="宋体" w:hAnsi="宋体" w:cs="宋体"/>
        </w:rPr>
        <w:t>8.2.4培训时间和参加人数</w:t>
      </w:r>
    </w:p>
    <w:p>
      <w:pPr>
        <w:ind w:firstLine="480"/>
        <w:rPr>
          <w:rFonts w:ascii="宋体" w:hAnsi="宋体" w:cs="宋体"/>
        </w:rPr>
      </w:pPr>
      <w:r>
        <w:rPr>
          <w:rFonts w:hint="eastAsia" w:ascii="宋体" w:hAnsi="宋体" w:cs="宋体"/>
        </w:rPr>
        <w:t>培训对象：招标方指定人员；</w:t>
      </w:r>
    </w:p>
    <w:p>
      <w:pPr>
        <w:ind w:firstLine="480"/>
        <w:rPr>
          <w:rFonts w:ascii="宋体" w:hAnsi="宋体" w:cs="宋体"/>
        </w:rPr>
      </w:pPr>
      <w:r>
        <w:rPr>
          <w:rFonts w:hint="eastAsia" w:ascii="宋体" w:hAnsi="宋体" w:cs="宋体"/>
        </w:rPr>
        <w:t>培训方式：授课培训、现场培训；</w:t>
      </w:r>
    </w:p>
    <w:p>
      <w:pPr>
        <w:ind w:firstLine="480"/>
        <w:rPr>
          <w:rFonts w:ascii="宋体" w:hAnsi="宋体" w:cs="宋体"/>
        </w:rPr>
      </w:pPr>
      <w:r>
        <w:rPr>
          <w:rFonts w:hint="eastAsia" w:ascii="宋体" w:hAnsi="宋体" w:cs="宋体"/>
        </w:rPr>
        <w:t>培训地点：招标方指定地点或者项目所在地市；</w:t>
      </w:r>
    </w:p>
    <w:p>
      <w:pPr>
        <w:ind w:firstLine="480"/>
        <w:rPr>
          <w:rFonts w:ascii="宋体" w:hAnsi="宋体" w:cs="宋体"/>
        </w:rPr>
      </w:pPr>
      <w:r>
        <w:rPr>
          <w:rFonts w:hint="eastAsia" w:ascii="宋体" w:hAnsi="宋体" w:cs="宋体"/>
        </w:rPr>
        <w:t>培训时间：培训时间根据招标方的时间而定；</w:t>
      </w:r>
    </w:p>
    <w:p>
      <w:pPr>
        <w:ind w:firstLine="0" w:firstLineChars="0"/>
        <w:rPr>
          <w:rFonts w:ascii="宋体" w:hAnsi="宋体" w:cs="宋体"/>
          <w:u w:val="single"/>
        </w:rPr>
      </w:pPr>
      <w:r>
        <w:rPr>
          <w:rFonts w:hint="eastAsia" w:ascii="宋体" w:hAnsi="宋体" w:cs="宋体"/>
        </w:rPr>
        <w:t>培训时长：</w:t>
      </w:r>
      <w:r>
        <w:rPr>
          <w:rFonts w:hint="eastAsia" w:ascii="宋体" w:hAnsi="宋体" w:cs="宋体"/>
          <w:u w:val="single"/>
        </w:rPr>
        <w:t>对招标方的技术人员开展不少于</w:t>
      </w:r>
      <w:r>
        <w:rPr>
          <w:rFonts w:hint="eastAsia" w:ascii="宋体" w:hAnsi="宋体" w:cs="宋体"/>
          <w:smallCaps/>
          <w:u w:val="single"/>
        </w:rPr>
        <w:t>1次</w:t>
      </w:r>
      <w:r>
        <w:rPr>
          <w:rFonts w:hint="eastAsia" w:ascii="宋体" w:hAnsi="宋体" w:cs="宋体"/>
          <w:u w:val="single"/>
        </w:rPr>
        <w:t>的研发、测试、使用及维护理论等技术培训，每次培训对象不少于</w:t>
      </w:r>
      <w:r>
        <w:rPr>
          <w:rFonts w:hint="eastAsia" w:ascii="宋体" w:hAnsi="宋体" w:cs="宋体"/>
          <w:smallCaps/>
          <w:u w:val="single"/>
        </w:rPr>
        <w:t>5人</w:t>
      </w:r>
      <w:r>
        <w:rPr>
          <w:rFonts w:hint="eastAsia" w:ascii="宋体" w:hAnsi="宋体" w:cs="宋体"/>
          <w:u w:val="single"/>
        </w:rPr>
        <w:t>，每次时间不少于</w:t>
      </w:r>
      <w:r>
        <w:rPr>
          <w:rFonts w:hint="eastAsia" w:ascii="宋体" w:hAnsi="宋体" w:cs="宋体"/>
          <w:smallCaps/>
          <w:u w:val="single"/>
        </w:rPr>
        <w:t>0.5</w:t>
      </w:r>
      <w:r>
        <w:rPr>
          <w:rFonts w:hint="eastAsia" w:ascii="宋体" w:hAnsi="宋体" w:cs="宋体"/>
          <w:u w:val="single"/>
        </w:rPr>
        <w:t>天；并提供相应的培训资料。实操授课以招标方实际需求而定。</w:t>
      </w:r>
    </w:p>
    <w:p>
      <w:pPr>
        <w:pStyle w:val="30"/>
        <w:ind w:firstLine="480"/>
      </w:pPr>
      <w:r>
        <w:rPr>
          <w:rFonts w:hint="eastAsia"/>
        </w:rPr>
        <w:t>★</w:t>
      </w:r>
      <w:r>
        <w:rPr>
          <w:rFonts w:hint="eastAsia" w:ascii="宋体" w:hAnsi="宋体" w:cs="宋体"/>
        </w:rPr>
        <w:t>8.</w:t>
      </w:r>
      <w:r>
        <w:rPr>
          <w:rFonts w:hint="eastAsia" w:ascii="宋体" w:hAnsi="宋体" w:cs="宋体"/>
          <w:lang w:val="en-US" w:eastAsia="zh-CN"/>
        </w:rPr>
        <w:t>3</w:t>
      </w:r>
      <w:r>
        <w:rPr>
          <w:rFonts w:hint="eastAsia"/>
        </w:rPr>
        <w:t xml:space="preserve"> 知识产权约定</w:t>
      </w:r>
    </w:p>
    <w:p>
      <w:pPr>
        <w:pStyle w:val="30"/>
        <w:ind w:firstLine="480"/>
      </w:pPr>
      <w:r>
        <w:rPr>
          <w:rFonts w:hint="eastAsia"/>
        </w:rPr>
        <w:t>在项目服务期结束完成以后，中标方应向招标方提供该项目所有技术成果、项目建设文档、使用及运维说明等。项目实施过程中形成的专利、软件著作权及论文招标方独有。</w:t>
      </w:r>
    </w:p>
    <w:p>
      <w:pPr>
        <w:pStyle w:val="30"/>
        <w:ind w:firstLine="480"/>
        <w:rPr>
          <w:rFonts w:hint="eastAsia"/>
        </w:rPr>
      </w:pPr>
      <w:r>
        <w:rPr>
          <w:rFonts w:hint="eastAsia"/>
        </w:rPr>
        <w:t>中标方应保证其提供的产品、工具、模型、方法、文档、知识资产及服务没有任何权利瑕疵，没有侵犯任何第三方权利。招标方在使用该产品或服务的任何一部分时，免受第三方提出的任何侵犯其知识产权的权利主张。如果任何人对招标方使用该产品及服务主张权利，由中标方负责处理一切纠纷及相关事宜，由此给招标人造成的损失，由中标人承担。</w:t>
      </w:r>
    </w:p>
    <w:p>
      <w:pPr>
        <w:rPr>
          <w:rFonts w:hint="eastAsia"/>
        </w:rPr>
      </w:pPr>
      <w:r>
        <w:rPr>
          <w:rFonts w:hint="eastAsia"/>
        </w:rPr>
        <w:t>8.4招标方有权根据项目需要，要求中标方自行备齐集成所需原材料、零部件、辅材等物料，运送至招标方指定加工场地，按照招标方提供的技术标准及现场作业要求实地完成产品加工、组装集成工作，最终交付经招标方检验合格的成品。</w:t>
      </w:r>
    </w:p>
    <w:p>
      <w:pPr>
        <w:rPr>
          <w:rFonts w:hint="eastAsia"/>
        </w:rPr>
      </w:pPr>
      <w:r>
        <w:rPr>
          <w:rFonts w:hint="eastAsia"/>
        </w:rPr>
        <w:t>8.5产品安装、调试工作，中标方须严格遵照招标方的要求与标准对外实施，项目对外对接、对外沟通事宜由招标方统筹协调，中标方负责落实。</w:t>
      </w:r>
    </w:p>
    <w:p>
      <w:pPr>
        <w:rPr>
          <w:rFonts w:hint="eastAsia"/>
        </w:rPr>
      </w:pPr>
      <w:r>
        <w:rPr>
          <w:rFonts w:hint="eastAsia"/>
        </w:rPr>
        <w:t>8.6中标方需与招标方紧密合作，共同策划并执行市场推广活动。</w:t>
      </w:r>
    </w:p>
    <w:p>
      <w:pPr>
        <w:rPr>
          <w:rFonts w:hint="eastAsia"/>
        </w:rPr>
      </w:pPr>
      <w:r>
        <w:rPr>
          <w:rFonts w:hint="eastAsia"/>
        </w:rPr>
        <w:t>8.7若最终买方自身原因申请退货，且所退产品未安装、未使用、包装配件完整、不影响二次销售的，招标方有权解除对应订单，中标方需予以配合，退货产生的所有相关费用由双方协商解决。</w:t>
      </w:r>
    </w:p>
    <w:p>
      <w:pPr>
        <w:rPr>
          <w:rFonts w:hint="eastAsia"/>
        </w:rPr>
      </w:pPr>
      <w:r>
        <w:rPr>
          <w:rFonts w:hint="eastAsia"/>
        </w:rPr>
        <w:t xml:space="preserve">8.8对于因国家、行业或企业有关标准发生调整，原有规格型号已不能满足安全、生产要求且供应商无法供应对应品类新式型号的，经协商可提前终止合同。  </w:t>
      </w:r>
    </w:p>
    <w:p>
      <w:r>
        <w:rPr>
          <w:rFonts w:hint="eastAsia"/>
        </w:rPr>
        <w:t>8.9合同签订后30天内，中标方免费给招标方提供一个产品推广的视频（视频内容应包含：产品主要功能、参数、创新点、应用场合、给客户解决问题等信息）。</w:t>
      </w:r>
    </w:p>
    <w:p>
      <w:pPr>
        <w:pStyle w:val="4"/>
        <w:spacing w:before="312" w:beforeLines="100"/>
      </w:pPr>
      <w:bookmarkStart w:id="129" w:name="_Toc27841"/>
      <w:bookmarkStart w:id="130" w:name="_Toc93490580"/>
      <w:bookmarkStart w:id="131" w:name="_Toc93490801"/>
      <w:bookmarkStart w:id="132" w:name="_Toc22855"/>
      <w:bookmarkStart w:id="133" w:name="_Toc23923"/>
      <w:bookmarkStart w:id="134" w:name="_Toc351129176"/>
      <w:bookmarkStart w:id="135" w:name="_Toc23081"/>
      <w:bookmarkStart w:id="136" w:name="_Toc506186791"/>
      <w:bookmarkStart w:id="137" w:name="_Toc93490630"/>
      <w:bookmarkStart w:id="138" w:name="_Toc167003829"/>
      <w:bookmarkStart w:id="139" w:name="_Toc137397828"/>
      <w:bookmarkStart w:id="140" w:name="_Toc5666"/>
      <w:r>
        <w:t>附件</w:t>
      </w:r>
      <w:bookmarkEnd w:id="129"/>
      <w:bookmarkEnd w:id="130"/>
      <w:bookmarkEnd w:id="131"/>
      <w:bookmarkEnd w:id="132"/>
      <w:bookmarkEnd w:id="133"/>
      <w:bookmarkEnd w:id="134"/>
      <w:bookmarkEnd w:id="135"/>
      <w:bookmarkEnd w:id="136"/>
      <w:bookmarkEnd w:id="137"/>
      <w:bookmarkEnd w:id="138"/>
      <w:bookmarkEnd w:id="139"/>
      <w:bookmarkEnd w:id="140"/>
    </w:p>
    <w:p>
      <w:pPr>
        <w:pStyle w:val="5"/>
        <w:spacing w:before="200" w:after="100"/>
      </w:pPr>
      <w:bookmarkStart w:id="141" w:name="_Toc7294"/>
      <w:bookmarkStart w:id="142" w:name="_Toc28137"/>
      <w:bookmarkStart w:id="143" w:name="_Toc27072"/>
      <w:bookmarkStart w:id="144" w:name="_Toc13248"/>
      <w:bookmarkStart w:id="145" w:name="_Toc5689"/>
      <w:r>
        <w:rPr>
          <w:rFonts w:hint="eastAsia"/>
        </w:rPr>
        <w:t>1、差异表</w:t>
      </w:r>
      <w:bookmarkEnd w:id="141"/>
      <w:bookmarkEnd w:id="142"/>
      <w:bookmarkEnd w:id="143"/>
      <w:bookmarkEnd w:id="144"/>
      <w:bookmarkEnd w:id="145"/>
    </w:p>
    <w:tbl>
      <w:tblPr>
        <w:tblStyle w:val="3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1020"/>
        <w:gridCol w:w="2835"/>
        <w:gridCol w:w="1605"/>
        <w:gridCol w:w="26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09" w:type="dxa"/>
            <w:vMerge w:val="restart"/>
            <w:tcBorders>
              <w:top w:val="single" w:color="auto" w:sz="4" w:space="0"/>
              <w:left w:val="single" w:color="auto" w:sz="4" w:space="0"/>
              <w:bottom w:val="single" w:color="auto" w:sz="4" w:space="0"/>
              <w:right w:val="single" w:color="auto" w:sz="4" w:space="0"/>
            </w:tcBorders>
            <w:vAlign w:val="center"/>
          </w:tcPr>
          <w:p>
            <w:pPr>
              <w:ind w:firstLine="0" w:firstLineChars="0"/>
              <w:rPr>
                <w:rFonts w:ascii="Times New Roman" w:hAnsi="Times New Roman" w:cs="Times New Roman"/>
              </w:rPr>
            </w:pPr>
            <w:r>
              <w:rPr>
                <w:rFonts w:ascii="Times New Roman" w:hAnsi="Times New Roman" w:cs="Times New Roman"/>
              </w:rPr>
              <w:t>序号</w:t>
            </w:r>
          </w:p>
        </w:tc>
        <w:tc>
          <w:tcPr>
            <w:tcW w:w="3855" w:type="dxa"/>
            <w:gridSpan w:val="2"/>
            <w:tcBorders>
              <w:top w:val="single" w:color="auto" w:sz="4" w:space="0"/>
              <w:left w:val="single" w:color="auto" w:sz="4" w:space="0"/>
              <w:bottom w:val="single" w:color="auto" w:sz="4" w:space="0"/>
              <w:right w:val="single" w:color="auto" w:sz="4" w:space="0"/>
            </w:tcBorders>
            <w:vAlign w:val="center"/>
          </w:tcPr>
          <w:p>
            <w:pPr>
              <w:ind w:firstLine="480"/>
              <w:jc w:val="center"/>
              <w:rPr>
                <w:rFonts w:ascii="Times New Roman" w:hAnsi="Times New Roman" w:cs="Times New Roman"/>
              </w:rPr>
            </w:pPr>
            <w:r>
              <w:rPr>
                <w:rFonts w:ascii="Times New Roman" w:hAnsi="Times New Roman" w:cs="Times New Roman"/>
              </w:rPr>
              <w:t>招标文件</w:t>
            </w:r>
          </w:p>
        </w:tc>
        <w:tc>
          <w:tcPr>
            <w:tcW w:w="4299" w:type="dxa"/>
            <w:gridSpan w:val="2"/>
            <w:tcBorders>
              <w:top w:val="single" w:color="auto" w:sz="4" w:space="0"/>
              <w:left w:val="single" w:color="auto" w:sz="4" w:space="0"/>
              <w:bottom w:val="single" w:color="auto" w:sz="4" w:space="0"/>
              <w:right w:val="single" w:color="auto" w:sz="4" w:space="0"/>
            </w:tcBorders>
            <w:vAlign w:val="center"/>
          </w:tcPr>
          <w:p>
            <w:pPr>
              <w:ind w:firstLine="480"/>
              <w:jc w:val="center"/>
              <w:rPr>
                <w:rFonts w:ascii="Times New Roman" w:hAnsi="Times New Roman" w:cs="Times New Roman"/>
              </w:rPr>
            </w:pPr>
            <w:r>
              <w:rPr>
                <w:rFonts w:ascii="Times New Roman" w:hAnsi="Times New Roman" w:cs="Times New Roman"/>
              </w:rPr>
              <w:t>投标文件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jc w:val="center"/>
        </w:trPr>
        <w:tc>
          <w:tcPr>
            <w:tcW w:w="709" w:type="dxa"/>
            <w:vMerge w:val="continue"/>
            <w:tcBorders>
              <w:top w:val="single" w:color="auto" w:sz="4" w:space="0"/>
              <w:left w:val="single" w:color="auto" w:sz="4" w:space="0"/>
              <w:bottom w:val="single" w:color="auto" w:sz="4" w:space="0"/>
              <w:right w:val="single" w:color="auto" w:sz="4" w:space="0"/>
            </w:tcBorders>
            <w:vAlign w:val="center"/>
          </w:tcPr>
          <w:p>
            <w:pPr>
              <w:ind w:firstLine="480"/>
              <w:rPr>
                <w:rFonts w:ascii="Times New Roman" w:hAnsi="Times New Roman" w:cs="Times New Roman"/>
              </w:rPr>
            </w:pPr>
          </w:p>
        </w:tc>
        <w:tc>
          <w:tcPr>
            <w:tcW w:w="1020" w:type="dxa"/>
            <w:tcBorders>
              <w:top w:val="single" w:color="auto" w:sz="4" w:space="0"/>
              <w:left w:val="single" w:color="auto" w:sz="4" w:space="0"/>
              <w:bottom w:val="single" w:color="auto" w:sz="4" w:space="0"/>
              <w:right w:val="single" w:color="auto" w:sz="4" w:space="0"/>
            </w:tcBorders>
            <w:vAlign w:val="center"/>
          </w:tcPr>
          <w:p>
            <w:pPr>
              <w:ind w:firstLine="0" w:firstLineChars="0"/>
              <w:rPr>
                <w:rFonts w:ascii="Times New Roman" w:hAnsi="Times New Roman" w:cs="Times New Roman"/>
              </w:rPr>
            </w:pPr>
            <w:r>
              <w:rPr>
                <w:rFonts w:ascii="Times New Roman" w:hAnsi="Times New Roman" w:cs="Times New Roman"/>
              </w:rPr>
              <w:t>条目</w:t>
            </w:r>
          </w:p>
        </w:tc>
        <w:tc>
          <w:tcPr>
            <w:tcW w:w="2835" w:type="dxa"/>
            <w:tcBorders>
              <w:top w:val="single" w:color="auto" w:sz="4" w:space="0"/>
              <w:left w:val="single" w:color="auto" w:sz="4" w:space="0"/>
              <w:bottom w:val="single" w:color="auto" w:sz="4" w:space="0"/>
              <w:right w:val="single" w:color="auto" w:sz="4" w:space="0"/>
            </w:tcBorders>
            <w:vAlign w:val="center"/>
          </w:tcPr>
          <w:p>
            <w:pPr>
              <w:ind w:firstLine="480"/>
              <w:rPr>
                <w:rFonts w:ascii="Times New Roman" w:hAnsi="Times New Roman" w:cs="Times New Roman"/>
              </w:rPr>
            </w:pPr>
            <w:r>
              <w:rPr>
                <w:rFonts w:ascii="Times New Roman" w:hAnsi="Times New Roman" w:cs="Times New Roman"/>
              </w:rPr>
              <w:t>简要内容</w:t>
            </w:r>
          </w:p>
        </w:tc>
        <w:tc>
          <w:tcPr>
            <w:tcW w:w="1605" w:type="dxa"/>
            <w:tcBorders>
              <w:top w:val="single" w:color="auto" w:sz="4" w:space="0"/>
              <w:left w:val="single" w:color="auto" w:sz="4" w:space="0"/>
              <w:bottom w:val="single" w:color="auto" w:sz="4" w:space="0"/>
              <w:right w:val="single" w:color="auto" w:sz="4" w:space="0"/>
            </w:tcBorders>
            <w:vAlign w:val="center"/>
          </w:tcPr>
          <w:p>
            <w:pPr>
              <w:ind w:firstLine="480"/>
              <w:rPr>
                <w:rFonts w:ascii="Times New Roman" w:hAnsi="Times New Roman" w:cs="Times New Roman"/>
              </w:rPr>
            </w:pPr>
            <w:r>
              <w:rPr>
                <w:rFonts w:ascii="Times New Roman" w:hAnsi="Times New Roman" w:cs="Times New Roman"/>
              </w:rPr>
              <w:t>条目</w:t>
            </w:r>
          </w:p>
        </w:tc>
        <w:tc>
          <w:tcPr>
            <w:tcW w:w="2694" w:type="dxa"/>
            <w:tcBorders>
              <w:top w:val="single" w:color="auto" w:sz="4" w:space="0"/>
              <w:left w:val="single" w:color="auto" w:sz="4" w:space="0"/>
              <w:bottom w:val="single" w:color="auto" w:sz="4" w:space="0"/>
              <w:right w:val="single" w:color="auto" w:sz="4" w:space="0"/>
            </w:tcBorders>
            <w:vAlign w:val="center"/>
          </w:tcPr>
          <w:p>
            <w:pPr>
              <w:ind w:firstLine="480"/>
              <w:rPr>
                <w:rFonts w:ascii="Times New Roman" w:hAnsi="Times New Roman" w:cs="Times New Roman"/>
              </w:rPr>
            </w:pPr>
            <w:r>
              <w:rPr>
                <w:rFonts w:ascii="Times New Roman" w:hAnsi="Times New Roman" w:cs="Times New Roman"/>
              </w:rPr>
              <w:t>简要内容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tcBorders>
              <w:top w:val="single" w:color="auto" w:sz="4" w:space="0"/>
              <w:left w:val="single" w:color="auto" w:sz="4" w:space="0"/>
              <w:bottom w:val="single" w:color="auto" w:sz="4" w:space="0"/>
              <w:right w:val="single" w:color="auto" w:sz="4" w:space="0"/>
            </w:tcBorders>
          </w:tcPr>
          <w:p>
            <w:pPr>
              <w:ind w:firstLine="480"/>
              <w:rPr>
                <w:rFonts w:ascii="Times New Roman" w:hAnsi="Times New Roman" w:cs="Times New Roman"/>
              </w:rPr>
            </w:pPr>
          </w:p>
        </w:tc>
        <w:tc>
          <w:tcPr>
            <w:tcW w:w="1020" w:type="dxa"/>
            <w:tcBorders>
              <w:top w:val="single" w:color="auto" w:sz="4" w:space="0"/>
              <w:left w:val="single" w:color="auto" w:sz="4" w:space="0"/>
              <w:bottom w:val="single" w:color="auto" w:sz="4" w:space="0"/>
              <w:right w:val="single" w:color="auto" w:sz="4" w:space="0"/>
            </w:tcBorders>
          </w:tcPr>
          <w:p>
            <w:pPr>
              <w:ind w:firstLine="480"/>
              <w:rPr>
                <w:rFonts w:ascii="Times New Roman" w:hAnsi="Times New Roman" w:cs="Times New Roman"/>
              </w:rPr>
            </w:pPr>
          </w:p>
        </w:tc>
        <w:tc>
          <w:tcPr>
            <w:tcW w:w="2835" w:type="dxa"/>
            <w:tcBorders>
              <w:top w:val="single" w:color="auto" w:sz="4" w:space="0"/>
              <w:left w:val="single" w:color="auto" w:sz="4" w:space="0"/>
              <w:bottom w:val="single" w:color="auto" w:sz="4" w:space="0"/>
              <w:right w:val="single" w:color="auto" w:sz="4" w:space="0"/>
            </w:tcBorders>
          </w:tcPr>
          <w:p>
            <w:pPr>
              <w:ind w:firstLine="480"/>
              <w:rPr>
                <w:rFonts w:ascii="Times New Roman" w:hAnsi="Times New Roman" w:cs="Times New Roman"/>
              </w:rPr>
            </w:pPr>
          </w:p>
        </w:tc>
        <w:tc>
          <w:tcPr>
            <w:tcW w:w="1605" w:type="dxa"/>
            <w:tcBorders>
              <w:top w:val="single" w:color="auto" w:sz="4" w:space="0"/>
              <w:left w:val="single" w:color="auto" w:sz="4" w:space="0"/>
              <w:bottom w:val="single" w:color="auto" w:sz="4" w:space="0"/>
              <w:right w:val="single" w:color="auto" w:sz="4" w:space="0"/>
            </w:tcBorders>
          </w:tcPr>
          <w:p>
            <w:pPr>
              <w:ind w:firstLine="480"/>
              <w:rPr>
                <w:rFonts w:ascii="Times New Roman" w:hAnsi="Times New Roman" w:cs="Times New Roman"/>
              </w:rPr>
            </w:pPr>
          </w:p>
        </w:tc>
        <w:tc>
          <w:tcPr>
            <w:tcW w:w="2694" w:type="dxa"/>
            <w:tcBorders>
              <w:top w:val="single" w:color="auto" w:sz="4" w:space="0"/>
              <w:left w:val="single" w:color="auto" w:sz="4" w:space="0"/>
              <w:bottom w:val="single" w:color="auto" w:sz="4" w:space="0"/>
              <w:right w:val="single" w:color="auto" w:sz="4" w:space="0"/>
            </w:tcBorders>
          </w:tcPr>
          <w:p>
            <w:pPr>
              <w:ind w:firstLine="480"/>
              <w:rPr>
                <w:rFonts w:ascii="Times New Roman" w:hAnsi="Times New Roman" w:cs="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tcBorders>
              <w:top w:val="single" w:color="auto" w:sz="4" w:space="0"/>
              <w:left w:val="single" w:color="auto" w:sz="4" w:space="0"/>
              <w:bottom w:val="single" w:color="auto" w:sz="4" w:space="0"/>
              <w:right w:val="single" w:color="auto" w:sz="4" w:space="0"/>
            </w:tcBorders>
          </w:tcPr>
          <w:p>
            <w:pPr>
              <w:ind w:firstLine="480"/>
              <w:rPr>
                <w:rFonts w:ascii="Times New Roman" w:hAnsi="Times New Roman" w:cs="Times New Roman"/>
              </w:rPr>
            </w:pPr>
          </w:p>
        </w:tc>
        <w:tc>
          <w:tcPr>
            <w:tcW w:w="1020" w:type="dxa"/>
            <w:tcBorders>
              <w:top w:val="single" w:color="auto" w:sz="4" w:space="0"/>
              <w:left w:val="single" w:color="auto" w:sz="4" w:space="0"/>
              <w:bottom w:val="single" w:color="auto" w:sz="4" w:space="0"/>
              <w:right w:val="single" w:color="auto" w:sz="4" w:space="0"/>
            </w:tcBorders>
          </w:tcPr>
          <w:p>
            <w:pPr>
              <w:ind w:firstLine="480"/>
              <w:rPr>
                <w:rFonts w:ascii="Times New Roman" w:hAnsi="Times New Roman" w:cs="Times New Roman"/>
              </w:rPr>
            </w:pPr>
          </w:p>
        </w:tc>
        <w:tc>
          <w:tcPr>
            <w:tcW w:w="2835" w:type="dxa"/>
            <w:tcBorders>
              <w:top w:val="single" w:color="auto" w:sz="4" w:space="0"/>
              <w:left w:val="single" w:color="auto" w:sz="4" w:space="0"/>
              <w:bottom w:val="single" w:color="auto" w:sz="4" w:space="0"/>
              <w:right w:val="single" w:color="auto" w:sz="4" w:space="0"/>
            </w:tcBorders>
          </w:tcPr>
          <w:p>
            <w:pPr>
              <w:ind w:firstLine="480"/>
              <w:rPr>
                <w:rFonts w:ascii="Times New Roman" w:hAnsi="Times New Roman" w:cs="Times New Roman"/>
              </w:rPr>
            </w:pPr>
          </w:p>
        </w:tc>
        <w:tc>
          <w:tcPr>
            <w:tcW w:w="1605" w:type="dxa"/>
            <w:tcBorders>
              <w:top w:val="single" w:color="auto" w:sz="4" w:space="0"/>
              <w:left w:val="single" w:color="auto" w:sz="4" w:space="0"/>
              <w:bottom w:val="single" w:color="auto" w:sz="4" w:space="0"/>
              <w:right w:val="single" w:color="auto" w:sz="4" w:space="0"/>
            </w:tcBorders>
          </w:tcPr>
          <w:p>
            <w:pPr>
              <w:ind w:firstLine="480"/>
              <w:rPr>
                <w:rFonts w:ascii="Times New Roman" w:hAnsi="Times New Roman" w:cs="Times New Roman"/>
              </w:rPr>
            </w:pPr>
          </w:p>
        </w:tc>
        <w:tc>
          <w:tcPr>
            <w:tcW w:w="2694" w:type="dxa"/>
            <w:tcBorders>
              <w:top w:val="single" w:color="auto" w:sz="4" w:space="0"/>
              <w:left w:val="single" w:color="auto" w:sz="4" w:space="0"/>
              <w:bottom w:val="single" w:color="auto" w:sz="4" w:space="0"/>
              <w:right w:val="single" w:color="auto" w:sz="4" w:space="0"/>
            </w:tcBorders>
          </w:tcPr>
          <w:p>
            <w:pPr>
              <w:ind w:firstLine="480"/>
              <w:rPr>
                <w:rFonts w:ascii="Times New Roman" w:hAnsi="Times New Roman" w:cs="Times New Roman"/>
              </w:rPr>
            </w:pPr>
          </w:p>
        </w:tc>
      </w:tr>
    </w:tbl>
    <w:p>
      <w:pPr>
        <w:pStyle w:val="5"/>
        <w:spacing w:before="200" w:after="100"/>
        <w:rPr>
          <w:rFonts w:ascii="Times New Roman" w:hAnsi="Times New Roman"/>
        </w:rPr>
      </w:pPr>
      <w:bookmarkStart w:id="146" w:name="_Toc1282"/>
      <w:bookmarkStart w:id="147" w:name="_Toc29028"/>
      <w:bookmarkStart w:id="148" w:name="_Toc2618"/>
      <w:bookmarkStart w:id="149" w:name="_Toc516"/>
      <w:bookmarkStart w:id="150" w:name="_Toc7006"/>
      <w:r>
        <w:rPr>
          <w:rFonts w:hint="eastAsia"/>
        </w:rPr>
        <w:t>2、投标方需要说明的其它问题</w:t>
      </w:r>
      <w:bookmarkEnd w:id="146"/>
      <w:bookmarkEnd w:id="147"/>
      <w:bookmarkEnd w:id="148"/>
      <w:bookmarkEnd w:id="149"/>
      <w:bookmarkEnd w:id="150"/>
    </w:p>
    <w:p>
      <w:pPr>
        <w:ind w:firstLine="0" w:firstLineChars="0"/>
        <w:rPr>
          <w:rFonts w:ascii="Times New Roman" w:hAnsi="Times New Roman" w:cs="Times New Roman"/>
          <w:szCs w:val="24"/>
        </w:rPr>
      </w:pPr>
    </w:p>
    <w:sectPr>
      <w:headerReference r:id="rId11" w:type="default"/>
      <w:footerReference r:id="rId12" w:type="default"/>
      <w:pgSz w:w="11906" w:h="16838"/>
      <w:pgMar w:top="1440" w:right="1800" w:bottom="1440" w:left="1800" w:header="851" w:footer="992" w:gutter="0"/>
      <w:pgNumType w:start="1"/>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Calibri Light">
    <w:panose1 w:val="020F0302020204030204"/>
    <w:charset w:val="00"/>
    <w:family w:val="swiss"/>
    <w:pitch w:val="default"/>
    <w:sig w:usb0="E0002A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panose1 w:val="02010609030101010101"/>
    <w:charset w:val="86"/>
    <w:family w:val="modern"/>
    <w:pitch w:val="default"/>
    <w:sig w:usb0="00000001" w:usb1="080E0000" w:usb2="00000000" w:usb3="00000000" w:csb0="00040000" w:csb1="00000000"/>
  </w:font>
  <w:font w:name="EU-F1">
    <w:altName w:val="宋体"/>
    <w:panose1 w:val="00000000000000000000"/>
    <w:charset w:val="86"/>
    <w:family w:val="script"/>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Segoe UI">
    <w:panose1 w:val="020B0502040204020203"/>
    <w:charset w:val="00"/>
    <w:family w:val="swiss"/>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ind w:firstLine="0" w:firstLineChars="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ind w:firstLine="0" w:firstLineChars="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408305" cy="219710"/>
              <wp:effectExtent l="0" t="0" r="0" b="0"/>
              <wp:wrapNone/>
              <wp:docPr id="9" name="文本框 1"/>
              <wp:cNvGraphicFramePr/>
              <a:graphic xmlns:a="http://schemas.openxmlformats.org/drawingml/2006/main">
                <a:graphicData uri="http://schemas.microsoft.com/office/word/2010/wordprocessingShape">
                  <wps:wsp>
                    <wps:cNvSpPr txBox="1"/>
                    <wps:spPr>
                      <a:xfrm>
                        <a:off x="0" y="0"/>
                        <a:ext cx="408305" cy="219710"/>
                      </a:xfrm>
                      <a:prstGeom prst="rect">
                        <a:avLst/>
                      </a:prstGeom>
                      <a:noFill/>
                      <a:ln>
                        <a:noFill/>
                      </a:ln>
                    </wps:spPr>
                    <wps:txbx>
                      <w:txbxContent>
                        <w:p>
                          <w:pPr>
                            <w:pStyle w:val="21"/>
                            <w:ind w:firstLine="360"/>
                          </w:pPr>
                          <w:r>
                            <w:fldChar w:fldCharType="begin"/>
                          </w:r>
                          <w:r>
                            <w:instrText xml:space="preserve"> PAGE  \* MERGEFORMAT </w:instrText>
                          </w:r>
                          <w:r>
                            <w:fldChar w:fldCharType="separate"/>
                          </w:r>
                          <w:r>
                            <w:t>1</w:t>
                          </w:r>
                          <w:r>
                            <w:fldChar w:fldCharType="end"/>
                          </w:r>
                        </w:p>
                      </w:txbxContent>
                    </wps:txbx>
                    <wps:bodyPr wrap="square" lIns="0" tIns="0" rIns="0" bIns="0" upright="1"/>
                  </wps:wsp>
                </a:graphicData>
              </a:graphic>
            </wp:anchor>
          </w:drawing>
        </mc:Choice>
        <mc:Fallback>
          <w:pict>
            <v:shape id="文本框 1" o:spid="_x0000_s1026" o:spt="202" type="#_x0000_t202" style="position:absolute;left:0pt;margin-top:0pt;height:17.3pt;width:32.15pt;mso-position-horizontal:center;mso-position-horizontal-relative:margin;z-index:251659264;mso-width-relative:page;mso-height-relative:page;" filled="f" stroked="f" coordsize="21600,21600" o:gfxdata="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NVEH7rUAAAAAwEAAA8AAAAAAAAAAQAgAAAAIgAAAGRycy9kb3ducmV2Lnht&#10;bFBLAQIUABQAAAAIAIdO4kC6xMH1xAEAAH8DAAAOAAAAAAAAAAEAIAAAACMBAABkcnMvZTJvRG9j&#10;LnhtbFBLBQYAAAAABgAGAFkBAABZBQAAAAA=&#10;">
              <v:fill on="f" focussize="0,0"/>
              <v:stroke on="f"/>
              <v:imagedata o:title=""/>
              <o:lock v:ext="edit" aspectratio="f"/>
              <v:textbox inset="0mm,0mm,0mm,0mm">
                <w:txbxContent>
                  <w:p>
                    <w:pPr>
                      <w:pStyle w:val="21"/>
                      <w:ind w:firstLine="36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ind w:firstLine="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6"/>
    <w:multiLevelType w:val="multilevel"/>
    <w:tmpl w:val="00000006"/>
    <w:lvl w:ilvl="0" w:tentative="0">
      <w:start w:val="1"/>
      <w:numFmt w:val="decimal"/>
      <w:lvlText w:val="%1"/>
      <w:lvlJc w:val="left"/>
      <w:pPr>
        <w:tabs>
          <w:tab w:val="left" w:pos="432"/>
        </w:tabs>
        <w:ind w:left="432" w:hanging="432"/>
      </w:pPr>
      <w:rPr>
        <w:rFonts w:cs="Times New Roman"/>
      </w:rPr>
    </w:lvl>
    <w:lvl w:ilvl="1" w:tentative="0">
      <w:start w:val="1"/>
      <w:numFmt w:val="decimal"/>
      <w:lvlText w:val="%1.%2"/>
      <w:lvlJc w:val="left"/>
      <w:pPr>
        <w:tabs>
          <w:tab w:val="left" w:pos="1116"/>
        </w:tabs>
        <w:ind w:left="1116" w:hanging="576"/>
      </w:pPr>
      <w:rPr>
        <w:rFonts w:cs="Times New Roman"/>
      </w:rPr>
    </w:lvl>
    <w:lvl w:ilvl="2" w:tentative="0">
      <w:start w:val="1"/>
      <w:numFmt w:val="decimal"/>
      <w:lvlText w:val="%1.%2.%3"/>
      <w:lvlJc w:val="left"/>
      <w:pPr>
        <w:tabs>
          <w:tab w:val="left" w:pos="1200"/>
        </w:tabs>
        <w:ind w:left="1200" w:hanging="720"/>
      </w:pPr>
      <w:rPr>
        <w:rFonts w:cs="Times New Roman"/>
        <w:b w:val="0"/>
      </w:rPr>
    </w:lvl>
    <w:lvl w:ilvl="3" w:tentative="0">
      <w:start w:val="1"/>
      <w:numFmt w:val="decimal"/>
      <w:pStyle w:val="7"/>
      <w:lvlText w:val="%1.%2.%3.%4"/>
      <w:lvlJc w:val="left"/>
      <w:pPr>
        <w:tabs>
          <w:tab w:val="left" w:pos="1006"/>
        </w:tabs>
        <w:ind w:left="1006" w:hanging="864"/>
      </w:pPr>
      <w:rPr>
        <w:rFonts w:hint="default" w:ascii="Times New Roman" w:hAnsi="Times New Roman" w:cs="Times New Roman"/>
      </w:rPr>
    </w:lvl>
    <w:lvl w:ilvl="4" w:tentative="0">
      <w:start w:val="1"/>
      <w:numFmt w:val="decimal"/>
      <w:pStyle w:val="8"/>
      <w:lvlText w:val="%1.%2.%3.%4.%5"/>
      <w:lvlJc w:val="left"/>
      <w:pPr>
        <w:tabs>
          <w:tab w:val="left" w:pos="1008"/>
        </w:tabs>
        <w:ind w:left="1008" w:hanging="1008"/>
      </w:pPr>
      <w:rPr>
        <w:rFonts w:cs="Times New Roman"/>
      </w:rPr>
    </w:lvl>
    <w:lvl w:ilvl="5" w:tentative="0">
      <w:start w:val="1"/>
      <w:numFmt w:val="decimal"/>
      <w:pStyle w:val="9"/>
      <w:lvlText w:val="%1.%2.%3.%4.%5.%6"/>
      <w:lvlJc w:val="left"/>
      <w:pPr>
        <w:tabs>
          <w:tab w:val="left" w:pos="1152"/>
        </w:tabs>
        <w:ind w:left="1152" w:hanging="1152"/>
      </w:pPr>
      <w:rPr>
        <w:rFonts w:cs="Times New Roman"/>
      </w:rPr>
    </w:lvl>
    <w:lvl w:ilvl="6" w:tentative="0">
      <w:start w:val="1"/>
      <w:numFmt w:val="decimal"/>
      <w:lvlText w:val="%1.%2.%3.%4.%5.%6.%7"/>
      <w:lvlJc w:val="left"/>
      <w:pPr>
        <w:tabs>
          <w:tab w:val="left" w:pos="1296"/>
        </w:tabs>
        <w:ind w:left="1296" w:hanging="1296"/>
      </w:pPr>
      <w:rPr>
        <w:rFonts w:cs="Times New Roman"/>
      </w:rPr>
    </w:lvl>
    <w:lvl w:ilvl="7" w:tentative="0">
      <w:start w:val="1"/>
      <w:numFmt w:val="decimal"/>
      <w:lvlText w:val="%1.%2.%3.%4.%5.%6.%7.%8"/>
      <w:lvlJc w:val="left"/>
      <w:pPr>
        <w:tabs>
          <w:tab w:val="left" w:pos="1440"/>
        </w:tabs>
        <w:ind w:left="1440" w:hanging="1440"/>
      </w:pPr>
      <w:rPr>
        <w:rFonts w:cs="Times New Roman"/>
      </w:rPr>
    </w:lvl>
    <w:lvl w:ilvl="8" w:tentative="0">
      <w:start w:val="1"/>
      <w:numFmt w:val="decimal"/>
      <w:lvlText w:val="%1.%2.%3.%4.%5.%6.%7.%8.%9"/>
      <w:lvlJc w:val="left"/>
      <w:pPr>
        <w:tabs>
          <w:tab w:val="left" w:pos="1584"/>
        </w:tabs>
        <w:ind w:left="1584" w:hanging="1584"/>
      </w:pPr>
      <w:rPr>
        <w:rFonts w:cs="Times New Roman"/>
      </w:rPr>
    </w:lvl>
  </w:abstractNum>
  <w:abstractNum w:abstractNumId="1">
    <w:nsid w:val="44C50F90"/>
    <w:multiLevelType w:val="multilevel"/>
    <w:tmpl w:val="44C50F90"/>
    <w:lvl w:ilvl="0" w:tentative="0">
      <w:start w:val="1"/>
      <w:numFmt w:val="lowerLetter"/>
      <w:pStyle w:val="64"/>
      <w:lvlText w:val="%1)"/>
      <w:lvlJc w:val="left"/>
      <w:pPr>
        <w:tabs>
          <w:tab w:val="left" w:pos="839"/>
        </w:tabs>
        <w:ind w:left="839" w:hanging="419"/>
      </w:pPr>
      <w:rPr>
        <w:rFonts w:hint="eastAsia" w:ascii="宋体" w:hAnsi="宋体" w:eastAsia="宋体"/>
        <w:b w:val="0"/>
        <w:i w:val="0"/>
        <w:sz w:val="20"/>
        <w:szCs w:val="21"/>
      </w:rPr>
    </w:lvl>
    <w:lvl w:ilvl="1" w:tentative="0">
      <w:start w:val="1"/>
      <w:numFmt w:val="decimal"/>
      <w:lvlText w:val="%2)"/>
      <w:lvlJc w:val="left"/>
      <w:pPr>
        <w:tabs>
          <w:tab w:val="left" w:pos="1259"/>
        </w:tabs>
        <w:ind w:left="1259" w:hanging="420"/>
      </w:pPr>
      <w:rPr>
        <w:rFonts w:hint="eastAsia" w:ascii="宋体" w:hAnsi="宋体" w:eastAsia="宋体"/>
        <w:b w:val="0"/>
        <w:i w:val="0"/>
        <w:sz w:val="20"/>
      </w:rPr>
    </w:lvl>
    <w:lvl w:ilvl="2" w:tentative="0">
      <w:start w:val="1"/>
      <w:numFmt w:val="decimal"/>
      <w:lvlText w:val="(%3)"/>
      <w:lvlJc w:val="left"/>
      <w:pPr>
        <w:tabs>
          <w:tab w:val="left" w:pos="0"/>
        </w:tabs>
        <w:ind w:left="1678" w:hanging="419"/>
      </w:pPr>
      <w:rPr>
        <w:rFonts w:hint="eastAsia" w:ascii="宋体" w:hAnsi="宋体" w:eastAsia="宋体"/>
        <w:b w:val="0"/>
        <w:i w:val="0"/>
        <w:sz w:val="20"/>
        <w:szCs w:val="21"/>
      </w:rPr>
    </w:lvl>
    <w:lvl w:ilvl="3" w:tentative="0">
      <w:start w:val="1"/>
      <w:numFmt w:val="decimal"/>
      <w:lvlText w:val="%4."/>
      <w:lvlJc w:val="left"/>
      <w:pPr>
        <w:tabs>
          <w:tab w:val="left" w:pos="2098"/>
        </w:tabs>
        <w:ind w:left="2098" w:hanging="420"/>
      </w:pPr>
      <w:rPr>
        <w:rFonts w:hint="eastAsia"/>
      </w:rPr>
    </w:lvl>
    <w:lvl w:ilvl="4" w:tentative="0">
      <w:start w:val="1"/>
      <w:numFmt w:val="lowerLetter"/>
      <w:lvlText w:val="%5)"/>
      <w:lvlJc w:val="left"/>
      <w:pPr>
        <w:tabs>
          <w:tab w:val="left" w:pos="2517"/>
        </w:tabs>
        <w:ind w:left="2517" w:hanging="419"/>
      </w:pPr>
      <w:rPr>
        <w:rFonts w:hint="eastAsia"/>
      </w:rPr>
    </w:lvl>
    <w:lvl w:ilvl="5" w:tentative="0">
      <w:start w:val="1"/>
      <w:numFmt w:val="lowerRoman"/>
      <w:lvlText w:val="%6."/>
      <w:lvlJc w:val="right"/>
      <w:pPr>
        <w:tabs>
          <w:tab w:val="left" w:pos="2942"/>
        </w:tabs>
        <w:ind w:left="2937" w:hanging="420"/>
      </w:pPr>
      <w:rPr>
        <w:rFonts w:hint="eastAsia"/>
      </w:rPr>
    </w:lvl>
    <w:lvl w:ilvl="6" w:tentative="0">
      <w:start w:val="1"/>
      <w:numFmt w:val="decimal"/>
      <w:lvlText w:val="%7."/>
      <w:lvlJc w:val="left"/>
      <w:pPr>
        <w:tabs>
          <w:tab w:val="left" w:pos="3362"/>
        </w:tabs>
        <w:ind w:left="3356" w:hanging="414"/>
      </w:pPr>
      <w:rPr>
        <w:rFonts w:hint="eastAsia"/>
      </w:rPr>
    </w:lvl>
    <w:lvl w:ilvl="7" w:tentative="0">
      <w:start w:val="1"/>
      <w:numFmt w:val="lowerLetter"/>
      <w:lvlText w:val="%8)"/>
      <w:lvlJc w:val="left"/>
      <w:pPr>
        <w:tabs>
          <w:tab w:val="left" w:pos="3781"/>
        </w:tabs>
        <w:ind w:left="3776" w:hanging="414"/>
      </w:pPr>
      <w:rPr>
        <w:rFonts w:hint="eastAsia"/>
      </w:rPr>
    </w:lvl>
    <w:lvl w:ilvl="8" w:tentative="0">
      <w:start w:val="1"/>
      <w:numFmt w:val="lowerRoman"/>
      <w:lvlText w:val="%9."/>
      <w:lvlJc w:val="right"/>
      <w:pPr>
        <w:tabs>
          <w:tab w:val="left" w:pos="4201"/>
        </w:tabs>
        <w:ind w:left="4201" w:hanging="420"/>
      </w:pPr>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1"/>
  <w:displayVerticalDrawingGridEvery w:val="1"/>
  <w:doNotShadeFormData w:val="1"/>
  <w:noPunctuationKerning w:val="1"/>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WE3ODcyM2Q1M2E0NDU4NjZiM2U3ZmQwZjIyMjE5ODUifQ=="/>
  </w:docVars>
  <w:rsids>
    <w:rsidRoot w:val="00621E64"/>
    <w:rsid w:val="0002377B"/>
    <w:rsid w:val="000447F8"/>
    <w:rsid w:val="00046819"/>
    <w:rsid w:val="000767EB"/>
    <w:rsid w:val="000B3867"/>
    <w:rsid w:val="000E34B7"/>
    <w:rsid w:val="000E7B08"/>
    <w:rsid w:val="000F5FD7"/>
    <w:rsid w:val="00124D0A"/>
    <w:rsid w:val="001415E8"/>
    <w:rsid w:val="00190DE2"/>
    <w:rsid w:val="00194C90"/>
    <w:rsid w:val="00200EC0"/>
    <w:rsid w:val="00205CEC"/>
    <w:rsid w:val="0025137D"/>
    <w:rsid w:val="0025771D"/>
    <w:rsid w:val="00276761"/>
    <w:rsid w:val="002E0C0B"/>
    <w:rsid w:val="0034763B"/>
    <w:rsid w:val="00352D1B"/>
    <w:rsid w:val="003572B0"/>
    <w:rsid w:val="003642BE"/>
    <w:rsid w:val="00373BAF"/>
    <w:rsid w:val="003C72F8"/>
    <w:rsid w:val="003D2563"/>
    <w:rsid w:val="003D6B87"/>
    <w:rsid w:val="003E598D"/>
    <w:rsid w:val="00410BAA"/>
    <w:rsid w:val="00412F2A"/>
    <w:rsid w:val="00424F49"/>
    <w:rsid w:val="00442A99"/>
    <w:rsid w:val="00446777"/>
    <w:rsid w:val="004A3F06"/>
    <w:rsid w:val="004C4244"/>
    <w:rsid w:val="00504562"/>
    <w:rsid w:val="005160F4"/>
    <w:rsid w:val="005251CC"/>
    <w:rsid w:val="00552F7E"/>
    <w:rsid w:val="00574FF2"/>
    <w:rsid w:val="005C5D0D"/>
    <w:rsid w:val="005F0B06"/>
    <w:rsid w:val="00613FD2"/>
    <w:rsid w:val="00621E64"/>
    <w:rsid w:val="006645E7"/>
    <w:rsid w:val="00672096"/>
    <w:rsid w:val="00674E1A"/>
    <w:rsid w:val="00687B1D"/>
    <w:rsid w:val="006B4B4D"/>
    <w:rsid w:val="006C7D96"/>
    <w:rsid w:val="006D5D9D"/>
    <w:rsid w:val="006E2BD4"/>
    <w:rsid w:val="0071463A"/>
    <w:rsid w:val="007323A3"/>
    <w:rsid w:val="00745CD4"/>
    <w:rsid w:val="0077200C"/>
    <w:rsid w:val="007E42E3"/>
    <w:rsid w:val="00816813"/>
    <w:rsid w:val="00830AF7"/>
    <w:rsid w:val="00863F1C"/>
    <w:rsid w:val="008D1A4C"/>
    <w:rsid w:val="00976819"/>
    <w:rsid w:val="0098442E"/>
    <w:rsid w:val="009B5612"/>
    <w:rsid w:val="009D1B21"/>
    <w:rsid w:val="009D6C00"/>
    <w:rsid w:val="009F3554"/>
    <w:rsid w:val="00A167E8"/>
    <w:rsid w:val="00A2094D"/>
    <w:rsid w:val="00A26C64"/>
    <w:rsid w:val="00AA0A6F"/>
    <w:rsid w:val="00AA2E46"/>
    <w:rsid w:val="00AA493E"/>
    <w:rsid w:val="00AB5F4A"/>
    <w:rsid w:val="00AE3180"/>
    <w:rsid w:val="00B2572E"/>
    <w:rsid w:val="00B46D9B"/>
    <w:rsid w:val="00B57306"/>
    <w:rsid w:val="00B6714F"/>
    <w:rsid w:val="00B73F14"/>
    <w:rsid w:val="00B74425"/>
    <w:rsid w:val="00BB1DC2"/>
    <w:rsid w:val="00BB452B"/>
    <w:rsid w:val="00BC1C0C"/>
    <w:rsid w:val="00BE292F"/>
    <w:rsid w:val="00BF0FC8"/>
    <w:rsid w:val="00C07B70"/>
    <w:rsid w:val="00C16C45"/>
    <w:rsid w:val="00C21DBA"/>
    <w:rsid w:val="00C64FBB"/>
    <w:rsid w:val="00C85C69"/>
    <w:rsid w:val="00CA2776"/>
    <w:rsid w:val="00CA77AF"/>
    <w:rsid w:val="00D2744B"/>
    <w:rsid w:val="00D56013"/>
    <w:rsid w:val="00D725BA"/>
    <w:rsid w:val="00D94223"/>
    <w:rsid w:val="00D95A57"/>
    <w:rsid w:val="00DB38E7"/>
    <w:rsid w:val="00DC3E1C"/>
    <w:rsid w:val="00DD436C"/>
    <w:rsid w:val="00E10DD4"/>
    <w:rsid w:val="00E16799"/>
    <w:rsid w:val="00E621FB"/>
    <w:rsid w:val="00F10CF2"/>
    <w:rsid w:val="00F96F48"/>
    <w:rsid w:val="00FE4EF9"/>
    <w:rsid w:val="01172A03"/>
    <w:rsid w:val="015E4AD6"/>
    <w:rsid w:val="017E0CD4"/>
    <w:rsid w:val="018C612A"/>
    <w:rsid w:val="01932EC8"/>
    <w:rsid w:val="01FB5C4F"/>
    <w:rsid w:val="0249428C"/>
    <w:rsid w:val="025A06A2"/>
    <w:rsid w:val="02DC6BF1"/>
    <w:rsid w:val="02DF2EBC"/>
    <w:rsid w:val="02F62D0D"/>
    <w:rsid w:val="032D3AF8"/>
    <w:rsid w:val="03416B02"/>
    <w:rsid w:val="03965B42"/>
    <w:rsid w:val="03B9511C"/>
    <w:rsid w:val="040D320B"/>
    <w:rsid w:val="040E6539"/>
    <w:rsid w:val="041D4120"/>
    <w:rsid w:val="04223B99"/>
    <w:rsid w:val="04265275"/>
    <w:rsid w:val="043D2D94"/>
    <w:rsid w:val="045F3F57"/>
    <w:rsid w:val="047E09B8"/>
    <w:rsid w:val="048776A1"/>
    <w:rsid w:val="04CC1D57"/>
    <w:rsid w:val="04EE4B56"/>
    <w:rsid w:val="054933A7"/>
    <w:rsid w:val="055D2CC2"/>
    <w:rsid w:val="05682FC2"/>
    <w:rsid w:val="057D34AA"/>
    <w:rsid w:val="05D84999"/>
    <w:rsid w:val="05F27A4D"/>
    <w:rsid w:val="060D54AB"/>
    <w:rsid w:val="060F2843"/>
    <w:rsid w:val="06163BD1"/>
    <w:rsid w:val="061E4834"/>
    <w:rsid w:val="065B056B"/>
    <w:rsid w:val="06927802"/>
    <w:rsid w:val="06A91AD8"/>
    <w:rsid w:val="06D575E9"/>
    <w:rsid w:val="071836A1"/>
    <w:rsid w:val="071B0E6C"/>
    <w:rsid w:val="07331E9C"/>
    <w:rsid w:val="0765416A"/>
    <w:rsid w:val="08A32BEC"/>
    <w:rsid w:val="08AE7B81"/>
    <w:rsid w:val="09156AD0"/>
    <w:rsid w:val="094F4C9B"/>
    <w:rsid w:val="09685DFB"/>
    <w:rsid w:val="09711234"/>
    <w:rsid w:val="099711B9"/>
    <w:rsid w:val="09A062F5"/>
    <w:rsid w:val="09D34FB6"/>
    <w:rsid w:val="09D86D9D"/>
    <w:rsid w:val="09FF3600"/>
    <w:rsid w:val="0A6552D2"/>
    <w:rsid w:val="0A747CC5"/>
    <w:rsid w:val="0A7F3C71"/>
    <w:rsid w:val="0A9E62A5"/>
    <w:rsid w:val="0AC13C68"/>
    <w:rsid w:val="0AE55920"/>
    <w:rsid w:val="0B24469B"/>
    <w:rsid w:val="0B445489"/>
    <w:rsid w:val="0B6154F3"/>
    <w:rsid w:val="0B740406"/>
    <w:rsid w:val="0B7D61B5"/>
    <w:rsid w:val="0BB017CB"/>
    <w:rsid w:val="0C012798"/>
    <w:rsid w:val="0C4121EA"/>
    <w:rsid w:val="0C573823"/>
    <w:rsid w:val="0C866032"/>
    <w:rsid w:val="0CB237C9"/>
    <w:rsid w:val="0CC571D3"/>
    <w:rsid w:val="0CFF0F95"/>
    <w:rsid w:val="0D505F85"/>
    <w:rsid w:val="0D690A8B"/>
    <w:rsid w:val="0D796E27"/>
    <w:rsid w:val="0D885F9E"/>
    <w:rsid w:val="0DB87ED7"/>
    <w:rsid w:val="0E320A5B"/>
    <w:rsid w:val="0E47093A"/>
    <w:rsid w:val="0E542DD9"/>
    <w:rsid w:val="0E823EA6"/>
    <w:rsid w:val="0E95507F"/>
    <w:rsid w:val="0EDB29E0"/>
    <w:rsid w:val="0EF6634E"/>
    <w:rsid w:val="0F0071CD"/>
    <w:rsid w:val="0F96527B"/>
    <w:rsid w:val="0F9C1D4C"/>
    <w:rsid w:val="10071862"/>
    <w:rsid w:val="100D6329"/>
    <w:rsid w:val="10231069"/>
    <w:rsid w:val="1024400D"/>
    <w:rsid w:val="103C6355"/>
    <w:rsid w:val="104906FF"/>
    <w:rsid w:val="10526022"/>
    <w:rsid w:val="10611B3C"/>
    <w:rsid w:val="10646F97"/>
    <w:rsid w:val="10761CF4"/>
    <w:rsid w:val="108055A3"/>
    <w:rsid w:val="10C87C6C"/>
    <w:rsid w:val="110748CD"/>
    <w:rsid w:val="110D797F"/>
    <w:rsid w:val="11102001"/>
    <w:rsid w:val="11471233"/>
    <w:rsid w:val="114C57CB"/>
    <w:rsid w:val="118373A3"/>
    <w:rsid w:val="11873424"/>
    <w:rsid w:val="118E2386"/>
    <w:rsid w:val="11FE709C"/>
    <w:rsid w:val="122E1A9E"/>
    <w:rsid w:val="12407A94"/>
    <w:rsid w:val="12467790"/>
    <w:rsid w:val="124D74C7"/>
    <w:rsid w:val="127150B2"/>
    <w:rsid w:val="127342BE"/>
    <w:rsid w:val="12DE0B97"/>
    <w:rsid w:val="12E729E8"/>
    <w:rsid w:val="12E81F06"/>
    <w:rsid w:val="12F93395"/>
    <w:rsid w:val="134A7DDC"/>
    <w:rsid w:val="1358363D"/>
    <w:rsid w:val="136B6E9E"/>
    <w:rsid w:val="13700C46"/>
    <w:rsid w:val="13734411"/>
    <w:rsid w:val="137734B4"/>
    <w:rsid w:val="13861C34"/>
    <w:rsid w:val="138D2FB3"/>
    <w:rsid w:val="13FE36A3"/>
    <w:rsid w:val="141702C3"/>
    <w:rsid w:val="14280B2D"/>
    <w:rsid w:val="147D1436"/>
    <w:rsid w:val="14F52C04"/>
    <w:rsid w:val="152D07B9"/>
    <w:rsid w:val="15456B39"/>
    <w:rsid w:val="15475F9D"/>
    <w:rsid w:val="154974A0"/>
    <w:rsid w:val="15AC2720"/>
    <w:rsid w:val="160D28C1"/>
    <w:rsid w:val="16120277"/>
    <w:rsid w:val="163755DD"/>
    <w:rsid w:val="163F0BBC"/>
    <w:rsid w:val="167B0393"/>
    <w:rsid w:val="169E17A5"/>
    <w:rsid w:val="16BB3A08"/>
    <w:rsid w:val="16C44B7E"/>
    <w:rsid w:val="16E74213"/>
    <w:rsid w:val="17114512"/>
    <w:rsid w:val="17650515"/>
    <w:rsid w:val="17AF4E4D"/>
    <w:rsid w:val="17CF6BB0"/>
    <w:rsid w:val="17F04005"/>
    <w:rsid w:val="18715FCB"/>
    <w:rsid w:val="18745AC4"/>
    <w:rsid w:val="187E1D8A"/>
    <w:rsid w:val="188F350D"/>
    <w:rsid w:val="18E26C11"/>
    <w:rsid w:val="193348EA"/>
    <w:rsid w:val="19687603"/>
    <w:rsid w:val="19C0354A"/>
    <w:rsid w:val="19E0285F"/>
    <w:rsid w:val="1A1D339D"/>
    <w:rsid w:val="1A337904"/>
    <w:rsid w:val="1A3A3DC1"/>
    <w:rsid w:val="1A4553E5"/>
    <w:rsid w:val="1AD9021E"/>
    <w:rsid w:val="1B1368E8"/>
    <w:rsid w:val="1B4D72F6"/>
    <w:rsid w:val="1C065E17"/>
    <w:rsid w:val="1C1502F1"/>
    <w:rsid w:val="1C1C63A1"/>
    <w:rsid w:val="1C256BC6"/>
    <w:rsid w:val="1C4A5308"/>
    <w:rsid w:val="1C99147D"/>
    <w:rsid w:val="1CAF5DBC"/>
    <w:rsid w:val="1D063C00"/>
    <w:rsid w:val="1D261F8F"/>
    <w:rsid w:val="1D8318D0"/>
    <w:rsid w:val="1DEF22B0"/>
    <w:rsid w:val="1E021EFC"/>
    <w:rsid w:val="1E14195B"/>
    <w:rsid w:val="1E277805"/>
    <w:rsid w:val="1E3E2488"/>
    <w:rsid w:val="1E5E37F1"/>
    <w:rsid w:val="1E976A53"/>
    <w:rsid w:val="1EF555C8"/>
    <w:rsid w:val="1F2149B0"/>
    <w:rsid w:val="1F4153C3"/>
    <w:rsid w:val="1F763F1E"/>
    <w:rsid w:val="1FAE0C8A"/>
    <w:rsid w:val="20140F4D"/>
    <w:rsid w:val="201A430D"/>
    <w:rsid w:val="20406CA6"/>
    <w:rsid w:val="205974C8"/>
    <w:rsid w:val="209D4144"/>
    <w:rsid w:val="20EE043F"/>
    <w:rsid w:val="214215B3"/>
    <w:rsid w:val="21B61D9D"/>
    <w:rsid w:val="22883201"/>
    <w:rsid w:val="230E0951"/>
    <w:rsid w:val="233D33CB"/>
    <w:rsid w:val="236801A8"/>
    <w:rsid w:val="23925C93"/>
    <w:rsid w:val="239764A5"/>
    <w:rsid w:val="239D4CB4"/>
    <w:rsid w:val="23A613EE"/>
    <w:rsid w:val="23BD5168"/>
    <w:rsid w:val="24250FCA"/>
    <w:rsid w:val="24604129"/>
    <w:rsid w:val="24683E4B"/>
    <w:rsid w:val="249E5526"/>
    <w:rsid w:val="24B14D99"/>
    <w:rsid w:val="251F30B2"/>
    <w:rsid w:val="25293E37"/>
    <w:rsid w:val="25554276"/>
    <w:rsid w:val="255D6CCF"/>
    <w:rsid w:val="25B12AA2"/>
    <w:rsid w:val="25D80737"/>
    <w:rsid w:val="25DE7226"/>
    <w:rsid w:val="2643513F"/>
    <w:rsid w:val="265C733D"/>
    <w:rsid w:val="266F6CBA"/>
    <w:rsid w:val="267A15FB"/>
    <w:rsid w:val="268D42B8"/>
    <w:rsid w:val="26BC1129"/>
    <w:rsid w:val="26D0304A"/>
    <w:rsid w:val="26E513F4"/>
    <w:rsid w:val="26FB51F7"/>
    <w:rsid w:val="26FE3B9A"/>
    <w:rsid w:val="277766CF"/>
    <w:rsid w:val="27A92CED"/>
    <w:rsid w:val="27DD706E"/>
    <w:rsid w:val="27E02D48"/>
    <w:rsid w:val="27FB7BD4"/>
    <w:rsid w:val="27FC2CCB"/>
    <w:rsid w:val="28681C13"/>
    <w:rsid w:val="286C4F60"/>
    <w:rsid w:val="28714801"/>
    <w:rsid w:val="28742DF6"/>
    <w:rsid w:val="289D2565"/>
    <w:rsid w:val="291B532C"/>
    <w:rsid w:val="294A1901"/>
    <w:rsid w:val="29566CC3"/>
    <w:rsid w:val="29651A3E"/>
    <w:rsid w:val="299B1B74"/>
    <w:rsid w:val="2A491C57"/>
    <w:rsid w:val="2A5D7049"/>
    <w:rsid w:val="2AB21A85"/>
    <w:rsid w:val="2AB45B4F"/>
    <w:rsid w:val="2AC81B37"/>
    <w:rsid w:val="2B064B7A"/>
    <w:rsid w:val="2B5C058C"/>
    <w:rsid w:val="2B711F8E"/>
    <w:rsid w:val="2BD83B58"/>
    <w:rsid w:val="2C182149"/>
    <w:rsid w:val="2C8045B1"/>
    <w:rsid w:val="2C8D1227"/>
    <w:rsid w:val="2CAB6572"/>
    <w:rsid w:val="2CB74F17"/>
    <w:rsid w:val="2CD509B1"/>
    <w:rsid w:val="2CDC2BCF"/>
    <w:rsid w:val="2CDE7BEF"/>
    <w:rsid w:val="2D4151D4"/>
    <w:rsid w:val="2D4B51DF"/>
    <w:rsid w:val="2D9D05E4"/>
    <w:rsid w:val="2DCC2C44"/>
    <w:rsid w:val="2E2F04CC"/>
    <w:rsid w:val="2E460BF5"/>
    <w:rsid w:val="2EE30245"/>
    <w:rsid w:val="2EF44909"/>
    <w:rsid w:val="2EFE2F53"/>
    <w:rsid w:val="2F104DB2"/>
    <w:rsid w:val="2F253DB8"/>
    <w:rsid w:val="2F38009B"/>
    <w:rsid w:val="3069162C"/>
    <w:rsid w:val="30801AC4"/>
    <w:rsid w:val="30AA040E"/>
    <w:rsid w:val="31197CC3"/>
    <w:rsid w:val="312F00E5"/>
    <w:rsid w:val="314F6ED0"/>
    <w:rsid w:val="3154757F"/>
    <w:rsid w:val="319566E7"/>
    <w:rsid w:val="31E33414"/>
    <w:rsid w:val="321E65E2"/>
    <w:rsid w:val="322C3CB1"/>
    <w:rsid w:val="32A94E40"/>
    <w:rsid w:val="32EF7D87"/>
    <w:rsid w:val="33005F9C"/>
    <w:rsid w:val="330A369B"/>
    <w:rsid w:val="330B2646"/>
    <w:rsid w:val="33394B99"/>
    <w:rsid w:val="337F5067"/>
    <w:rsid w:val="33AB69E9"/>
    <w:rsid w:val="33EC52AF"/>
    <w:rsid w:val="33F263D7"/>
    <w:rsid w:val="33FF7F57"/>
    <w:rsid w:val="34557280"/>
    <w:rsid w:val="349A13A6"/>
    <w:rsid w:val="34A209B1"/>
    <w:rsid w:val="34BC0651"/>
    <w:rsid w:val="34DB140D"/>
    <w:rsid w:val="3526425D"/>
    <w:rsid w:val="356842F5"/>
    <w:rsid w:val="35751160"/>
    <w:rsid w:val="35AC11DC"/>
    <w:rsid w:val="35E86141"/>
    <w:rsid w:val="362C63FC"/>
    <w:rsid w:val="36443681"/>
    <w:rsid w:val="36695318"/>
    <w:rsid w:val="36DC4035"/>
    <w:rsid w:val="36EC712A"/>
    <w:rsid w:val="36F80606"/>
    <w:rsid w:val="36FA13B3"/>
    <w:rsid w:val="37054CBD"/>
    <w:rsid w:val="37082541"/>
    <w:rsid w:val="372A1C82"/>
    <w:rsid w:val="37674E2E"/>
    <w:rsid w:val="37695139"/>
    <w:rsid w:val="37DE3C9F"/>
    <w:rsid w:val="382A79D0"/>
    <w:rsid w:val="386230D8"/>
    <w:rsid w:val="38760AA5"/>
    <w:rsid w:val="389D6933"/>
    <w:rsid w:val="38C26163"/>
    <w:rsid w:val="38CB7610"/>
    <w:rsid w:val="39024727"/>
    <w:rsid w:val="3908456B"/>
    <w:rsid w:val="391300F7"/>
    <w:rsid w:val="3935603E"/>
    <w:rsid w:val="393938F1"/>
    <w:rsid w:val="39C755E2"/>
    <w:rsid w:val="39E22DA2"/>
    <w:rsid w:val="3A486014"/>
    <w:rsid w:val="3A490B87"/>
    <w:rsid w:val="3AC070AB"/>
    <w:rsid w:val="3ADD49E3"/>
    <w:rsid w:val="3AE016A7"/>
    <w:rsid w:val="3B317768"/>
    <w:rsid w:val="3B321847"/>
    <w:rsid w:val="3B832159"/>
    <w:rsid w:val="3B8A2BEE"/>
    <w:rsid w:val="3BA0685D"/>
    <w:rsid w:val="3BB44722"/>
    <w:rsid w:val="3BF12D8A"/>
    <w:rsid w:val="3C771FCD"/>
    <w:rsid w:val="3C9E7934"/>
    <w:rsid w:val="3D224638"/>
    <w:rsid w:val="3D284874"/>
    <w:rsid w:val="3D5D5381"/>
    <w:rsid w:val="3D6B61E9"/>
    <w:rsid w:val="3D7C3C78"/>
    <w:rsid w:val="3DC41165"/>
    <w:rsid w:val="3DE47A95"/>
    <w:rsid w:val="3E001B13"/>
    <w:rsid w:val="3E454825"/>
    <w:rsid w:val="3E67368D"/>
    <w:rsid w:val="3E6A11B6"/>
    <w:rsid w:val="3E84441C"/>
    <w:rsid w:val="3EA67E24"/>
    <w:rsid w:val="3EBF043E"/>
    <w:rsid w:val="3F590CDB"/>
    <w:rsid w:val="3FE31716"/>
    <w:rsid w:val="3FF943B0"/>
    <w:rsid w:val="400071F5"/>
    <w:rsid w:val="40320DA3"/>
    <w:rsid w:val="40395593"/>
    <w:rsid w:val="40414A70"/>
    <w:rsid w:val="409D6E0F"/>
    <w:rsid w:val="40CB1480"/>
    <w:rsid w:val="40DB5220"/>
    <w:rsid w:val="41A1251F"/>
    <w:rsid w:val="41C31049"/>
    <w:rsid w:val="41C752CD"/>
    <w:rsid w:val="41DC660E"/>
    <w:rsid w:val="42134351"/>
    <w:rsid w:val="42400522"/>
    <w:rsid w:val="424A74CF"/>
    <w:rsid w:val="424C5B43"/>
    <w:rsid w:val="42560771"/>
    <w:rsid w:val="425A6618"/>
    <w:rsid w:val="4260254A"/>
    <w:rsid w:val="42904EC3"/>
    <w:rsid w:val="42CF7D8C"/>
    <w:rsid w:val="42D068DB"/>
    <w:rsid w:val="42E06268"/>
    <w:rsid w:val="4318301A"/>
    <w:rsid w:val="43755416"/>
    <w:rsid w:val="438E4714"/>
    <w:rsid w:val="439477AF"/>
    <w:rsid w:val="43C1485D"/>
    <w:rsid w:val="43D0500D"/>
    <w:rsid w:val="442236CE"/>
    <w:rsid w:val="444D481C"/>
    <w:rsid w:val="448B122A"/>
    <w:rsid w:val="44BA185F"/>
    <w:rsid w:val="44EB3C8D"/>
    <w:rsid w:val="44FA5FC8"/>
    <w:rsid w:val="450F5466"/>
    <w:rsid w:val="451A22C5"/>
    <w:rsid w:val="456F0F9D"/>
    <w:rsid w:val="45770C2D"/>
    <w:rsid w:val="45A12098"/>
    <w:rsid w:val="45A40B36"/>
    <w:rsid w:val="45BC5923"/>
    <w:rsid w:val="45C51FFB"/>
    <w:rsid w:val="45DC4440"/>
    <w:rsid w:val="46345DEC"/>
    <w:rsid w:val="46541740"/>
    <w:rsid w:val="46AA7897"/>
    <w:rsid w:val="46B55F0F"/>
    <w:rsid w:val="46DD7DE9"/>
    <w:rsid w:val="46EB1EA2"/>
    <w:rsid w:val="47141192"/>
    <w:rsid w:val="4718035C"/>
    <w:rsid w:val="474A36F7"/>
    <w:rsid w:val="477D4F8D"/>
    <w:rsid w:val="47A04ACD"/>
    <w:rsid w:val="47EC7F9F"/>
    <w:rsid w:val="47F72868"/>
    <w:rsid w:val="480F17E5"/>
    <w:rsid w:val="494D2673"/>
    <w:rsid w:val="49557B3A"/>
    <w:rsid w:val="49686A6A"/>
    <w:rsid w:val="498048AD"/>
    <w:rsid w:val="498D5E03"/>
    <w:rsid w:val="499207A8"/>
    <w:rsid w:val="49A567A9"/>
    <w:rsid w:val="49B44A2D"/>
    <w:rsid w:val="49C3777A"/>
    <w:rsid w:val="49E44688"/>
    <w:rsid w:val="49E571DC"/>
    <w:rsid w:val="4A83293A"/>
    <w:rsid w:val="4B0C3273"/>
    <w:rsid w:val="4B2F2249"/>
    <w:rsid w:val="4BA73452"/>
    <w:rsid w:val="4BB171F6"/>
    <w:rsid w:val="4BBA7720"/>
    <w:rsid w:val="4BC34DB0"/>
    <w:rsid w:val="4BC96127"/>
    <w:rsid w:val="4C162C4A"/>
    <w:rsid w:val="4C4A1E3E"/>
    <w:rsid w:val="4C5526BA"/>
    <w:rsid w:val="4C783B02"/>
    <w:rsid w:val="4C8F3500"/>
    <w:rsid w:val="4C973A2A"/>
    <w:rsid w:val="4CA87BD3"/>
    <w:rsid w:val="4CB23EF1"/>
    <w:rsid w:val="4CB64DEE"/>
    <w:rsid w:val="4D015FB9"/>
    <w:rsid w:val="4D7F0CE1"/>
    <w:rsid w:val="4D874197"/>
    <w:rsid w:val="4DC851EA"/>
    <w:rsid w:val="4DF369A5"/>
    <w:rsid w:val="4E115B47"/>
    <w:rsid w:val="4E2875CB"/>
    <w:rsid w:val="4E4F07E0"/>
    <w:rsid w:val="4E523892"/>
    <w:rsid w:val="4E5E4D9B"/>
    <w:rsid w:val="4E89415F"/>
    <w:rsid w:val="4E8A0A1D"/>
    <w:rsid w:val="4E8A1A01"/>
    <w:rsid w:val="4EA90816"/>
    <w:rsid w:val="4ED80FF1"/>
    <w:rsid w:val="4F175223"/>
    <w:rsid w:val="4F3170F0"/>
    <w:rsid w:val="4F3F230D"/>
    <w:rsid w:val="4F4918DC"/>
    <w:rsid w:val="4F515CEA"/>
    <w:rsid w:val="4F6C395D"/>
    <w:rsid w:val="4F9E03E5"/>
    <w:rsid w:val="4FBD287F"/>
    <w:rsid w:val="4FCD1801"/>
    <w:rsid w:val="50380E1C"/>
    <w:rsid w:val="507B24A8"/>
    <w:rsid w:val="50A03D76"/>
    <w:rsid w:val="50A92E6E"/>
    <w:rsid w:val="50AC3402"/>
    <w:rsid w:val="51134562"/>
    <w:rsid w:val="511D2FA6"/>
    <w:rsid w:val="512D4E74"/>
    <w:rsid w:val="513A7953"/>
    <w:rsid w:val="5150048D"/>
    <w:rsid w:val="516623F7"/>
    <w:rsid w:val="517C2CA2"/>
    <w:rsid w:val="51870D33"/>
    <w:rsid w:val="519D31CB"/>
    <w:rsid w:val="51A41773"/>
    <w:rsid w:val="51E909F0"/>
    <w:rsid w:val="51FA56E9"/>
    <w:rsid w:val="520F5BA9"/>
    <w:rsid w:val="521A7884"/>
    <w:rsid w:val="5231606E"/>
    <w:rsid w:val="52703ECB"/>
    <w:rsid w:val="528B0128"/>
    <w:rsid w:val="52C74CD9"/>
    <w:rsid w:val="539507B4"/>
    <w:rsid w:val="53B0590B"/>
    <w:rsid w:val="53EB3394"/>
    <w:rsid w:val="53EE5653"/>
    <w:rsid w:val="53EF29E9"/>
    <w:rsid w:val="542D31A9"/>
    <w:rsid w:val="54452398"/>
    <w:rsid w:val="54604C7D"/>
    <w:rsid w:val="54DE18EA"/>
    <w:rsid w:val="54E25A6E"/>
    <w:rsid w:val="54E74926"/>
    <w:rsid w:val="54E82A1B"/>
    <w:rsid w:val="55067F3A"/>
    <w:rsid w:val="55331B44"/>
    <w:rsid w:val="55A7708D"/>
    <w:rsid w:val="55CD7F8B"/>
    <w:rsid w:val="56393B39"/>
    <w:rsid w:val="564B4017"/>
    <w:rsid w:val="565A6C7E"/>
    <w:rsid w:val="56717759"/>
    <w:rsid w:val="56A47A0A"/>
    <w:rsid w:val="571E156B"/>
    <w:rsid w:val="57770C7B"/>
    <w:rsid w:val="577D00D4"/>
    <w:rsid w:val="57BE4AFC"/>
    <w:rsid w:val="57C50E97"/>
    <w:rsid w:val="58240546"/>
    <w:rsid w:val="584166A1"/>
    <w:rsid w:val="58F21E37"/>
    <w:rsid w:val="58FD6F7A"/>
    <w:rsid w:val="59061593"/>
    <w:rsid w:val="595D71AC"/>
    <w:rsid w:val="596C4955"/>
    <w:rsid w:val="5983336D"/>
    <w:rsid w:val="59924410"/>
    <w:rsid w:val="59981035"/>
    <w:rsid w:val="59AB1E8D"/>
    <w:rsid w:val="59B04AD5"/>
    <w:rsid w:val="59D123B7"/>
    <w:rsid w:val="59E231F7"/>
    <w:rsid w:val="5A04197D"/>
    <w:rsid w:val="5A2052F0"/>
    <w:rsid w:val="5A66528E"/>
    <w:rsid w:val="5ACF28FB"/>
    <w:rsid w:val="5AD05822"/>
    <w:rsid w:val="5AF70A51"/>
    <w:rsid w:val="5B287B9E"/>
    <w:rsid w:val="5B3A3A60"/>
    <w:rsid w:val="5B6E700E"/>
    <w:rsid w:val="5B76070A"/>
    <w:rsid w:val="5B9F1A0D"/>
    <w:rsid w:val="5BE445F5"/>
    <w:rsid w:val="5BF46685"/>
    <w:rsid w:val="5C224533"/>
    <w:rsid w:val="5C392C32"/>
    <w:rsid w:val="5CAA4DBB"/>
    <w:rsid w:val="5CB560C0"/>
    <w:rsid w:val="5CBC5FB8"/>
    <w:rsid w:val="5CD56B70"/>
    <w:rsid w:val="5D1815C8"/>
    <w:rsid w:val="5D572093"/>
    <w:rsid w:val="5D895917"/>
    <w:rsid w:val="5DBA3385"/>
    <w:rsid w:val="5DC273F7"/>
    <w:rsid w:val="5DE516E3"/>
    <w:rsid w:val="5DF90FD0"/>
    <w:rsid w:val="5DFB20B2"/>
    <w:rsid w:val="5E243597"/>
    <w:rsid w:val="5E5D7BE4"/>
    <w:rsid w:val="5E776915"/>
    <w:rsid w:val="5E7D312A"/>
    <w:rsid w:val="5E7E78C9"/>
    <w:rsid w:val="5EAF62C4"/>
    <w:rsid w:val="5EC549C2"/>
    <w:rsid w:val="5EF44608"/>
    <w:rsid w:val="5F0C17C7"/>
    <w:rsid w:val="5F1919BE"/>
    <w:rsid w:val="5F5450C2"/>
    <w:rsid w:val="5F5A735F"/>
    <w:rsid w:val="5FAF27BA"/>
    <w:rsid w:val="5FF217E7"/>
    <w:rsid w:val="60206DF0"/>
    <w:rsid w:val="603522D9"/>
    <w:rsid w:val="605771D4"/>
    <w:rsid w:val="60BA6940"/>
    <w:rsid w:val="60D916E6"/>
    <w:rsid w:val="61054AC1"/>
    <w:rsid w:val="6118702B"/>
    <w:rsid w:val="613D1187"/>
    <w:rsid w:val="61582A61"/>
    <w:rsid w:val="61775EE9"/>
    <w:rsid w:val="61E67129"/>
    <w:rsid w:val="61E86355"/>
    <w:rsid w:val="629B57AF"/>
    <w:rsid w:val="62A7037B"/>
    <w:rsid w:val="63065CD5"/>
    <w:rsid w:val="63161F19"/>
    <w:rsid w:val="633640E0"/>
    <w:rsid w:val="63804284"/>
    <w:rsid w:val="64407D86"/>
    <w:rsid w:val="649958DD"/>
    <w:rsid w:val="64D05023"/>
    <w:rsid w:val="6514010F"/>
    <w:rsid w:val="652C35F1"/>
    <w:rsid w:val="65311E6A"/>
    <w:rsid w:val="65420EC8"/>
    <w:rsid w:val="655C7259"/>
    <w:rsid w:val="65B01867"/>
    <w:rsid w:val="663E1444"/>
    <w:rsid w:val="663E3973"/>
    <w:rsid w:val="664C0E51"/>
    <w:rsid w:val="667C18AF"/>
    <w:rsid w:val="66B03446"/>
    <w:rsid w:val="66BB0C83"/>
    <w:rsid w:val="66CA2999"/>
    <w:rsid w:val="66D71A9C"/>
    <w:rsid w:val="6734105D"/>
    <w:rsid w:val="679C6C08"/>
    <w:rsid w:val="67A03CF1"/>
    <w:rsid w:val="67CE0D8B"/>
    <w:rsid w:val="67E81B9F"/>
    <w:rsid w:val="67E82EAF"/>
    <w:rsid w:val="68074524"/>
    <w:rsid w:val="683C5113"/>
    <w:rsid w:val="68413661"/>
    <w:rsid w:val="68747658"/>
    <w:rsid w:val="6890456A"/>
    <w:rsid w:val="68BC6E36"/>
    <w:rsid w:val="68EF4B15"/>
    <w:rsid w:val="69022B5C"/>
    <w:rsid w:val="69766FE4"/>
    <w:rsid w:val="69E619E6"/>
    <w:rsid w:val="69EF40C3"/>
    <w:rsid w:val="6A207442"/>
    <w:rsid w:val="6A243DC1"/>
    <w:rsid w:val="6A3108BC"/>
    <w:rsid w:val="6A332579"/>
    <w:rsid w:val="6A3E7F96"/>
    <w:rsid w:val="6A460863"/>
    <w:rsid w:val="6A651271"/>
    <w:rsid w:val="6A687275"/>
    <w:rsid w:val="6A6A635C"/>
    <w:rsid w:val="6A9A0301"/>
    <w:rsid w:val="6B29023B"/>
    <w:rsid w:val="6B2F2016"/>
    <w:rsid w:val="6B405CF4"/>
    <w:rsid w:val="6B535354"/>
    <w:rsid w:val="6B8C5BC5"/>
    <w:rsid w:val="6BED6A73"/>
    <w:rsid w:val="6C987327"/>
    <w:rsid w:val="6CEB1A97"/>
    <w:rsid w:val="6CF83861"/>
    <w:rsid w:val="6CFD43DC"/>
    <w:rsid w:val="6D125278"/>
    <w:rsid w:val="6D6220FB"/>
    <w:rsid w:val="6D69450E"/>
    <w:rsid w:val="6D967C55"/>
    <w:rsid w:val="6DA137F9"/>
    <w:rsid w:val="6DB30807"/>
    <w:rsid w:val="6DBB1014"/>
    <w:rsid w:val="6DCD6E37"/>
    <w:rsid w:val="6DD72E46"/>
    <w:rsid w:val="6E2F611A"/>
    <w:rsid w:val="6E5161F3"/>
    <w:rsid w:val="6E5C2300"/>
    <w:rsid w:val="6E937216"/>
    <w:rsid w:val="6EE44FA7"/>
    <w:rsid w:val="6EFC05D6"/>
    <w:rsid w:val="6F2A4C62"/>
    <w:rsid w:val="6F543924"/>
    <w:rsid w:val="6F8B7F0D"/>
    <w:rsid w:val="6F8E1EAD"/>
    <w:rsid w:val="6FB70357"/>
    <w:rsid w:val="6FBD78D6"/>
    <w:rsid w:val="6FD42CB7"/>
    <w:rsid w:val="6FD90906"/>
    <w:rsid w:val="6FE54119"/>
    <w:rsid w:val="6FF82A9A"/>
    <w:rsid w:val="70016EC3"/>
    <w:rsid w:val="70284A3A"/>
    <w:rsid w:val="70491806"/>
    <w:rsid w:val="70590023"/>
    <w:rsid w:val="709F32C5"/>
    <w:rsid w:val="70D02392"/>
    <w:rsid w:val="70F5651A"/>
    <w:rsid w:val="713B5A02"/>
    <w:rsid w:val="71452CC8"/>
    <w:rsid w:val="71453E6C"/>
    <w:rsid w:val="7156799A"/>
    <w:rsid w:val="71634A79"/>
    <w:rsid w:val="719312E7"/>
    <w:rsid w:val="71B6178D"/>
    <w:rsid w:val="71BD7A3F"/>
    <w:rsid w:val="722A3901"/>
    <w:rsid w:val="72323A26"/>
    <w:rsid w:val="7250655C"/>
    <w:rsid w:val="72737B33"/>
    <w:rsid w:val="73357434"/>
    <w:rsid w:val="73371E73"/>
    <w:rsid w:val="738C44C4"/>
    <w:rsid w:val="73904AA3"/>
    <w:rsid w:val="739A6421"/>
    <w:rsid w:val="739F5D1A"/>
    <w:rsid w:val="73B169FB"/>
    <w:rsid w:val="73CF7181"/>
    <w:rsid w:val="73E20F88"/>
    <w:rsid w:val="73FB50D4"/>
    <w:rsid w:val="74333000"/>
    <w:rsid w:val="74793E2D"/>
    <w:rsid w:val="749D17DB"/>
    <w:rsid w:val="7510189E"/>
    <w:rsid w:val="752F68D0"/>
    <w:rsid w:val="75527D89"/>
    <w:rsid w:val="7579177C"/>
    <w:rsid w:val="759E6567"/>
    <w:rsid w:val="75AF6101"/>
    <w:rsid w:val="75BD4822"/>
    <w:rsid w:val="75C44CC1"/>
    <w:rsid w:val="75D4601D"/>
    <w:rsid w:val="75FE2058"/>
    <w:rsid w:val="764C6F69"/>
    <w:rsid w:val="76521638"/>
    <w:rsid w:val="765613FC"/>
    <w:rsid w:val="766B233D"/>
    <w:rsid w:val="76764884"/>
    <w:rsid w:val="767D3735"/>
    <w:rsid w:val="769111C2"/>
    <w:rsid w:val="76A071E3"/>
    <w:rsid w:val="76C52806"/>
    <w:rsid w:val="77922DE8"/>
    <w:rsid w:val="779B0A1B"/>
    <w:rsid w:val="77B06A94"/>
    <w:rsid w:val="77D31AA6"/>
    <w:rsid w:val="782A508A"/>
    <w:rsid w:val="782E3222"/>
    <w:rsid w:val="78516C70"/>
    <w:rsid w:val="78705C88"/>
    <w:rsid w:val="78BA16CD"/>
    <w:rsid w:val="78D50B50"/>
    <w:rsid w:val="795C05D4"/>
    <w:rsid w:val="795C2A42"/>
    <w:rsid w:val="79A7333D"/>
    <w:rsid w:val="79E46DA7"/>
    <w:rsid w:val="7A036A7D"/>
    <w:rsid w:val="7A042C60"/>
    <w:rsid w:val="7A1B31F5"/>
    <w:rsid w:val="7A383BA3"/>
    <w:rsid w:val="7A583BE6"/>
    <w:rsid w:val="7A7858A5"/>
    <w:rsid w:val="7A9210F5"/>
    <w:rsid w:val="7ABB1659"/>
    <w:rsid w:val="7ABB57B8"/>
    <w:rsid w:val="7AD43E76"/>
    <w:rsid w:val="7AD755B2"/>
    <w:rsid w:val="7B0F1E51"/>
    <w:rsid w:val="7B223FF4"/>
    <w:rsid w:val="7B683586"/>
    <w:rsid w:val="7BE349AD"/>
    <w:rsid w:val="7C003026"/>
    <w:rsid w:val="7C2F14D2"/>
    <w:rsid w:val="7CAF481A"/>
    <w:rsid w:val="7CF73E46"/>
    <w:rsid w:val="7D203A5E"/>
    <w:rsid w:val="7D4E2748"/>
    <w:rsid w:val="7D6666FE"/>
    <w:rsid w:val="7D6D4BD6"/>
    <w:rsid w:val="7DB61C4E"/>
    <w:rsid w:val="7E5F4093"/>
    <w:rsid w:val="7E6F43B3"/>
    <w:rsid w:val="7F1267A9"/>
    <w:rsid w:val="7F604567"/>
    <w:rsid w:val="7F65392B"/>
    <w:rsid w:val="7F691609"/>
    <w:rsid w:val="7F855A57"/>
    <w:rsid w:val="7FF15A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ind w:firstLine="200" w:firstLineChars="200"/>
      <w:jc w:val="both"/>
    </w:pPr>
    <w:rPr>
      <w:rFonts w:ascii="Calibri" w:hAnsi="Calibri" w:eastAsia="宋体" w:cs="黑体"/>
      <w:kern w:val="2"/>
      <w:sz w:val="24"/>
      <w:szCs w:val="22"/>
      <w:lang w:val="en-US" w:eastAsia="zh-CN" w:bidi="ar-SA"/>
    </w:rPr>
  </w:style>
  <w:style w:type="paragraph" w:styleId="4">
    <w:name w:val="heading 1"/>
    <w:basedOn w:val="1"/>
    <w:next w:val="1"/>
    <w:link w:val="37"/>
    <w:qFormat/>
    <w:uiPriority w:val="0"/>
    <w:pPr>
      <w:keepNext/>
      <w:keepLines/>
      <w:tabs>
        <w:tab w:val="left" w:pos="432"/>
      </w:tabs>
      <w:ind w:firstLine="0" w:firstLineChars="0"/>
      <w:outlineLvl w:val="0"/>
    </w:pPr>
    <w:rPr>
      <w:rFonts w:ascii="Times New Roman" w:hAnsi="Times New Roman" w:cs="Times New Roman"/>
      <w:b/>
      <w:bCs/>
      <w:kern w:val="44"/>
      <w:sz w:val="32"/>
      <w:szCs w:val="32"/>
    </w:rPr>
  </w:style>
  <w:style w:type="paragraph" w:styleId="5">
    <w:name w:val="heading 2"/>
    <w:basedOn w:val="1"/>
    <w:next w:val="1"/>
    <w:link w:val="38"/>
    <w:qFormat/>
    <w:uiPriority w:val="0"/>
    <w:pPr>
      <w:keepNext/>
      <w:keepLines/>
      <w:spacing w:before="20"/>
      <w:ind w:firstLine="0" w:firstLineChars="0"/>
      <w:outlineLvl w:val="1"/>
    </w:pPr>
    <w:rPr>
      <w:rFonts w:ascii="宋体" w:hAnsi="宋体" w:cs="宋体"/>
      <w:b/>
      <w:bCs/>
      <w:sz w:val="32"/>
      <w:szCs w:val="32"/>
    </w:rPr>
  </w:style>
  <w:style w:type="paragraph" w:styleId="6">
    <w:name w:val="heading 3"/>
    <w:basedOn w:val="5"/>
    <w:next w:val="1"/>
    <w:link w:val="39"/>
    <w:qFormat/>
    <w:uiPriority w:val="0"/>
    <w:pPr>
      <w:outlineLvl w:val="2"/>
    </w:pPr>
  </w:style>
  <w:style w:type="paragraph" w:styleId="7">
    <w:name w:val="heading 4"/>
    <w:basedOn w:val="1"/>
    <w:next w:val="1"/>
    <w:link w:val="40"/>
    <w:qFormat/>
    <w:uiPriority w:val="0"/>
    <w:pPr>
      <w:keepNext/>
      <w:keepLines/>
      <w:numPr>
        <w:ilvl w:val="3"/>
        <w:numId w:val="1"/>
      </w:numPr>
      <w:tabs>
        <w:tab w:val="left" w:pos="432"/>
      </w:tabs>
      <w:spacing w:before="280" w:after="290" w:line="376" w:lineRule="auto"/>
      <w:outlineLvl w:val="3"/>
    </w:pPr>
    <w:rPr>
      <w:rFonts w:ascii="Calibri Light" w:hAnsi="Calibri Light" w:cs="Times New Roman"/>
      <w:b/>
      <w:bCs/>
      <w:sz w:val="28"/>
      <w:szCs w:val="28"/>
    </w:rPr>
  </w:style>
  <w:style w:type="paragraph" w:styleId="8">
    <w:name w:val="heading 5"/>
    <w:basedOn w:val="1"/>
    <w:next w:val="1"/>
    <w:link w:val="41"/>
    <w:qFormat/>
    <w:uiPriority w:val="0"/>
    <w:pPr>
      <w:keepNext/>
      <w:keepLines/>
      <w:numPr>
        <w:ilvl w:val="4"/>
        <w:numId w:val="1"/>
      </w:numPr>
      <w:tabs>
        <w:tab w:val="left" w:pos="432"/>
      </w:tabs>
      <w:spacing w:before="280" w:after="290" w:line="376" w:lineRule="auto"/>
      <w:outlineLvl w:val="4"/>
    </w:pPr>
    <w:rPr>
      <w:rFonts w:ascii="Times New Roman" w:hAnsi="Times New Roman" w:cs="Times New Roman"/>
      <w:b/>
      <w:bCs/>
      <w:sz w:val="28"/>
      <w:szCs w:val="28"/>
    </w:rPr>
  </w:style>
  <w:style w:type="paragraph" w:styleId="9">
    <w:name w:val="heading 6"/>
    <w:basedOn w:val="1"/>
    <w:next w:val="1"/>
    <w:link w:val="42"/>
    <w:qFormat/>
    <w:uiPriority w:val="0"/>
    <w:pPr>
      <w:keepNext/>
      <w:keepLines/>
      <w:numPr>
        <w:ilvl w:val="5"/>
        <w:numId w:val="1"/>
      </w:numPr>
      <w:tabs>
        <w:tab w:val="left" w:pos="432"/>
      </w:tabs>
      <w:spacing w:before="240" w:after="64" w:line="320" w:lineRule="auto"/>
      <w:outlineLvl w:val="5"/>
    </w:pPr>
    <w:rPr>
      <w:rFonts w:ascii="Calibri Light" w:hAnsi="Calibri Light" w:cs="Times New Roman"/>
      <w:b/>
      <w:bCs/>
      <w:szCs w:val="24"/>
    </w:rPr>
  </w:style>
  <w:style w:type="character" w:default="1" w:styleId="33">
    <w:name w:val="Default Paragraph Font"/>
    <w:semiHidden/>
    <w:unhideWhenUsed/>
    <w:qFormat/>
    <w:uiPriority w:val="1"/>
  </w:style>
  <w:style w:type="table" w:default="1" w:styleId="31">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qFormat/>
    <w:uiPriority w:val="99"/>
    <w:pPr>
      <w:spacing w:after="120"/>
    </w:pPr>
  </w:style>
  <w:style w:type="paragraph" w:styleId="3">
    <w:name w:val="Title"/>
    <w:basedOn w:val="1"/>
    <w:next w:val="1"/>
    <w:qFormat/>
    <w:uiPriority w:val="0"/>
    <w:pPr>
      <w:spacing w:before="240" w:after="60"/>
      <w:jc w:val="center"/>
      <w:outlineLvl w:val="0"/>
    </w:pPr>
    <w:rPr>
      <w:rFonts w:ascii="Cambria" w:hAnsi="Cambria"/>
      <w:b/>
      <w:bCs/>
      <w:sz w:val="32"/>
      <w:szCs w:val="32"/>
    </w:rPr>
  </w:style>
  <w:style w:type="paragraph" w:styleId="10">
    <w:name w:val="toc 7"/>
    <w:next w:val="1"/>
    <w:qFormat/>
    <w:uiPriority w:val="0"/>
    <w:pPr>
      <w:ind w:left="1260"/>
    </w:pPr>
    <w:rPr>
      <w:rFonts w:ascii="Times New Roman" w:hAnsi="Times New Roman" w:eastAsia="宋体" w:cs="Times New Roman"/>
      <w:sz w:val="18"/>
      <w:szCs w:val="18"/>
      <w:lang w:val="en-US" w:eastAsia="zh-CN" w:bidi="ar-SA"/>
    </w:rPr>
  </w:style>
  <w:style w:type="paragraph" w:styleId="11">
    <w:name w:val="Normal Indent"/>
    <w:basedOn w:val="1"/>
    <w:qFormat/>
    <w:uiPriority w:val="0"/>
    <w:pPr>
      <w:ind w:firstLine="420"/>
    </w:pPr>
    <w:rPr>
      <w:rFonts w:ascii="Times New Roman" w:hAnsi="Times New Roman" w:cs="Times New Roman"/>
    </w:rPr>
  </w:style>
  <w:style w:type="paragraph" w:styleId="12">
    <w:name w:val="caption"/>
    <w:basedOn w:val="1"/>
    <w:next w:val="1"/>
    <w:qFormat/>
    <w:uiPriority w:val="0"/>
    <w:pPr>
      <w:spacing w:line="240" w:lineRule="auto"/>
      <w:ind w:firstLine="0" w:firstLineChars="0"/>
    </w:pPr>
    <w:rPr>
      <w:rFonts w:ascii="Cambria" w:hAnsi="Cambria" w:eastAsia="黑体" w:cs="Times New Roman"/>
      <w:sz w:val="20"/>
      <w:szCs w:val="20"/>
    </w:rPr>
  </w:style>
  <w:style w:type="paragraph" w:styleId="13">
    <w:name w:val="Document Map"/>
    <w:basedOn w:val="1"/>
    <w:link w:val="43"/>
    <w:qFormat/>
    <w:uiPriority w:val="0"/>
    <w:rPr>
      <w:rFonts w:ascii="宋体" w:hAnsi="Times New Roman" w:cs="Times New Roman"/>
      <w:sz w:val="18"/>
      <w:szCs w:val="18"/>
    </w:rPr>
  </w:style>
  <w:style w:type="paragraph" w:styleId="14">
    <w:name w:val="annotation text"/>
    <w:basedOn w:val="1"/>
    <w:link w:val="44"/>
    <w:qFormat/>
    <w:uiPriority w:val="0"/>
    <w:pPr>
      <w:jc w:val="left"/>
    </w:pPr>
    <w:rPr>
      <w:rFonts w:ascii="Times New Roman" w:hAnsi="Times New Roman" w:cs="Times New Roman"/>
    </w:rPr>
  </w:style>
  <w:style w:type="paragraph" w:styleId="15">
    <w:name w:val="Body Text Indent"/>
    <w:basedOn w:val="1"/>
    <w:qFormat/>
    <w:uiPriority w:val="0"/>
    <w:pPr>
      <w:ind w:firstLine="640"/>
    </w:pPr>
    <w:rPr>
      <w:rFonts w:ascii="Times New Roman" w:hAnsi="Times New Roman" w:eastAsia="仿宋_GB2312" w:cs="Times New Roman"/>
      <w:sz w:val="32"/>
      <w:szCs w:val="20"/>
    </w:rPr>
  </w:style>
  <w:style w:type="paragraph" w:styleId="16">
    <w:name w:val="toc 5"/>
    <w:next w:val="1"/>
    <w:qFormat/>
    <w:uiPriority w:val="0"/>
    <w:pPr>
      <w:ind w:left="840"/>
    </w:pPr>
    <w:rPr>
      <w:rFonts w:ascii="Times New Roman" w:hAnsi="Times New Roman" w:eastAsia="宋体" w:cs="Times New Roman"/>
      <w:sz w:val="18"/>
      <w:szCs w:val="18"/>
      <w:lang w:val="en-US" w:eastAsia="zh-CN" w:bidi="ar-SA"/>
    </w:rPr>
  </w:style>
  <w:style w:type="paragraph" w:styleId="17">
    <w:name w:val="toc 3"/>
    <w:next w:val="1"/>
    <w:qFormat/>
    <w:uiPriority w:val="0"/>
    <w:pPr>
      <w:ind w:left="420"/>
    </w:pPr>
    <w:rPr>
      <w:rFonts w:ascii="Times New Roman" w:hAnsi="Times New Roman" w:eastAsia="宋体" w:cs="Times New Roman"/>
      <w:i/>
      <w:iCs/>
      <w:lang w:val="en-US" w:eastAsia="zh-CN" w:bidi="ar-SA"/>
    </w:rPr>
  </w:style>
  <w:style w:type="paragraph" w:styleId="18">
    <w:name w:val="toc 8"/>
    <w:next w:val="1"/>
    <w:qFormat/>
    <w:uiPriority w:val="0"/>
    <w:pPr>
      <w:ind w:left="1470"/>
    </w:pPr>
    <w:rPr>
      <w:rFonts w:ascii="Times New Roman" w:hAnsi="Times New Roman" w:eastAsia="宋体" w:cs="Times New Roman"/>
      <w:sz w:val="18"/>
      <w:szCs w:val="18"/>
      <w:lang w:val="en-US" w:eastAsia="zh-CN" w:bidi="ar-SA"/>
    </w:rPr>
  </w:style>
  <w:style w:type="paragraph" w:styleId="19">
    <w:name w:val="Date"/>
    <w:basedOn w:val="1"/>
    <w:next w:val="1"/>
    <w:link w:val="45"/>
    <w:qFormat/>
    <w:uiPriority w:val="0"/>
    <w:pPr>
      <w:ind w:left="100" w:leftChars="2500"/>
    </w:pPr>
    <w:rPr>
      <w:rFonts w:ascii="Times New Roman" w:hAnsi="Times New Roman" w:cs="Times New Roman"/>
    </w:rPr>
  </w:style>
  <w:style w:type="paragraph" w:styleId="20">
    <w:name w:val="Balloon Text"/>
    <w:basedOn w:val="1"/>
    <w:link w:val="46"/>
    <w:qFormat/>
    <w:uiPriority w:val="0"/>
    <w:pPr>
      <w:spacing w:line="240" w:lineRule="auto"/>
    </w:pPr>
    <w:rPr>
      <w:rFonts w:ascii="Times New Roman" w:hAnsi="Times New Roman" w:cs="Times New Roman"/>
      <w:sz w:val="18"/>
      <w:szCs w:val="18"/>
    </w:rPr>
  </w:style>
  <w:style w:type="paragraph" w:styleId="21">
    <w:name w:val="footer"/>
    <w:basedOn w:val="1"/>
    <w:link w:val="47"/>
    <w:qFormat/>
    <w:uiPriority w:val="0"/>
    <w:pPr>
      <w:tabs>
        <w:tab w:val="center" w:pos="4153"/>
        <w:tab w:val="right" w:pos="8306"/>
      </w:tabs>
      <w:snapToGrid w:val="0"/>
      <w:jc w:val="left"/>
    </w:pPr>
    <w:rPr>
      <w:rFonts w:ascii="Times New Roman" w:hAnsi="Times New Roman" w:cs="Times New Roman"/>
      <w:sz w:val="18"/>
      <w:szCs w:val="18"/>
    </w:rPr>
  </w:style>
  <w:style w:type="paragraph" w:styleId="22">
    <w:name w:val="header"/>
    <w:basedOn w:val="1"/>
    <w:link w:val="48"/>
    <w:qFormat/>
    <w:uiPriority w:val="0"/>
    <w:pPr>
      <w:pBdr>
        <w:bottom w:val="single" w:color="auto" w:sz="6" w:space="1"/>
      </w:pBdr>
      <w:tabs>
        <w:tab w:val="center" w:pos="4153"/>
        <w:tab w:val="right" w:pos="8306"/>
      </w:tabs>
      <w:snapToGrid w:val="0"/>
      <w:jc w:val="center"/>
    </w:pPr>
    <w:rPr>
      <w:rFonts w:ascii="Times New Roman" w:hAnsi="Times New Roman" w:cs="Times New Roman"/>
      <w:sz w:val="18"/>
      <w:szCs w:val="18"/>
    </w:rPr>
  </w:style>
  <w:style w:type="paragraph" w:styleId="23">
    <w:name w:val="toc 1"/>
    <w:basedOn w:val="1"/>
    <w:next w:val="1"/>
    <w:qFormat/>
    <w:uiPriority w:val="39"/>
    <w:pPr>
      <w:spacing w:beforeLines="38" w:afterLines="38"/>
    </w:pPr>
    <w:rPr>
      <w:rFonts w:ascii="Times New Roman" w:hAnsi="Times New Roman" w:cs="Times New Roman"/>
      <w:b/>
      <w:bCs/>
    </w:rPr>
  </w:style>
  <w:style w:type="paragraph" w:styleId="24">
    <w:name w:val="toc 4"/>
    <w:next w:val="1"/>
    <w:qFormat/>
    <w:uiPriority w:val="0"/>
    <w:pPr>
      <w:ind w:left="630"/>
    </w:pPr>
    <w:rPr>
      <w:rFonts w:ascii="Times New Roman" w:hAnsi="Times New Roman" w:eastAsia="宋体" w:cs="Times New Roman"/>
      <w:sz w:val="18"/>
      <w:szCs w:val="18"/>
      <w:lang w:val="en-US" w:eastAsia="zh-CN" w:bidi="ar-SA"/>
    </w:rPr>
  </w:style>
  <w:style w:type="paragraph" w:styleId="25">
    <w:name w:val="toc 6"/>
    <w:next w:val="1"/>
    <w:qFormat/>
    <w:uiPriority w:val="0"/>
    <w:pPr>
      <w:ind w:left="1050"/>
    </w:pPr>
    <w:rPr>
      <w:rFonts w:ascii="Times New Roman" w:hAnsi="Times New Roman" w:eastAsia="宋体" w:cs="Times New Roman"/>
      <w:sz w:val="18"/>
      <w:szCs w:val="18"/>
      <w:lang w:val="en-US" w:eastAsia="zh-CN" w:bidi="ar-SA"/>
    </w:rPr>
  </w:style>
  <w:style w:type="paragraph" w:styleId="26">
    <w:name w:val="toc 2"/>
    <w:basedOn w:val="1"/>
    <w:next w:val="1"/>
    <w:qFormat/>
    <w:uiPriority w:val="39"/>
    <w:pPr>
      <w:ind w:left="210"/>
    </w:pPr>
    <w:rPr>
      <w:smallCaps/>
    </w:rPr>
  </w:style>
  <w:style w:type="paragraph" w:styleId="27">
    <w:name w:val="toc 9"/>
    <w:next w:val="1"/>
    <w:qFormat/>
    <w:uiPriority w:val="0"/>
    <w:pPr>
      <w:ind w:left="1680"/>
    </w:pPr>
    <w:rPr>
      <w:rFonts w:ascii="Times New Roman" w:hAnsi="Times New Roman" w:eastAsia="宋体" w:cs="Times New Roman"/>
      <w:sz w:val="18"/>
      <w:szCs w:val="18"/>
      <w:lang w:val="en-US" w:eastAsia="zh-CN" w:bidi="ar-SA"/>
    </w:rPr>
  </w:style>
  <w:style w:type="paragraph" w:styleId="28">
    <w:name w:val="Normal (Web)"/>
    <w:basedOn w:val="1"/>
    <w:semiHidden/>
    <w:unhideWhenUsed/>
    <w:uiPriority w:val="99"/>
    <w:pPr>
      <w:spacing w:before="0" w:beforeAutospacing="1" w:after="0" w:afterAutospacing="1"/>
      <w:ind w:left="0" w:right="0"/>
      <w:jc w:val="left"/>
    </w:pPr>
    <w:rPr>
      <w:kern w:val="0"/>
      <w:sz w:val="24"/>
      <w:lang w:val="en-US" w:eastAsia="zh-CN" w:bidi="ar"/>
    </w:rPr>
  </w:style>
  <w:style w:type="paragraph" w:styleId="29">
    <w:name w:val="annotation subject"/>
    <w:basedOn w:val="14"/>
    <w:next w:val="14"/>
    <w:link w:val="49"/>
    <w:qFormat/>
    <w:uiPriority w:val="0"/>
    <w:rPr>
      <w:b/>
      <w:bCs/>
    </w:rPr>
  </w:style>
  <w:style w:type="paragraph" w:styleId="30">
    <w:name w:val="Body Text First Indent"/>
    <w:basedOn w:val="1"/>
    <w:next w:val="1"/>
    <w:qFormat/>
    <w:uiPriority w:val="0"/>
    <w:pPr>
      <w:ind w:firstLine="420"/>
    </w:pPr>
  </w:style>
  <w:style w:type="table" w:styleId="32">
    <w:name w:val="Table Grid"/>
    <w:basedOn w:val="3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4">
    <w:name w:val="Strong"/>
    <w:basedOn w:val="33"/>
    <w:qFormat/>
    <w:uiPriority w:val="22"/>
    <w:rPr>
      <w:b/>
      <w:bCs/>
    </w:rPr>
  </w:style>
  <w:style w:type="character" w:styleId="35">
    <w:name w:val="Hyperlink"/>
    <w:qFormat/>
    <w:uiPriority w:val="99"/>
    <w:rPr>
      <w:rFonts w:ascii="Times New Roman" w:hAnsi="Times New Roman" w:eastAsia="宋体" w:cs="Times New Roman"/>
      <w:color w:val="0563C1"/>
      <w:u w:val="single"/>
    </w:rPr>
  </w:style>
  <w:style w:type="character" w:styleId="36">
    <w:name w:val="annotation reference"/>
    <w:qFormat/>
    <w:uiPriority w:val="0"/>
    <w:rPr>
      <w:rFonts w:ascii="Times New Roman" w:hAnsi="Times New Roman" w:eastAsia="宋体" w:cs="Times New Roman"/>
      <w:sz w:val="21"/>
      <w:szCs w:val="21"/>
    </w:rPr>
  </w:style>
  <w:style w:type="character" w:customStyle="1" w:styleId="37">
    <w:name w:val="标题 1 字符"/>
    <w:link w:val="4"/>
    <w:qFormat/>
    <w:uiPriority w:val="0"/>
    <w:rPr>
      <w:rFonts w:ascii="Times New Roman" w:hAnsi="Times New Roman" w:eastAsia="宋体" w:cs="Times New Roman"/>
      <w:b/>
      <w:bCs/>
      <w:kern w:val="44"/>
      <w:sz w:val="32"/>
      <w:szCs w:val="32"/>
      <w:lang w:val="en-US" w:eastAsia="zh-CN" w:bidi="ar-SA"/>
    </w:rPr>
  </w:style>
  <w:style w:type="character" w:customStyle="1" w:styleId="38">
    <w:name w:val="标题 2 字符"/>
    <w:link w:val="5"/>
    <w:qFormat/>
    <w:uiPriority w:val="0"/>
    <w:rPr>
      <w:rFonts w:ascii="宋体" w:hAnsi="宋体" w:eastAsia="宋体" w:cs="宋体"/>
      <w:b/>
      <w:bCs/>
      <w:kern w:val="2"/>
      <w:sz w:val="32"/>
      <w:szCs w:val="32"/>
      <w:lang w:val="en-US" w:eastAsia="zh-CN" w:bidi="ar-SA"/>
    </w:rPr>
  </w:style>
  <w:style w:type="character" w:customStyle="1" w:styleId="39">
    <w:name w:val="标题 3 字符"/>
    <w:link w:val="6"/>
    <w:qFormat/>
    <w:uiPriority w:val="0"/>
    <w:rPr>
      <w:rFonts w:ascii="宋体" w:hAnsi="宋体" w:eastAsia="宋体" w:cs="宋体"/>
      <w:b/>
      <w:bCs/>
      <w:kern w:val="2"/>
      <w:sz w:val="32"/>
      <w:szCs w:val="32"/>
      <w:lang w:val="en-US" w:eastAsia="zh-CN" w:bidi="ar-SA"/>
    </w:rPr>
  </w:style>
  <w:style w:type="character" w:customStyle="1" w:styleId="40">
    <w:name w:val="标题 4 字符"/>
    <w:link w:val="7"/>
    <w:qFormat/>
    <w:uiPriority w:val="0"/>
    <w:rPr>
      <w:rFonts w:ascii="Calibri Light" w:hAnsi="Calibri Light" w:eastAsia="宋体" w:cs="黑体"/>
      <w:b/>
      <w:bCs/>
      <w:sz w:val="28"/>
      <w:szCs w:val="28"/>
    </w:rPr>
  </w:style>
  <w:style w:type="character" w:customStyle="1" w:styleId="41">
    <w:name w:val="标题 5 字符"/>
    <w:link w:val="8"/>
    <w:qFormat/>
    <w:uiPriority w:val="0"/>
    <w:rPr>
      <w:rFonts w:ascii="Times New Roman" w:hAnsi="Times New Roman" w:eastAsia="宋体" w:cs="Times New Roman"/>
      <w:b/>
      <w:bCs/>
      <w:sz w:val="28"/>
      <w:szCs w:val="28"/>
    </w:rPr>
  </w:style>
  <w:style w:type="character" w:customStyle="1" w:styleId="42">
    <w:name w:val="标题 6 字符"/>
    <w:link w:val="9"/>
    <w:qFormat/>
    <w:uiPriority w:val="0"/>
    <w:rPr>
      <w:rFonts w:ascii="Calibri Light" w:hAnsi="Calibri Light" w:eastAsia="宋体" w:cs="黑体"/>
      <w:b/>
      <w:bCs/>
      <w:sz w:val="24"/>
      <w:szCs w:val="24"/>
    </w:rPr>
  </w:style>
  <w:style w:type="character" w:customStyle="1" w:styleId="43">
    <w:name w:val="文档结构图 字符"/>
    <w:link w:val="13"/>
    <w:qFormat/>
    <w:uiPriority w:val="0"/>
    <w:rPr>
      <w:rFonts w:ascii="宋体" w:hAnsi="Times New Roman" w:eastAsia="宋体" w:cs="Times New Roman"/>
      <w:sz w:val="18"/>
      <w:szCs w:val="18"/>
    </w:rPr>
  </w:style>
  <w:style w:type="character" w:customStyle="1" w:styleId="44">
    <w:name w:val="批注文字 字符"/>
    <w:link w:val="14"/>
    <w:qFormat/>
    <w:uiPriority w:val="0"/>
    <w:rPr>
      <w:rFonts w:ascii="Calibri" w:hAnsi="Calibri" w:eastAsia="宋体" w:cs="黑体"/>
      <w:kern w:val="2"/>
      <w:sz w:val="24"/>
      <w:szCs w:val="22"/>
    </w:rPr>
  </w:style>
  <w:style w:type="character" w:customStyle="1" w:styleId="45">
    <w:name w:val="日期 字符"/>
    <w:link w:val="19"/>
    <w:qFormat/>
    <w:uiPriority w:val="0"/>
    <w:rPr>
      <w:rFonts w:ascii="Calibri" w:hAnsi="Calibri" w:eastAsia="宋体" w:cs="黑体"/>
      <w:kern w:val="2"/>
      <w:sz w:val="24"/>
      <w:szCs w:val="22"/>
    </w:rPr>
  </w:style>
  <w:style w:type="character" w:customStyle="1" w:styleId="46">
    <w:name w:val="批注框文本 字符"/>
    <w:link w:val="20"/>
    <w:qFormat/>
    <w:uiPriority w:val="0"/>
    <w:rPr>
      <w:rFonts w:ascii="Times New Roman" w:hAnsi="Times New Roman" w:eastAsia="宋体" w:cs="Times New Roman"/>
      <w:sz w:val="18"/>
      <w:szCs w:val="18"/>
    </w:rPr>
  </w:style>
  <w:style w:type="character" w:customStyle="1" w:styleId="47">
    <w:name w:val="页脚 字符"/>
    <w:link w:val="21"/>
    <w:qFormat/>
    <w:uiPriority w:val="0"/>
    <w:rPr>
      <w:rFonts w:ascii="Times New Roman" w:hAnsi="Times New Roman" w:eastAsia="宋体" w:cs="Times New Roman"/>
      <w:sz w:val="18"/>
      <w:szCs w:val="18"/>
    </w:rPr>
  </w:style>
  <w:style w:type="character" w:customStyle="1" w:styleId="48">
    <w:name w:val="页眉 字符"/>
    <w:link w:val="22"/>
    <w:qFormat/>
    <w:uiPriority w:val="0"/>
    <w:rPr>
      <w:rFonts w:ascii="Times New Roman" w:hAnsi="Times New Roman" w:eastAsia="宋体" w:cs="Times New Roman"/>
      <w:sz w:val="18"/>
      <w:szCs w:val="18"/>
    </w:rPr>
  </w:style>
  <w:style w:type="character" w:customStyle="1" w:styleId="49">
    <w:name w:val="批注主题 字符"/>
    <w:link w:val="29"/>
    <w:qFormat/>
    <w:uiPriority w:val="0"/>
    <w:rPr>
      <w:rFonts w:ascii="Calibri" w:hAnsi="Calibri" w:eastAsia="宋体" w:cs="黑体"/>
      <w:b/>
      <w:bCs/>
      <w:kern w:val="2"/>
      <w:sz w:val="24"/>
      <w:szCs w:val="22"/>
    </w:rPr>
  </w:style>
  <w:style w:type="character" w:customStyle="1" w:styleId="50">
    <w:name w:val="页码1"/>
    <w:qFormat/>
    <w:uiPriority w:val="0"/>
    <w:rPr>
      <w:rFonts w:ascii="Times New Roman" w:hAnsi="Times New Roman" w:eastAsia="宋体" w:cs="Times New Roman"/>
    </w:rPr>
  </w:style>
  <w:style w:type="paragraph" w:customStyle="1" w:styleId="51">
    <w:name w:val="TOC Heading1"/>
    <w:basedOn w:val="4"/>
    <w:next w:val="1"/>
    <w:qFormat/>
    <w:uiPriority w:val="0"/>
    <w:pPr>
      <w:widowControl/>
      <w:spacing w:before="480" w:line="276" w:lineRule="auto"/>
      <w:jc w:val="left"/>
      <w:outlineLvl w:val="9"/>
    </w:pPr>
    <w:rPr>
      <w:rFonts w:ascii="Calibri Light" w:hAnsi="Calibri Light"/>
      <w:color w:val="2D73B3"/>
      <w:kern w:val="0"/>
      <w:sz w:val="28"/>
      <w:szCs w:val="28"/>
    </w:rPr>
  </w:style>
  <w:style w:type="paragraph" w:customStyle="1" w:styleId="52">
    <w:name w:val="List Paragraph1"/>
    <w:basedOn w:val="1"/>
    <w:qFormat/>
    <w:uiPriority w:val="0"/>
    <w:pPr>
      <w:ind w:firstLine="420"/>
    </w:pPr>
    <w:rPr>
      <w:rFonts w:ascii="Times New Roman" w:hAnsi="Times New Roman" w:cs="Times New Roman"/>
    </w:rPr>
  </w:style>
  <w:style w:type="paragraph" w:customStyle="1" w:styleId="53">
    <w:name w:val="列出段落1"/>
    <w:basedOn w:val="1"/>
    <w:qFormat/>
    <w:uiPriority w:val="0"/>
    <w:pPr>
      <w:ind w:firstLine="420"/>
    </w:pPr>
    <w:rPr>
      <w:rFonts w:ascii="Times New Roman" w:hAnsi="Times New Roman" w:cs="Times New Roman"/>
    </w:rPr>
  </w:style>
  <w:style w:type="paragraph" w:customStyle="1" w:styleId="54">
    <w:name w:val="样式1"/>
    <w:basedOn w:val="1"/>
    <w:qFormat/>
    <w:uiPriority w:val="0"/>
    <w:rPr>
      <w:rFonts w:ascii="宋体" w:hAnsi="Times New Roman" w:cs="Times New Roman"/>
    </w:rPr>
  </w:style>
  <w:style w:type="paragraph" w:customStyle="1" w:styleId="55">
    <w:name w:val="p0"/>
    <w:basedOn w:val="1"/>
    <w:qFormat/>
    <w:uiPriority w:val="0"/>
    <w:pPr>
      <w:widowControl/>
      <w:spacing w:line="240" w:lineRule="auto"/>
      <w:ind w:firstLine="0" w:firstLineChars="0"/>
    </w:pPr>
    <w:rPr>
      <w:rFonts w:ascii="Times New Roman" w:hAnsi="Times New Roman" w:cs="Times New Roman"/>
      <w:sz w:val="21"/>
      <w:szCs w:val="20"/>
    </w:rPr>
  </w:style>
  <w:style w:type="paragraph" w:customStyle="1" w:styleId="56">
    <w:name w:val="样式 正文缩进 + 宋体 小四"/>
    <w:basedOn w:val="11"/>
    <w:qFormat/>
    <w:uiPriority w:val="0"/>
    <w:pPr>
      <w:spacing w:line="240" w:lineRule="auto"/>
      <w:ind w:firstLine="0" w:firstLineChars="0"/>
    </w:pPr>
    <w:rPr>
      <w:color w:val="000000"/>
      <w:sz w:val="18"/>
      <w:szCs w:val="20"/>
    </w:rPr>
  </w:style>
  <w:style w:type="paragraph" w:customStyle="1" w:styleId="57">
    <w:name w:val="标准正文1 首行缩进:  0.85 厘米 + 首行缩进:  2 字符"/>
    <w:basedOn w:val="1"/>
    <w:qFormat/>
    <w:uiPriority w:val="0"/>
    <w:pPr>
      <w:spacing w:line="300" w:lineRule="auto"/>
      <w:jc w:val="left"/>
    </w:pPr>
    <w:rPr>
      <w:rFonts w:ascii="Times New Roman" w:hAnsi="Times New Roman" w:eastAsia="仿宋_GB2312" w:cs="宋体"/>
      <w:szCs w:val="20"/>
    </w:rPr>
  </w:style>
  <w:style w:type="paragraph" w:customStyle="1" w:styleId="58">
    <w:name w:val="_Style 55"/>
    <w:qFormat/>
    <w:uiPriority w:val="0"/>
    <w:rPr>
      <w:rFonts w:ascii="Calibri" w:hAnsi="Calibri" w:eastAsia="宋体" w:cs="黑体"/>
      <w:kern w:val="2"/>
      <w:sz w:val="24"/>
      <w:szCs w:val="22"/>
      <w:lang w:val="en-US" w:eastAsia="zh-CN" w:bidi="ar-SA"/>
    </w:rPr>
  </w:style>
  <w:style w:type="paragraph" w:customStyle="1" w:styleId="59">
    <w:name w:val="00"/>
    <w:basedOn w:val="1"/>
    <w:qFormat/>
    <w:uiPriority w:val="0"/>
    <w:pPr>
      <w:overflowPunct w:val="0"/>
      <w:topLinePunct/>
      <w:spacing w:line="312" w:lineRule="exact"/>
      <w:ind w:firstLine="0" w:firstLineChars="0"/>
    </w:pPr>
    <w:rPr>
      <w:rFonts w:cs="Times New Roman"/>
      <w:sz w:val="21"/>
      <w:szCs w:val="24"/>
    </w:rPr>
  </w:style>
  <w:style w:type="character" w:customStyle="1" w:styleId="60">
    <w:name w:val="D2 Char Char"/>
    <w:link w:val="61"/>
    <w:qFormat/>
    <w:uiPriority w:val="0"/>
    <w:rPr>
      <w:rFonts w:ascii="EU-F1" w:eastAsia="黑体" w:cs="Times New Roman"/>
      <w:kern w:val="21"/>
      <w:sz w:val="21"/>
      <w:szCs w:val="21"/>
    </w:rPr>
  </w:style>
  <w:style w:type="paragraph" w:customStyle="1" w:styleId="61">
    <w:name w:val="D2"/>
    <w:basedOn w:val="1"/>
    <w:link w:val="60"/>
    <w:qFormat/>
    <w:uiPriority w:val="0"/>
    <w:pPr>
      <w:spacing w:line="312" w:lineRule="exact"/>
      <w:ind w:firstLine="0" w:firstLineChars="0"/>
    </w:pPr>
    <w:rPr>
      <w:rFonts w:ascii="EU-F1" w:eastAsia="黑体" w:cs="Times New Roman"/>
      <w:kern w:val="21"/>
      <w:sz w:val="21"/>
      <w:szCs w:val="21"/>
    </w:rPr>
  </w:style>
  <w:style w:type="paragraph" w:customStyle="1" w:styleId="62">
    <w:name w:val="正文表标题"/>
    <w:next w:val="63"/>
    <w:qFormat/>
    <w:uiPriority w:val="0"/>
    <w:pPr>
      <w:tabs>
        <w:tab w:val="left" w:pos="360"/>
      </w:tabs>
      <w:spacing w:beforeLines="50" w:afterLines="50"/>
      <w:jc w:val="center"/>
    </w:pPr>
    <w:rPr>
      <w:rFonts w:ascii="黑体" w:hAnsi="Times New Roman" w:eastAsia="黑体" w:cs="Times New Roman"/>
      <w:lang w:val="en-US" w:eastAsia="zh-CN" w:bidi="ar-SA"/>
    </w:rPr>
  </w:style>
  <w:style w:type="paragraph" w:customStyle="1" w:styleId="63">
    <w:name w:val="段"/>
    <w:qFormat/>
    <w:uiPriority w:val="0"/>
    <w:pPr>
      <w:tabs>
        <w:tab w:val="center" w:pos="4201"/>
        <w:tab w:val="right" w:leader="dot" w:pos="9298"/>
      </w:tabs>
      <w:autoSpaceDE w:val="0"/>
      <w:autoSpaceDN w:val="0"/>
      <w:ind w:firstLine="420" w:firstLineChars="200"/>
      <w:jc w:val="both"/>
    </w:pPr>
    <w:rPr>
      <w:rFonts w:ascii="宋体" w:hAnsi="Times New Roman" w:eastAsia="宋体" w:cs="Times New Roman"/>
      <w:sz w:val="21"/>
      <w:lang w:val="en-US" w:eastAsia="zh-CN" w:bidi="ar-SA"/>
    </w:rPr>
  </w:style>
  <w:style w:type="paragraph" w:customStyle="1" w:styleId="64">
    <w:name w:val="字母编号列项（一级）"/>
    <w:qFormat/>
    <w:uiPriority w:val="0"/>
    <w:pPr>
      <w:numPr>
        <w:ilvl w:val="0"/>
        <w:numId w:val="2"/>
      </w:numPr>
      <w:jc w:val="both"/>
    </w:pPr>
    <w:rPr>
      <w:rFonts w:ascii="宋体" w:hAnsi="Calibri" w:eastAsia="宋体" w:cs="Times New Roman"/>
      <w:sz w:val="21"/>
      <w:lang w:val="en-US" w:eastAsia="zh-CN" w:bidi="ar-SA"/>
    </w:rPr>
  </w:style>
  <w:style w:type="paragraph" w:customStyle="1" w:styleId="65">
    <w:name w:val="列出段落2"/>
    <w:basedOn w:val="1"/>
    <w:qFormat/>
    <w:uiPriority w:val="34"/>
    <w:pPr>
      <w:spacing w:line="580" w:lineRule="exact"/>
      <w:ind w:left="142" w:firstLine="420"/>
    </w:pPr>
    <w:rPr>
      <w:rFonts w:cs="Times New Roman"/>
      <w:sz w:val="21"/>
      <w:szCs w:val="24"/>
    </w:rPr>
  </w:style>
  <w:style w:type="paragraph" w:customStyle="1" w:styleId="66">
    <w:name w:val="*Z表内容"/>
    <w:qFormat/>
    <w:uiPriority w:val="0"/>
    <w:pPr>
      <w:snapToGrid w:val="0"/>
      <w:jc w:val="center"/>
    </w:pPr>
    <w:rPr>
      <w:rFonts w:ascii="Times New Roman" w:hAnsi="Times New Roman" w:eastAsia="宋体" w:cs="Times New Roman"/>
      <w:bCs/>
      <w:kern w:val="2"/>
      <w:sz w:val="18"/>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image" Target="media/image3.png"/><Relationship Id="rId15" Type="http://schemas.openxmlformats.org/officeDocument/2006/relationships/image" Target="media/image2.png"/><Relationship Id="rId14" Type="http://schemas.openxmlformats.org/officeDocument/2006/relationships/image" Target="media/image1.png"/><Relationship Id="rId13" Type="http://schemas.openxmlformats.org/officeDocument/2006/relationships/theme" Target="theme/theme1.xml"/><Relationship Id="rId12" Type="http://schemas.openxmlformats.org/officeDocument/2006/relationships/footer" Target="footer4.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 </Company>
  <Pages>14</Pages>
  <Words>5565</Words>
  <Characters>6222</Characters>
  <Lines>68</Lines>
  <Paragraphs>19</Paragraphs>
  <TotalTime>5</TotalTime>
  <ScaleCrop>false</ScaleCrop>
  <LinksUpToDate>false</LinksUpToDate>
  <CharactersWithSpaces>6355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2023-08-07T03:36:00Z</dcterms:created>
  <dc:creator>guojiadong</dc:creator>
  <cp:lastModifiedBy>123</cp:lastModifiedBy>
  <dcterms:modified xsi:type="dcterms:W3CDTF">2026-09-18T02:53:52Z</dcterms:modified>
  <cp:revision>32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KSORubyTemplateID">
    <vt:lpwstr>6</vt:lpwstr>
  </property>
  <property fmtid="{D5CDD505-2E9C-101B-9397-08002B2CF9AE}" pid="4" name="ICV">
    <vt:lpwstr>66F328C3FFCD4B8FA465E8ED173E3B5F</vt:lpwstr>
  </property>
  <property fmtid="{D5CDD505-2E9C-101B-9397-08002B2CF9AE}" pid="5" name="KSOTemplateDocerSaveRecord">
    <vt:lpwstr>eyJoZGlkIjoiMzIwODMyMTE4YzZlMWM0NjgxYzQ2MTg4MjQ2ZjUxNmUiLCJ1c2VySWQiOiI0MzE5NjYxMjQifQ==</vt:lpwstr>
  </property>
</Properties>
</file>