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jc w:val="left"/>
        <w:outlineLvl w:val="0"/>
        <w:rPr>
          <w:rFonts w:ascii="宋体" w:hAnsi="宋体" w:eastAsia="宋体" w:cs="宋体"/>
          <w:b/>
          <w:bCs/>
          <w:kern w:val="36"/>
          <w:sz w:val="48"/>
          <w:szCs w:val="48"/>
        </w:rPr>
      </w:pPr>
      <w:r>
        <w:rPr>
          <w:rFonts w:ascii="宋体" w:hAnsi="宋体" w:eastAsia="宋体" w:cs="宋体"/>
          <w:b/>
          <w:bCs/>
          <w:kern w:val="36"/>
          <w:sz w:val="48"/>
          <w:szCs w:val="48"/>
        </w:rPr>
        <w:t>关于南方电网澜湄国际能源有限责任公司2026年办公楼中央空调加装项目招标文件的异议书</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一、异议事项</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异议人拟参与“南方电网澜湄国际能源有限责任公司2026年办公楼中央空调加装项目”的投标。经对本项目招标文件及《技术规范书》进行认真研究，并结合国内多联式空调市场主流厂商公开产品技术资料进行比对，发现招标文件部分技术参数并非单纯针对项目使用功能、制冷制热能力、节能水平、噪声、可靠性等最终性能提出要求，而是进一步限定了室外机具体容量节点、内部结构形式、冷媒控制方式、换热器结构、变频控制范围、降噪结构以及特定认证等内容。</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其中部分技术要求与特定品牌公开产品的技术特征及产品参数体系高度重合，而其他主流品牌虽然可以通过不同技术路线达到相同或更优的制冷、制热、节能、低温运行、除霜及降噪效果，却可能因具体内部结构、容量节点或证明形式不同而无法满足招标文件的实质性要求。部分相关参数同时被标注为“</w:t>
      </w:r>
      <w:r>
        <w:rPr>
          <w:rFonts w:ascii="宋体" w:hAnsi="宋体" w:eastAsia="宋体" w:cs="宋体"/>
          <w:i/>
          <w:iCs/>
          <w:kern w:val="0"/>
          <w:sz w:val="24"/>
          <w:szCs w:val="24"/>
        </w:rPr>
        <w:t>”号重要技术指标，出现负偏离即不得进入详细评审阶段。招标文件明确规定，带“</w:t>
      </w:r>
      <w:r>
        <w:rPr>
          <w:rFonts w:ascii="宋体" w:hAnsi="宋体" w:eastAsia="宋体" w:cs="宋体"/>
          <w:kern w:val="0"/>
          <w:sz w:val="24"/>
          <w:szCs w:val="24"/>
        </w:rPr>
        <w:t>”技术指标负偏离将导致投标人不能进入详细评审。</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异议人认为，上述部分技术条件存在与项目实际需要关联度不足、限定具体技术实现路径、可能形成对潜在投标人不合理限制或排斥的情形，建议招标人对相关参数设置依据予以说明，并依法进行必要调整。</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二、主要事实及理由</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（一）部分单机制冷量节点设置过于精细，应说明其负荷计算和选型依据</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本项目技术规范书对不同室外机分别设置了34.0kW、74.0kW、90.0kW、96.0kW、102.0kW、119.0kW等最低制冷量要求，并同时规定对应制热量、功率、风量、APF、噪声、尺寸、重量等具体指标。</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经公开产品资料比对，上述容量节点与EK相关产品系列中的34.0/37.5kW、74.0/82.5kW、90.0/100.5kW、96.0/107.5kW、102.0/114.0kW、119.0/133.0kW容量组合高度对应。而美的、大金、格力、日立等主流厂商在相近容量区间采用的产品标准容量节点并不完全相同，例如部分产品采用33.5kW、73kW或73.5kW、89.5kW、95kW、101kW或101.5kW、117kW或117.5kW等容量档位。</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在实际系统负荷已经能够通过设计计算、系统组合及安全系数满足的情况下，若仅因0.5—1.5kW左右的标准容量档位差异，即将其他成熟主流产品认定为负偏离，则可能使技术参数从“满足项目冷负荷”转变为“匹配特定产品容量序列”。</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为此，请招标人明确说明34kW、74kW、90kW、96kW、102kW、119kW各容量下限的设计冷负荷计算依据、选型安全系数及不可下调的技术理由，并说明为何相邻标准容量产品在经过系统负荷校核后仍不能视为满足项目实际使用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（二）将机组“最低重量”作为技术门槛，其与产品性能及项目需求之间的关联需要进一步说明</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技术规范书针对不同容量室外机分别设置了机组质量“≥220kg”“≥355kg”“≥430kg”“≥445kg”“≥450kg”“≥480kg”等最低要求。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通常情况下，在制冷量、制热量、APF、噪声、结构强度、可靠性等最终性能均达到要求的前提下，不同厂商由于换热器设计、结构材料、压缩机配置和轻量化设计不同，整机重量存在差异属于正常技术现象。设备重量较低并不当然意味着性能较差，反而可能有利于建筑荷载、运输及吊装。</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因此，请招标人说明将“设备不得低于某一重量”作为技术性能条件的具体国家标准、行业标准或工程设计依据，以及机组重量低于该数值为何会影响本项目空调系统实际使用性能。如不存在直接对应的工程必要性，建议删除机组最低重量限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（三）“0～480Hz、控制精度0.01Hz”属于具体控制实现参数，不宜直接替代最终性能要求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技术规范书要求：“室外机变频器的调节范围在0～480Hz，控制频率精度为0.01Hz”，并将其设置为“*”号要求。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不同多联机厂商对压缩机变频控制采用不同的频率、转速、算法和控制策略，其最终目的均在于实现连续容量调节、部分负荷高效运行和系统稳定控制。公开资料显示，部分厂商直接以压缩机转速范围、rps范围、变频控制算法等方式表述，并不采用“0～480Hz、0.01Hz精度”的技术路径。</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在投标产品能够满足容量调节范围、部分负荷效率、系统稳定性和能效要求的情况下，将具体频率范围和控制精度作为否决性条件，可能导致不同技术路线的成熟产品因控制方式不同而被排除。</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建议将该项修改为功能性要求，例如要求“压缩机应具备宽范围连续变频调节能力，能够满足系统部分负荷、高低负荷及稳定运行需要”，并允许采用不同技术实现方式达到同等或更优性能。</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（四）“独立板式换热器作为三级过冷器+最大过冷度≥35℃”对具体技术结构进行了限定</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技术规范书要求系统“具备冷媒三级过冷控制，独立的板式换热器作为三级过冷器，确保系统冷媒最大过冷度≥35℃”，并要求提供公开发行产品彩色样册和第三方检测报告。</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公开资料显示，部分主流多联机产品同样采用三级过冷技术，并能够达到35℃以上的过冷效果，例如美的相关产品公开资料显示最大过冷度可达到36℃，但其采用的技术结构并非必须为招标文件所要求的“独立板式换热器”。</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这说明“提高冷媒过冷度、保障长配管及高负荷工况下系统性能”属于最终性能目标，而“独立板式换热器”只是实现该性能的一种具体技术方案。</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请招标人说明，为何达到相同或更高过冷能力的其他技术方案不能满足本项目需求。建议将该项修改为对最终过冷能力、长配管性能或系统运行稳定性的要求，并接受不同技术路线的等效或优于方案。</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（五）“防结霜管路”属于特定结构形式，市场主流品牌存在多种成熟防结霜、化霜技术路径</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技术规范书要求“室外机换热器采用防结霜管路设计，以保证机组在额定低温制热工况下运行，底部无结霜现象”，并设置为“*”号技术要求。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经公开资料核查，不同主流厂家对低温制热及结霜问题采取不同技术路径，包括专用防结霜冷媒流路、换热器底部流路优化、智能除霜控制、动态化霜算法等。这些技术均可以实现减少结霜、缩短化霜时间、改善低温制热能力的目的。</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因此，本项目实际需要应当是“保证低温制热性能、控制结霜并提高化霜效率”，而不必限定必须采用“防结霜管路”这一具体内部结构。</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建议修改为功能性和性能性要求，并允许采用经检测能够实现同等或更优低温制热、防结霜或化霜效果的其他技术方案。</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（六）在已经明确规定机组噪声上限的情况下，再强制要求“独立压缩机隔音箱”，应说明必要性</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技术规范书要求“室外机带有独立压缩机隔音箱，钣金隔音箱体高效降噪设计”，并设置为“*”号技术要求。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与此同时，采购清单已经针对不同室外机明确规定了60dB(A)、62dB(A)、64dB(A)、67dB(A)、68dB(A)等噪声上限。</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市场上不同厂家可通过压缩机结构优化、隔振设计、消声腔、风道优化、风机叶型设计、压缩机包覆材料或独立隔音箱等多种方式控制机组运行噪声。</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既然最终噪声指标已经明确，则“独立压缩机隔音箱”应当属于实现降噪目标的一种技术路径，而非最终性能本身。</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请招标人说明，在产品已经达到或优于规定噪声限值的情况下，为何仍必须采用“独立压缩机隔音箱”这一特定内部结构。建议删除具体结构限定，以最终噪声性能作为评价依据。</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（七）换热器“折弯处预留通风通道”属于高度具体的结构设计，不宜作为否决性条件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技术规范书要求“两排相邻翅片的折弯处，在加工时留有足够的通风间距作为通风通道，降低错位翅片的风阻，提高化霜排水能力”，并要求提供彩色样册和第三方检测报告。</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该要求已经具体到换热器翅片折弯方式、通风间距及内部结构，而不同厂商在换热器排布、翅片形状、风道和化霜排水结构方面均存在不同设计。</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如最终能够达到相同或更优的换热效率、风阻控制、排水能力和低温制热效果，则不应仅因换热器没有采用某一种折弯处通风结构而认定为不满足招标要求。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建议将该项调整为换热效率、风阻、化霜排水能力等最终性能指标，接受不同结构设计达到同等或更优效果。</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（八）三项特定名称认证均应明确认证规则和必要性，不宜简单作为否决性条件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技术规范书要求投标产品同时获得《产品耐候性等级认证》《产品长效节能认证》《产品长运无故障认证》三项认证，并将其设置为“*”号技术要求。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经公开资料核查，上述认证至少部分属于自愿性产品认证或产品评价，并非国家法律法规规定所有多联式空调产品必须取得的强制性认证。</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与此同时，不同厂家可能通过国家认可实验室检测报告、CMA/CNAS检测报告、其他自愿性认证或长期运行可靠性测试等方式证明相同的耐候、节能及可靠性能。</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因此，请招标人明确三项认证分别对应的认证机构、认证规则编号、认证依据及适用产品范围，并说明将三项非强制性认证同时设置为否决性条件的必要性。</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建议修改为：“提供相应认证证书或具有CMA/CNAS资质的第三方机构出具的同等性能检测、评价证明材料均予认可”，避免单一证明形式对市场竞争形成不必要限制。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（九）超长配管及110米高低差要求与本项目实际建筑条件之间的关联需要进一步说明</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本项目办公楼地上6层、地下1层，建筑高度为23.85米。</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但技术规范书将“最大实际单管长≥220米、最大总管长≥1000米、室内外机最大高低差≥110米、室内机高低差≥40米”设置为“*”号技术要求。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异议人理解，长配管性能可以体现多联机产品的适应能力，但相关指标作为否决性条件，应当与本项目实际管线长度、建筑层高、室外机布置位置及设计系统最不利环路相匹配。</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本建筑高度仅23.85米，请招标人说明110米室内外机高低差和220米实际单管长度在本项目设计中的实际使用需求、最不利工况计算及图纸依据。如实际设计管线远低于上述指标，则将远超项目实际需求的能力设置为否决性门槛，可能对其他能够完全满足本项目实际安装条件的产品形成不必要限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三、法律依据</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《中华人民共和国招标投标法》第十八条规定，招标人不得以不合理的条件限制或者排斥潜在投标人。</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该法第二十条规定，招标文件不得要求或者标明特定的生产供应者，以及含有倾向或者排斥潜在投标人的其他内容。</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中华人民共和国招标投标法实施条例》第三十二条规定，招标人不得以不合理的条件限制、排斥潜在投标人或者投标人。其中包括“设定的资格、技术、商务条件与招标项目的具体特点和实际需要不相适应或者与合同履行无关”“限定或者指定特定的专利、商标、品牌、原产地或者供应商”以及“以其他不合理条件限制、排斥潜在投标人或者投标人”等情形。</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异议人认为，招标人有权根据项目实际需求提出合理、必要的技术性能要求，但技术参数应当主要围绕项目使用目的和最终性能确定。对于能够通过不同成熟技术路线实现的性能目标，不宜在缺乏不可替代性工程依据的情况下，将某一具体内部结构、控制方式、证明形式或特定产品参数体系设置为实质性或否决性条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四、异议请求</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基于上述事实和理由，为维护公开、公平、公正的招标投标竞争环境，异议人谨提出以下请求：</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请招标人对上述技术参数的设计依据、负荷计算依据、国家或行业标准依据以及与本项目实际使用需求之间的关联进行书面说明。</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对涉及具体产品内部结构和技术实现路径的要求，包括但不限于“0～480Hz、0.01Hz控制精度”“独立板式换热器三级过冷”“防结霜管路”“独立压缩机隔音箱”“换热器折弯处通风通道”等，建议修改为功能性、性能性要求，并明确接受采用其他成熟技术路线达到同等或优于性能的产品。</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对34kW、74kW、90kW、96kW、102kW、119kW等精确容量节点以及机组最低重量、具体尺寸等参数，请结合项目负荷计算、安装空间和结构条件重新审查其必要性；对无充分设计依据的限制性参数予以调整。</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对《产品耐候性等级认证》《产品长效节能认证》《产品长运无故障认证》等证明条件，请明确认证依据，并允许采用具有同等证明效力的认证、检测或评价材料。</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对“最大实际单管长≥220米、最大总管长≥1000米、室内外机最大高低差≥110米”等明显高于本建筑自身尺度的要求，请结合设计图纸和最不利管路计算重新核定，避免将超出项目实际使用需要的产品能力设置为否决性门槛。</w:t>
      </w:r>
    </w:p>
    <w:p>
      <w:pPr>
        <w:widowControl/>
        <w:numPr>
          <w:ilvl w:val="0"/>
          <w:numId w:val="1"/>
        </w:numPr>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建议招标人根据核查结果依法修改相关招标文件，并按照法定程序向所有潜在投标人统一发布澄清或修改文件。</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异议人提出上述异议，并非要求降低项目技术标准，而是建议招标文件以项目实际需求和最终性能为核心，在保证产品质量、节能水平、运行可靠性和使用效果的同时，为不同成熟技术路线和主流品牌提供公平参与竞争的机会。</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依据《中华人民共和国招标投标法实施条例》关于招标文件异议处理的规定，请贵方依法予以审查并书面答复。</w:t>
      </w:r>
    </w:p>
    <w:p>
      <w:pPr>
        <w:widowControl/>
        <w:spacing w:before="100" w:beforeAutospacing="1" w:after="100" w:afterAutospacing="1"/>
        <w:jc w:val="left"/>
        <w:rPr>
          <w:rFonts w:ascii="宋体" w:hAnsi="宋体" w:eastAsia="宋体" w:cs="宋体"/>
          <w:kern w:val="0"/>
          <w:sz w:val="24"/>
          <w:szCs w:val="24"/>
        </w:rPr>
      </w:pPr>
      <w:r>
        <w:rPr>
          <w:rFonts w:ascii="宋体" w:hAnsi="宋体" w:eastAsia="宋体" w:cs="宋体"/>
          <w:kern w:val="0"/>
          <w:sz w:val="24"/>
          <w:szCs w:val="24"/>
        </w:rPr>
        <w:t>此致</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6B0207"/>
    <w:multiLevelType w:val="multilevel"/>
    <w:tmpl w:val="026B02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8B3"/>
    <w:rsid w:val="001450FA"/>
    <w:rsid w:val="00354408"/>
    <w:rsid w:val="003C5DF9"/>
    <w:rsid w:val="005D65E1"/>
    <w:rsid w:val="006441B9"/>
    <w:rsid w:val="006C7184"/>
    <w:rsid w:val="00774421"/>
    <w:rsid w:val="007B5A1F"/>
    <w:rsid w:val="008823FA"/>
    <w:rsid w:val="00977F15"/>
    <w:rsid w:val="009C2AB3"/>
    <w:rsid w:val="00A7092B"/>
    <w:rsid w:val="00B63C4C"/>
    <w:rsid w:val="00C33E92"/>
    <w:rsid w:val="00DF3887"/>
    <w:rsid w:val="00F218B3"/>
    <w:rsid w:val="4D8968BE"/>
    <w:rsid w:val="69F46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Emphasis"/>
    <w:basedOn w:val="7"/>
    <w:qFormat/>
    <w:uiPriority w:val="20"/>
    <w:rPr>
      <w:i/>
      <w:iCs/>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character" w:customStyle="1" w:styleId="11">
    <w:name w:val="标题 1 字符"/>
    <w:basedOn w:val="7"/>
    <w:link w:val="2"/>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2500</Words>
  <Characters>2778</Characters>
  <Lines>37</Lines>
  <Paragraphs>10</Paragraphs>
  <TotalTime>6</TotalTime>
  <ScaleCrop>false</ScaleCrop>
  <LinksUpToDate>false</LinksUpToDate>
  <CharactersWithSpaces>2778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2026-09-15T07:51:00Z</dcterms:created>
  <dc:creator>BO zhou</dc:creator>
  <cp:lastModifiedBy>张海楠</cp:lastModifiedBy>
  <dcterms:modified xsi:type="dcterms:W3CDTF">2026-09-16T06:35:33Z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eyJoZGlkIjoiNDMzZDAwYmE5NzU2ZDc0OTg3OTNjNDlhOTE2NTBlOTkiLCJ1c2VySWQiOiIxNjQyMjgyNTA4In0=</vt:lpwstr>
  </property>
  <property fmtid="{D5CDD505-2E9C-101B-9397-08002B2CF9AE}" pid="3" name="KSOProductBuildVer">
    <vt:lpwstr>2052-11.8.2.12309</vt:lpwstr>
  </property>
  <property fmtid="{D5CDD505-2E9C-101B-9397-08002B2CF9AE}" pid="4" name="ICV">
    <vt:lpwstr>D495F38A1D18428AA96D78CBCBDDFE03_12</vt:lpwstr>
  </property>
  <property fmtid="{D5CDD505-2E9C-101B-9397-08002B2CF9AE}" pid="5" name="CWMb592d101ffdc4ef7b2421d14ad1b2123">
    <vt:lpwstr>CWM2O3VPPDdpIeMltlLeBcnXpc6jnU9aiYiy11u34phu2DZ7vGGrn+L7nrZsQl7XytIf6fCcdplCpjZrOsPnndqFg==</vt:lpwstr>
  </property>
</Properties>
</file>