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EB246B">
      <w:pPr>
        <w:pStyle w:val="3"/>
        <w:outlineLvl w:val="9"/>
        <w:rPr>
          <w:rFonts w:hint="eastAsia"/>
          <w:color w:val="auto"/>
          <w:highlight w:val="none"/>
        </w:rPr>
      </w:pPr>
      <w:bookmarkStart w:id="0" w:name="_Toc154259255"/>
    </w:p>
    <w:p w14:paraId="4934A555">
      <w:pPr>
        <w:pStyle w:val="3"/>
        <w:outlineLvl w:val="9"/>
        <w:rPr>
          <w:rFonts w:hint="eastAsia"/>
          <w:color w:val="auto"/>
          <w:highlight w:val="none"/>
        </w:rPr>
      </w:pPr>
    </w:p>
    <w:p w14:paraId="1E0A3131">
      <w:pPr>
        <w:pStyle w:val="3"/>
        <w:outlineLvl w:val="9"/>
        <w:rPr>
          <w:rFonts w:hint="eastAsia"/>
          <w:color w:val="auto"/>
          <w:highlight w:val="none"/>
        </w:rPr>
      </w:pPr>
    </w:p>
    <w:p w14:paraId="248AD10A">
      <w:pPr>
        <w:pStyle w:val="3"/>
        <w:outlineLvl w:val="9"/>
        <w:rPr>
          <w:rFonts w:hint="eastAsia"/>
          <w:color w:val="auto"/>
          <w:highlight w:val="none"/>
        </w:rPr>
      </w:pPr>
    </w:p>
    <w:p w14:paraId="4D07AE38">
      <w:pPr>
        <w:pStyle w:val="3"/>
        <w:outlineLvl w:val="9"/>
        <w:rPr>
          <w:rFonts w:hint="eastAsia"/>
          <w:color w:val="auto"/>
          <w:highlight w:val="none"/>
        </w:rPr>
      </w:pPr>
    </w:p>
    <w:p w14:paraId="0E1E071B">
      <w:pPr>
        <w:pStyle w:val="3"/>
        <w:outlineLvl w:val="9"/>
        <w:rPr>
          <w:rFonts w:hint="eastAsia"/>
          <w:color w:val="auto"/>
          <w:highlight w:val="none"/>
        </w:rPr>
      </w:pPr>
    </w:p>
    <w:p w14:paraId="11880803">
      <w:pPr>
        <w:pStyle w:val="3"/>
        <w:outlineLvl w:val="9"/>
        <w:rPr>
          <w:rFonts w:hint="eastAsia"/>
          <w:color w:val="auto"/>
          <w:highlight w:val="none"/>
        </w:rPr>
      </w:pPr>
    </w:p>
    <w:p w14:paraId="08571FB8">
      <w:pPr>
        <w:pStyle w:val="3"/>
        <w:outlineLvl w:val="9"/>
        <w:rPr>
          <w:rFonts w:hint="eastAsia"/>
          <w:color w:val="auto"/>
          <w:highlight w:val="none"/>
        </w:rPr>
      </w:pPr>
    </w:p>
    <w:p w14:paraId="1069D0CB">
      <w:pPr>
        <w:pStyle w:val="3"/>
        <w:outlineLvl w:val="9"/>
        <w:rPr>
          <w:rFonts w:hint="eastAsia"/>
          <w:color w:val="auto"/>
          <w:highlight w:val="none"/>
        </w:rPr>
      </w:pPr>
    </w:p>
    <w:p w14:paraId="12D63C4E">
      <w:pPr>
        <w:pStyle w:val="3"/>
        <w:outlineLvl w:val="9"/>
        <w:rPr>
          <w:rFonts w:hint="eastAsia"/>
          <w:color w:val="auto"/>
          <w:highlight w:val="none"/>
        </w:rPr>
      </w:pPr>
      <w:r>
        <w:rPr>
          <w:b/>
          <w:color w:val="auto"/>
          <w:sz w:val="36"/>
          <w:szCs w:val="36"/>
          <w:highlight w:val="none"/>
        </w:rPr>
        <mc:AlternateContent>
          <mc:Choice Requires="wps">
            <w:drawing>
              <wp:anchor distT="0" distB="0" distL="114300" distR="114300" simplePos="0" relativeHeight="251661312" behindDoc="0" locked="0" layoutInCell="1" allowOverlap="1">
                <wp:simplePos x="0" y="0"/>
                <wp:positionH relativeFrom="column">
                  <wp:posOffset>-436880</wp:posOffset>
                </wp:positionH>
                <wp:positionV relativeFrom="paragraph">
                  <wp:posOffset>185420</wp:posOffset>
                </wp:positionV>
                <wp:extent cx="5742940" cy="942975"/>
                <wp:effectExtent l="0" t="0" r="0" b="0"/>
                <wp:wrapNone/>
                <wp:docPr id="9" name="文本框 9"/>
                <wp:cNvGraphicFramePr/>
                <a:graphic xmlns:a="http://schemas.openxmlformats.org/drawingml/2006/main">
                  <a:graphicData uri="http://schemas.microsoft.com/office/word/2010/wordprocessingShape">
                    <wps:wsp>
                      <wps:cNvSpPr txBox="1"/>
                      <wps:spPr>
                        <a:xfrm>
                          <a:off x="0" y="0"/>
                          <a:ext cx="5742940" cy="942975"/>
                        </a:xfrm>
                        <a:prstGeom prst="rect">
                          <a:avLst/>
                        </a:prstGeom>
                        <a:noFill/>
                        <a:ln>
                          <a:noFill/>
                        </a:ln>
                      </wps:spPr>
                      <wps:txbx>
                        <w:txbxContent>
                          <w:p w14:paraId="49145260">
                            <w:pPr>
                              <w:jc w:val="center"/>
                              <w:rPr>
                                <w:rFonts w:hint="eastAsia" w:ascii="宋体" w:hAnsi="宋体"/>
                                <w:b/>
                                <w:spacing w:val="-20"/>
                                <w:sz w:val="40"/>
                                <w:u w:val="none"/>
                                <w:lang w:eastAsia="zh-CN"/>
                              </w:rPr>
                            </w:pPr>
                            <w:r>
                              <w:rPr>
                                <w:rFonts w:hint="eastAsia" w:ascii="宋体" w:hAnsi="宋体"/>
                                <w:b/>
                                <w:spacing w:val="-20"/>
                                <w:sz w:val="40"/>
                                <w:u w:val="none"/>
                                <w:lang w:eastAsia="zh-CN"/>
                              </w:rPr>
                              <w:t>南方电网澜湄国际能源有限责任公司2026年</w:t>
                            </w:r>
                          </w:p>
                          <w:p w14:paraId="21C4D33A">
                            <w:pPr>
                              <w:jc w:val="center"/>
                              <w:rPr>
                                <w:rFonts w:hint="eastAsia" w:ascii="宋体" w:hAnsi="宋体"/>
                                <w:b/>
                                <w:spacing w:val="-20"/>
                                <w:sz w:val="40"/>
                              </w:rPr>
                            </w:pPr>
                            <w:r>
                              <w:rPr>
                                <w:rFonts w:hint="eastAsia" w:ascii="宋体" w:hAnsi="宋体"/>
                                <w:b/>
                                <w:spacing w:val="-20"/>
                                <w:sz w:val="40"/>
                                <w:u w:val="none"/>
                                <w:lang w:eastAsia="zh-CN"/>
                              </w:rPr>
                              <w:t>办公楼</w:t>
                            </w:r>
                            <w:r>
                              <w:rPr>
                                <w:rFonts w:hint="eastAsia" w:ascii="宋体" w:hAnsi="宋体"/>
                                <w:b/>
                                <w:spacing w:val="-20"/>
                                <w:sz w:val="40"/>
                                <w:u w:val="none"/>
                                <w:lang w:val="en-US" w:eastAsia="zh-CN"/>
                              </w:rPr>
                              <w:t>中央</w:t>
                            </w:r>
                            <w:r>
                              <w:rPr>
                                <w:rFonts w:hint="eastAsia" w:ascii="宋体" w:hAnsi="宋体"/>
                                <w:b/>
                                <w:spacing w:val="-20"/>
                                <w:sz w:val="40"/>
                                <w:u w:val="none"/>
                                <w:lang w:eastAsia="zh-CN"/>
                              </w:rPr>
                              <w:t>空调加装项目</w:t>
                            </w:r>
                            <w:r>
                              <w:rPr>
                                <w:rFonts w:hint="eastAsia" w:ascii="宋体" w:hAnsi="宋体" w:eastAsia="宋体"/>
                                <w:b/>
                                <w:spacing w:val="-20"/>
                                <w:sz w:val="40"/>
                              </w:rPr>
                              <w:t>专</w:t>
                            </w:r>
                            <w:r>
                              <w:rPr>
                                <w:rFonts w:hint="eastAsia" w:ascii="宋体" w:hAnsi="宋体"/>
                                <w:b/>
                                <w:spacing w:val="-20"/>
                                <w:sz w:val="40"/>
                              </w:rPr>
                              <w:t>项采购技术规范书</w:t>
                            </w:r>
                          </w:p>
                        </w:txbxContent>
                      </wps:txbx>
                      <wps:bodyPr upright="1"/>
                    </wps:wsp>
                  </a:graphicData>
                </a:graphic>
              </wp:anchor>
            </w:drawing>
          </mc:Choice>
          <mc:Fallback>
            <w:pict>
              <v:shape id="_x0000_s1026" o:spid="_x0000_s1026" o:spt="202" type="#_x0000_t202" style="position:absolute;left:0pt;margin-left:-34.4pt;margin-top:14.6pt;height:74.25pt;width:452.2pt;z-index:251661312;mso-width-relative:page;mso-height-relative:page;" filled="f" stroked="f" coordsize="21600,21600" o:gfxdata="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DOd+6E2AAA&#10;AAoBAAAPAAAAAAAAAAEAIAAAACIAAABkcnMvZG93bnJldi54bWxQSwECFAAUAAAACACHTuJAk0jC&#10;cqwBAABOAwAADgAAAAAAAAABACAAAAAnAQAAZHJzL2Uyb0RvYy54bWxQSwUGAAAAAAYABgBZAQAA&#10;RQUAAAAA&#10;">
                <v:fill on="f" focussize="0,0"/>
                <v:stroke on="f"/>
                <v:imagedata o:title=""/>
                <o:lock v:ext="edit" aspectratio="f"/>
                <v:textbox>
                  <w:txbxContent>
                    <w:p w14:paraId="49145260">
                      <w:pPr>
                        <w:jc w:val="center"/>
                        <w:rPr>
                          <w:rFonts w:hint="eastAsia" w:ascii="宋体" w:hAnsi="宋体"/>
                          <w:b/>
                          <w:spacing w:val="-20"/>
                          <w:sz w:val="40"/>
                          <w:u w:val="none"/>
                          <w:lang w:eastAsia="zh-CN"/>
                        </w:rPr>
                      </w:pPr>
                      <w:r>
                        <w:rPr>
                          <w:rFonts w:hint="eastAsia" w:ascii="宋体" w:hAnsi="宋体"/>
                          <w:b/>
                          <w:spacing w:val="-20"/>
                          <w:sz w:val="40"/>
                          <w:u w:val="none"/>
                          <w:lang w:eastAsia="zh-CN"/>
                        </w:rPr>
                        <w:t>南方电网澜湄国际能源有限责任公司2026年</w:t>
                      </w:r>
                    </w:p>
                    <w:p w14:paraId="21C4D33A">
                      <w:pPr>
                        <w:jc w:val="center"/>
                        <w:rPr>
                          <w:rFonts w:hint="eastAsia" w:ascii="宋体" w:hAnsi="宋体"/>
                          <w:b/>
                          <w:spacing w:val="-20"/>
                          <w:sz w:val="40"/>
                        </w:rPr>
                      </w:pPr>
                      <w:r>
                        <w:rPr>
                          <w:rFonts w:hint="eastAsia" w:ascii="宋体" w:hAnsi="宋体"/>
                          <w:b/>
                          <w:spacing w:val="-20"/>
                          <w:sz w:val="40"/>
                          <w:u w:val="none"/>
                          <w:lang w:eastAsia="zh-CN"/>
                        </w:rPr>
                        <w:t>办公楼</w:t>
                      </w:r>
                      <w:r>
                        <w:rPr>
                          <w:rFonts w:hint="eastAsia" w:ascii="宋体" w:hAnsi="宋体"/>
                          <w:b/>
                          <w:spacing w:val="-20"/>
                          <w:sz w:val="40"/>
                          <w:u w:val="none"/>
                          <w:lang w:val="en-US" w:eastAsia="zh-CN"/>
                        </w:rPr>
                        <w:t>中央</w:t>
                      </w:r>
                      <w:r>
                        <w:rPr>
                          <w:rFonts w:hint="eastAsia" w:ascii="宋体" w:hAnsi="宋体"/>
                          <w:b/>
                          <w:spacing w:val="-20"/>
                          <w:sz w:val="40"/>
                          <w:u w:val="none"/>
                          <w:lang w:eastAsia="zh-CN"/>
                        </w:rPr>
                        <w:t>空调加装项目</w:t>
                      </w:r>
                      <w:r>
                        <w:rPr>
                          <w:rFonts w:hint="eastAsia" w:ascii="宋体" w:hAnsi="宋体" w:eastAsia="宋体"/>
                          <w:b/>
                          <w:spacing w:val="-20"/>
                          <w:sz w:val="40"/>
                        </w:rPr>
                        <w:t>专</w:t>
                      </w:r>
                      <w:r>
                        <w:rPr>
                          <w:rFonts w:hint="eastAsia" w:ascii="宋体" w:hAnsi="宋体"/>
                          <w:b/>
                          <w:spacing w:val="-20"/>
                          <w:sz w:val="40"/>
                        </w:rPr>
                        <w:t>项采购技术规范书</w:t>
                      </w:r>
                    </w:p>
                  </w:txbxContent>
                </v:textbox>
              </v:shape>
            </w:pict>
          </mc:Fallback>
        </mc:AlternateContent>
      </w:r>
    </w:p>
    <w:p w14:paraId="3AFF7110">
      <w:pPr>
        <w:pStyle w:val="3"/>
        <w:outlineLvl w:val="9"/>
        <w:rPr>
          <w:rFonts w:hint="eastAsia"/>
          <w:color w:val="auto"/>
          <w:highlight w:val="none"/>
        </w:rPr>
      </w:pPr>
    </w:p>
    <w:p w14:paraId="50866D83">
      <w:pPr>
        <w:pStyle w:val="3"/>
        <w:outlineLvl w:val="9"/>
        <w:rPr>
          <w:rFonts w:hint="eastAsia"/>
          <w:color w:val="auto"/>
          <w:highlight w:val="none"/>
        </w:rPr>
      </w:pPr>
    </w:p>
    <w:p w14:paraId="496FAB8C">
      <w:pPr>
        <w:pStyle w:val="3"/>
        <w:outlineLvl w:val="9"/>
        <w:rPr>
          <w:rFonts w:hint="eastAsia"/>
          <w:color w:val="auto"/>
          <w:highlight w:val="none"/>
        </w:rPr>
      </w:pPr>
    </w:p>
    <w:p w14:paraId="6EC9A3DA">
      <w:pPr>
        <w:pStyle w:val="3"/>
        <w:outlineLvl w:val="9"/>
        <w:rPr>
          <w:rFonts w:hint="eastAsia"/>
          <w:color w:val="auto"/>
          <w:highlight w:val="none"/>
        </w:rPr>
      </w:pPr>
    </w:p>
    <w:p w14:paraId="019D99F3">
      <w:pPr>
        <w:pStyle w:val="3"/>
        <w:outlineLvl w:val="9"/>
        <w:rPr>
          <w:rFonts w:hint="eastAsia"/>
          <w:color w:val="auto"/>
          <w:highlight w:val="none"/>
        </w:rPr>
      </w:pPr>
    </w:p>
    <w:p w14:paraId="444FB3F3">
      <w:pPr>
        <w:pStyle w:val="3"/>
        <w:outlineLvl w:val="9"/>
        <w:rPr>
          <w:rFonts w:hint="eastAsia"/>
          <w:color w:val="auto"/>
          <w:highlight w:val="none"/>
        </w:rPr>
      </w:pPr>
      <w:r>
        <w:rPr>
          <w:rFonts w:hint="default" w:ascii="Times New Roman" w:hAnsi="Times New Roman" w:cs="Times New Roman"/>
          <w:bCs w:val="0"/>
          <w:caps w:val="0"/>
          <w:color w:val="auto"/>
          <w:sz w:val="36"/>
          <w:szCs w:val="36"/>
          <w:highlight w:val="none"/>
        </w:rPr>
        <w:drawing>
          <wp:anchor distT="0" distB="0" distL="114300" distR="114300" simplePos="0" relativeHeight="251660288" behindDoc="1" locked="0" layoutInCell="1" allowOverlap="1">
            <wp:simplePos x="0" y="0"/>
            <wp:positionH relativeFrom="page">
              <wp:posOffset>-342900</wp:posOffset>
            </wp:positionH>
            <wp:positionV relativeFrom="page">
              <wp:posOffset>-55245</wp:posOffset>
            </wp:positionV>
            <wp:extent cx="7886700" cy="6486525"/>
            <wp:effectExtent l="0" t="0" r="0" b="9525"/>
            <wp:wrapNone/>
            <wp:docPr id="7" name="图片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119"/>
                    <pic:cNvPicPr>
                      <a:picLocks noChangeAspect="1"/>
                    </pic:cNvPicPr>
                  </pic:nvPicPr>
                  <pic:blipFill>
                    <a:blip r:embed="rId5"/>
                    <a:stretch>
                      <a:fillRect/>
                    </a:stretch>
                  </pic:blipFill>
                  <pic:spPr>
                    <a:xfrm>
                      <a:off x="0" y="0"/>
                      <a:ext cx="7886700" cy="6486525"/>
                    </a:xfrm>
                    <a:prstGeom prst="rect">
                      <a:avLst/>
                    </a:prstGeom>
                    <a:noFill/>
                    <a:ln>
                      <a:noFill/>
                    </a:ln>
                  </pic:spPr>
                </pic:pic>
              </a:graphicData>
            </a:graphic>
          </wp:anchor>
        </w:drawing>
      </w:r>
    </w:p>
    <w:p w14:paraId="07012CB7">
      <w:pPr>
        <w:pStyle w:val="3"/>
        <w:outlineLvl w:val="9"/>
        <w:rPr>
          <w:rFonts w:hint="eastAsia"/>
          <w:color w:val="auto"/>
          <w:highlight w:val="none"/>
        </w:rPr>
      </w:pPr>
    </w:p>
    <w:p w14:paraId="4FFBFBD1">
      <w:pPr>
        <w:pStyle w:val="3"/>
        <w:outlineLvl w:val="9"/>
        <w:rPr>
          <w:rFonts w:hint="eastAsia"/>
          <w:color w:val="auto"/>
          <w:highlight w:val="none"/>
        </w:rPr>
      </w:pPr>
    </w:p>
    <w:p w14:paraId="0203728B">
      <w:pPr>
        <w:pStyle w:val="3"/>
        <w:outlineLvl w:val="9"/>
        <w:rPr>
          <w:rFonts w:hint="eastAsia"/>
          <w:color w:val="auto"/>
          <w:highlight w:val="none"/>
        </w:rPr>
      </w:pPr>
    </w:p>
    <w:p w14:paraId="6367AD61">
      <w:pPr>
        <w:pStyle w:val="3"/>
        <w:outlineLvl w:val="9"/>
        <w:rPr>
          <w:rFonts w:hint="eastAsia"/>
          <w:color w:val="auto"/>
          <w:highlight w:val="none"/>
        </w:rPr>
      </w:pPr>
    </w:p>
    <w:p w14:paraId="35ABE8CF">
      <w:pPr>
        <w:pStyle w:val="3"/>
        <w:outlineLvl w:val="9"/>
        <w:rPr>
          <w:rFonts w:hint="eastAsia"/>
          <w:color w:val="auto"/>
          <w:highlight w:val="none"/>
        </w:rPr>
      </w:pPr>
    </w:p>
    <w:p w14:paraId="187A0DCD">
      <w:pPr>
        <w:pStyle w:val="3"/>
        <w:outlineLvl w:val="9"/>
        <w:rPr>
          <w:rFonts w:hint="eastAsia"/>
          <w:color w:val="auto"/>
          <w:highlight w:val="none"/>
        </w:rPr>
      </w:pPr>
    </w:p>
    <w:p w14:paraId="7B71E045">
      <w:pPr>
        <w:jc w:val="center"/>
        <w:rPr>
          <w:rFonts w:ascii="Times New Roman" w:hAnsi="Times New Roman" w:cs="Times New Roman"/>
          <w:b/>
          <w:color w:val="auto"/>
          <w:sz w:val="32"/>
          <w:highlight w:val="none"/>
        </w:rPr>
      </w:pPr>
      <w:r>
        <w:rPr>
          <w:rFonts w:ascii="Times New Roman" w:hAnsi="Times New Roman" w:cs="Times New Roman"/>
          <w:b/>
          <w:color w:val="auto"/>
          <w:sz w:val="32"/>
          <w:highlight w:val="none"/>
        </w:rPr>
        <w:t>20</w:t>
      </w:r>
      <w:r>
        <w:rPr>
          <w:rFonts w:hint="eastAsia" w:ascii="Times New Roman" w:hAnsi="Times New Roman" w:cs="Times New Roman"/>
          <w:b/>
          <w:color w:val="auto"/>
          <w:sz w:val="32"/>
          <w:highlight w:val="none"/>
          <w:lang w:val="en-US" w:eastAsia="zh-CN"/>
        </w:rPr>
        <w:t>26</w:t>
      </w:r>
      <w:r>
        <w:rPr>
          <w:rFonts w:ascii="Times New Roman" w:hAnsi="Times New Roman" w:cs="Times New Roman"/>
          <w:b/>
          <w:color w:val="auto"/>
          <w:sz w:val="32"/>
          <w:highlight w:val="none"/>
        </w:rPr>
        <w:t>年</w:t>
      </w:r>
      <w:r>
        <w:rPr>
          <w:rFonts w:hint="eastAsia" w:ascii="Times New Roman" w:hAnsi="Times New Roman" w:cs="Times New Roman"/>
          <w:b/>
          <w:color w:val="auto"/>
          <w:sz w:val="32"/>
          <w:highlight w:val="none"/>
          <w:lang w:val="en-US" w:eastAsia="zh-CN"/>
        </w:rPr>
        <w:t>7</w:t>
      </w:r>
      <w:r>
        <w:rPr>
          <w:rFonts w:ascii="Times New Roman" w:hAnsi="Times New Roman" w:cs="Times New Roman"/>
          <w:b/>
          <w:color w:val="auto"/>
          <w:sz w:val="32"/>
          <w:highlight w:val="none"/>
        </w:rPr>
        <w:t>月</w:t>
      </w:r>
    </w:p>
    <w:p w14:paraId="1F757F9F">
      <w:pPr>
        <w:rPr>
          <w:color w:val="auto"/>
          <w:highlight w:val="none"/>
        </w:rPr>
      </w:pPr>
    </w:p>
    <w:p w14:paraId="3557FC50">
      <w:pPr>
        <w:pStyle w:val="3"/>
        <w:outlineLvl w:val="9"/>
        <w:rPr>
          <w:rFonts w:hint="eastAsia"/>
          <w:color w:val="auto"/>
          <w:highlight w:val="none"/>
        </w:rPr>
      </w:pPr>
    </w:p>
    <w:p w14:paraId="51BAF9D9">
      <w:pPr>
        <w:spacing w:before="0" w:beforeLines="0" w:after="0" w:afterLines="0" w:line="240" w:lineRule="auto"/>
        <w:ind w:left="0" w:leftChars="0" w:right="0" w:rightChars="0" w:firstLine="0" w:firstLineChars="0"/>
        <w:jc w:val="center"/>
        <w:rPr>
          <w:rFonts w:ascii="宋体" w:hAnsi="宋体" w:eastAsia="宋体" w:cs="黑体"/>
          <w:color w:val="auto"/>
          <w:kern w:val="2"/>
          <w:sz w:val="32"/>
          <w:szCs w:val="32"/>
          <w:highlight w:val="none"/>
          <w:lang w:val="en-US" w:eastAsia="zh-CN" w:bidi="ar-SA"/>
        </w:rPr>
        <w:sectPr>
          <w:pgSz w:w="11906" w:h="16838"/>
          <w:pgMar w:top="1440" w:right="1800" w:bottom="1440" w:left="1800" w:header="851" w:footer="992" w:gutter="0"/>
          <w:pgNumType w:fmt="decimal"/>
          <w:cols w:space="425" w:num="1"/>
          <w:docGrid w:type="lines" w:linePitch="312" w:charSpace="0"/>
        </w:sectPr>
      </w:pPr>
    </w:p>
    <w:sdt>
      <w:sdtPr>
        <w:rPr>
          <w:rFonts w:ascii="宋体" w:hAnsi="宋体" w:eastAsia="宋体" w:cs="黑体"/>
          <w:b w:val="0"/>
          <w:bCs w:val="0"/>
          <w:color w:val="auto"/>
          <w:kern w:val="2"/>
          <w:sz w:val="32"/>
          <w:szCs w:val="32"/>
          <w:highlight w:val="none"/>
          <w:lang w:val="en-US" w:eastAsia="zh-CN" w:bidi="ar-SA"/>
        </w:rPr>
        <w:id w:val="147460628"/>
        <w15:color w:val="DBDBDB"/>
        <w:docPartObj>
          <w:docPartGallery w:val="Table of Contents"/>
          <w:docPartUnique/>
        </w:docPartObj>
      </w:sdtPr>
      <w:sdtEndPr>
        <w:rPr>
          <w:rFonts w:hint="eastAsia" w:ascii="方正黑体_GBK" w:hAnsi="仿宋" w:eastAsia="方正黑体_GBK" w:cs="仿宋"/>
          <w:b w:val="0"/>
          <w:bCs w:val="0"/>
          <w:color w:val="auto"/>
          <w:kern w:val="2"/>
          <w:sz w:val="32"/>
          <w:szCs w:val="32"/>
          <w:highlight w:val="none"/>
          <w:lang w:val="en-US" w:eastAsia="zh-CN" w:bidi="ar-SA"/>
        </w:rPr>
      </w:sdtEndPr>
      <w:sdtContent>
        <w:p w14:paraId="6655F45E">
          <w:pPr>
            <w:spacing w:before="0" w:beforeLines="0" w:after="0" w:afterLines="0" w:line="240" w:lineRule="auto"/>
            <w:ind w:left="0" w:leftChars="0" w:right="0" w:rightChars="0" w:firstLine="0" w:firstLineChars="0"/>
            <w:jc w:val="center"/>
            <w:rPr>
              <w:b w:val="0"/>
              <w:bCs w:val="0"/>
              <w:color w:val="auto"/>
              <w:sz w:val="32"/>
              <w:szCs w:val="32"/>
              <w:highlight w:val="none"/>
            </w:rPr>
          </w:pPr>
          <w:r>
            <w:rPr>
              <w:rFonts w:ascii="宋体" w:hAnsi="宋体" w:eastAsia="宋体"/>
              <w:b w:val="0"/>
              <w:bCs w:val="0"/>
              <w:color w:val="auto"/>
              <w:sz w:val="32"/>
              <w:szCs w:val="32"/>
              <w:highlight w:val="none"/>
            </w:rPr>
            <w:t>目录</w:t>
          </w:r>
        </w:p>
        <w:p w14:paraId="35F679C9">
          <w:pPr>
            <w:pStyle w:val="12"/>
            <w:tabs>
              <w:tab w:val="right" w:leader="dot" w:pos="8306"/>
            </w:tabs>
            <w:rPr>
              <w:b w:val="0"/>
              <w:bCs w:val="0"/>
              <w:color w:val="auto"/>
              <w:sz w:val="32"/>
              <w:szCs w:val="32"/>
              <w:highlight w:val="none"/>
            </w:rPr>
          </w:pPr>
          <w:r>
            <w:rPr>
              <w:rFonts w:hint="eastAsia"/>
              <w:b w:val="0"/>
              <w:bCs w:val="0"/>
              <w:color w:val="auto"/>
              <w:sz w:val="32"/>
              <w:szCs w:val="32"/>
              <w:highlight w:val="none"/>
            </w:rPr>
            <w:fldChar w:fldCharType="begin"/>
          </w:r>
          <w:r>
            <w:rPr>
              <w:rFonts w:hint="eastAsia"/>
              <w:b w:val="0"/>
              <w:bCs w:val="0"/>
              <w:color w:val="auto"/>
              <w:sz w:val="32"/>
              <w:szCs w:val="32"/>
              <w:highlight w:val="none"/>
            </w:rPr>
            <w:instrText xml:space="preserve">TOC \o "1-1" \h \u </w:instrText>
          </w:r>
          <w:r>
            <w:rPr>
              <w:rFonts w:hint="eastAsia"/>
              <w:b w:val="0"/>
              <w:bCs w:val="0"/>
              <w:color w:val="auto"/>
              <w:sz w:val="32"/>
              <w:szCs w:val="32"/>
              <w:highlight w:val="none"/>
            </w:rPr>
            <w:fldChar w:fldCharType="separate"/>
          </w:r>
          <w:r>
            <w:rPr>
              <w:rFonts w:hint="eastAsia"/>
              <w:b w:val="0"/>
              <w:bCs w:val="0"/>
              <w:color w:val="auto"/>
              <w:sz w:val="32"/>
              <w:szCs w:val="32"/>
              <w:highlight w:val="none"/>
            </w:rPr>
            <w:fldChar w:fldCharType="begin"/>
          </w:r>
          <w:r>
            <w:rPr>
              <w:rFonts w:hint="eastAsia"/>
              <w:b w:val="0"/>
              <w:bCs w:val="0"/>
              <w:color w:val="auto"/>
              <w:sz w:val="32"/>
              <w:szCs w:val="32"/>
              <w:highlight w:val="none"/>
            </w:rPr>
            <w:instrText xml:space="preserve"> HYPERLINK \l _Toc13118 </w:instrText>
          </w:r>
          <w:r>
            <w:rPr>
              <w:rFonts w:hint="eastAsia"/>
              <w:b w:val="0"/>
              <w:bCs w:val="0"/>
              <w:color w:val="auto"/>
              <w:sz w:val="32"/>
              <w:szCs w:val="32"/>
              <w:highlight w:val="none"/>
            </w:rPr>
            <w:fldChar w:fldCharType="separate"/>
          </w:r>
          <w:r>
            <w:rPr>
              <w:rFonts w:hint="eastAsia"/>
              <w:b w:val="0"/>
              <w:bCs w:val="0"/>
              <w:color w:val="auto"/>
              <w:sz w:val="32"/>
              <w:szCs w:val="32"/>
              <w:highlight w:val="none"/>
            </w:rPr>
            <w:t>一、</w:t>
          </w:r>
          <w:r>
            <w:rPr>
              <w:rFonts w:hint="eastAsia"/>
              <w:b w:val="0"/>
              <w:bCs w:val="0"/>
              <w:color w:val="auto"/>
              <w:sz w:val="32"/>
              <w:szCs w:val="32"/>
              <w:highlight w:val="none"/>
              <w:lang w:val="en-US" w:eastAsia="zh-CN"/>
            </w:rPr>
            <w:t>总体要求</w:t>
          </w:r>
          <w:r>
            <w:rPr>
              <w:b w:val="0"/>
              <w:bCs w:val="0"/>
              <w:color w:val="auto"/>
              <w:sz w:val="32"/>
              <w:szCs w:val="32"/>
              <w:highlight w:val="none"/>
            </w:rPr>
            <w:tab/>
          </w:r>
          <w:r>
            <w:rPr>
              <w:b w:val="0"/>
              <w:bCs w:val="0"/>
              <w:color w:val="auto"/>
              <w:sz w:val="32"/>
              <w:szCs w:val="32"/>
              <w:highlight w:val="none"/>
            </w:rPr>
            <w:fldChar w:fldCharType="begin"/>
          </w:r>
          <w:r>
            <w:rPr>
              <w:b w:val="0"/>
              <w:bCs w:val="0"/>
              <w:color w:val="auto"/>
              <w:sz w:val="32"/>
              <w:szCs w:val="32"/>
              <w:highlight w:val="none"/>
            </w:rPr>
            <w:instrText xml:space="preserve"> PAGEREF _Toc13118 \h </w:instrText>
          </w:r>
          <w:r>
            <w:rPr>
              <w:b w:val="0"/>
              <w:bCs w:val="0"/>
              <w:color w:val="auto"/>
              <w:sz w:val="32"/>
              <w:szCs w:val="32"/>
              <w:highlight w:val="none"/>
            </w:rPr>
            <w:fldChar w:fldCharType="separate"/>
          </w:r>
          <w:r>
            <w:rPr>
              <w:b w:val="0"/>
              <w:bCs w:val="0"/>
              <w:color w:val="auto"/>
              <w:sz w:val="32"/>
              <w:szCs w:val="32"/>
              <w:highlight w:val="none"/>
            </w:rPr>
            <w:t>2</w:t>
          </w:r>
          <w:r>
            <w:rPr>
              <w:b w:val="0"/>
              <w:bCs w:val="0"/>
              <w:color w:val="auto"/>
              <w:sz w:val="32"/>
              <w:szCs w:val="32"/>
              <w:highlight w:val="none"/>
            </w:rPr>
            <w:fldChar w:fldCharType="end"/>
          </w:r>
          <w:r>
            <w:rPr>
              <w:rFonts w:hint="eastAsia"/>
              <w:b w:val="0"/>
              <w:bCs w:val="0"/>
              <w:color w:val="auto"/>
              <w:sz w:val="32"/>
              <w:szCs w:val="32"/>
              <w:highlight w:val="none"/>
            </w:rPr>
            <w:fldChar w:fldCharType="end"/>
          </w:r>
        </w:p>
        <w:p w14:paraId="19553F60">
          <w:pPr>
            <w:pStyle w:val="12"/>
            <w:tabs>
              <w:tab w:val="right" w:leader="dot" w:pos="8306"/>
            </w:tabs>
            <w:rPr>
              <w:b w:val="0"/>
              <w:bCs w:val="0"/>
              <w:color w:val="auto"/>
              <w:sz w:val="32"/>
              <w:szCs w:val="32"/>
              <w:highlight w:val="none"/>
            </w:rPr>
          </w:pPr>
        </w:p>
        <w:p w14:paraId="4C474917">
          <w:pPr>
            <w:pStyle w:val="12"/>
            <w:tabs>
              <w:tab w:val="right" w:leader="dot" w:pos="8306"/>
            </w:tabs>
            <w:rPr>
              <w:b w:val="0"/>
              <w:bCs w:val="0"/>
              <w:color w:val="auto"/>
              <w:sz w:val="32"/>
              <w:szCs w:val="32"/>
              <w:highlight w:val="none"/>
            </w:rPr>
          </w:pPr>
          <w:r>
            <w:rPr>
              <w:rFonts w:hint="eastAsia"/>
              <w:b w:val="0"/>
              <w:bCs w:val="0"/>
              <w:color w:val="auto"/>
              <w:sz w:val="32"/>
              <w:szCs w:val="32"/>
              <w:highlight w:val="none"/>
            </w:rPr>
            <w:fldChar w:fldCharType="begin"/>
          </w:r>
          <w:r>
            <w:rPr>
              <w:rFonts w:hint="eastAsia"/>
              <w:b w:val="0"/>
              <w:bCs w:val="0"/>
              <w:color w:val="auto"/>
              <w:sz w:val="32"/>
              <w:szCs w:val="32"/>
              <w:highlight w:val="none"/>
            </w:rPr>
            <w:instrText xml:space="preserve"> HYPERLINK \l _Toc30920 </w:instrText>
          </w:r>
          <w:r>
            <w:rPr>
              <w:rFonts w:hint="eastAsia"/>
              <w:b w:val="0"/>
              <w:bCs w:val="0"/>
              <w:color w:val="auto"/>
              <w:sz w:val="32"/>
              <w:szCs w:val="32"/>
              <w:highlight w:val="none"/>
            </w:rPr>
            <w:fldChar w:fldCharType="separate"/>
          </w:r>
          <w:r>
            <w:rPr>
              <w:rFonts w:hint="eastAsia"/>
              <w:b w:val="0"/>
              <w:bCs w:val="0"/>
              <w:color w:val="auto"/>
              <w:sz w:val="32"/>
              <w:szCs w:val="32"/>
              <w:highlight w:val="none"/>
            </w:rPr>
            <w:t>二、</w:t>
          </w:r>
          <w:r>
            <w:rPr>
              <w:rFonts w:hint="eastAsia"/>
              <w:b w:val="0"/>
              <w:bCs w:val="0"/>
              <w:color w:val="auto"/>
              <w:sz w:val="32"/>
              <w:szCs w:val="32"/>
              <w:highlight w:val="none"/>
              <w:lang w:val="en-US" w:eastAsia="zh-CN"/>
            </w:rPr>
            <w:t>项目</w:t>
          </w:r>
          <w:r>
            <w:rPr>
              <w:rFonts w:hint="eastAsia"/>
              <w:b w:val="0"/>
              <w:bCs w:val="0"/>
              <w:color w:val="auto"/>
              <w:sz w:val="32"/>
              <w:szCs w:val="32"/>
              <w:highlight w:val="none"/>
            </w:rPr>
            <w:t>概况</w:t>
          </w:r>
          <w:r>
            <w:rPr>
              <w:rFonts w:hint="eastAsia"/>
              <w:b w:val="0"/>
              <w:bCs w:val="0"/>
              <w:color w:val="auto"/>
              <w:sz w:val="32"/>
              <w:szCs w:val="32"/>
              <w:highlight w:val="none"/>
              <w:lang w:val="en-US" w:eastAsia="zh-CN"/>
            </w:rPr>
            <w:t>与招标范围</w:t>
          </w:r>
          <w:r>
            <w:rPr>
              <w:b w:val="0"/>
              <w:bCs w:val="0"/>
              <w:color w:val="auto"/>
              <w:sz w:val="32"/>
              <w:szCs w:val="32"/>
              <w:highlight w:val="none"/>
            </w:rPr>
            <w:tab/>
          </w:r>
          <w:r>
            <w:rPr>
              <w:b w:val="0"/>
              <w:bCs w:val="0"/>
              <w:color w:val="auto"/>
              <w:sz w:val="32"/>
              <w:szCs w:val="32"/>
              <w:highlight w:val="none"/>
            </w:rPr>
            <w:fldChar w:fldCharType="begin"/>
          </w:r>
          <w:r>
            <w:rPr>
              <w:b w:val="0"/>
              <w:bCs w:val="0"/>
              <w:color w:val="auto"/>
              <w:sz w:val="32"/>
              <w:szCs w:val="32"/>
              <w:highlight w:val="none"/>
            </w:rPr>
            <w:instrText xml:space="preserve"> PAGEREF _Toc30920 \h </w:instrText>
          </w:r>
          <w:r>
            <w:rPr>
              <w:b w:val="0"/>
              <w:bCs w:val="0"/>
              <w:color w:val="auto"/>
              <w:sz w:val="32"/>
              <w:szCs w:val="32"/>
              <w:highlight w:val="none"/>
            </w:rPr>
            <w:fldChar w:fldCharType="separate"/>
          </w:r>
          <w:r>
            <w:rPr>
              <w:b w:val="0"/>
              <w:bCs w:val="0"/>
              <w:color w:val="auto"/>
              <w:sz w:val="32"/>
              <w:szCs w:val="32"/>
              <w:highlight w:val="none"/>
            </w:rPr>
            <w:t>4</w:t>
          </w:r>
          <w:r>
            <w:rPr>
              <w:b w:val="0"/>
              <w:bCs w:val="0"/>
              <w:color w:val="auto"/>
              <w:sz w:val="32"/>
              <w:szCs w:val="32"/>
              <w:highlight w:val="none"/>
            </w:rPr>
            <w:fldChar w:fldCharType="end"/>
          </w:r>
          <w:r>
            <w:rPr>
              <w:rFonts w:hint="eastAsia"/>
              <w:b w:val="0"/>
              <w:bCs w:val="0"/>
              <w:color w:val="auto"/>
              <w:sz w:val="32"/>
              <w:szCs w:val="32"/>
              <w:highlight w:val="none"/>
            </w:rPr>
            <w:fldChar w:fldCharType="end"/>
          </w:r>
        </w:p>
        <w:p w14:paraId="1C79AD5B">
          <w:pPr>
            <w:pStyle w:val="12"/>
            <w:tabs>
              <w:tab w:val="right" w:leader="dot" w:pos="8306"/>
            </w:tabs>
            <w:rPr>
              <w:b w:val="0"/>
              <w:bCs w:val="0"/>
              <w:color w:val="auto"/>
              <w:sz w:val="32"/>
              <w:szCs w:val="32"/>
              <w:highlight w:val="none"/>
            </w:rPr>
          </w:pPr>
        </w:p>
        <w:p w14:paraId="55737053">
          <w:pPr>
            <w:pStyle w:val="12"/>
            <w:tabs>
              <w:tab w:val="right" w:leader="dot" w:pos="8306"/>
            </w:tabs>
            <w:rPr>
              <w:rFonts w:hint="eastAsia"/>
              <w:b w:val="0"/>
              <w:bCs w:val="0"/>
              <w:color w:val="auto"/>
              <w:sz w:val="32"/>
              <w:szCs w:val="32"/>
              <w:highlight w:val="none"/>
            </w:rPr>
          </w:pPr>
          <w:r>
            <w:rPr>
              <w:rFonts w:hint="eastAsia"/>
              <w:b w:val="0"/>
              <w:bCs w:val="0"/>
              <w:color w:val="auto"/>
              <w:sz w:val="32"/>
              <w:szCs w:val="32"/>
              <w:highlight w:val="none"/>
            </w:rPr>
            <w:fldChar w:fldCharType="begin"/>
          </w:r>
          <w:r>
            <w:rPr>
              <w:rFonts w:hint="eastAsia"/>
              <w:b w:val="0"/>
              <w:bCs w:val="0"/>
              <w:color w:val="auto"/>
              <w:sz w:val="32"/>
              <w:szCs w:val="32"/>
              <w:highlight w:val="none"/>
            </w:rPr>
            <w:instrText xml:space="preserve"> HYPERLINK \l _Toc19308 </w:instrText>
          </w:r>
          <w:r>
            <w:rPr>
              <w:rFonts w:hint="eastAsia"/>
              <w:b w:val="0"/>
              <w:bCs w:val="0"/>
              <w:color w:val="auto"/>
              <w:sz w:val="32"/>
              <w:szCs w:val="32"/>
              <w:highlight w:val="none"/>
            </w:rPr>
            <w:fldChar w:fldCharType="separate"/>
          </w:r>
          <w:r>
            <w:rPr>
              <w:rFonts w:hint="eastAsia"/>
              <w:b w:val="0"/>
              <w:bCs w:val="0"/>
              <w:color w:val="auto"/>
              <w:sz w:val="32"/>
              <w:szCs w:val="32"/>
              <w:highlight w:val="none"/>
              <w:lang w:val="en-US" w:eastAsia="zh-CN"/>
            </w:rPr>
            <w:t>三、采购清单</w:t>
          </w:r>
          <w:r>
            <w:rPr>
              <w:b w:val="0"/>
              <w:bCs w:val="0"/>
              <w:color w:val="auto"/>
              <w:sz w:val="32"/>
              <w:szCs w:val="32"/>
              <w:highlight w:val="none"/>
            </w:rPr>
            <w:tab/>
          </w:r>
          <w:r>
            <w:rPr>
              <w:b w:val="0"/>
              <w:bCs w:val="0"/>
              <w:color w:val="auto"/>
              <w:sz w:val="32"/>
              <w:szCs w:val="32"/>
              <w:highlight w:val="none"/>
            </w:rPr>
            <w:fldChar w:fldCharType="begin"/>
          </w:r>
          <w:r>
            <w:rPr>
              <w:b w:val="0"/>
              <w:bCs w:val="0"/>
              <w:color w:val="auto"/>
              <w:sz w:val="32"/>
              <w:szCs w:val="32"/>
              <w:highlight w:val="none"/>
            </w:rPr>
            <w:instrText xml:space="preserve"> PAGEREF _Toc19308 \h </w:instrText>
          </w:r>
          <w:r>
            <w:rPr>
              <w:b w:val="0"/>
              <w:bCs w:val="0"/>
              <w:color w:val="auto"/>
              <w:sz w:val="32"/>
              <w:szCs w:val="32"/>
              <w:highlight w:val="none"/>
            </w:rPr>
            <w:fldChar w:fldCharType="separate"/>
          </w:r>
          <w:r>
            <w:rPr>
              <w:b w:val="0"/>
              <w:bCs w:val="0"/>
              <w:color w:val="auto"/>
              <w:sz w:val="32"/>
              <w:szCs w:val="32"/>
              <w:highlight w:val="none"/>
            </w:rPr>
            <w:t>4</w:t>
          </w:r>
          <w:r>
            <w:rPr>
              <w:b w:val="0"/>
              <w:bCs w:val="0"/>
              <w:color w:val="auto"/>
              <w:sz w:val="32"/>
              <w:szCs w:val="32"/>
              <w:highlight w:val="none"/>
            </w:rPr>
            <w:fldChar w:fldCharType="end"/>
          </w:r>
          <w:r>
            <w:rPr>
              <w:rFonts w:hint="eastAsia"/>
              <w:b w:val="0"/>
              <w:bCs w:val="0"/>
              <w:color w:val="auto"/>
              <w:sz w:val="32"/>
              <w:szCs w:val="32"/>
              <w:highlight w:val="none"/>
            </w:rPr>
            <w:fldChar w:fldCharType="end"/>
          </w:r>
        </w:p>
        <w:p w14:paraId="57AE4E1F">
          <w:pPr>
            <w:rPr>
              <w:b w:val="0"/>
              <w:bCs w:val="0"/>
              <w:color w:val="auto"/>
              <w:sz w:val="32"/>
              <w:szCs w:val="32"/>
              <w:highlight w:val="none"/>
            </w:rPr>
          </w:pPr>
        </w:p>
        <w:p w14:paraId="2DE56ADE">
          <w:pPr>
            <w:pStyle w:val="12"/>
            <w:tabs>
              <w:tab w:val="right" w:leader="dot" w:pos="8306"/>
            </w:tabs>
            <w:rPr>
              <w:rFonts w:hint="eastAsia"/>
              <w:b w:val="0"/>
              <w:bCs w:val="0"/>
              <w:color w:val="auto"/>
              <w:sz w:val="32"/>
              <w:szCs w:val="32"/>
              <w:highlight w:val="none"/>
            </w:rPr>
          </w:pPr>
          <w:r>
            <w:rPr>
              <w:rFonts w:hint="eastAsia"/>
              <w:b w:val="0"/>
              <w:bCs w:val="0"/>
              <w:color w:val="auto"/>
              <w:sz w:val="32"/>
              <w:szCs w:val="32"/>
              <w:highlight w:val="none"/>
            </w:rPr>
            <w:fldChar w:fldCharType="begin"/>
          </w:r>
          <w:r>
            <w:rPr>
              <w:rFonts w:hint="eastAsia"/>
              <w:b w:val="0"/>
              <w:bCs w:val="0"/>
              <w:color w:val="auto"/>
              <w:sz w:val="32"/>
              <w:szCs w:val="32"/>
              <w:highlight w:val="none"/>
            </w:rPr>
            <w:instrText xml:space="preserve"> HYPERLINK \l _Toc21123 </w:instrText>
          </w:r>
          <w:r>
            <w:rPr>
              <w:rFonts w:hint="eastAsia"/>
              <w:b w:val="0"/>
              <w:bCs w:val="0"/>
              <w:color w:val="auto"/>
              <w:sz w:val="32"/>
              <w:szCs w:val="32"/>
              <w:highlight w:val="none"/>
            </w:rPr>
            <w:fldChar w:fldCharType="separate"/>
          </w:r>
          <w:r>
            <w:rPr>
              <w:rFonts w:hint="eastAsia"/>
              <w:b w:val="0"/>
              <w:bCs w:val="0"/>
              <w:color w:val="auto"/>
              <w:sz w:val="32"/>
              <w:szCs w:val="32"/>
              <w:highlight w:val="none"/>
            </w:rPr>
            <w:t>四、</w:t>
          </w:r>
          <w:r>
            <w:rPr>
              <w:rFonts w:hint="eastAsia"/>
              <w:b w:val="0"/>
              <w:bCs w:val="0"/>
              <w:color w:val="auto"/>
              <w:sz w:val="32"/>
              <w:szCs w:val="32"/>
              <w:highlight w:val="none"/>
              <w:lang w:val="en-US" w:eastAsia="zh-CN"/>
            </w:rPr>
            <w:t>设备材料品牌及技术要求</w:t>
          </w:r>
          <w:r>
            <w:rPr>
              <w:b w:val="0"/>
              <w:bCs w:val="0"/>
              <w:color w:val="auto"/>
              <w:sz w:val="32"/>
              <w:szCs w:val="32"/>
              <w:highlight w:val="none"/>
            </w:rPr>
            <w:tab/>
          </w:r>
          <w:r>
            <w:rPr>
              <w:b w:val="0"/>
              <w:bCs w:val="0"/>
              <w:color w:val="auto"/>
              <w:sz w:val="32"/>
              <w:szCs w:val="32"/>
              <w:highlight w:val="none"/>
            </w:rPr>
            <w:fldChar w:fldCharType="begin"/>
          </w:r>
          <w:r>
            <w:rPr>
              <w:b w:val="0"/>
              <w:bCs w:val="0"/>
              <w:color w:val="auto"/>
              <w:sz w:val="32"/>
              <w:szCs w:val="32"/>
              <w:highlight w:val="none"/>
            </w:rPr>
            <w:instrText xml:space="preserve"> PAGEREF _Toc21123 \h </w:instrText>
          </w:r>
          <w:r>
            <w:rPr>
              <w:b w:val="0"/>
              <w:bCs w:val="0"/>
              <w:color w:val="auto"/>
              <w:sz w:val="32"/>
              <w:szCs w:val="32"/>
              <w:highlight w:val="none"/>
            </w:rPr>
            <w:fldChar w:fldCharType="separate"/>
          </w:r>
          <w:r>
            <w:rPr>
              <w:b w:val="0"/>
              <w:bCs w:val="0"/>
              <w:color w:val="auto"/>
              <w:sz w:val="32"/>
              <w:szCs w:val="32"/>
              <w:highlight w:val="none"/>
            </w:rPr>
            <w:t>9</w:t>
          </w:r>
          <w:r>
            <w:rPr>
              <w:b w:val="0"/>
              <w:bCs w:val="0"/>
              <w:color w:val="auto"/>
              <w:sz w:val="32"/>
              <w:szCs w:val="32"/>
              <w:highlight w:val="none"/>
            </w:rPr>
            <w:fldChar w:fldCharType="end"/>
          </w:r>
          <w:r>
            <w:rPr>
              <w:rFonts w:hint="eastAsia"/>
              <w:b w:val="0"/>
              <w:bCs w:val="0"/>
              <w:color w:val="auto"/>
              <w:sz w:val="32"/>
              <w:szCs w:val="32"/>
              <w:highlight w:val="none"/>
            </w:rPr>
            <w:fldChar w:fldCharType="end"/>
          </w:r>
        </w:p>
        <w:p w14:paraId="1234A50E">
          <w:pPr>
            <w:rPr>
              <w:b w:val="0"/>
              <w:bCs w:val="0"/>
              <w:color w:val="auto"/>
              <w:sz w:val="32"/>
              <w:szCs w:val="32"/>
              <w:highlight w:val="none"/>
            </w:rPr>
          </w:pPr>
        </w:p>
        <w:p w14:paraId="02ED209A">
          <w:pPr>
            <w:pStyle w:val="12"/>
            <w:tabs>
              <w:tab w:val="right" w:leader="dot" w:pos="8306"/>
            </w:tabs>
            <w:rPr>
              <w:rFonts w:hint="eastAsia"/>
              <w:b w:val="0"/>
              <w:bCs w:val="0"/>
              <w:color w:val="auto"/>
              <w:sz w:val="32"/>
              <w:szCs w:val="32"/>
              <w:highlight w:val="none"/>
            </w:rPr>
          </w:pPr>
          <w:r>
            <w:rPr>
              <w:rFonts w:hint="eastAsia"/>
              <w:b w:val="0"/>
              <w:bCs w:val="0"/>
              <w:color w:val="auto"/>
              <w:sz w:val="32"/>
              <w:szCs w:val="32"/>
              <w:highlight w:val="none"/>
            </w:rPr>
            <w:fldChar w:fldCharType="begin"/>
          </w:r>
          <w:r>
            <w:rPr>
              <w:rFonts w:hint="eastAsia"/>
              <w:b w:val="0"/>
              <w:bCs w:val="0"/>
              <w:color w:val="auto"/>
              <w:sz w:val="32"/>
              <w:szCs w:val="32"/>
              <w:highlight w:val="none"/>
            </w:rPr>
            <w:instrText xml:space="preserve"> HYPERLINK \l _Toc19784 </w:instrText>
          </w:r>
          <w:r>
            <w:rPr>
              <w:rFonts w:hint="eastAsia"/>
              <w:b w:val="0"/>
              <w:bCs w:val="0"/>
              <w:color w:val="auto"/>
              <w:sz w:val="32"/>
              <w:szCs w:val="32"/>
              <w:highlight w:val="none"/>
            </w:rPr>
            <w:fldChar w:fldCharType="separate"/>
          </w:r>
          <w:r>
            <w:rPr>
              <w:rFonts w:hint="eastAsia"/>
              <w:b w:val="0"/>
              <w:bCs w:val="0"/>
              <w:color w:val="auto"/>
              <w:sz w:val="32"/>
              <w:szCs w:val="32"/>
              <w:highlight w:val="none"/>
            </w:rPr>
            <w:t>五、</w:t>
          </w:r>
          <w:r>
            <w:rPr>
              <w:rFonts w:hint="eastAsia"/>
              <w:b w:val="0"/>
              <w:bCs w:val="0"/>
              <w:color w:val="auto"/>
              <w:sz w:val="32"/>
              <w:szCs w:val="32"/>
              <w:highlight w:val="none"/>
              <w:lang w:val="en-US" w:eastAsia="zh-CN"/>
            </w:rPr>
            <w:t>安装技术要求</w:t>
          </w:r>
          <w:r>
            <w:rPr>
              <w:b w:val="0"/>
              <w:bCs w:val="0"/>
              <w:color w:val="auto"/>
              <w:sz w:val="32"/>
              <w:szCs w:val="32"/>
              <w:highlight w:val="none"/>
            </w:rPr>
            <w:tab/>
          </w:r>
          <w:r>
            <w:rPr>
              <w:b w:val="0"/>
              <w:bCs w:val="0"/>
              <w:color w:val="auto"/>
              <w:sz w:val="32"/>
              <w:szCs w:val="32"/>
              <w:highlight w:val="none"/>
            </w:rPr>
            <w:fldChar w:fldCharType="begin"/>
          </w:r>
          <w:r>
            <w:rPr>
              <w:b w:val="0"/>
              <w:bCs w:val="0"/>
              <w:color w:val="auto"/>
              <w:sz w:val="32"/>
              <w:szCs w:val="32"/>
              <w:highlight w:val="none"/>
            </w:rPr>
            <w:instrText xml:space="preserve"> PAGEREF _Toc19784 \h </w:instrText>
          </w:r>
          <w:r>
            <w:rPr>
              <w:b w:val="0"/>
              <w:bCs w:val="0"/>
              <w:color w:val="auto"/>
              <w:sz w:val="32"/>
              <w:szCs w:val="32"/>
              <w:highlight w:val="none"/>
            </w:rPr>
            <w:fldChar w:fldCharType="separate"/>
          </w:r>
          <w:r>
            <w:rPr>
              <w:b w:val="0"/>
              <w:bCs w:val="0"/>
              <w:color w:val="auto"/>
              <w:sz w:val="32"/>
              <w:szCs w:val="32"/>
              <w:highlight w:val="none"/>
            </w:rPr>
            <w:t>17</w:t>
          </w:r>
          <w:r>
            <w:rPr>
              <w:b w:val="0"/>
              <w:bCs w:val="0"/>
              <w:color w:val="auto"/>
              <w:sz w:val="32"/>
              <w:szCs w:val="32"/>
              <w:highlight w:val="none"/>
            </w:rPr>
            <w:fldChar w:fldCharType="end"/>
          </w:r>
          <w:r>
            <w:rPr>
              <w:rFonts w:hint="eastAsia"/>
              <w:b w:val="0"/>
              <w:bCs w:val="0"/>
              <w:color w:val="auto"/>
              <w:sz w:val="32"/>
              <w:szCs w:val="32"/>
              <w:highlight w:val="none"/>
            </w:rPr>
            <w:fldChar w:fldCharType="end"/>
          </w:r>
        </w:p>
        <w:p w14:paraId="1EFCFD0A">
          <w:pPr>
            <w:rPr>
              <w:b w:val="0"/>
              <w:bCs w:val="0"/>
              <w:color w:val="auto"/>
              <w:sz w:val="32"/>
              <w:szCs w:val="32"/>
              <w:highlight w:val="none"/>
            </w:rPr>
          </w:pPr>
        </w:p>
        <w:p w14:paraId="1B01F0E7">
          <w:pPr>
            <w:pStyle w:val="12"/>
            <w:tabs>
              <w:tab w:val="right" w:leader="dot" w:pos="8306"/>
            </w:tabs>
            <w:rPr>
              <w:b w:val="0"/>
              <w:bCs w:val="0"/>
              <w:color w:val="auto"/>
              <w:sz w:val="32"/>
              <w:szCs w:val="32"/>
              <w:highlight w:val="none"/>
            </w:rPr>
          </w:pPr>
          <w:r>
            <w:rPr>
              <w:rFonts w:hint="eastAsia"/>
              <w:b w:val="0"/>
              <w:bCs w:val="0"/>
              <w:color w:val="auto"/>
              <w:sz w:val="32"/>
              <w:szCs w:val="32"/>
              <w:highlight w:val="none"/>
            </w:rPr>
            <w:fldChar w:fldCharType="begin"/>
          </w:r>
          <w:r>
            <w:rPr>
              <w:rFonts w:hint="eastAsia"/>
              <w:b w:val="0"/>
              <w:bCs w:val="0"/>
              <w:color w:val="auto"/>
              <w:sz w:val="32"/>
              <w:szCs w:val="32"/>
              <w:highlight w:val="none"/>
            </w:rPr>
            <w:instrText xml:space="preserve"> HYPERLINK \l _Toc1674 </w:instrText>
          </w:r>
          <w:r>
            <w:rPr>
              <w:rFonts w:hint="eastAsia"/>
              <w:b w:val="0"/>
              <w:bCs w:val="0"/>
              <w:color w:val="auto"/>
              <w:sz w:val="32"/>
              <w:szCs w:val="32"/>
              <w:highlight w:val="none"/>
            </w:rPr>
            <w:fldChar w:fldCharType="separate"/>
          </w:r>
          <w:r>
            <w:rPr>
              <w:rFonts w:hint="eastAsia"/>
              <w:b w:val="0"/>
              <w:bCs w:val="0"/>
              <w:color w:val="auto"/>
              <w:sz w:val="32"/>
              <w:szCs w:val="32"/>
              <w:highlight w:val="none"/>
            </w:rPr>
            <w:t>六、质量</w:t>
          </w:r>
          <w:r>
            <w:rPr>
              <w:rFonts w:hint="eastAsia"/>
              <w:b w:val="0"/>
              <w:bCs w:val="0"/>
              <w:color w:val="auto"/>
              <w:sz w:val="32"/>
              <w:szCs w:val="32"/>
              <w:highlight w:val="none"/>
              <w:lang w:val="en-US" w:eastAsia="zh-CN"/>
            </w:rPr>
            <w:t>保修</w:t>
          </w:r>
          <w:r>
            <w:rPr>
              <w:rFonts w:hint="eastAsia"/>
              <w:b w:val="0"/>
              <w:bCs w:val="0"/>
              <w:color w:val="auto"/>
              <w:sz w:val="32"/>
              <w:szCs w:val="32"/>
              <w:highlight w:val="none"/>
            </w:rPr>
            <w:t>要求</w:t>
          </w:r>
          <w:r>
            <w:rPr>
              <w:b w:val="0"/>
              <w:bCs w:val="0"/>
              <w:color w:val="auto"/>
              <w:sz w:val="32"/>
              <w:szCs w:val="32"/>
              <w:highlight w:val="none"/>
            </w:rPr>
            <w:tab/>
          </w:r>
          <w:r>
            <w:rPr>
              <w:b w:val="0"/>
              <w:bCs w:val="0"/>
              <w:color w:val="auto"/>
              <w:sz w:val="32"/>
              <w:szCs w:val="32"/>
              <w:highlight w:val="none"/>
            </w:rPr>
            <w:fldChar w:fldCharType="begin"/>
          </w:r>
          <w:r>
            <w:rPr>
              <w:b w:val="0"/>
              <w:bCs w:val="0"/>
              <w:color w:val="auto"/>
              <w:sz w:val="32"/>
              <w:szCs w:val="32"/>
              <w:highlight w:val="none"/>
            </w:rPr>
            <w:instrText xml:space="preserve"> PAGEREF _Toc1674 \h </w:instrText>
          </w:r>
          <w:r>
            <w:rPr>
              <w:b w:val="0"/>
              <w:bCs w:val="0"/>
              <w:color w:val="auto"/>
              <w:sz w:val="32"/>
              <w:szCs w:val="32"/>
              <w:highlight w:val="none"/>
            </w:rPr>
            <w:fldChar w:fldCharType="separate"/>
          </w:r>
          <w:r>
            <w:rPr>
              <w:b w:val="0"/>
              <w:bCs w:val="0"/>
              <w:color w:val="auto"/>
              <w:sz w:val="32"/>
              <w:szCs w:val="32"/>
              <w:highlight w:val="none"/>
            </w:rPr>
            <w:t>20</w:t>
          </w:r>
          <w:r>
            <w:rPr>
              <w:b w:val="0"/>
              <w:bCs w:val="0"/>
              <w:color w:val="auto"/>
              <w:sz w:val="32"/>
              <w:szCs w:val="32"/>
              <w:highlight w:val="none"/>
            </w:rPr>
            <w:fldChar w:fldCharType="end"/>
          </w:r>
          <w:r>
            <w:rPr>
              <w:rFonts w:hint="eastAsia"/>
              <w:b w:val="0"/>
              <w:bCs w:val="0"/>
              <w:color w:val="auto"/>
              <w:sz w:val="32"/>
              <w:szCs w:val="32"/>
              <w:highlight w:val="none"/>
            </w:rPr>
            <w:fldChar w:fldCharType="end"/>
          </w:r>
        </w:p>
        <w:p w14:paraId="1AC8D7F7">
          <w:pPr>
            <w:outlineLvl w:val="9"/>
            <w:rPr>
              <w:rFonts w:hint="eastAsia"/>
              <w:color w:val="auto"/>
              <w:sz w:val="32"/>
              <w:szCs w:val="32"/>
              <w:highlight w:val="none"/>
            </w:rPr>
          </w:pPr>
          <w:r>
            <w:rPr>
              <w:rFonts w:hint="eastAsia"/>
              <w:b w:val="0"/>
              <w:bCs w:val="0"/>
              <w:color w:val="auto"/>
              <w:sz w:val="32"/>
              <w:szCs w:val="32"/>
              <w:highlight w:val="none"/>
            </w:rPr>
            <w:fldChar w:fldCharType="end"/>
          </w:r>
        </w:p>
      </w:sdtContent>
    </w:sdt>
    <w:p w14:paraId="7F2AB678">
      <w:pPr>
        <w:outlineLvl w:val="9"/>
        <w:rPr>
          <w:rFonts w:hint="eastAsia"/>
          <w:color w:val="auto"/>
          <w:highlight w:val="none"/>
        </w:rPr>
      </w:pPr>
    </w:p>
    <w:p w14:paraId="3DAAD59F">
      <w:pPr>
        <w:outlineLvl w:val="9"/>
        <w:rPr>
          <w:rFonts w:hint="eastAsia"/>
          <w:color w:val="auto"/>
          <w:highlight w:val="none"/>
        </w:rPr>
      </w:pPr>
    </w:p>
    <w:p w14:paraId="4AD07E7A">
      <w:pPr>
        <w:outlineLvl w:val="9"/>
        <w:rPr>
          <w:rFonts w:hint="eastAsia"/>
          <w:color w:val="auto"/>
          <w:highlight w:val="none"/>
        </w:rPr>
      </w:pPr>
    </w:p>
    <w:p w14:paraId="22363AAE">
      <w:pPr>
        <w:outlineLvl w:val="9"/>
        <w:rPr>
          <w:rFonts w:hint="eastAsia"/>
          <w:color w:val="auto"/>
          <w:highlight w:val="none"/>
        </w:rPr>
      </w:pPr>
    </w:p>
    <w:p w14:paraId="5C7543CA">
      <w:pPr>
        <w:outlineLvl w:val="9"/>
        <w:rPr>
          <w:rFonts w:hint="eastAsia"/>
          <w:color w:val="auto"/>
          <w:highlight w:val="none"/>
        </w:rPr>
      </w:pPr>
    </w:p>
    <w:p w14:paraId="314E5172">
      <w:pPr>
        <w:outlineLvl w:val="9"/>
        <w:rPr>
          <w:rFonts w:hint="eastAsia"/>
          <w:color w:val="auto"/>
          <w:highlight w:val="none"/>
        </w:rPr>
      </w:pPr>
    </w:p>
    <w:p w14:paraId="5A54F498">
      <w:pPr>
        <w:outlineLvl w:val="9"/>
        <w:rPr>
          <w:rFonts w:hint="eastAsia"/>
          <w:color w:val="auto"/>
          <w:highlight w:val="none"/>
        </w:rPr>
      </w:pPr>
    </w:p>
    <w:p w14:paraId="44627557">
      <w:pPr>
        <w:outlineLvl w:val="9"/>
        <w:rPr>
          <w:rFonts w:hint="eastAsia"/>
          <w:color w:val="auto"/>
          <w:highlight w:val="none"/>
        </w:rPr>
      </w:pPr>
    </w:p>
    <w:p w14:paraId="1422617A">
      <w:pPr>
        <w:outlineLvl w:val="9"/>
        <w:rPr>
          <w:rFonts w:hint="eastAsia"/>
          <w:color w:val="auto"/>
          <w:highlight w:val="none"/>
        </w:rPr>
      </w:pPr>
    </w:p>
    <w:p w14:paraId="35AB22F1">
      <w:pPr>
        <w:ind w:left="0" w:leftChars="0" w:firstLine="0" w:firstLineChars="0"/>
        <w:outlineLvl w:val="9"/>
        <w:rPr>
          <w:rFonts w:hint="eastAsia"/>
          <w:color w:val="auto"/>
          <w:highlight w:val="none"/>
        </w:rPr>
      </w:pPr>
      <w:bookmarkStart w:id="1" w:name="_Toc13118"/>
    </w:p>
    <w:p w14:paraId="107D3D03">
      <w:pPr>
        <w:rPr>
          <w:rFonts w:hint="eastAsia"/>
          <w:color w:val="auto"/>
          <w:highlight w:val="none"/>
        </w:rPr>
      </w:pPr>
      <w:r>
        <w:rPr>
          <w:rFonts w:hint="eastAsia"/>
          <w:color w:val="auto"/>
          <w:highlight w:val="none"/>
        </w:rPr>
        <w:br w:type="page"/>
      </w:r>
    </w:p>
    <w:p w14:paraId="04459791">
      <w:pPr>
        <w:pStyle w:val="3"/>
        <w:pageBreakBefore w:val="0"/>
        <w:kinsoku/>
        <w:wordWrap/>
        <w:overflowPunct/>
        <w:topLinePunct w:val="0"/>
        <w:bidi w:val="0"/>
        <w:spacing w:line="560" w:lineRule="exact"/>
        <w:rPr>
          <w:rFonts w:hint="default" w:eastAsia="方正黑体_GBK"/>
          <w:color w:val="auto"/>
          <w:highlight w:val="none"/>
          <w:lang w:val="en-US" w:eastAsia="zh-CN"/>
        </w:rPr>
      </w:pPr>
      <w:r>
        <w:rPr>
          <w:rFonts w:hint="eastAsia"/>
          <w:color w:val="auto"/>
          <w:highlight w:val="none"/>
        </w:rPr>
        <w:t>一、</w:t>
      </w:r>
      <w:bookmarkEnd w:id="0"/>
      <w:r>
        <w:rPr>
          <w:rFonts w:hint="eastAsia"/>
          <w:color w:val="auto"/>
          <w:highlight w:val="none"/>
          <w:lang w:val="en-US" w:eastAsia="zh-CN"/>
        </w:rPr>
        <w:t>总体要求</w:t>
      </w:r>
      <w:bookmarkEnd w:id="1"/>
    </w:p>
    <w:p w14:paraId="6ECE7B4A">
      <w:pPr>
        <w:pStyle w:val="3"/>
        <w:pageBreakBefore w:val="0"/>
        <w:kinsoku/>
        <w:wordWrap/>
        <w:overflowPunct/>
        <w:topLinePunct w:val="0"/>
        <w:bidi w:val="0"/>
        <w:spacing w:line="560" w:lineRule="exact"/>
        <w:rPr>
          <w:rFonts w:hint="eastAsia" w:ascii="仿宋" w:eastAsia="仿宋" w:cs="仿宋"/>
          <w:b/>
          <w:bCs/>
          <w:color w:val="auto"/>
          <w:sz w:val="32"/>
          <w:szCs w:val="32"/>
          <w:highlight w:val="none"/>
          <w:lang w:val="en-US" w:eastAsia="zh-CN"/>
        </w:rPr>
      </w:pPr>
      <w:bookmarkStart w:id="2" w:name="_Toc1015"/>
      <w:bookmarkStart w:id="3" w:name="_Toc16353_WPSOffice_Level1"/>
      <w:bookmarkStart w:id="4" w:name="_Toc154259256"/>
      <w:r>
        <w:rPr>
          <w:rFonts w:hint="eastAsia" w:ascii="仿宋" w:eastAsia="仿宋" w:cs="仿宋"/>
          <w:b/>
          <w:bCs/>
          <w:color w:val="auto"/>
          <w:sz w:val="32"/>
          <w:szCs w:val="32"/>
          <w:highlight w:val="none"/>
          <w:lang w:eastAsia="zh-CN"/>
        </w:rPr>
        <w:t>（</w:t>
      </w:r>
      <w:r>
        <w:rPr>
          <w:rFonts w:hint="eastAsia" w:ascii="仿宋" w:eastAsia="仿宋" w:cs="仿宋"/>
          <w:b/>
          <w:bCs/>
          <w:color w:val="auto"/>
          <w:sz w:val="32"/>
          <w:szCs w:val="32"/>
          <w:highlight w:val="none"/>
          <w:lang w:val="en-US" w:eastAsia="zh-CN"/>
        </w:rPr>
        <w:t>一）总则</w:t>
      </w:r>
      <w:bookmarkEnd w:id="2"/>
    </w:p>
    <w:p w14:paraId="7B949965">
      <w:pPr>
        <w:pStyle w:val="3"/>
        <w:pageBreakBefore w:val="0"/>
        <w:kinsoku/>
        <w:wordWrap/>
        <w:overflowPunct/>
        <w:topLinePunct w:val="0"/>
        <w:bidi w:val="0"/>
        <w:spacing w:line="560" w:lineRule="exact"/>
        <w:rPr>
          <w:rFonts w:hint="eastAsia" w:ascii="仿宋" w:hAnsi="仿宋" w:eastAsia="仿宋" w:cs="仿宋"/>
          <w:color w:val="auto"/>
          <w:sz w:val="32"/>
          <w:szCs w:val="32"/>
          <w:highlight w:val="none"/>
        </w:rPr>
      </w:pPr>
      <w:bookmarkStart w:id="5" w:name="_Toc18437"/>
      <w:r>
        <w:rPr>
          <w:rFonts w:hint="eastAsia" w:ascii="仿宋" w:hAnsi="仿宋" w:eastAsia="仿宋" w:cs="仿宋"/>
          <w:color w:val="auto"/>
          <w:sz w:val="32"/>
          <w:szCs w:val="32"/>
          <w:highlight w:val="none"/>
        </w:rPr>
        <w:t>本招标文件适用于</w:t>
      </w:r>
      <w:r>
        <w:rPr>
          <w:rFonts w:hint="eastAsia" w:ascii="仿宋" w:eastAsia="仿宋" w:cs="仿宋"/>
          <w:color w:val="auto"/>
          <w:sz w:val="32"/>
          <w:szCs w:val="32"/>
          <w:highlight w:val="none"/>
          <w:lang w:eastAsia="zh-CN"/>
        </w:rPr>
        <w:t>南方电网澜湄国际能源有限责任公司2026年办公楼中央空调加装项目（公开招标）</w:t>
      </w:r>
      <w:r>
        <w:rPr>
          <w:rFonts w:hint="eastAsia" w:ascii="仿宋" w:hAnsi="仿宋" w:eastAsia="仿宋" w:cs="仿宋"/>
          <w:color w:val="auto"/>
          <w:sz w:val="32"/>
          <w:szCs w:val="32"/>
          <w:highlight w:val="none"/>
        </w:rPr>
        <w:t>，提供了功能设计、结构、性能、安装、调试和运行等方面的技术要求。</w:t>
      </w:r>
      <w:bookmarkEnd w:id="5"/>
    </w:p>
    <w:p w14:paraId="498DE8EB">
      <w:pPr>
        <w:pStyle w:val="3"/>
        <w:pageBreakBefore w:val="0"/>
        <w:kinsoku/>
        <w:wordWrap/>
        <w:overflowPunct/>
        <w:topLinePunct w:val="0"/>
        <w:bidi w:val="0"/>
        <w:spacing w:line="560" w:lineRule="exact"/>
        <w:rPr>
          <w:rFonts w:hint="eastAsia" w:ascii="仿宋" w:hAnsi="仿宋" w:eastAsia="仿宋" w:cs="仿宋"/>
          <w:color w:val="auto"/>
          <w:sz w:val="32"/>
          <w:szCs w:val="32"/>
          <w:highlight w:val="none"/>
        </w:rPr>
      </w:pPr>
      <w:bookmarkStart w:id="6" w:name="_Toc19356"/>
      <w:r>
        <w:rPr>
          <w:rFonts w:hint="eastAsia" w:ascii="仿宋" w:hAnsi="仿宋" w:eastAsia="仿宋" w:cs="仿宋"/>
          <w:color w:val="auto"/>
          <w:sz w:val="32"/>
          <w:szCs w:val="32"/>
          <w:highlight w:val="none"/>
        </w:rPr>
        <w:t>本招标文件提出的是最低限度的技术要求，并未对一切技术细节作出规定，也未充分引述有关标准和规范，投标人应保证提供符合国家或国际标准和本招标文件要求的高质量产品及其相应服务。对国家或地方有安全、环保、劳动卫生、消防等强制性标准必须满足其要求。</w:t>
      </w:r>
      <w:bookmarkEnd w:id="6"/>
    </w:p>
    <w:p w14:paraId="4BBAC7D1">
      <w:pPr>
        <w:pStyle w:val="3"/>
        <w:pageBreakBefore w:val="0"/>
        <w:kinsoku/>
        <w:wordWrap/>
        <w:overflowPunct/>
        <w:topLinePunct w:val="0"/>
        <w:bidi w:val="0"/>
        <w:spacing w:line="560" w:lineRule="exact"/>
        <w:rPr>
          <w:rFonts w:hint="eastAsia" w:ascii="仿宋" w:hAnsi="仿宋" w:eastAsia="仿宋" w:cs="仿宋"/>
          <w:color w:val="auto"/>
          <w:sz w:val="32"/>
          <w:szCs w:val="32"/>
          <w:highlight w:val="none"/>
        </w:rPr>
      </w:pPr>
      <w:bookmarkStart w:id="7" w:name="_Toc14911"/>
      <w:r>
        <w:rPr>
          <w:rFonts w:hint="eastAsia" w:ascii="仿宋" w:hAnsi="仿宋" w:eastAsia="仿宋" w:cs="仿宋"/>
          <w:color w:val="auto"/>
          <w:sz w:val="32"/>
          <w:szCs w:val="32"/>
          <w:highlight w:val="none"/>
        </w:rPr>
        <w:t>如投标人没有以书面形式对本招标文件的条文提出异议，则招标人就认为投标人完全接受本招标文件的要求，若招标文件中相同或近似内容的条文有差异之处，投标人应在投标文件中指出，否则由招标人确定以对业主有利的条文执行。</w:t>
      </w:r>
      <w:bookmarkEnd w:id="7"/>
    </w:p>
    <w:p w14:paraId="047ADD04">
      <w:pPr>
        <w:pStyle w:val="3"/>
        <w:pageBreakBefore w:val="0"/>
        <w:kinsoku/>
        <w:wordWrap/>
        <w:overflowPunct/>
        <w:topLinePunct w:val="0"/>
        <w:bidi w:val="0"/>
        <w:spacing w:line="560" w:lineRule="exact"/>
        <w:rPr>
          <w:rFonts w:hint="eastAsia" w:ascii="仿宋" w:hAnsi="仿宋" w:eastAsia="仿宋" w:cs="仿宋"/>
          <w:color w:val="auto"/>
          <w:sz w:val="32"/>
          <w:szCs w:val="32"/>
          <w:highlight w:val="none"/>
        </w:rPr>
      </w:pPr>
      <w:bookmarkStart w:id="8" w:name="_Toc2061"/>
      <w:r>
        <w:rPr>
          <w:rFonts w:hint="eastAsia" w:ascii="仿宋" w:hAnsi="仿宋" w:eastAsia="仿宋" w:cs="仿宋"/>
          <w:color w:val="auto"/>
          <w:sz w:val="32"/>
          <w:szCs w:val="32"/>
          <w:highlight w:val="none"/>
        </w:rPr>
        <w:t>投标方未经招标方同意，不得以任何形式向第三方公开本技术规范书。</w:t>
      </w:r>
      <w:bookmarkEnd w:id="8"/>
    </w:p>
    <w:p w14:paraId="5954BA91">
      <w:pPr>
        <w:pStyle w:val="3"/>
        <w:pageBreakBefore w:val="0"/>
        <w:kinsoku/>
        <w:wordWrap/>
        <w:overflowPunct/>
        <w:topLinePunct w:val="0"/>
        <w:bidi w:val="0"/>
        <w:spacing w:line="560" w:lineRule="exact"/>
        <w:rPr>
          <w:rFonts w:hint="eastAsia" w:ascii="仿宋" w:hAnsi="仿宋" w:eastAsia="仿宋" w:cs="仿宋"/>
          <w:b/>
          <w:bCs/>
          <w:color w:val="auto"/>
          <w:sz w:val="32"/>
          <w:szCs w:val="32"/>
          <w:highlight w:val="none"/>
        </w:rPr>
      </w:pPr>
      <w:bookmarkStart w:id="9" w:name="_Toc32689"/>
      <w:r>
        <w:rPr>
          <w:rFonts w:hint="eastAsia" w:ascii="仿宋" w:hAnsi="仿宋" w:eastAsia="仿宋" w:cs="仿宋"/>
          <w:b/>
          <w:bCs/>
          <w:color w:val="auto"/>
          <w:sz w:val="32"/>
          <w:szCs w:val="32"/>
          <w:highlight w:val="none"/>
        </w:rPr>
        <w:t>（二）标准和规范</w:t>
      </w:r>
      <w:bookmarkEnd w:id="9"/>
    </w:p>
    <w:p w14:paraId="7241E906">
      <w:pPr>
        <w:pStyle w:val="3"/>
        <w:pageBreakBefore w:val="0"/>
        <w:kinsoku/>
        <w:wordWrap/>
        <w:overflowPunct/>
        <w:topLinePunct w:val="0"/>
        <w:bidi w:val="0"/>
        <w:spacing w:line="560" w:lineRule="exact"/>
        <w:rPr>
          <w:rFonts w:hint="eastAsia" w:ascii="仿宋" w:hAnsi="仿宋" w:eastAsia="仿宋" w:cs="仿宋"/>
          <w:color w:val="auto"/>
          <w:sz w:val="32"/>
          <w:szCs w:val="32"/>
          <w:highlight w:val="none"/>
        </w:rPr>
      </w:pPr>
      <w:bookmarkStart w:id="10" w:name="_Toc11018"/>
      <w:r>
        <w:rPr>
          <w:rFonts w:hint="eastAsia" w:ascii="仿宋" w:hAnsi="仿宋" w:eastAsia="仿宋" w:cs="仿宋"/>
          <w:color w:val="auto"/>
          <w:sz w:val="32"/>
          <w:szCs w:val="32"/>
          <w:highlight w:val="none"/>
        </w:rPr>
        <w:t>1、主要规范和标准：</w:t>
      </w:r>
      <w:bookmarkEnd w:id="10"/>
    </w:p>
    <w:p w14:paraId="1E783F65">
      <w:pPr>
        <w:pStyle w:val="3"/>
        <w:pageBreakBefore w:val="0"/>
        <w:kinsoku/>
        <w:wordWrap/>
        <w:overflowPunct/>
        <w:topLinePunct w:val="0"/>
        <w:bidi w:val="0"/>
        <w:spacing w:line="560" w:lineRule="exact"/>
        <w:rPr>
          <w:rFonts w:hint="eastAsia" w:ascii="仿宋" w:hAnsi="仿宋" w:eastAsia="仿宋" w:cs="仿宋"/>
          <w:color w:val="auto"/>
          <w:sz w:val="32"/>
          <w:szCs w:val="32"/>
          <w:highlight w:val="none"/>
        </w:rPr>
      </w:pPr>
      <w:bookmarkStart w:id="11" w:name="_Toc4577"/>
      <w:r>
        <w:rPr>
          <w:rFonts w:hint="eastAsia" w:ascii="仿宋" w:hAnsi="仿宋" w:eastAsia="仿宋" w:cs="仿宋"/>
          <w:color w:val="auto"/>
          <w:sz w:val="32"/>
          <w:szCs w:val="32"/>
          <w:highlight w:val="none"/>
        </w:rPr>
        <w:t>《民用建筑供暖通风与空气调节设计规范》(GB50736-2012)</w:t>
      </w:r>
      <w:bookmarkEnd w:id="11"/>
    </w:p>
    <w:p w14:paraId="691E6155">
      <w:pPr>
        <w:pStyle w:val="3"/>
        <w:pageBreakBefore w:val="0"/>
        <w:kinsoku/>
        <w:wordWrap/>
        <w:overflowPunct/>
        <w:topLinePunct w:val="0"/>
        <w:bidi w:val="0"/>
        <w:spacing w:line="560" w:lineRule="exact"/>
        <w:rPr>
          <w:rFonts w:hint="eastAsia" w:ascii="仿宋" w:hAnsi="仿宋" w:eastAsia="仿宋" w:cs="仿宋"/>
          <w:color w:val="auto"/>
          <w:sz w:val="32"/>
          <w:szCs w:val="32"/>
          <w:highlight w:val="none"/>
        </w:rPr>
      </w:pPr>
      <w:bookmarkStart w:id="12" w:name="_Toc930"/>
      <w:r>
        <w:rPr>
          <w:rFonts w:hint="eastAsia" w:ascii="仿宋" w:hAnsi="仿宋" w:eastAsia="仿宋" w:cs="仿宋"/>
          <w:color w:val="auto"/>
          <w:sz w:val="32"/>
          <w:szCs w:val="32"/>
          <w:highlight w:val="none"/>
        </w:rPr>
        <w:t>《公共建筑节能设计标准》(GB50189-2015)</w:t>
      </w:r>
      <w:bookmarkEnd w:id="12"/>
    </w:p>
    <w:p w14:paraId="3ED42FA3">
      <w:pPr>
        <w:pStyle w:val="3"/>
        <w:pageBreakBefore w:val="0"/>
        <w:kinsoku/>
        <w:wordWrap/>
        <w:overflowPunct/>
        <w:topLinePunct w:val="0"/>
        <w:bidi w:val="0"/>
        <w:spacing w:line="560" w:lineRule="exact"/>
        <w:rPr>
          <w:rFonts w:hint="eastAsia" w:ascii="仿宋" w:hAnsi="仿宋" w:eastAsia="仿宋" w:cs="仿宋"/>
          <w:color w:val="auto"/>
          <w:sz w:val="32"/>
          <w:szCs w:val="32"/>
          <w:highlight w:val="none"/>
        </w:rPr>
      </w:pPr>
      <w:bookmarkStart w:id="13" w:name="_Toc22719"/>
      <w:r>
        <w:rPr>
          <w:rFonts w:hint="eastAsia" w:ascii="仿宋" w:hAnsi="仿宋" w:eastAsia="仿宋" w:cs="仿宋"/>
          <w:color w:val="auto"/>
          <w:sz w:val="32"/>
          <w:szCs w:val="32"/>
          <w:highlight w:val="none"/>
        </w:rPr>
        <w:t>《民用建筑热工设计规范》(GB50176-2016</w:t>
      </w:r>
      <w:bookmarkEnd w:id="13"/>
    </w:p>
    <w:p w14:paraId="23BB09A5">
      <w:pPr>
        <w:pStyle w:val="3"/>
        <w:pageBreakBefore w:val="0"/>
        <w:kinsoku/>
        <w:wordWrap/>
        <w:overflowPunct/>
        <w:topLinePunct w:val="0"/>
        <w:bidi w:val="0"/>
        <w:spacing w:line="560" w:lineRule="exact"/>
        <w:rPr>
          <w:rFonts w:hint="eastAsia" w:ascii="仿宋" w:hAnsi="仿宋" w:eastAsia="仿宋" w:cs="仿宋"/>
          <w:color w:val="auto"/>
          <w:sz w:val="32"/>
          <w:szCs w:val="32"/>
          <w:highlight w:val="none"/>
        </w:rPr>
      </w:pPr>
      <w:bookmarkStart w:id="14" w:name="_Toc17083"/>
      <w:r>
        <w:rPr>
          <w:rFonts w:hint="eastAsia" w:ascii="仿宋" w:hAnsi="仿宋" w:eastAsia="仿宋" w:cs="仿宋"/>
          <w:color w:val="auto"/>
          <w:sz w:val="32"/>
          <w:szCs w:val="32"/>
          <w:highlight w:val="none"/>
        </w:rPr>
        <w:t>《建筑设计防火规范》(GB50016-2014)（2018年版）</w:t>
      </w:r>
      <w:bookmarkEnd w:id="14"/>
    </w:p>
    <w:p w14:paraId="20100A93">
      <w:pPr>
        <w:pStyle w:val="3"/>
        <w:pageBreakBefore w:val="0"/>
        <w:kinsoku/>
        <w:wordWrap/>
        <w:overflowPunct/>
        <w:topLinePunct w:val="0"/>
        <w:bidi w:val="0"/>
        <w:spacing w:line="560" w:lineRule="exact"/>
        <w:rPr>
          <w:rFonts w:hint="eastAsia" w:ascii="仿宋" w:hAnsi="仿宋" w:eastAsia="仿宋" w:cs="仿宋"/>
          <w:color w:val="auto"/>
          <w:sz w:val="32"/>
          <w:szCs w:val="32"/>
          <w:highlight w:val="none"/>
        </w:rPr>
      </w:pPr>
      <w:bookmarkStart w:id="15" w:name="_Toc20352"/>
      <w:r>
        <w:rPr>
          <w:rFonts w:hint="eastAsia" w:ascii="仿宋" w:hAnsi="仿宋" w:eastAsia="仿宋" w:cs="仿宋"/>
          <w:color w:val="auto"/>
          <w:sz w:val="32"/>
          <w:szCs w:val="32"/>
          <w:highlight w:val="none"/>
        </w:rPr>
        <w:t>《通风与空调工程施工质量验收规范》GB50243-2016</w:t>
      </w:r>
      <w:bookmarkEnd w:id="15"/>
    </w:p>
    <w:p w14:paraId="7704405B">
      <w:pPr>
        <w:pStyle w:val="3"/>
        <w:pageBreakBefore w:val="0"/>
        <w:kinsoku/>
        <w:wordWrap/>
        <w:overflowPunct/>
        <w:topLinePunct w:val="0"/>
        <w:bidi w:val="0"/>
        <w:spacing w:line="560" w:lineRule="exact"/>
        <w:rPr>
          <w:rFonts w:hint="eastAsia" w:ascii="仿宋" w:hAnsi="仿宋" w:eastAsia="仿宋" w:cs="仿宋"/>
          <w:color w:val="auto"/>
          <w:sz w:val="32"/>
          <w:szCs w:val="32"/>
          <w:highlight w:val="none"/>
        </w:rPr>
      </w:pPr>
      <w:bookmarkStart w:id="16" w:name="_Toc29939"/>
      <w:r>
        <w:rPr>
          <w:rFonts w:hint="eastAsia" w:ascii="仿宋" w:hAnsi="仿宋" w:eastAsia="仿宋" w:cs="仿宋"/>
          <w:color w:val="auto"/>
          <w:sz w:val="32"/>
          <w:szCs w:val="32"/>
          <w:highlight w:val="none"/>
        </w:rPr>
        <w:t>《工业设备及管道绝热工程质量检验评定标准》GB50185-2010</w:t>
      </w:r>
      <w:bookmarkEnd w:id="16"/>
    </w:p>
    <w:p w14:paraId="5BD86CA6">
      <w:pPr>
        <w:pStyle w:val="3"/>
        <w:pageBreakBefore w:val="0"/>
        <w:kinsoku/>
        <w:wordWrap/>
        <w:overflowPunct/>
        <w:topLinePunct w:val="0"/>
        <w:bidi w:val="0"/>
        <w:spacing w:line="560" w:lineRule="exact"/>
        <w:rPr>
          <w:rFonts w:hint="eastAsia" w:ascii="仿宋" w:hAnsi="仿宋" w:eastAsia="仿宋" w:cs="仿宋"/>
          <w:color w:val="auto"/>
          <w:sz w:val="32"/>
          <w:szCs w:val="32"/>
          <w:highlight w:val="none"/>
        </w:rPr>
      </w:pPr>
      <w:bookmarkStart w:id="17" w:name="_Toc23940"/>
      <w:r>
        <w:rPr>
          <w:rFonts w:hint="eastAsia" w:ascii="仿宋" w:hAnsi="仿宋" w:eastAsia="仿宋" w:cs="仿宋"/>
          <w:color w:val="auto"/>
          <w:sz w:val="32"/>
          <w:szCs w:val="32"/>
          <w:highlight w:val="none"/>
        </w:rPr>
        <w:t>《制冷设备、空气分离设备安装工程施工及验收规范》GB50274-2010</w:t>
      </w:r>
      <w:bookmarkEnd w:id="17"/>
    </w:p>
    <w:p w14:paraId="127DF3E1">
      <w:pPr>
        <w:pStyle w:val="3"/>
        <w:pageBreakBefore w:val="0"/>
        <w:kinsoku/>
        <w:wordWrap/>
        <w:overflowPunct/>
        <w:topLinePunct w:val="0"/>
        <w:bidi w:val="0"/>
        <w:spacing w:line="560" w:lineRule="exact"/>
        <w:rPr>
          <w:rFonts w:hint="eastAsia" w:ascii="仿宋" w:hAnsi="仿宋" w:eastAsia="仿宋" w:cs="仿宋"/>
          <w:color w:val="auto"/>
          <w:sz w:val="32"/>
          <w:szCs w:val="32"/>
          <w:highlight w:val="none"/>
        </w:rPr>
      </w:pPr>
      <w:bookmarkStart w:id="18" w:name="_Toc9341"/>
      <w:r>
        <w:rPr>
          <w:rFonts w:hint="eastAsia" w:ascii="仿宋" w:hAnsi="仿宋" w:eastAsia="仿宋" w:cs="仿宋"/>
          <w:color w:val="auto"/>
          <w:sz w:val="32"/>
          <w:szCs w:val="32"/>
          <w:highlight w:val="none"/>
        </w:rPr>
        <w:t>《建筑节能工程施工质量验收规范》GB50411-2014</w:t>
      </w:r>
      <w:bookmarkEnd w:id="18"/>
    </w:p>
    <w:p w14:paraId="1299E05B">
      <w:pPr>
        <w:pStyle w:val="3"/>
        <w:pageBreakBefore w:val="0"/>
        <w:kinsoku/>
        <w:wordWrap/>
        <w:overflowPunct/>
        <w:topLinePunct w:val="0"/>
        <w:bidi w:val="0"/>
        <w:spacing w:line="560" w:lineRule="exact"/>
        <w:rPr>
          <w:rFonts w:hint="eastAsia" w:ascii="仿宋" w:hAnsi="仿宋" w:eastAsia="仿宋" w:cs="仿宋"/>
          <w:color w:val="auto"/>
          <w:sz w:val="32"/>
          <w:szCs w:val="32"/>
          <w:highlight w:val="none"/>
        </w:rPr>
      </w:pPr>
      <w:bookmarkStart w:id="19" w:name="_Toc27456"/>
      <w:r>
        <w:rPr>
          <w:rFonts w:hint="eastAsia" w:ascii="仿宋" w:hAnsi="仿宋" w:eastAsia="仿宋" w:cs="仿宋"/>
          <w:color w:val="auto"/>
          <w:sz w:val="32"/>
          <w:szCs w:val="32"/>
          <w:highlight w:val="none"/>
        </w:rPr>
        <w:t>《云南省民用建筑节能设计标准》DBJ53/T-39-2020</w:t>
      </w:r>
      <w:bookmarkEnd w:id="19"/>
    </w:p>
    <w:p w14:paraId="256CDE47">
      <w:pPr>
        <w:pStyle w:val="3"/>
        <w:pageBreakBefore w:val="0"/>
        <w:kinsoku/>
        <w:wordWrap/>
        <w:overflowPunct/>
        <w:topLinePunct w:val="0"/>
        <w:bidi w:val="0"/>
        <w:spacing w:line="560" w:lineRule="exact"/>
        <w:rPr>
          <w:rFonts w:hint="eastAsia" w:ascii="仿宋" w:hAnsi="仿宋" w:eastAsia="仿宋" w:cs="仿宋"/>
          <w:color w:val="auto"/>
          <w:sz w:val="32"/>
          <w:szCs w:val="32"/>
          <w:highlight w:val="none"/>
        </w:rPr>
      </w:pPr>
      <w:bookmarkStart w:id="20" w:name="_Toc10976"/>
      <w:r>
        <w:rPr>
          <w:rFonts w:hint="eastAsia" w:ascii="仿宋" w:hAnsi="仿宋" w:eastAsia="仿宋" w:cs="仿宋"/>
          <w:color w:val="auto"/>
          <w:sz w:val="32"/>
          <w:szCs w:val="32"/>
          <w:highlight w:val="none"/>
        </w:rPr>
        <w:t>《民用建筑隔声设计规范》GB50118—2010</w:t>
      </w:r>
      <w:bookmarkEnd w:id="20"/>
    </w:p>
    <w:p w14:paraId="21EA2371">
      <w:pPr>
        <w:pStyle w:val="3"/>
        <w:pageBreakBefore w:val="0"/>
        <w:kinsoku/>
        <w:wordWrap/>
        <w:overflowPunct/>
        <w:topLinePunct w:val="0"/>
        <w:bidi w:val="0"/>
        <w:spacing w:line="560" w:lineRule="exact"/>
        <w:rPr>
          <w:rFonts w:hint="eastAsia" w:ascii="仿宋" w:hAnsi="仿宋" w:eastAsia="仿宋" w:cs="仿宋"/>
          <w:color w:val="auto"/>
          <w:sz w:val="32"/>
          <w:szCs w:val="32"/>
          <w:highlight w:val="none"/>
        </w:rPr>
      </w:pPr>
      <w:bookmarkStart w:id="21" w:name="_Toc15220"/>
      <w:r>
        <w:rPr>
          <w:rFonts w:hint="eastAsia" w:ascii="仿宋" w:hAnsi="仿宋" w:eastAsia="仿宋" w:cs="仿宋"/>
          <w:color w:val="auto"/>
          <w:sz w:val="32"/>
          <w:szCs w:val="32"/>
          <w:highlight w:val="none"/>
        </w:rPr>
        <w:t>《建筑机电工程抗震设计规范》GB50981-2014</w:t>
      </w:r>
      <w:bookmarkEnd w:id="21"/>
    </w:p>
    <w:p w14:paraId="3EABADD5">
      <w:pPr>
        <w:pStyle w:val="3"/>
        <w:pageBreakBefore w:val="0"/>
        <w:kinsoku/>
        <w:wordWrap/>
        <w:overflowPunct/>
        <w:topLinePunct w:val="0"/>
        <w:bidi w:val="0"/>
        <w:spacing w:line="560" w:lineRule="exact"/>
        <w:rPr>
          <w:rFonts w:hint="eastAsia" w:ascii="仿宋" w:hAnsi="仿宋" w:eastAsia="仿宋" w:cs="仿宋"/>
          <w:color w:val="auto"/>
          <w:sz w:val="32"/>
          <w:szCs w:val="32"/>
          <w:highlight w:val="none"/>
        </w:rPr>
      </w:pPr>
      <w:bookmarkStart w:id="22" w:name="_Toc14794"/>
      <w:r>
        <w:rPr>
          <w:rFonts w:hint="eastAsia" w:ascii="仿宋" w:hAnsi="仿宋" w:eastAsia="仿宋" w:cs="仿宋"/>
          <w:color w:val="auto"/>
          <w:sz w:val="32"/>
          <w:szCs w:val="32"/>
          <w:highlight w:val="none"/>
        </w:rPr>
        <w:t>《绿色建筑评价标准》GB/T50378-2014</w:t>
      </w:r>
      <w:bookmarkEnd w:id="22"/>
    </w:p>
    <w:p w14:paraId="2A96DDBE">
      <w:pPr>
        <w:pStyle w:val="3"/>
        <w:pageBreakBefore w:val="0"/>
        <w:kinsoku/>
        <w:wordWrap/>
        <w:overflowPunct/>
        <w:topLinePunct w:val="0"/>
        <w:bidi w:val="0"/>
        <w:spacing w:line="560" w:lineRule="exact"/>
        <w:rPr>
          <w:rFonts w:hint="eastAsia" w:ascii="仿宋" w:hAnsi="仿宋" w:eastAsia="仿宋" w:cs="仿宋"/>
          <w:color w:val="auto"/>
          <w:sz w:val="32"/>
          <w:szCs w:val="32"/>
          <w:highlight w:val="none"/>
        </w:rPr>
      </w:pPr>
      <w:bookmarkStart w:id="23" w:name="_Toc4934"/>
      <w:r>
        <w:rPr>
          <w:rFonts w:hint="eastAsia" w:ascii="仿宋" w:hAnsi="仿宋" w:eastAsia="仿宋" w:cs="仿宋"/>
          <w:color w:val="auto"/>
          <w:sz w:val="32"/>
          <w:szCs w:val="32"/>
          <w:highlight w:val="none"/>
        </w:rPr>
        <w:t>《制冷设备、空气分离设备安装工程施工及验收规范》GB50274-2010</w:t>
      </w:r>
      <w:bookmarkEnd w:id="23"/>
    </w:p>
    <w:p w14:paraId="418C8219">
      <w:pPr>
        <w:pStyle w:val="3"/>
        <w:pageBreakBefore w:val="0"/>
        <w:kinsoku/>
        <w:wordWrap/>
        <w:overflowPunct/>
        <w:topLinePunct w:val="0"/>
        <w:bidi w:val="0"/>
        <w:spacing w:line="560" w:lineRule="exact"/>
        <w:rPr>
          <w:rFonts w:hint="eastAsia" w:ascii="仿宋" w:hAnsi="仿宋" w:eastAsia="仿宋" w:cs="仿宋"/>
          <w:color w:val="auto"/>
          <w:sz w:val="32"/>
          <w:szCs w:val="32"/>
          <w:highlight w:val="none"/>
        </w:rPr>
      </w:pPr>
      <w:bookmarkStart w:id="24" w:name="_Toc6989"/>
      <w:r>
        <w:rPr>
          <w:rFonts w:hint="eastAsia" w:ascii="仿宋" w:hAnsi="仿宋" w:eastAsia="仿宋" w:cs="仿宋"/>
          <w:color w:val="auto"/>
          <w:sz w:val="32"/>
          <w:szCs w:val="32"/>
          <w:highlight w:val="none"/>
        </w:rPr>
        <w:t>《全国民用建筑工程设计技术措施》（暖通空调·动力）</w:t>
      </w:r>
      <w:bookmarkEnd w:id="24"/>
    </w:p>
    <w:p w14:paraId="56B6CAC7">
      <w:pPr>
        <w:pStyle w:val="3"/>
        <w:pageBreakBefore w:val="0"/>
        <w:kinsoku/>
        <w:wordWrap/>
        <w:overflowPunct/>
        <w:topLinePunct w:val="0"/>
        <w:bidi w:val="0"/>
        <w:spacing w:line="560" w:lineRule="exact"/>
        <w:rPr>
          <w:rFonts w:hint="eastAsia" w:ascii="仿宋" w:hAnsi="仿宋" w:eastAsia="仿宋" w:cs="仿宋"/>
          <w:color w:val="auto"/>
          <w:sz w:val="32"/>
          <w:szCs w:val="32"/>
          <w:highlight w:val="none"/>
        </w:rPr>
      </w:pPr>
      <w:bookmarkStart w:id="25" w:name="_Toc20465"/>
      <w:r>
        <w:rPr>
          <w:rFonts w:hint="eastAsia" w:ascii="仿宋" w:hAnsi="仿宋" w:eastAsia="仿宋" w:cs="仿宋"/>
          <w:color w:val="auto"/>
          <w:sz w:val="32"/>
          <w:szCs w:val="32"/>
          <w:highlight w:val="none"/>
        </w:rPr>
        <w:t>其它未列出与本此招标内容相关的规范和标准，以国家最新相关标准为准。</w:t>
      </w:r>
      <w:bookmarkEnd w:id="25"/>
    </w:p>
    <w:p w14:paraId="1F038C39">
      <w:pPr>
        <w:pStyle w:val="3"/>
        <w:pageBreakBefore w:val="0"/>
        <w:kinsoku/>
        <w:wordWrap/>
        <w:overflowPunct/>
        <w:topLinePunct w:val="0"/>
        <w:bidi w:val="0"/>
        <w:spacing w:line="560" w:lineRule="exact"/>
        <w:rPr>
          <w:rFonts w:hint="eastAsia" w:ascii="仿宋" w:hAnsi="仿宋" w:eastAsia="仿宋" w:cs="仿宋"/>
          <w:color w:val="auto"/>
          <w:sz w:val="32"/>
          <w:szCs w:val="32"/>
          <w:highlight w:val="none"/>
        </w:rPr>
      </w:pPr>
      <w:bookmarkStart w:id="26" w:name="_Toc27977"/>
      <w:r>
        <w:rPr>
          <w:rFonts w:hint="eastAsia" w:ascii="仿宋" w:hAnsi="仿宋" w:eastAsia="仿宋" w:cs="仿宋"/>
          <w:color w:val="auto"/>
          <w:sz w:val="32"/>
          <w:szCs w:val="32"/>
          <w:highlight w:val="none"/>
        </w:rPr>
        <w:t>2、其它涉及本项目招标内容的设计、保温、管件、阀门、辅料、支座、安全附件、制作工艺、压力试验、验收规范、工艺评定方法、技术通则等，应执行国家相关最新标准，若本招标书所列标准与投标方所执行的标准发生矛盾时，按较高标准执行。</w:t>
      </w:r>
      <w:bookmarkEnd w:id="26"/>
    </w:p>
    <w:p w14:paraId="191374DF">
      <w:pPr>
        <w:pStyle w:val="3"/>
        <w:pageBreakBefore w:val="0"/>
        <w:kinsoku/>
        <w:wordWrap/>
        <w:overflowPunct/>
        <w:topLinePunct w:val="0"/>
        <w:bidi w:val="0"/>
        <w:spacing w:line="560" w:lineRule="exact"/>
        <w:rPr>
          <w:rFonts w:hint="eastAsia" w:ascii="仿宋" w:hAnsi="仿宋" w:eastAsia="仿宋" w:cs="仿宋"/>
          <w:color w:val="auto"/>
          <w:sz w:val="32"/>
          <w:szCs w:val="32"/>
          <w:highlight w:val="none"/>
        </w:rPr>
      </w:pPr>
      <w:bookmarkStart w:id="27" w:name="_Toc16168"/>
      <w:r>
        <w:rPr>
          <w:rFonts w:hint="eastAsia" w:ascii="仿宋" w:hAnsi="仿宋" w:eastAsia="仿宋" w:cs="仿宋"/>
          <w:color w:val="auto"/>
          <w:sz w:val="32"/>
          <w:szCs w:val="32"/>
          <w:highlight w:val="none"/>
        </w:rPr>
        <w:t>3、投标人投标设备应提供相关证书证明完全满足招标文件技术标准，否则招标人有权对投标人投标设备进行技术审核，对不符合招标人技术标准的设备，招标人有权要求其退货，而由此产生的所有费用完全由投标人全部负责。</w:t>
      </w:r>
      <w:bookmarkEnd w:id="27"/>
    </w:p>
    <w:p w14:paraId="11D1DDFA">
      <w:pPr>
        <w:pStyle w:val="3"/>
        <w:pageBreakBefore w:val="0"/>
        <w:kinsoku/>
        <w:wordWrap/>
        <w:overflowPunct/>
        <w:topLinePunct w:val="0"/>
        <w:bidi w:val="0"/>
        <w:spacing w:line="560" w:lineRule="exact"/>
        <w:rPr>
          <w:rFonts w:hint="default" w:eastAsia="方正黑体_GBK"/>
          <w:color w:val="auto"/>
          <w:highlight w:val="none"/>
          <w:lang w:val="en-US" w:eastAsia="zh-CN"/>
        </w:rPr>
      </w:pPr>
      <w:bookmarkStart w:id="28" w:name="_Toc30920"/>
      <w:r>
        <w:rPr>
          <w:rFonts w:hint="eastAsia"/>
          <w:color w:val="auto"/>
          <w:highlight w:val="none"/>
        </w:rPr>
        <w:t>二、</w:t>
      </w:r>
      <w:r>
        <w:rPr>
          <w:rFonts w:hint="eastAsia"/>
          <w:color w:val="auto"/>
          <w:highlight w:val="none"/>
          <w:lang w:val="en-US" w:eastAsia="zh-CN"/>
        </w:rPr>
        <w:t>项目</w:t>
      </w:r>
      <w:r>
        <w:rPr>
          <w:rFonts w:hint="eastAsia"/>
          <w:color w:val="auto"/>
          <w:highlight w:val="none"/>
        </w:rPr>
        <w:t>概况</w:t>
      </w:r>
      <w:bookmarkEnd w:id="3"/>
      <w:bookmarkEnd w:id="4"/>
      <w:r>
        <w:rPr>
          <w:rFonts w:hint="eastAsia"/>
          <w:color w:val="auto"/>
          <w:highlight w:val="none"/>
          <w:lang w:val="en-US" w:eastAsia="zh-CN"/>
        </w:rPr>
        <w:t>与招标范围</w:t>
      </w:r>
      <w:bookmarkEnd w:id="28"/>
    </w:p>
    <w:p w14:paraId="0860206D">
      <w:pPr>
        <w:pStyle w:val="3"/>
        <w:pageBreakBefore w:val="0"/>
        <w:kinsoku/>
        <w:wordWrap/>
        <w:overflowPunct/>
        <w:topLinePunct w:val="0"/>
        <w:bidi w:val="0"/>
        <w:spacing w:line="560" w:lineRule="exact"/>
        <w:rPr>
          <w:rFonts w:hint="eastAsia" w:ascii="仿宋" w:eastAsia="仿宋" w:cs="仿宋"/>
          <w:b/>
          <w:bCs/>
          <w:color w:val="auto"/>
          <w:sz w:val="32"/>
          <w:szCs w:val="32"/>
          <w:highlight w:val="none"/>
          <w:lang w:val="en-US" w:eastAsia="zh-CN"/>
        </w:rPr>
      </w:pPr>
      <w:bookmarkStart w:id="29" w:name="_Toc30561"/>
      <w:bookmarkStart w:id="30" w:name="_Toc24676_WPSOffice_Level1"/>
      <w:bookmarkStart w:id="31" w:name="_Toc154259257"/>
      <w:r>
        <w:rPr>
          <w:rFonts w:hint="eastAsia" w:ascii="仿宋" w:eastAsia="仿宋" w:cs="仿宋"/>
          <w:b/>
          <w:bCs/>
          <w:color w:val="auto"/>
          <w:sz w:val="32"/>
          <w:szCs w:val="32"/>
          <w:highlight w:val="none"/>
          <w:lang w:eastAsia="zh-CN"/>
        </w:rPr>
        <w:t>（</w:t>
      </w:r>
      <w:r>
        <w:rPr>
          <w:rFonts w:hint="eastAsia" w:ascii="仿宋" w:eastAsia="仿宋" w:cs="仿宋"/>
          <w:b/>
          <w:bCs/>
          <w:color w:val="auto"/>
          <w:sz w:val="32"/>
          <w:szCs w:val="32"/>
          <w:highlight w:val="none"/>
          <w:lang w:val="en-US" w:eastAsia="zh-CN"/>
        </w:rPr>
        <w:t>一）项目概况</w:t>
      </w:r>
      <w:bookmarkEnd w:id="29"/>
    </w:p>
    <w:p w14:paraId="6C4EDA4A">
      <w:pPr>
        <w:keepNext w:val="0"/>
        <w:keepLines w:val="0"/>
        <w:pageBreakBefore w:val="0"/>
        <w:widowControl w:val="0"/>
        <w:kinsoku/>
        <w:wordWrap/>
        <w:overflowPunct/>
        <w:topLinePunct w:val="0"/>
        <w:autoSpaceDE/>
        <w:autoSpaceDN/>
        <w:bidi w:val="0"/>
        <w:adjustRightInd/>
        <w:snapToGrid/>
        <w:spacing w:before="120" w:after="120" w:line="360" w:lineRule="auto"/>
        <w:ind w:left="0" w:firstLine="640" w:firstLineChars="200"/>
        <w:jc w:val="left"/>
        <w:textAlignment w:val="auto"/>
        <w:rPr>
          <w:rFonts w:hint="eastAsia" w:eastAsia="宋体"/>
          <w:color w:val="auto"/>
          <w:highlight w:val="none"/>
          <w:lang w:val="en-US" w:eastAsia="zh-CN"/>
        </w:rPr>
      </w:pPr>
      <w:bookmarkStart w:id="32" w:name="_Toc3479"/>
      <w:r>
        <w:rPr>
          <w:rFonts w:hint="eastAsia" w:ascii="仿宋" w:hAnsi="仿宋" w:eastAsia="仿宋" w:cs="仿宋"/>
          <w:color w:val="auto"/>
          <w:kern w:val="2"/>
          <w:sz w:val="32"/>
          <w:szCs w:val="32"/>
          <w:highlight w:val="none"/>
          <w:lang w:val="en-US" w:eastAsia="zh-CN" w:bidi="ar-SA"/>
        </w:rPr>
        <w:t>南方电网澜湄国际能源有限责任公司办公楼位于云南省昆明市西山区广福路15号，总建筑面积为16111平方米。建筑层数为地下1层、地上6层，建筑高度为23.85米，结构形式为钢筋混凝土框架结构。2025年，公司已完成会议室和部分办公室的空调采购安装，剩余办公区域尚未配置空调系统。由于该建筑外墙为全玻璃幕墙，保温效果较差，在夏季高温和冬季低温季节，剩余办公区域室内温度无法得到有效调节，办公环境舒适度低，影响员工的工作体验，为满足夏天制冷、冬天采暖的需求，需在剩余办公楼内安装多联机式空调系统。</w:t>
      </w:r>
      <w:bookmarkEnd w:id="32"/>
    </w:p>
    <w:p w14:paraId="56C890AD">
      <w:pPr>
        <w:pStyle w:val="3"/>
        <w:pageBreakBefore w:val="0"/>
        <w:numPr>
          <w:ilvl w:val="0"/>
          <w:numId w:val="2"/>
        </w:numPr>
        <w:kinsoku/>
        <w:wordWrap/>
        <w:overflowPunct/>
        <w:topLinePunct w:val="0"/>
        <w:bidi w:val="0"/>
        <w:spacing w:line="560" w:lineRule="exact"/>
        <w:rPr>
          <w:rFonts w:hint="eastAsia" w:ascii="仿宋" w:eastAsia="仿宋" w:cs="仿宋"/>
          <w:b/>
          <w:bCs/>
          <w:color w:val="auto"/>
          <w:sz w:val="32"/>
          <w:szCs w:val="32"/>
          <w:highlight w:val="none"/>
          <w:lang w:val="en-US" w:eastAsia="zh-CN"/>
        </w:rPr>
      </w:pPr>
      <w:bookmarkStart w:id="33" w:name="_Toc6049"/>
      <w:r>
        <w:rPr>
          <w:rFonts w:hint="eastAsia" w:ascii="仿宋" w:eastAsia="仿宋" w:cs="仿宋"/>
          <w:b/>
          <w:bCs/>
          <w:color w:val="auto"/>
          <w:sz w:val="32"/>
          <w:szCs w:val="32"/>
          <w:highlight w:val="none"/>
          <w:lang w:val="en-US" w:eastAsia="zh-CN"/>
        </w:rPr>
        <w:t>招标范围</w:t>
      </w:r>
      <w:bookmarkEnd w:id="33"/>
    </w:p>
    <w:p w14:paraId="1F677DDA">
      <w:pPr>
        <w:keepNext w:val="0"/>
        <w:keepLines w:val="0"/>
        <w:pageBreakBefore w:val="0"/>
        <w:widowControl w:val="0"/>
        <w:kinsoku/>
        <w:wordWrap/>
        <w:overflowPunct/>
        <w:topLinePunct w:val="0"/>
        <w:autoSpaceDE/>
        <w:autoSpaceDN/>
        <w:bidi w:val="0"/>
        <w:adjustRightInd/>
        <w:snapToGrid/>
        <w:spacing w:before="120" w:after="120" w:line="360" w:lineRule="auto"/>
        <w:ind w:left="0" w:firstLine="640" w:firstLineChars="200"/>
        <w:jc w:val="left"/>
        <w:textAlignment w:val="auto"/>
        <w:rPr>
          <w:rFonts w:hint="default"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本项目为“交钥匙工程”，包含系统设备采购、运输、保险、搬运、吊装、安装及调试；办公楼内吊顶保护性拆除和恢复、墙地面开洞和修复；配套铜管、给水管、室内外机安装支架或水泥基础、电缆、辅助安装材料、技术培训、质保期、售后服务等内容。</w:t>
      </w:r>
    </w:p>
    <w:bookmarkEnd w:id="30"/>
    <w:bookmarkEnd w:id="31"/>
    <w:p w14:paraId="149F5ACB">
      <w:pPr>
        <w:pStyle w:val="3"/>
        <w:pageBreakBefore w:val="0"/>
        <w:numPr>
          <w:ilvl w:val="0"/>
          <w:numId w:val="3"/>
        </w:numPr>
        <w:kinsoku/>
        <w:wordWrap/>
        <w:overflowPunct/>
        <w:topLinePunct w:val="0"/>
        <w:bidi w:val="0"/>
        <w:spacing w:line="560" w:lineRule="exact"/>
        <w:ind w:left="-10" w:leftChars="0" w:firstLineChars="0"/>
        <w:rPr>
          <w:rFonts w:hint="eastAsia"/>
          <w:lang w:val="en-US" w:eastAsia="zh-CN"/>
        </w:rPr>
      </w:pPr>
      <w:bookmarkStart w:id="34" w:name="_Toc19308"/>
      <w:r>
        <w:rPr>
          <w:rFonts w:hint="eastAsia"/>
          <w:color w:val="auto"/>
          <w:highlight w:val="none"/>
          <w:lang w:val="en-US" w:eastAsia="zh-CN"/>
        </w:rPr>
        <w:t>采购清单</w:t>
      </w:r>
      <w:bookmarkEnd w:id="34"/>
    </w:p>
    <w:tbl>
      <w:tblPr>
        <w:tblStyle w:val="13"/>
        <w:tblW w:w="90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6"/>
        <w:gridCol w:w="1627"/>
        <w:gridCol w:w="4241"/>
        <w:gridCol w:w="846"/>
        <w:gridCol w:w="886"/>
        <w:gridCol w:w="764"/>
      </w:tblGrid>
      <w:tr w14:paraId="1E834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0" w:hRule="atLeast"/>
        </w:trPr>
        <w:tc>
          <w:tcPr>
            <w:tcW w:w="716" w:type="dxa"/>
            <w:vAlign w:val="center"/>
          </w:tcPr>
          <w:p w14:paraId="6F72E549">
            <w:pPr>
              <w:pageBreakBefore w:val="0"/>
              <w:widowControl/>
              <w:kinsoku/>
              <w:wordWrap/>
              <w:overflowPunct/>
              <w:topLinePunct w:val="0"/>
              <w:bidi w:val="0"/>
              <w:snapToGrid w:val="0"/>
              <w:spacing w:line="560" w:lineRule="exact"/>
              <w:jc w:val="center"/>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序号</w:t>
            </w:r>
          </w:p>
        </w:tc>
        <w:tc>
          <w:tcPr>
            <w:tcW w:w="1627" w:type="dxa"/>
            <w:vAlign w:val="center"/>
          </w:tcPr>
          <w:p w14:paraId="741AF1A5">
            <w:pPr>
              <w:pageBreakBefore w:val="0"/>
              <w:widowControl/>
              <w:kinsoku/>
              <w:wordWrap/>
              <w:overflowPunct/>
              <w:topLinePunct w:val="0"/>
              <w:bidi w:val="0"/>
              <w:snapToGrid w:val="0"/>
              <w:spacing w:line="560" w:lineRule="exact"/>
              <w:jc w:val="center"/>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设备名称</w:t>
            </w:r>
          </w:p>
        </w:tc>
        <w:tc>
          <w:tcPr>
            <w:tcW w:w="4241" w:type="dxa"/>
            <w:vAlign w:val="center"/>
          </w:tcPr>
          <w:p w14:paraId="158695F5">
            <w:pPr>
              <w:pageBreakBefore w:val="0"/>
              <w:widowControl/>
              <w:kinsoku/>
              <w:wordWrap/>
              <w:overflowPunct/>
              <w:topLinePunct w:val="0"/>
              <w:bidi w:val="0"/>
              <w:snapToGrid w:val="0"/>
              <w:spacing w:line="560" w:lineRule="exact"/>
              <w:jc w:val="center"/>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设备型号规格</w:t>
            </w:r>
          </w:p>
        </w:tc>
        <w:tc>
          <w:tcPr>
            <w:tcW w:w="846" w:type="dxa"/>
            <w:vAlign w:val="center"/>
          </w:tcPr>
          <w:p w14:paraId="76961493">
            <w:pPr>
              <w:pageBreakBefore w:val="0"/>
              <w:widowControl/>
              <w:kinsoku/>
              <w:wordWrap/>
              <w:overflowPunct/>
              <w:topLinePunct w:val="0"/>
              <w:bidi w:val="0"/>
              <w:snapToGrid w:val="0"/>
              <w:spacing w:line="560" w:lineRule="exact"/>
              <w:jc w:val="center"/>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计量单位</w:t>
            </w:r>
          </w:p>
        </w:tc>
        <w:tc>
          <w:tcPr>
            <w:tcW w:w="886" w:type="dxa"/>
            <w:vAlign w:val="center"/>
          </w:tcPr>
          <w:p w14:paraId="08A717E1">
            <w:pPr>
              <w:pageBreakBefore w:val="0"/>
              <w:widowControl/>
              <w:kinsoku/>
              <w:wordWrap/>
              <w:overflowPunct/>
              <w:topLinePunct w:val="0"/>
              <w:bidi w:val="0"/>
              <w:snapToGrid w:val="0"/>
              <w:spacing w:line="560" w:lineRule="exact"/>
              <w:jc w:val="center"/>
              <w:rPr>
                <w:rFonts w:hint="eastAsia" w:ascii="仿宋" w:hAnsi="仿宋" w:eastAsia="仿宋" w:cs="仿宋"/>
                <w:b/>
                <w:bCs/>
                <w:color w:val="auto"/>
                <w:kern w:val="0"/>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数量</w:t>
            </w:r>
          </w:p>
        </w:tc>
        <w:tc>
          <w:tcPr>
            <w:tcW w:w="764" w:type="dxa"/>
            <w:noWrap/>
            <w:vAlign w:val="center"/>
          </w:tcPr>
          <w:p w14:paraId="5D56C062">
            <w:pPr>
              <w:pageBreakBefore w:val="0"/>
              <w:widowControl/>
              <w:kinsoku/>
              <w:wordWrap/>
              <w:overflowPunct/>
              <w:topLinePunct w:val="0"/>
              <w:bidi w:val="0"/>
              <w:snapToGrid w:val="0"/>
              <w:spacing w:line="560" w:lineRule="exact"/>
              <w:jc w:val="center"/>
              <w:rPr>
                <w:rFonts w:hint="eastAsia" w:ascii="仿宋" w:hAnsi="仿宋" w:eastAsia="仿宋" w:cs="仿宋"/>
                <w:b/>
                <w:bCs/>
                <w:color w:val="auto"/>
                <w:kern w:val="0"/>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备注</w:t>
            </w:r>
          </w:p>
        </w:tc>
      </w:tr>
      <w:tr w14:paraId="6DC37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6" w:type="dxa"/>
            <w:vAlign w:val="center"/>
          </w:tcPr>
          <w:p w14:paraId="6D2C9263">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1627" w:type="dxa"/>
            <w:vAlign w:val="center"/>
          </w:tcPr>
          <w:p w14:paraId="0390042A">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环绕气流嵌入式室内机</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SNJ-50</w:t>
            </w:r>
          </w:p>
        </w:tc>
        <w:tc>
          <w:tcPr>
            <w:tcW w:w="4241" w:type="dxa"/>
            <w:vAlign w:val="center"/>
          </w:tcPr>
          <w:p w14:paraId="2EFBDFB9">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风量≥1000m³/h，制冷量≥5.0kw，制热量≥5.8kw，功率≤33W（直流电机），噪音≤27-36dB（A），机组尺寸≤850*850*210，机组质量≥20kg，自带冷凝水提升泵（1200mm高扬程）</w:t>
            </w:r>
          </w:p>
        </w:tc>
        <w:tc>
          <w:tcPr>
            <w:tcW w:w="846" w:type="dxa"/>
            <w:vAlign w:val="center"/>
          </w:tcPr>
          <w:p w14:paraId="43EB45B0">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台</w:t>
            </w:r>
          </w:p>
        </w:tc>
        <w:tc>
          <w:tcPr>
            <w:tcW w:w="886" w:type="dxa"/>
            <w:vAlign w:val="center"/>
          </w:tcPr>
          <w:p w14:paraId="776D9965">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 xml:space="preserve">28 </w:t>
            </w:r>
          </w:p>
        </w:tc>
        <w:tc>
          <w:tcPr>
            <w:tcW w:w="764" w:type="dxa"/>
            <w:vAlign w:val="center"/>
          </w:tcPr>
          <w:p w14:paraId="4A1BA81F">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r>
      <w:tr w14:paraId="3804C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716" w:type="dxa"/>
            <w:vAlign w:val="center"/>
          </w:tcPr>
          <w:p w14:paraId="0845A7C7">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1627" w:type="dxa"/>
            <w:vAlign w:val="center"/>
          </w:tcPr>
          <w:p w14:paraId="37658829">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环绕气流嵌入式室内机</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SNJ-56</w:t>
            </w:r>
          </w:p>
        </w:tc>
        <w:tc>
          <w:tcPr>
            <w:tcW w:w="4241" w:type="dxa"/>
            <w:vAlign w:val="center"/>
          </w:tcPr>
          <w:p w14:paraId="7BE305E1">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风量≥1100m³/h，制冷量≥5.6kw，制热量≥6.5kw，功率≤34W（直流电机），噪音≤27-42dB（A），机组尺寸≤850*850*210，机组质量≥25kg，自带冷凝水提升泵（1200mm高扬程）</w:t>
            </w:r>
          </w:p>
        </w:tc>
        <w:tc>
          <w:tcPr>
            <w:tcW w:w="846" w:type="dxa"/>
            <w:vAlign w:val="center"/>
          </w:tcPr>
          <w:p w14:paraId="363B5FFC">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台</w:t>
            </w:r>
          </w:p>
        </w:tc>
        <w:tc>
          <w:tcPr>
            <w:tcW w:w="886" w:type="dxa"/>
            <w:vAlign w:val="center"/>
          </w:tcPr>
          <w:p w14:paraId="3BE60139">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 xml:space="preserve">9 </w:t>
            </w:r>
          </w:p>
        </w:tc>
        <w:tc>
          <w:tcPr>
            <w:tcW w:w="764" w:type="dxa"/>
            <w:vAlign w:val="center"/>
          </w:tcPr>
          <w:p w14:paraId="6F9909F7">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r>
      <w:tr w14:paraId="7C3BC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716" w:type="dxa"/>
            <w:vAlign w:val="center"/>
          </w:tcPr>
          <w:p w14:paraId="0765FE2E">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1627" w:type="dxa"/>
            <w:vAlign w:val="center"/>
          </w:tcPr>
          <w:p w14:paraId="77E37A8A">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环绕气流嵌入式室内机</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SNJ-63</w:t>
            </w:r>
          </w:p>
        </w:tc>
        <w:tc>
          <w:tcPr>
            <w:tcW w:w="4241" w:type="dxa"/>
            <w:vAlign w:val="center"/>
          </w:tcPr>
          <w:p w14:paraId="00274DD5">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风量≥1200m³/h，制冷量≥6.3kw，制热量≥7.5kw，功率≤45W（直流电机），噪音≤28-44dB（A），机组尺寸≤850*850*210，机组质量≥25kg，自带冷凝水提升泵（1200mm高扬程）</w:t>
            </w:r>
          </w:p>
        </w:tc>
        <w:tc>
          <w:tcPr>
            <w:tcW w:w="846" w:type="dxa"/>
            <w:vAlign w:val="center"/>
          </w:tcPr>
          <w:p w14:paraId="52D7E5AE">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台</w:t>
            </w:r>
          </w:p>
        </w:tc>
        <w:tc>
          <w:tcPr>
            <w:tcW w:w="886" w:type="dxa"/>
            <w:vAlign w:val="center"/>
          </w:tcPr>
          <w:p w14:paraId="48BD2179">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 xml:space="preserve">3 </w:t>
            </w:r>
          </w:p>
        </w:tc>
        <w:tc>
          <w:tcPr>
            <w:tcW w:w="764" w:type="dxa"/>
            <w:vAlign w:val="center"/>
          </w:tcPr>
          <w:p w14:paraId="6B04FFE8">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r>
      <w:tr w14:paraId="21950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716" w:type="dxa"/>
            <w:vAlign w:val="center"/>
          </w:tcPr>
          <w:p w14:paraId="0E4087BA">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1627" w:type="dxa"/>
            <w:vAlign w:val="center"/>
          </w:tcPr>
          <w:p w14:paraId="74DC4283">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环绕气流嵌入式室内机</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SNJ-100</w:t>
            </w:r>
          </w:p>
        </w:tc>
        <w:tc>
          <w:tcPr>
            <w:tcW w:w="4241" w:type="dxa"/>
            <w:vAlign w:val="center"/>
          </w:tcPr>
          <w:p w14:paraId="3DBACFAD">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风量≥1600m³/h，制冷量≥10.0kw，制热量≥11.2kw，功率≤82W（直流电机），噪音≤32-45dB（A），机组尺寸≤850*850*300，机组质量≥30kg，自带冷凝水提升泵（1200mm高扬程）</w:t>
            </w:r>
          </w:p>
        </w:tc>
        <w:tc>
          <w:tcPr>
            <w:tcW w:w="846" w:type="dxa"/>
            <w:vAlign w:val="center"/>
          </w:tcPr>
          <w:p w14:paraId="768E85B3">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台</w:t>
            </w:r>
          </w:p>
        </w:tc>
        <w:tc>
          <w:tcPr>
            <w:tcW w:w="886" w:type="dxa"/>
            <w:vAlign w:val="center"/>
          </w:tcPr>
          <w:p w14:paraId="14F2C77F">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 xml:space="preserve">1 </w:t>
            </w:r>
          </w:p>
        </w:tc>
        <w:tc>
          <w:tcPr>
            <w:tcW w:w="764" w:type="dxa"/>
            <w:vAlign w:val="center"/>
          </w:tcPr>
          <w:p w14:paraId="4D8287E8">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r>
      <w:tr w14:paraId="4D73C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716" w:type="dxa"/>
            <w:vAlign w:val="center"/>
          </w:tcPr>
          <w:p w14:paraId="057270C5">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1627" w:type="dxa"/>
            <w:vAlign w:val="center"/>
          </w:tcPr>
          <w:p w14:paraId="4A79C329">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环绕气流嵌入式室内机</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SNJ-125</w:t>
            </w:r>
          </w:p>
        </w:tc>
        <w:tc>
          <w:tcPr>
            <w:tcW w:w="4241" w:type="dxa"/>
            <w:vAlign w:val="center"/>
          </w:tcPr>
          <w:p w14:paraId="7BB8DBCD">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风量≥1800m³/h，制冷量≥12.5kw，制热量≥14.0kw，功率≤102W（直流电机），噪音≤34-48dB（A），机组尺寸≤850*850*300，机组质量≥30kg，自带冷凝水提升泵（1200mm高扬程）</w:t>
            </w:r>
          </w:p>
        </w:tc>
        <w:tc>
          <w:tcPr>
            <w:tcW w:w="846" w:type="dxa"/>
            <w:vAlign w:val="center"/>
          </w:tcPr>
          <w:p w14:paraId="1FAEE819">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台</w:t>
            </w:r>
          </w:p>
        </w:tc>
        <w:tc>
          <w:tcPr>
            <w:tcW w:w="886" w:type="dxa"/>
            <w:vAlign w:val="center"/>
          </w:tcPr>
          <w:p w14:paraId="389965D0">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 xml:space="preserve">36 </w:t>
            </w:r>
          </w:p>
        </w:tc>
        <w:tc>
          <w:tcPr>
            <w:tcW w:w="764" w:type="dxa"/>
            <w:vAlign w:val="center"/>
          </w:tcPr>
          <w:p w14:paraId="6A273904">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r>
      <w:tr w14:paraId="749F9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716" w:type="dxa"/>
            <w:vAlign w:val="center"/>
          </w:tcPr>
          <w:p w14:paraId="6272DC1A">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p>
        </w:tc>
        <w:tc>
          <w:tcPr>
            <w:tcW w:w="1627" w:type="dxa"/>
            <w:vAlign w:val="center"/>
          </w:tcPr>
          <w:p w14:paraId="75C4081F">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环绕气流嵌入式室内机</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SNJ-140</w:t>
            </w:r>
          </w:p>
        </w:tc>
        <w:tc>
          <w:tcPr>
            <w:tcW w:w="4241" w:type="dxa"/>
            <w:vAlign w:val="center"/>
          </w:tcPr>
          <w:p w14:paraId="7F41B5B3">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风量≥1800m³/h，制冷量≥14.0kw，制热量≥16.0kw，功率≤115W（直流电机），噪音≤34-49dB（A），机组尺寸≤850*850*300，机组质量≥30kg，自带冷凝水提升泵（1200mm高扬程）</w:t>
            </w:r>
          </w:p>
        </w:tc>
        <w:tc>
          <w:tcPr>
            <w:tcW w:w="846" w:type="dxa"/>
            <w:vAlign w:val="center"/>
          </w:tcPr>
          <w:p w14:paraId="716B0C71">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台</w:t>
            </w:r>
          </w:p>
        </w:tc>
        <w:tc>
          <w:tcPr>
            <w:tcW w:w="886" w:type="dxa"/>
            <w:vAlign w:val="center"/>
          </w:tcPr>
          <w:p w14:paraId="756E0337">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 xml:space="preserve">1 </w:t>
            </w:r>
          </w:p>
        </w:tc>
        <w:tc>
          <w:tcPr>
            <w:tcW w:w="764" w:type="dxa"/>
            <w:vAlign w:val="center"/>
          </w:tcPr>
          <w:p w14:paraId="481F1FC0">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r>
      <w:tr w14:paraId="6574D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716" w:type="dxa"/>
            <w:vAlign w:val="center"/>
          </w:tcPr>
          <w:p w14:paraId="28927D30">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p>
        </w:tc>
        <w:tc>
          <w:tcPr>
            <w:tcW w:w="1627" w:type="dxa"/>
            <w:vAlign w:val="center"/>
          </w:tcPr>
          <w:p w14:paraId="36288C4D">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环绕气流嵌入式室内机</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SNJ-160</w:t>
            </w:r>
          </w:p>
        </w:tc>
        <w:tc>
          <w:tcPr>
            <w:tcW w:w="4241" w:type="dxa"/>
            <w:vAlign w:val="center"/>
          </w:tcPr>
          <w:p w14:paraId="553D8884">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风量≥2100m³/h，制冷量≥16.0kw，制热量≥18.0kw，功率≤140W（直流电机），噪音≤37-49dB（A），机组尺寸≤850*850*300，机组质量≥30kg，自带冷凝水提升泵（1200mm高扬程）</w:t>
            </w:r>
          </w:p>
        </w:tc>
        <w:tc>
          <w:tcPr>
            <w:tcW w:w="846" w:type="dxa"/>
            <w:vAlign w:val="center"/>
          </w:tcPr>
          <w:p w14:paraId="7426749B">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台</w:t>
            </w:r>
          </w:p>
        </w:tc>
        <w:tc>
          <w:tcPr>
            <w:tcW w:w="886" w:type="dxa"/>
            <w:vAlign w:val="center"/>
          </w:tcPr>
          <w:p w14:paraId="0D2B41BF">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 xml:space="preserve">2 </w:t>
            </w:r>
          </w:p>
        </w:tc>
        <w:tc>
          <w:tcPr>
            <w:tcW w:w="764" w:type="dxa"/>
            <w:vAlign w:val="center"/>
          </w:tcPr>
          <w:p w14:paraId="76D2B111">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r>
      <w:tr w14:paraId="2A6DC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716" w:type="dxa"/>
            <w:vAlign w:val="center"/>
          </w:tcPr>
          <w:p w14:paraId="782C2806">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w:t>
            </w:r>
          </w:p>
        </w:tc>
        <w:tc>
          <w:tcPr>
            <w:tcW w:w="1627" w:type="dxa"/>
            <w:vAlign w:val="center"/>
          </w:tcPr>
          <w:p w14:paraId="14400270">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遥控器</w:t>
            </w:r>
          </w:p>
        </w:tc>
        <w:tc>
          <w:tcPr>
            <w:tcW w:w="4241" w:type="dxa"/>
            <w:vAlign w:val="center"/>
          </w:tcPr>
          <w:p w14:paraId="5ED3C92C">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进行常规模式设定，可锁定，可设置温度上下限等设置</w:t>
            </w:r>
          </w:p>
        </w:tc>
        <w:tc>
          <w:tcPr>
            <w:tcW w:w="846" w:type="dxa"/>
            <w:vAlign w:val="center"/>
          </w:tcPr>
          <w:p w14:paraId="000B20FD">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个</w:t>
            </w:r>
          </w:p>
        </w:tc>
        <w:tc>
          <w:tcPr>
            <w:tcW w:w="886" w:type="dxa"/>
            <w:vAlign w:val="center"/>
          </w:tcPr>
          <w:p w14:paraId="780B2588">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 xml:space="preserve">120 </w:t>
            </w:r>
          </w:p>
        </w:tc>
        <w:tc>
          <w:tcPr>
            <w:tcW w:w="764" w:type="dxa"/>
            <w:vAlign w:val="center"/>
          </w:tcPr>
          <w:p w14:paraId="060D64BA">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r>
      <w:tr w14:paraId="75CC6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6" w:type="dxa"/>
            <w:vAlign w:val="center"/>
          </w:tcPr>
          <w:p w14:paraId="41FB1C4B">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w:t>
            </w:r>
          </w:p>
        </w:tc>
        <w:tc>
          <w:tcPr>
            <w:tcW w:w="1627" w:type="dxa"/>
            <w:shd w:val="clear" w:color="auto" w:fill="auto"/>
            <w:vAlign w:val="center"/>
          </w:tcPr>
          <w:p w14:paraId="6D30B7B6">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全直流变频多联机室外机</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KT1</w:t>
            </w:r>
          </w:p>
        </w:tc>
        <w:tc>
          <w:tcPr>
            <w:tcW w:w="4241" w:type="dxa"/>
            <w:shd w:val="clear" w:color="auto" w:fill="auto"/>
            <w:vAlign w:val="center"/>
          </w:tcPr>
          <w:p w14:paraId="306143EC">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制冷量≥73.5kw，制热量≥82.0kw，制冷功率≤19.0kw，风量≥24000m³/h，APF≥4.65（一级能效，提供中国能效标识网备案截图），噪音≤62dB（A），机组尺寸≤1600*1000*1700，机组质量≥355kg，单模块，不可组合</w:t>
            </w:r>
          </w:p>
        </w:tc>
        <w:tc>
          <w:tcPr>
            <w:tcW w:w="846" w:type="dxa"/>
            <w:vAlign w:val="center"/>
          </w:tcPr>
          <w:p w14:paraId="0A1AEFB3">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台</w:t>
            </w:r>
          </w:p>
        </w:tc>
        <w:tc>
          <w:tcPr>
            <w:tcW w:w="886" w:type="dxa"/>
            <w:vAlign w:val="center"/>
          </w:tcPr>
          <w:p w14:paraId="159220C0">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 xml:space="preserve">1 </w:t>
            </w:r>
          </w:p>
        </w:tc>
        <w:tc>
          <w:tcPr>
            <w:tcW w:w="764" w:type="dxa"/>
            <w:vAlign w:val="center"/>
          </w:tcPr>
          <w:p w14:paraId="1EBAF6DB">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r>
      <w:tr w14:paraId="1DA39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716" w:type="dxa"/>
            <w:vAlign w:val="center"/>
          </w:tcPr>
          <w:p w14:paraId="24821709">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w:t>
            </w:r>
          </w:p>
        </w:tc>
        <w:tc>
          <w:tcPr>
            <w:tcW w:w="1627" w:type="dxa"/>
            <w:vAlign w:val="center"/>
          </w:tcPr>
          <w:p w14:paraId="3B4B09A9">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全直流变频多联机室外机</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KT2</w:t>
            </w:r>
          </w:p>
        </w:tc>
        <w:tc>
          <w:tcPr>
            <w:tcW w:w="4241" w:type="dxa"/>
            <w:vAlign w:val="center"/>
          </w:tcPr>
          <w:p w14:paraId="666148DF">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制冷量≥101.0kw，制热量≥112.0kw，制冷功率≤28.0kw，风量≥40000m³/h，APF≥4.45（一级能效，提供中国能效标识网备案截图），噪音≤67dB（A），机组尺寸≤2100*1000*1700，机组质量≥450kg，单模块，不可组合</w:t>
            </w:r>
          </w:p>
        </w:tc>
        <w:tc>
          <w:tcPr>
            <w:tcW w:w="846" w:type="dxa"/>
            <w:vAlign w:val="center"/>
          </w:tcPr>
          <w:p w14:paraId="106700E2">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台</w:t>
            </w:r>
          </w:p>
        </w:tc>
        <w:tc>
          <w:tcPr>
            <w:tcW w:w="886" w:type="dxa"/>
            <w:vAlign w:val="center"/>
          </w:tcPr>
          <w:p w14:paraId="3F4241D0">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 xml:space="preserve">1 </w:t>
            </w:r>
          </w:p>
        </w:tc>
        <w:tc>
          <w:tcPr>
            <w:tcW w:w="764" w:type="dxa"/>
            <w:vAlign w:val="center"/>
          </w:tcPr>
          <w:p w14:paraId="5E8C0EDE">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r>
      <w:tr w14:paraId="6005F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716" w:type="dxa"/>
            <w:vAlign w:val="center"/>
          </w:tcPr>
          <w:p w14:paraId="2D81309A">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w:t>
            </w:r>
          </w:p>
        </w:tc>
        <w:tc>
          <w:tcPr>
            <w:tcW w:w="1627" w:type="dxa"/>
            <w:vAlign w:val="center"/>
          </w:tcPr>
          <w:p w14:paraId="459F515E">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全直流变频多联机室外机</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KT3</w:t>
            </w:r>
          </w:p>
        </w:tc>
        <w:tc>
          <w:tcPr>
            <w:tcW w:w="4241" w:type="dxa"/>
            <w:vAlign w:val="center"/>
          </w:tcPr>
          <w:p w14:paraId="1E6FE2B3">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制冷量≥117.5kw，制热量≥131.0kw，制冷功率≤33.3kw，风量≥42000m³/h，APF≥4.25（一级能效，提供中国能效标识网备案截图），噪音≤68dB（A），机组尺寸≤2100*1000*1700，机组质量≥480kg，单模块，不可组合</w:t>
            </w:r>
          </w:p>
        </w:tc>
        <w:tc>
          <w:tcPr>
            <w:tcW w:w="846" w:type="dxa"/>
            <w:vAlign w:val="center"/>
          </w:tcPr>
          <w:p w14:paraId="309FFBF8">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台</w:t>
            </w:r>
          </w:p>
        </w:tc>
        <w:tc>
          <w:tcPr>
            <w:tcW w:w="886" w:type="dxa"/>
            <w:vAlign w:val="center"/>
          </w:tcPr>
          <w:p w14:paraId="02B79472">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 xml:space="preserve">1 </w:t>
            </w:r>
          </w:p>
        </w:tc>
        <w:tc>
          <w:tcPr>
            <w:tcW w:w="764" w:type="dxa"/>
            <w:vAlign w:val="center"/>
          </w:tcPr>
          <w:p w14:paraId="7C899A29">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r>
      <w:tr w14:paraId="35865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716" w:type="dxa"/>
            <w:vAlign w:val="center"/>
          </w:tcPr>
          <w:p w14:paraId="18EC72B3">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w:t>
            </w:r>
          </w:p>
        </w:tc>
        <w:tc>
          <w:tcPr>
            <w:tcW w:w="1627" w:type="dxa"/>
            <w:vAlign w:val="center"/>
          </w:tcPr>
          <w:p w14:paraId="3D0E6748">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全直流变频多联机室外机</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KT4</w:t>
            </w:r>
          </w:p>
        </w:tc>
        <w:tc>
          <w:tcPr>
            <w:tcW w:w="4241" w:type="dxa"/>
            <w:vAlign w:val="center"/>
          </w:tcPr>
          <w:p w14:paraId="29388B9A">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制冷量≥90.0kw，制热量≥100.0kw，制冷功率≤25.0kw，风量≥32000m³/h，APF≥4.55（一级能效，提供中国能效标识网备案截图），噪音≤64dB（A），机组尺寸≤2100*1000*1700，机组质量≥430kg，单模块，不可组合</w:t>
            </w:r>
          </w:p>
        </w:tc>
        <w:tc>
          <w:tcPr>
            <w:tcW w:w="846" w:type="dxa"/>
            <w:vAlign w:val="center"/>
          </w:tcPr>
          <w:p w14:paraId="2865A3AD">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台</w:t>
            </w:r>
          </w:p>
        </w:tc>
        <w:tc>
          <w:tcPr>
            <w:tcW w:w="886" w:type="dxa"/>
            <w:vAlign w:val="center"/>
          </w:tcPr>
          <w:p w14:paraId="7233F49B">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 xml:space="preserve">1 </w:t>
            </w:r>
          </w:p>
        </w:tc>
        <w:tc>
          <w:tcPr>
            <w:tcW w:w="764" w:type="dxa"/>
            <w:vAlign w:val="center"/>
          </w:tcPr>
          <w:p w14:paraId="501E8D90">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r>
      <w:tr w14:paraId="227A4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716" w:type="dxa"/>
            <w:vAlign w:val="center"/>
          </w:tcPr>
          <w:p w14:paraId="7578FB40">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w:t>
            </w:r>
          </w:p>
        </w:tc>
        <w:tc>
          <w:tcPr>
            <w:tcW w:w="1627" w:type="dxa"/>
            <w:vAlign w:val="center"/>
          </w:tcPr>
          <w:p w14:paraId="25928183">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全直流变频多联机室外机</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KT5</w:t>
            </w:r>
          </w:p>
        </w:tc>
        <w:tc>
          <w:tcPr>
            <w:tcW w:w="4241" w:type="dxa"/>
            <w:vAlign w:val="center"/>
          </w:tcPr>
          <w:p w14:paraId="0ABB6CBE">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制冷量≥95.0kw，制热量≥106.0kw，制冷功率≤25.8kw，风量≥40000m³/h，APF≥4.5（一级能效，提供中国能效标识网备案截图），噪音≤67dB（A），机组尺寸≤2700*1000*1700，机组质量≥445kg，单模块，不可组合</w:t>
            </w:r>
          </w:p>
        </w:tc>
        <w:tc>
          <w:tcPr>
            <w:tcW w:w="846" w:type="dxa"/>
            <w:vAlign w:val="center"/>
          </w:tcPr>
          <w:p w14:paraId="3B824F98">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台</w:t>
            </w:r>
          </w:p>
        </w:tc>
        <w:tc>
          <w:tcPr>
            <w:tcW w:w="886" w:type="dxa"/>
            <w:vAlign w:val="center"/>
          </w:tcPr>
          <w:p w14:paraId="775A5173">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 xml:space="preserve">1 </w:t>
            </w:r>
          </w:p>
        </w:tc>
        <w:tc>
          <w:tcPr>
            <w:tcW w:w="764" w:type="dxa"/>
            <w:vAlign w:val="center"/>
          </w:tcPr>
          <w:p w14:paraId="1225CC9E">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r>
      <w:tr w14:paraId="0D9E1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3" w:hRule="atLeast"/>
        </w:trPr>
        <w:tc>
          <w:tcPr>
            <w:tcW w:w="716" w:type="dxa"/>
            <w:vAlign w:val="center"/>
          </w:tcPr>
          <w:p w14:paraId="7DAAD22C">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w:t>
            </w:r>
          </w:p>
        </w:tc>
        <w:tc>
          <w:tcPr>
            <w:tcW w:w="1627" w:type="dxa"/>
            <w:vAlign w:val="center"/>
          </w:tcPr>
          <w:p w14:paraId="07BA4CB2">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全直流变频多联机室外机</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KT6</w:t>
            </w:r>
          </w:p>
        </w:tc>
        <w:tc>
          <w:tcPr>
            <w:tcW w:w="4241" w:type="dxa"/>
            <w:vAlign w:val="center"/>
          </w:tcPr>
          <w:p w14:paraId="1E5A5F19">
            <w:pPr>
              <w:keepNext w:val="0"/>
              <w:keepLines w:val="0"/>
              <w:widowControl/>
              <w:suppressLineNumbers w:val="0"/>
              <w:jc w:val="center"/>
              <w:textAlignment w:val="center"/>
              <w:rPr>
                <w:rFonts w:hint="eastAsia" w:ascii="仿宋" w:hAnsi="仿宋" w:eastAsia="仿宋" w:cs="仿宋"/>
                <w:color w:val="auto"/>
                <w:sz w:val="24"/>
                <w:szCs w:val="24"/>
                <w:highlight w:val="none"/>
                <w:lang w:eastAsia="zh-CN"/>
              </w:rPr>
            </w:pPr>
            <w:r>
              <w:rPr>
                <w:rFonts w:hint="eastAsia" w:ascii="仿宋" w:hAnsi="仿宋" w:eastAsia="仿宋" w:cs="仿宋"/>
                <w:i w:val="0"/>
                <w:iCs w:val="0"/>
                <w:color w:val="000000"/>
                <w:kern w:val="0"/>
                <w:sz w:val="24"/>
                <w:szCs w:val="24"/>
                <w:u w:val="none"/>
                <w:lang w:val="en-US" w:eastAsia="zh-CN" w:bidi="ar"/>
              </w:rPr>
              <w:t>制冷量≥33.5kw，制热量≥37.5kw，制冷功率≤9.0kw，风量≥12000m³/h，APF≥4.9（一级能效，提供中国能效标识网备案截图），噪音≤60dB（A），机组尺寸≤1100*1000*1700，机组质量≥220kg，单模块，不可组合</w:t>
            </w:r>
          </w:p>
        </w:tc>
        <w:tc>
          <w:tcPr>
            <w:tcW w:w="846" w:type="dxa"/>
            <w:vAlign w:val="center"/>
          </w:tcPr>
          <w:p w14:paraId="7E25A920">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台</w:t>
            </w:r>
          </w:p>
        </w:tc>
        <w:tc>
          <w:tcPr>
            <w:tcW w:w="886" w:type="dxa"/>
            <w:vAlign w:val="center"/>
          </w:tcPr>
          <w:p w14:paraId="4E1651F5">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 xml:space="preserve">1 </w:t>
            </w:r>
          </w:p>
        </w:tc>
        <w:tc>
          <w:tcPr>
            <w:tcW w:w="764" w:type="dxa"/>
            <w:vAlign w:val="center"/>
          </w:tcPr>
          <w:p w14:paraId="1131AC8D">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r>
      <w:tr w14:paraId="750C0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716" w:type="dxa"/>
            <w:vAlign w:val="center"/>
          </w:tcPr>
          <w:p w14:paraId="0213AA4B">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w:t>
            </w:r>
          </w:p>
        </w:tc>
        <w:tc>
          <w:tcPr>
            <w:tcW w:w="1627" w:type="dxa"/>
            <w:vAlign w:val="center"/>
          </w:tcPr>
          <w:p w14:paraId="1D68D5EE">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全直流变频多联机室外机</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KT7</w:t>
            </w:r>
          </w:p>
        </w:tc>
        <w:tc>
          <w:tcPr>
            <w:tcW w:w="4241" w:type="dxa"/>
            <w:vAlign w:val="center"/>
          </w:tcPr>
          <w:p w14:paraId="024BC767">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制冷量≥95.0kw，制热量≥106.0kw，制冷功率≤25.8kw，风量≥40000m³/h，APF≥4.5（一级能效，提供中国能效标识网备案截图），噪音≤67dB（A），机组尺寸≤2700*1000*1700，机组质量≥445kg，单模块，不可组合</w:t>
            </w:r>
          </w:p>
        </w:tc>
        <w:tc>
          <w:tcPr>
            <w:tcW w:w="846" w:type="dxa"/>
            <w:vAlign w:val="center"/>
          </w:tcPr>
          <w:p w14:paraId="3D2A9775">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台</w:t>
            </w:r>
          </w:p>
        </w:tc>
        <w:tc>
          <w:tcPr>
            <w:tcW w:w="886" w:type="dxa"/>
            <w:vAlign w:val="center"/>
          </w:tcPr>
          <w:p w14:paraId="794997E3">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 xml:space="preserve">1 </w:t>
            </w:r>
          </w:p>
        </w:tc>
        <w:tc>
          <w:tcPr>
            <w:tcW w:w="764" w:type="dxa"/>
            <w:vAlign w:val="center"/>
          </w:tcPr>
          <w:p w14:paraId="1551AD7F">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r>
      <w:tr w14:paraId="2955E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716" w:type="dxa"/>
            <w:vAlign w:val="center"/>
          </w:tcPr>
          <w:p w14:paraId="3AA70CAE">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w:t>
            </w:r>
          </w:p>
        </w:tc>
        <w:tc>
          <w:tcPr>
            <w:tcW w:w="1627" w:type="dxa"/>
            <w:vAlign w:val="center"/>
          </w:tcPr>
          <w:p w14:paraId="62F536A6">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全直流变频多联机室外机</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KT8</w:t>
            </w:r>
          </w:p>
        </w:tc>
        <w:tc>
          <w:tcPr>
            <w:tcW w:w="4241" w:type="dxa"/>
            <w:vAlign w:val="center"/>
          </w:tcPr>
          <w:p w14:paraId="7923DE1D">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制冷量≥73.5kw，制热量≥82.0kw，制冷功率≤19.0kw，风量≥24000m³/h，APF≥4.65（一级能效，提供中国能效标识网备案截图），噪音≤62dB（A），机组尺寸≤1600*1000*1700，机组质量≥355kg，单模块，不可组合</w:t>
            </w:r>
          </w:p>
        </w:tc>
        <w:tc>
          <w:tcPr>
            <w:tcW w:w="846" w:type="dxa"/>
            <w:vAlign w:val="center"/>
          </w:tcPr>
          <w:p w14:paraId="7F31FB8D">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台</w:t>
            </w:r>
          </w:p>
        </w:tc>
        <w:tc>
          <w:tcPr>
            <w:tcW w:w="886" w:type="dxa"/>
            <w:vAlign w:val="center"/>
          </w:tcPr>
          <w:p w14:paraId="2C024EB7">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 xml:space="preserve">1 </w:t>
            </w:r>
          </w:p>
        </w:tc>
        <w:tc>
          <w:tcPr>
            <w:tcW w:w="764" w:type="dxa"/>
            <w:vAlign w:val="center"/>
          </w:tcPr>
          <w:p w14:paraId="0C32769A">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r>
      <w:tr w14:paraId="4E303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716" w:type="dxa"/>
            <w:vAlign w:val="center"/>
          </w:tcPr>
          <w:p w14:paraId="3631B5DA">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17</w:t>
            </w:r>
          </w:p>
        </w:tc>
        <w:tc>
          <w:tcPr>
            <w:tcW w:w="1627" w:type="dxa"/>
            <w:vAlign w:val="center"/>
          </w:tcPr>
          <w:p w14:paraId="51D4CAEC">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分歧管</w:t>
            </w:r>
          </w:p>
        </w:tc>
        <w:tc>
          <w:tcPr>
            <w:tcW w:w="4241" w:type="dxa"/>
            <w:vAlign w:val="center"/>
          </w:tcPr>
          <w:p w14:paraId="258AAF18">
            <w:pPr>
              <w:jc w:val="center"/>
              <w:rPr>
                <w:rFonts w:hint="eastAsia" w:ascii="仿宋" w:hAnsi="仿宋" w:eastAsia="仿宋" w:cs="仿宋"/>
                <w:color w:val="auto"/>
                <w:sz w:val="24"/>
                <w:szCs w:val="24"/>
                <w:highlight w:val="none"/>
              </w:rPr>
            </w:pPr>
          </w:p>
        </w:tc>
        <w:tc>
          <w:tcPr>
            <w:tcW w:w="846" w:type="dxa"/>
            <w:vAlign w:val="center"/>
          </w:tcPr>
          <w:p w14:paraId="190CC5CD">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个</w:t>
            </w:r>
          </w:p>
        </w:tc>
        <w:tc>
          <w:tcPr>
            <w:tcW w:w="886" w:type="dxa"/>
            <w:vAlign w:val="center"/>
          </w:tcPr>
          <w:p w14:paraId="1C09F420">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 xml:space="preserve">72 </w:t>
            </w:r>
          </w:p>
        </w:tc>
        <w:tc>
          <w:tcPr>
            <w:tcW w:w="764" w:type="dxa"/>
            <w:vAlign w:val="center"/>
          </w:tcPr>
          <w:p w14:paraId="5F12D73C">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r>
      <w:tr w14:paraId="05CAE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716" w:type="dxa"/>
            <w:vAlign w:val="center"/>
          </w:tcPr>
          <w:p w14:paraId="2E4D770E">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w:t>
            </w:r>
          </w:p>
        </w:tc>
        <w:tc>
          <w:tcPr>
            <w:tcW w:w="1627" w:type="dxa"/>
            <w:vAlign w:val="center"/>
          </w:tcPr>
          <w:p w14:paraId="0055A45B">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铜管</w:t>
            </w:r>
          </w:p>
        </w:tc>
        <w:tc>
          <w:tcPr>
            <w:tcW w:w="4241" w:type="dxa"/>
            <w:vAlign w:val="center"/>
          </w:tcPr>
          <w:p w14:paraId="39EB5244">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φ6.35</w:t>
            </w:r>
          </w:p>
        </w:tc>
        <w:tc>
          <w:tcPr>
            <w:tcW w:w="846" w:type="dxa"/>
            <w:vAlign w:val="center"/>
          </w:tcPr>
          <w:p w14:paraId="100A1AA5">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m</w:t>
            </w:r>
          </w:p>
        </w:tc>
        <w:tc>
          <w:tcPr>
            <w:tcW w:w="886" w:type="dxa"/>
            <w:vAlign w:val="center"/>
          </w:tcPr>
          <w:p w14:paraId="2E45EC5C">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 xml:space="preserve">295 </w:t>
            </w:r>
          </w:p>
        </w:tc>
        <w:tc>
          <w:tcPr>
            <w:tcW w:w="764" w:type="dxa"/>
            <w:vAlign w:val="center"/>
          </w:tcPr>
          <w:p w14:paraId="7A4A85EE">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r>
      <w:tr w14:paraId="6E2E5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716" w:type="dxa"/>
            <w:vAlign w:val="center"/>
          </w:tcPr>
          <w:p w14:paraId="4F815615">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19</w:t>
            </w:r>
          </w:p>
        </w:tc>
        <w:tc>
          <w:tcPr>
            <w:tcW w:w="1627" w:type="dxa"/>
            <w:vAlign w:val="center"/>
          </w:tcPr>
          <w:p w14:paraId="10392A1E">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铜管</w:t>
            </w:r>
          </w:p>
        </w:tc>
        <w:tc>
          <w:tcPr>
            <w:tcW w:w="4241" w:type="dxa"/>
            <w:vAlign w:val="center"/>
          </w:tcPr>
          <w:p w14:paraId="1EC3B033">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φ9.53</w:t>
            </w:r>
          </w:p>
        </w:tc>
        <w:tc>
          <w:tcPr>
            <w:tcW w:w="846" w:type="dxa"/>
            <w:vAlign w:val="center"/>
          </w:tcPr>
          <w:p w14:paraId="074EC8E9">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m</w:t>
            </w:r>
          </w:p>
        </w:tc>
        <w:tc>
          <w:tcPr>
            <w:tcW w:w="886" w:type="dxa"/>
            <w:vAlign w:val="center"/>
          </w:tcPr>
          <w:p w14:paraId="2D6ACE7C">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 xml:space="preserve">392 </w:t>
            </w:r>
          </w:p>
        </w:tc>
        <w:tc>
          <w:tcPr>
            <w:tcW w:w="764" w:type="dxa"/>
            <w:vAlign w:val="center"/>
          </w:tcPr>
          <w:p w14:paraId="47A23923">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r>
      <w:tr w14:paraId="52C05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716" w:type="dxa"/>
            <w:vAlign w:val="center"/>
          </w:tcPr>
          <w:p w14:paraId="394B4DBB">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w:t>
            </w:r>
          </w:p>
        </w:tc>
        <w:tc>
          <w:tcPr>
            <w:tcW w:w="1627" w:type="dxa"/>
            <w:vAlign w:val="center"/>
          </w:tcPr>
          <w:p w14:paraId="788D506E">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铜管</w:t>
            </w:r>
          </w:p>
        </w:tc>
        <w:tc>
          <w:tcPr>
            <w:tcW w:w="4241" w:type="dxa"/>
            <w:vAlign w:val="center"/>
          </w:tcPr>
          <w:p w14:paraId="7BA63D92">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φ12.7</w:t>
            </w:r>
          </w:p>
        </w:tc>
        <w:tc>
          <w:tcPr>
            <w:tcW w:w="846" w:type="dxa"/>
            <w:vAlign w:val="center"/>
          </w:tcPr>
          <w:p w14:paraId="2A965818">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m</w:t>
            </w:r>
          </w:p>
        </w:tc>
        <w:tc>
          <w:tcPr>
            <w:tcW w:w="886" w:type="dxa"/>
            <w:vAlign w:val="center"/>
          </w:tcPr>
          <w:p w14:paraId="3D746971">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 xml:space="preserve">355 </w:t>
            </w:r>
          </w:p>
        </w:tc>
        <w:tc>
          <w:tcPr>
            <w:tcW w:w="764" w:type="dxa"/>
            <w:vAlign w:val="center"/>
          </w:tcPr>
          <w:p w14:paraId="38614691">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r>
      <w:tr w14:paraId="20B98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716" w:type="dxa"/>
            <w:vAlign w:val="center"/>
          </w:tcPr>
          <w:p w14:paraId="35102A1A">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w:t>
            </w:r>
          </w:p>
        </w:tc>
        <w:tc>
          <w:tcPr>
            <w:tcW w:w="1627" w:type="dxa"/>
            <w:vAlign w:val="center"/>
          </w:tcPr>
          <w:p w14:paraId="583A227C">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铜管</w:t>
            </w:r>
          </w:p>
        </w:tc>
        <w:tc>
          <w:tcPr>
            <w:tcW w:w="4241" w:type="dxa"/>
            <w:vAlign w:val="center"/>
          </w:tcPr>
          <w:p w14:paraId="58CA664D">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φ15.88</w:t>
            </w:r>
          </w:p>
        </w:tc>
        <w:tc>
          <w:tcPr>
            <w:tcW w:w="846" w:type="dxa"/>
            <w:vAlign w:val="center"/>
          </w:tcPr>
          <w:p w14:paraId="31B126B6">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m</w:t>
            </w:r>
          </w:p>
        </w:tc>
        <w:tc>
          <w:tcPr>
            <w:tcW w:w="886" w:type="dxa"/>
            <w:vAlign w:val="center"/>
          </w:tcPr>
          <w:p w14:paraId="390C44E6">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 xml:space="preserve">345 </w:t>
            </w:r>
          </w:p>
        </w:tc>
        <w:tc>
          <w:tcPr>
            <w:tcW w:w="764" w:type="dxa"/>
            <w:vAlign w:val="center"/>
          </w:tcPr>
          <w:p w14:paraId="72A306EA">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r>
      <w:tr w14:paraId="25868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716" w:type="dxa"/>
            <w:vAlign w:val="center"/>
          </w:tcPr>
          <w:p w14:paraId="2C43AB91">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w:t>
            </w:r>
          </w:p>
        </w:tc>
        <w:tc>
          <w:tcPr>
            <w:tcW w:w="1627" w:type="dxa"/>
            <w:vAlign w:val="center"/>
          </w:tcPr>
          <w:p w14:paraId="7B7DAEF4">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铜管</w:t>
            </w:r>
          </w:p>
        </w:tc>
        <w:tc>
          <w:tcPr>
            <w:tcW w:w="4241" w:type="dxa"/>
            <w:vAlign w:val="center"/>
          </w:tcPr>
          <w:p w14:paraId="4C449642">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φ19.05</w:t>
            </w:r>
          </w:p>
        </w:tc>
        <w:tc>
          <w:tcPr>
            <w:tcW w:w="846" w:type="dxa"/>
            <w:vAlign w:val="center"/>
          </w:tcPr>
          <w:p w14:paraId="6902489E">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m</w:t>
            </w:r>
          </w:p>
        </w:tc>
        <w:tc>
          <w:tcPr>
            <w:tcW w:w="886" w:type="dxa"/>
            <w:vAlign w:val="center"/>
          </w:tcPr>
          <w:p w14:paraId="2C21A7D8">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 xml:space="preserve">280 </w:t>
            </w:r>
          </w:p>
        </w:tc>
        <w:tc>
          <w:tcPr>
            <w:tcW w:w="764" w:type="dxa"/>
            <w:vAlign w:val="center"/>
          </w:tcPr>
          <w:p w14:paraId="3D37E3AD">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r>
      <w:tr w14:paraId="6B89F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716" w:type="dxa"/>
            <w:vAlign w:val="center"/>
          </w:tcPr>
          <w:p w14:paraId="14A73A75">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w:t>
            </w:r>
          </w:p>
        </w:tc>
        <w:tc>
          <w:tcPr>
            <w:tcW w:w="1627" w:type="dxa"/>
            <w:vAlign w:val="center"/>
          </w:tcPr>
          <w:p w14:paraId="4BD034BA">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铜管</w:t>
            </w:r>
          </w:p>
        </w:tc>
        <w:tc>
          <w:tcPr>
            <w:tcW w:w="4241" w:type="dxa"/>
            <w:vAlign w:val="center"/>
          </w:tcPr>
          <w:p w14:paraId="4EC3577F">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φ22.23</w:t>
            </w:r>
          </w:p>
        </w:tc>
        <w:tc>
          <w:tcPr>
            <w:tcW w:w="846" w:type="dxa"/>
            <w:vAlign w:val="center"/>
          </w:tcPr>
          <w:p w14:paraId="5CFA4AAE">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m</w:t>
            </w:r>
          </w:p>
        </w:tc>
        <w:tc>
          <w:tcPr>
            <w:tcW w:w="886" w:type="dxa"/>
            <w:vAlign w:val="center"/>
          </w:tcPr>
          <w:p w14:paraId="0E5DA154">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 xml:space="preserve">53 </w:t>
            </w:r>
          </w:p>
        </w:tc>
        <w:tc>
          <w:tcPr>
            <w:tcW w:w="764" w:type="dxa"/>
            <w:vAlign w:val="center"/>
          </w:tcPr>
          <w:p w14:paraId="5397907D">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r>
      <w:tr w14:paraId="0C24F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716" w:type="dxa"/>
            <w:vAlign w:val="center"/>
          </w:tcPr>
          <w:p w14:paraId="506465BD">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w:t>
            </w:r>
          </w:p>
        </w:tc>
        <w:tc>
          <w:tcPr>
            <w:tcW w:w="1627" w:type="dxa"/>
            <w:vAlign w:val="center"/>
          </w:tcPr>
          <w:p w14:paraId="65E28DDE">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铜管</w:t>
            </w:r>
          </w:p>
        </w:tc>
        <w:tc>
          <w:tcPr>
            <w:tcW w:w="4241" w:type="dxa"/>
            <w:vAlign w:val="center"/>
          </w:tcPr>
          <w:p w14:paraId="4D6BE18E">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φ25.4</w:t>
            </w:r>
          </w:p>
        </w:tc>
        <w:tc>
          <w:tcPr>
            <w:tcW w:w="846" w:type="dxa"/>
            <w:vAlign w:val="center"/>
          </w:tcPr>
          <w:p w14:paraId="7014AE89">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m</w:t>
            </w:r>
          </w:p>
        </w:tc>
        <w:tc>
          <w:tcPr>
            <w:tcW w:w="886" w:type="dxa"/>
            <w:vAlign w:val="center"/>
          </w:tcPr>
          <w:p w14:paraId="5EC038D8">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 xml:space="preserve">32 </w:t>
            </w:r>
          </w:p>
        </w:tc>
        <w:tc>
          <w:tcPr>
            <w:tcW w:w="764" w:type="dxa"/>
            <w:vAlign w:val="center"/>
          </w:tcPr>
          <w:p w14:paraId="68DFE536">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r>
      <w:tr w14:paraId="3A52F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716" w:type="dxa"/>
            <w:vAlign w:val="center"/>
          </w:tcPr>
          <w:p w14:paraId="238DAB5D">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25</w:t>
            </w:r>
          </w:p>
        </w:tc>
        <w:tc>
          <w:tcPr>
            <w:tcW w:w="1627" w:type="dxa"/>
            <w:vAlign w:val="center"/>
          </w:tcPr>
          <w:p w14:paraId="779B4DC5">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铜管</w:t>
            </w:r>
          </w:p>
        </w:tc>
        <w:tc>
          <w:tcPr>
            <w:tcW w:w="4241" w:type="dxa"/>
            <w:vAlign w:val="center"/>
          </w:tcPr>
          <w:p w14:paraId="2BC4B06D">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φ28.58</w:t>
            </w:r>
          </w:p>
        </w:tc>
        <w:tc>
          <w:tcPr>
            <w:tcW w:w="846" w:type="dxa"/>
            <w:vAlign w:val="center"/>
          </w:tcPr>
          <w:p w14:paraId="15E4F330">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m</w:t>
            </w:r>
          </w:p>
        </w:tc>
        <w:tc>
          <w:tcPr>
            <w:tcW w:w="886" w:type="dxa"/>
            <w:vAlign w:val="center"/>
          </w:tcPr>
          <w:p w14:paraId="5B5ACF1E">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 xml:space="preserve">85 </w:t>
            </w:r>
          </w:p>
        </w:tc>
        <w:tc>
          <w:tcPr>
            <w:tcW w:w="764" w:type="dxa"/>
            <w:vAlign w:val="center"/>
          </w:tcPr>
          <w:p w14:paraId="06DF4EAE">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r>
      <w:tr w14:paraId="15E6A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716" w:type="dxa"/>
            <w:vAlign w:val="center"/>
          </w:tcPr>
          <w:p w14:paraId="73E84E76">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26</w:t>
            </w:r>
          </w:p>
        </w:tc>
        <w:tc>
          <w:tcPr>
            <w:tcW w:w="1627" w:type="dxa"/>
            <w:vAlign w:val="center"/>
          </w:tcPr>
          <w:p w14:paraId="753847C6">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铜管</w:t>
            </w:r>
          </w:p>
        </w:tc>
        <w:tc>
          <w:tcPr>
            <w:tcW w:w="4241" w:type="dxa"/>
            <w:vAlign w:val="center"/>
          </w:tcPr>
          <w:p w14:paraId="5F64418E">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φ31.75</w:t>
            </w:r>
          </w:p>
        </w:tc>
        <w:tc>
          <w:tcPr>
            <w:tcW w:w="846" w:type="dxa"/>
            <w:vAlign w:val="center"/>
          </w:tcPr>
          <w:p w14:paraId="166F27C6">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m</w:t>
            </w:r>
          </w:p>
        </w:tc>
        <w:tc>
          <w:tcPr>
            <w:tcW w:w="886" w:type="dxa"/>
            <w:vAlign w:val="center"/>
          </w:tcPr>
          <w:p w14:paraId="01616842">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 xml:space="preserve">159 </w:t>
            </w:r>
          </w:p>
        </w:tc>
        <w:tc>
          <w:tcPr>
            <w:tcW w:w="764" w:type="dxa"/>
            <w:vAlign w:val="center"/>
          </w:tcPr>
          <w:p w14:paraId="2457D751">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r>
      <w:tr w14:paraId="3C5B4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716" w:type="dxa"/>
            <w:vAlign w:val="center"/>
          </w:tcPr>
          <w:p w14:paraId="6D11A21A">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27</w:t>
            </w:r>
          </w:p>
        </w:tc>
        <w:tc>
          <w:tcPr>
            <w:tcW w:w="1627" w:type="dxa"/>
            <w:vAlign w:val="center"/>
          </w:tcPr>
          <w:p w14:paraId="319EBC80">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铜管</w:t>
            </w:r>
          </w:p>
        </w:tc>
        <w:tc>
          <w:tcPr>
            <w:tcW w:w="4241" w:type="dxa"/>
            <w:vAlign w:val="center"/>
          </w:tcPr>
          <w:p w14:paraId="26312803">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φ38.1</w:t>
            </w:r>
          </w:p>
        </w:tc>
        <w:tc>
          <w:tcPr>
            <w:tcW w:w="846" w:type="dxa"/>
            <w:vAlign w:val="center"/>
          </w:tcPr>
          <w:p w14:paraId="2CA01CF0">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m</w:t>
            </w:r>
          </w:p>
        </w:tc>
        <w:tc>
          <w:tcPr>
            <w:tcW w:w="886" w:type="dxa"/>
            <w:vAlign w:val="center"/>
          </w:tcPr>
          <w:p w14:paraId="591FEF66">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 xml:space="preserve">117 </w:t>
            </w:r>
          </w:p>
        </w:tc>
        <w:tc>
          <w:tcPr>
            <w:tcW w:w="764" w:type="dxa"/>
            <w:vAlign w:val="center"/>
          </w:tcPr>
          <w:p w14:paraId="034EC728">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r>
      <w:tr w14:paraId="4548A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716" w:type="dxa"/>
            <w:vAlign w:val="center"/>
          </w:tcPr>
          <w:p w14:paraId="318D8960">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28</w:t>
            </w:r>
          </w:p>
        </w:tc>
        <w:tc>
          <w:tcPr>
            <w:tcW w:w="1627" w:type="dxa"/>
            <w:vAlign w:val="center"/>
          </w:tcPr>
          <w:p w14:paraId="45A9B806">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冷媒</w:t>
            </w:r>
          </w:p>
        </w:tc>
        <w:tc>
          <w:tcPr>
            <w:tcW w:w="4241" w:type="dxa"/>
            <w:vAlign w:val="center"/>
          </w:tcPr>
          <w:p w14:paraId="7C9CA948">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R410a</w:t>
            </w:r>
          </w:p>
        </w:tc>
        <w:tc>
          <w:tcPr>
            <w:tcW w:w="846" w:type="dxa"/>
            <w:vAlign w:val="center"/>
          </w:tcPr>
          <w:p w14:paraId="138C8D9C">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kg</w:t>
            </w:r>
          </w:p>
        </w:tc>
        <w:tc>
          <w:tcPr>
            <w:tcW w:w="886" w:type="dxa"/>
            <w:vAlign w:val="center"/>
          </w:tcPr>
          <w:p w14:paraId="38B0F82B">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 xml:space="preserve">127 </w:t>
            </w:r>
          </w:p>
        </w:tc>
        <w:tc>
          <w:tcPr>
            <w:tcW w:w="764" w:type="dxa"/>
            <w:vAlign w:val="center"/>
          </w:tcPr>
          <w:p w14:paraId="61E2DD5B">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r>
      <w:tr w14:paraId="1A7A0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716" w:type="dxa"/>
            <w:vAlign w:val="center"/>
          </w:tcPr>
          <w:p w14:paraId="44003D25">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29</w:t>
            </w:r>
          </w:p>
        </w:tc>
        <w:tc>
          <w:tcPr>
            <w:tcW w:w="1627" w:type="dxa"/>
            <w:vAlign w:val="center"/>
          </w:tcPr>
          <w:p w14:paraId="28268AB1">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PVC-U冷凝管</w:t>
            </w:r>
          </w:p>
        </w:tc>
        <w:tc>
          <w:tcPr>
            <w:tcW w:w="4241" w:type="dxa"/>
            <w:vAlign w:val="center"/>
          </w:tcPr>
          <w:p w14:paraId="2289232A">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φ32</w:t>
            </w:r>
          </w:p>
        </w:tc>
        <w:tc>
          <w:tcPr>
            <w:tcW w:w="846" w:type="dxa"/>
            <w:vAlign w:val="center"/>
          </w:tcPr>
          <w:p w14:paraId="1069A933">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m</w:t>
            </w:r>
          </w:p>
        </w:tc>
        <w:tc>
          <w:tcPr>
            <w:tcW w:w="886" w:type="dxa"/>
            <w:vAlign w:val="center"/>
          </w:tcPr>
          <w:p w14:paraId="5A6F581C">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 xml:space="preserve">583 </w:t>
            </w:r>
          </w:p>
        </w:tc>
        <w:tc>
          <w:tcPr>
            <w:tcW w:w="764" w:type="dxa"/>
            <w:vAlign w:val="center"/>
          </w:tcPr>
          <w:p w14:paraId="1ECF8FA5">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r>
      <w:tr w14:paraId="7C125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716" w:type="dxa"/>
            <w:vAlign w:val="center"/>
          </w:tcPr>
          <w:p w14:paraId="7C02EAB4">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30</w:t>
            </w:r>
          </w:p>
        </w:tc>
        <w:tc>
          <w:tcPr>
            <w:tcW w:w="1627" w:type="dxa"/>
            <w:vAlign w:val="center"/>
          </w:tcPr>
          <w:p w14:paraId="1970FA16">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PVC-U冷凝管</w:t>
            </w:r>
          </w:p>
        </w:tc>
        <w:tc>
          <w:tcPr>
            <w:tcW w:w="4241" w:type="dxa"/>
            <w:vAlign w:val="center"/>
          </w:tcPr>
          <w:p w14:paraId="4791C9D4">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φ40</w:t>
            </w:r>
          </w:p>
        </w:tc>
        <w:tc>
          <w:tcPr>
            <w:tcW w:w="846" w:type="dxa"/>
            <w:vAlign w:val="center"/>
          </w:tcPr>
          <w:p w14:paraId="350B3EFB">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m</w:t>
            </w:r>
          </w:p>
        </w:tc>
        <w:tc>
          <w:tcPr>
            <w:tcW w:w="886" w:type="dxa"/>
            <w:vAlign w:val="center"/>
          </w:tcPr>
          <w:p w14:paraId="6E69EC4A">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 xml:space="preserve">385 </w:t>
            </w:r>
          </w:p>
        </w:tc>
        <w:tc>
          <w:tcPr>
            <w:tcW w:w="764" w:type="dxa"/>
            <w:vAlign w:val="center"/>
          </w:tcPr>
          <w:p w14:paraId="2701E10F">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r>
      <w:tr w14:paraId="2EDE3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716" w:type="dxa"/>
            <w:vAlign w:val="center"/>
          </w:tcPr>
          <w:p w14:paraId="7D791210">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w:t>
            </w:r>
          </w:p>
        </w:tc>
        <w:tc>
          <w:tcPr>
            <w:tcW w:w="1627" w:type="dxa"/>
            <w:vAlign w:val="center"/>
          </w:tcPr>
          <w:p w14:paraId="7C44B17D">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PVC-U冷凝管</w:t>
            </w:r>
          </w:p>
        </w:tc>
        <w:tc>
          <w:tcPr>
            <w:tcW w:w="4241" w:type="dxa"/>
            <w:vAlign w:val="center"/>
          </w:tcPr>
          <w:p w14:paraId="0F542ADA">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φ50</w:t>
            </w:r>
          </w:p>
        </w:tc>
        <w:tc>
          <w:tcPr>
            <w:tcW w:w="846" w:type="dxa"/>
            <w:vAlign w:val="center"/>
          </w:tcPr>
          <w:p w14:paraId="2DC31FC9">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m</w:t>
            </w:r>
          </w:p>
        </w:tc>
        <w:tc>
          <w:tcPr>
            <w:tcW w:w="886" w:type="dxa"/>
            <w:vAlign w:val="center"/>
          </w:tcPr>
          <w:p w14:paraId="60266FCE">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 xml:space="preserve">77 </w:t>
            </w:r>
          </w:p>
        </w:tc>
        <w:tc>
          <w:tcPr>
            <w:tcW w:w="764" w:type="dxa"/>
            <w:vAlign w:val="center"/>
          </w:tcPr>
          <w:p w14:paraId="1CE383A9">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r>
      <w:tr w14:paraId="43EA9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716" w:type="dxa"/>
            <w:vAlign w:val="center"/>
          </w:tcPr>
          <w:p w14:paraId="567D69FA">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w:t>
            </w:r>
          </w:p>
        </w:tc>
        <w:tc>
          <w:tcPr>
            <w:tcW w:w="1627" w:type="dxa"/>
            <w:vAlign w:val="center"/>
          </w:tcPr>
          <w:p w14:paraId="648D5B8C">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橡塑保温</w:t>
            </w:r>
          </w:p>
        </w:tc>
        <w:tc>
          <w:tcPr>
            <w:tcW w:w="4241" w:type="dxa"/>
            <w:vAlign w:val="center"/>
          </w:tcPr>
          <w:p w14:paraId="0AF3CE04">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B1级</w:t>
            </w:r>
          </w:p>
        </w:tc>
        <w:tc>
          <w:tcPr>
            <w:tcW w:w="846" w:type="dxa"/>
            <w:vAlign w:val="center"/>
          </w:tcPr>
          <w:p w14:paraId="7A8E47CC">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m³</w:t>
            </w:r>
          </w:p>
        </w:tc>
        <w:tc>
          <w:tcPr>
            <w:tcW w:w="886" w:type="dxa"/>
            <w:vAlign w:val="center"/>
          </w:tcPr>
          <w:p w14:paraId="050185F2">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 xml:space="preserve">6 </w:t>
            </w:r>
          </w:p>
        </w:tc>
        <w:tc>
          <w:tcPr>
            <w:tcW w:w="764" w:type="dxa"/>
            <w:vAlign w:val="center"/>
          </w:tcPr>
          <w:p w14:paraId="5E225A2F">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r>
      <w:tr w14:paraId="35C40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716" w:type="dxa"/>
            <w:vAlign w:val="center"/>
          </w:tcPr>
          <w:p w14:paraId="2A2F43CA">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w:t>
            </w:r>
          </w:p>
        </w:tc>
        <w:tc>
          <w:tcPr>
            <w:tcW w:w="1627" w:type="dxa"/>
            <w:vAlign w:val="center"/>
          </w:tcPr>
          <w:p w14:paraId="1CFE3390">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型钢支架</w:t>
            </w:r>
          </w:p>
        </w:tc>
        <w:tc>
          <w:tcPr>
            <w:tcW w:w="4241" w:type="dxa"/>
            <w:vAlign w:val="center"/>
          </w:tcPr>
          <w:p w14:paraId="4286E591">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10#槽钢</w:t>
            </w:r>
          </w:p>
        </w:tc>
        <w:tc>
          <w:tcPr>
            <w:tcW w:w="846" w:type="dxa"/>
            <w:vAlign w:val="center"/>
          </w:tcPr>
          <w:p w14:paraId="42A51891">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kg</w:t>
            </w:r>
          </w:p>
        </w:tc>
        <w:tc>
          <w:tcPr>
            <w:tcW w:w="886" w:type="dxa"/>
            <w:vAlign w:val="center"/>
          </w:tcPr>
          <w:p w14:paraId="24875BDC">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 xml:space="preserve">600 </w:t>
            </w:r>
          </w:p>
        </w:tc>
        <w:tc>
          <w:tcPr>
            <w:tcW w:w="764" w:type="dxa"/>
            <w:vAlign w:val="center"/>
          </w:tcPr>
          <w:p w14:paraId="2BB44681">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r>
      <w:tr w14:paraId="72058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716" w:type="dxa"/>
            <w:vAlign w:val="center"/>
          </w:tcPr>
          <w:p w14:paraId="313E0CAC">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34</w:t>
            </w:r>
          </w:p>
        </w:tc>
        <w:tc>
          <w:tcPr>
            <w:tcW w:w="1627" w:type="dxa"/>
            <w:vAlign w:val="center"/>
          </w:tcPr>
          <w:p w14:paraId="6550ADF0">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管道支吊架</w:t>
            </w:r>
          </w:p>
        </w:tc>
        <w:tc>
          <w:tcPr>
            <w:tcW w:w="4241" w:type="dxa"/>
            <w:vAlign w:val="center"/>
          </w:tcPr>
          <w:p w14:paraId="19860258">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综合型钢</w:t>
            </w:r>
          </w:p>
        </w:tc>
        <w:tc>
          <w:tcPr>
            <w:tcW w:w="846" w:type="dxa"/>
            <w:vAlign w:val="center"/>
          </w:tcPr>
          <w:p w14:paraId="2ADFE527">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kg</w:t>
            </w:r>
          </w:p>
        </w:tc>
        <w:tc>
          <w:tcPr>
            <w:tcW w:w="886" w:type="dxa"/>
            <w:vAlign w:val="center"/>
          </w:tcPr>
          <w:p w14:paraId="39C6861D">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 xml:space="preserve">1650 </w:t>
            </w:r>
          </w:p>
        </w:tc>
        <w:tc>
          <w:tcPr>
            <w:tcW w:w="764" w:type="dxa"/>
            <w:vAlign w:val="center"/>
          </w:tcPr>
          <w:p w14:paraId="4640CF68">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r>
      <w:tr w14:paraId="6E306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716" w:type="dxa"/>
            <w:vAlign w:val="center"/>
          </w:tcPr>
          <w:p w14:paraId="39129482">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35</w:t>
            </w:r>
          </w:p>
        </w:tc>
        <w:tc>
          <w:tcPr>
            <w:tcW w:w="1627" w:type="dxa"/>
            <w:vAlign w:val="center"/>
          </w:tcPr>
          <w:p w14:paraId="7A61CA0B">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吊顶开孔及恢复</w:t>
            </w:r>
          </w:p>
        </w:tc>
        <w:tc>
          <w:tcPr>
            <w:tcW w:w="4241" w:type="dxa"/>
            <w:vAlign w:val="center"/>
          </w:tcPr>
          <w:p w14:paraId="6A38A098">
            <w:pPr>
              <w:jc w:val="center"/>
              <w:rPr>
                <w:rFonts w:hint="eastAsia" w:ascii="仿宋" w:hAnsi="仿宋" w:eastAsia="仿宋" w:cs="仿宋"/>
                <w:color w:val="auto"/>
                <w:sz w:val="24"/>
                <w:szCs w:val="24"/>
                <w:highlight w:val="none"/>
              </w:rPr>
            </w:pPr>
          </w:p>
        </w:tc>
        <w:tc>
          <w:tcPr>
            <w:tcW w:w="846" w:type="dxa"/>
            <w:vAlign w:val="center"/>
          </w:tcPr>
          <w:p w14:paraId="30B314DF">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w:t>
            </w:r>
          </w:p>
        </w:tc>
        <w:tc>
          <w:tcPr>
            <w:tcW w:w="886" w:type="dxa"/>
            <w:vAlign w:val="center"/>
          </w:tcPr>
          <w:p w14:paraId="06578A41">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 xml:space="preserve">50 </w:t>
            </w:r>
          </w:p>
        </w:tc>
        <w:tc>
          <w:tcPr>
            <w:tcW w:w="764" w:type="dxa"/>
            <w:vAlign w:val="center"/>
          </w:tcPr>
          <w:p w14:paraId="7DE953B9">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r>
      <w:tr w14:paraId="75E0A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716" w:type="dxa"/>
            <w:vAlign w:val="center"/>
          </w:tcPr>
          <w:p w14:paraId="4868E7DB">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36</w:t>
            </w:r>
          </w:p>
        </w:tc>
        <w:tc>
          <w:tcPr>
            <w:tcW w:w="1627" w:type="dxa"/>
            <w:vAlign w:val="center"/>
          </w:tcPr>
          <w:p w14:paraId="6167DAAB">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空调总配电箱</w:t>
            </w:r>
          </w:p>
        </w:tc>
        <w:tc>
          <w:tcPr>
            <w:tcW w:w="4241" w:type="dxa"/>
            <w:vAlign w:val="center"/>
          </w:tcPr>
          <w:p w14:paraId="09C80707">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3P/400A塑壳断路器：1个</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3P/63A微型断路器：2个</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3P/50A微型断路器：4个</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3P/40A微型断路器：1个</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3P/25A微型断路器：1个</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1P/16A微型断路器：5个</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1P/16A备用回路：1个</w:t>
            </w:r>
          </w:p>
        </w:tc>
        <w:tc>
          <w:tcPr>
            <w:tcW w:w="846" w:type="dxa"/>
            <w:vAlign w:val="center"/>
          </w:tcPr>
          <w:p w14:paraId="65D4D2B2">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个</w:t>
            </w:r>
          </w:p>
        </w:tc>
        <w:tc>
          <w:tcPr>
            <w:tcW w:w="886" w:type="dxa"/>
            <w:vAlign w:val="center"/>
          </w:tcPr>
          <w:p w14:paraId="41B48789">
            <w:pPr>
              <w:keepNext w:val="0"/>
              <w:keepLines w:val="0"/>
              <w:widowControl/>
              <w:suppressLineNumbers w:val="0"/>
              <w:jc w:val="center"/>
              <w:textAlignment w:val="center"/>
              <w:rPr>
                <w:rFonts w:hint="eastAsia" w:ascii="仿宋" w:hAnsi="仿宋" w:eastAsia="仿宋" w:cs="仿宋"/>
                <w:color w:val="auto"/>
                <w:sz w:val="24"/>
                <w:szCs w:val="24"/>
                <w:highlight w:val="none"/>
                <w:lang w:eastAsia="zh-CN"/>
              </w:rPr>
            </w:pPr>
            <w:r>
              <w:rPr>
                <w:rFonts w:hint="eastAsia" w:ascii="仿宋" w:hAnsi="仿宋" w:eastAsia="仿宋" w:cs="仿宋"/>
                <w:i w:val="0"/>
                <w:iCs w:val="0"/>
                <w:color w:val="000000"/>
                <w:kern w:val="0"/>
                <w:sz w:val="24"/>
                <w:szCs w:val="24"/>
                <w:u w:val="none"/>
                <w:lang w:val="en-US" w:eastAsia="zh-CN" w:bidi="ar"/>
              </w:rPr>
              <w:t xml:space="preserve">1 </w:t>
            </w:r>
          </w:p>
        </w:tc>
        <w:tc>
          <w:tcPr>
            <w:tcW w:w="764" w:type="dxa"/>
            <w:vAlign w:val="center"/>
          </w:tcPr>
          <w:p w14:paraId="34F5879F">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r>
      <w:tr w14:paraId="4CCB3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716" w:type="dxa"/>
            <w:vAlign w:val="center"/>
          </w:tcPr>
          <w:p w14:paraId="28C66BF6">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37</w:t>
            </w:r>
          </w:p>
        </w:tc>
        <w:tc>
          <w:tcPr>
            <w:tcW w:w="1627" w:type="dxa"/>
            <w:vAlign w:val="center"/>
          </w:tcPr>
          <w:p w14:paraId="1AA47D67">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室内机配电箱</w:t>
            </w:r>
          </w:p>
        </w:tc>
        <w:tc>
          <w:tcPr>
            <w:tcW w:w="4241" w:type="dxa"/>
            <w:vAlign w:val="center"/>
          </w:tcPr>
          <w:p w14:paraId="7242C492">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3P/25A微型断路器：1个</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3P/16A微型断路器：1个</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1P/16A备用回路：1个</w:t>
            </w:r>
          </w:p>
        </w:tc>
        <w:tc>
          <w:tcPr>
            <w:tcW w:w="846" w:type="dxa"/>
            <w:vAlign w:val="center"/>
          </w:tcPr>
          <w:p w14:paraId="415D9EEC">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个</w:t>
            </w:r>
          </w:p>
        </w:tc>
        <w:tc>
          <w:tcPr>
            <w:tcW w:w="886" w:type="dxa"/>
            <w:vAlign w:val="center"/>
          </w:tcPr>
          <w:p w14:paraId="3A12EFE0">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 xml:space="preserve">5 </w:t>
            </w:r>
          </w:p>
        </w:tc>
        <w:tc>
          <w:tcPr>
            <w:tcW w:w="764" w:type="dxa"/>
            <w:vAlign w:val="center"/>
          </w:tcPr>
          <w:p w14:paraId="3EAD6ADE">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r>
      <w:tr w14:paraId="039C8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716" w:type="dxa"/>
            <w:vAlign w:val="center"/>
          </w:tcPr>
          <w:p w14:paraId="76D4EED6">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38</w:t>
            </w:r>
          </w:p>
        </w:tc>
        <w:tc>
          <w:tcPr>
            <w:tcW w:w="1627" w:type="dxa"/>
            <w:vAlign w:val="center"/>
          </w:tcPr>
          <w:p w14:paraId="3FD24271">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电缆</w:t>
            </w:r>
          </w:p>
        </w:tc>
        <w:tc>
          <w:tcPr>
            <w:tcW w:w="4241" w:type="dxa"/>
            <w:vAlign w:val="center"/>
          </w:tcPr>
          <w:p w14:paraId="7EC5892D">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YJV4*185+1*95mm2</w:t>
            </w:r>
          </w:p>
        </w:tc>
        <w:tc>
          <w:tcPr>
            <w:tcW w:w="846" w:type="dxa"/>
            <w:vAlign w:val="center"/>
          </w:tcPr>
          <w:p w14:paraId="45DD54AB">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m</w:t>
            </w:r>
          </w:p>
        </w:tc>
        <w:tc>
          <w:tcPr>
            <w:tcW w:w="886" w:type="dxa"/>
            <w:vAlign w:val="center"/>
          </w:tcPr>
          <w:p w14:paraId="26A34A43">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 xml:space="preserve">132 </w:t>
            </w:r>
          </w:p>
        </w:tc>
        <w:tc>
          <w:tcPr>
            <w:tcW w:w="764" w:type="dxa"/>
            <w:vAlign w:val="center"/>
          </w:tcPr>
          <w:p w14:paraId="1CA1DB72">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r>
      <w:tr w14:paraId="5F324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716" w:type="dxa"/>
            <w:vAlign w:val="center"/>
          </w:tcPr>
          <w:p w14:paraId="6EF93200">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39</w:t>
            </w:r>
          </w:p>
        </w:tc>
        <w:tc>
          <w:tcPr>
            <w:tcW w:w="1627" w:type="dxa"/>
            <w:vAlign w:val="center"/>
          </w:tcPr>
          <w:p w14:paraId="31ACE47B">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电缆</w:t>
            </w:r>
          </w:p>
        </w:tc>
        <w:tc>
          <w:tcPr>
            <w:tcW w:w="4241" w:type="dxa"/>
            <w:vAlign w:val="center"/>
          </w:tcPr>
          <w:p w14:paraId="4540AFE9">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YJV4*16+1*6mm2</w:t>
            </w:r>
          </w:p>
        </w:tc>
        <w:tc>
          <w:tcPr>
            <w:tcW w:w="846" w:type="dxa"/>
            <w:vAlign w:val="center"/>
          </w:tcPr>
          <w:p w14:paraId="7A293EA3">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m</w:t>
            </w:r>
          </w:p>
        </w:tc>
        <w:tc>
          <w:tcPr>
            <w:tcW w:w="886" w:type="dxa"/>
            <w:vAlign w:val="center"/>
          </w:tcPr>
          <w:p w14:paraId="25D20887">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 xml:space="preserve">15 </w:t>
            </w:r>
          </w:p>
        </w:tc>
        <w:tc>
          <w:tcPr>
            <w:tcW w:w="764" w:type="dxa"/>
            <w:vAlign w:val="center"/>
          </w:tcPr>
          <w:p w14:paraId="355B969A">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r>
      <w:tr w14:paraId="77203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716" w:type="dxa"/>
            <w:vAlign w:val="center"/>
          </w:tcPr>
          <w:p w14:paraId="36C1FF33">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40</w:t>
            </w:r>
          </w:p>
        </w:tc>
        <w:tc>
          <w:tcPr>
            <w:tcW w:w="1627" w:type="dxa"/>
            <w:vAlign w:val="center"/>
          </w:tcPr>
          <w:p w14:paraId="3F2BA7EA">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电缆</w:t>
            </w:r>
          </w:p>
        </w:tc>
        <w:tc>
          <w:tcPr>
            <w:tcW w:w="4241" w:type="dxa"/>
            <w:vAlign w:val="center"/>
          </w:tcPr>
          <w:p w14:paraId="1A70F803">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YJV5*10mm2</w:t>
            </w:r>
          </w:p>
        </w:tc>
        <w:tc>
          <w:tcPr>
            <w:tcW w:w="846" w:type="dxa"/>
            <w:vAlign w:val="center"/>
          </w:tcPr>
          <w:p w14:paraId="7361C796">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m</w:t>
            </w:r>
          </w:p>
        </w:tc>
        <w:tc>
          <w:tcPr>
            <w:tcW w:w="886" w:type="dxa"/>
            <w:vAlign w:val="center"/>
          </w:tcPr>
          <w:p w14:paraId="59E7C18F">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 xml:space="preserve">110 </w:t>
            </w:r>
          </w:p>
        </w:tc>
        <w:tc>
          <w:tcPr>
            <w:tcW w:w="764" w:type="dxa"/>
            <w:vAlign w:val="center"/>
          </w:tcPr>
          <w:p w14:paraId="5F235572">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r>
      <w:tr w14:paraId="208E6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716" w:type="dxa"/>
            <w:vAlign w:val="center"/>
          </w:tcPr>
          <w:p w14:paraId="304F6BB2">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w:t>
            </w:r>
          </w:p>
        </w:tc>
        <w:tc>
          <w:tcPr>
            <w:tcW w:w="1627" w:type="dxa"/>
            <w:vAlign w:val="center"/>
          </w:tcPr>
          <w:p w14:paraId="1FAC1D33">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电缆</w:t>
            </w:r>
          </w:p>
        </w:tc>
        <w:tc>
          <w:tcPr>
            <w:tcW w:w="4241" w:type="dxa"/>
            <w:vAlign w:val="center"/>
          </w:tcPr>
          <w:p w14:paraId="2AE21F51">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YJV5*6mm2</w:t>
            </w:r>
          </w:p>
        </w:tc>
        <w:tc>
          <w:tcPr>
            <w:tcW w:w="846" w:type="dxa"/>
            <w:vAlign w:val="center"/>
          </w:tcPr>
          <w:p w14:paraId="1EAE2346">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m</w:t>
            </w:r>
          </w:p>
        </w:tc>
        <w:tc>
          <w:tcPr>
            <w:tcW w:w="886" w:type="dxa"/>
            <w:vAlign w:val="center"/>
          </w:tcPr>
          <w:p w14:paraId="1C11350A">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 xml:space="preserve">10 </w:t>
            </w:r>
          </w:p>
        </w:tc>
        <w:tc>
          <w:tcPr>
            <w:tcW w:w="764" w:type="dxa"/>
            <w:vAlign w:val="center"/>
          </w:tcPr>
          <w:p w14:paraId="3905AE6F">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r>
      <w:tr w14:paraId="3648C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716" w:type="dxa"/>
            <w:vAlign w:val="center"/>
          </w:tcPr>
          <w:p w14:paraId="415BEEED">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w:t>
            </w:r>
          </w:p>
        </w:tc>
        <w:tc>
          <w:tcPr>
            <w:tcW w:w="1627" w:type="dxa"/>
            <w:vAlign w:val="center"/>
          </w:tcPr>
          <w:p w14:paraId="10365236">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桥架</w:t>
            </w:r>
          </w:p>
        </w:tc>
        <w:tc>
          <w:tcPr>
            <w:tcW w:w="4241" w:type="dxa"/>
            <w:vAlign w:val="center"/>
          </w:tcPr>
          <w:p w14:paraId="3E33A3BF">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800*300</w:t>
            </w:r>
          </w:p>
        </w:tc>
        <w:tc>
          <w:tcPr>
            <w:tcW w:w="846" w:type="dxa"/>
            <w:vAlign w:val="center"/>
          </w:tcPr>
          <w:p w14:paraId="54689693">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m</w:t>
            </w:r>
          </w:p>
        </w:tc>
        <w:tc>
          <w:tcPr>
            <w:tcW w:w="886" w:type="dxa"/>
            <w:vAlign w:val="center"/>
          </w:tcPr>
          <w:p w14:paraId="2408972B">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 xml:space="preserve">39 </w:t>
            </w:r>
          </w:p>
        </w:tc>
        <w:tc>
          <w:tcPr>
            <w:tcW w:w="764" w:type="dxa"/>
            <w:vAlign w:val="center"/>
          </w:tcPr>
          <w:p w14:paraId="743E68A2">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r>
      <w:tr w14:paraId="1B869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716" w:type="dxa"/>
            <w:vAlign w:val="center"/>
          </w:tcPr>
          <w:p w14:paraId="13E46105">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43</w:t>
            </w:r>
          </w:p>
        </w:tc>
        <w:tc>
          <w:tcPr>
            <w:tcW w:w="1627" w:type="dxa"/>
            <w:vAlign w:val="center"/>
          </w:tcPr>
          <w:p w14:paraId="325B402D">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空调内外机信号线</w:t>
            </w:r>
          </w:p>
        </w:tc>
        <w:tc>
          <w:tcPr>
            <w:tcW w:w="4241" w:type="dxa"/>
            <w:vAlign w:val="center"/>
          </w:tcPr>
          <w:p w14:paraId="29A5F4A0">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RVVP2*1.0mm</w:t>
            </w:r>
          </w:p>
        </w:tc>
        <w:tc>
          <w:tcPr>
            <w:tcW w:w="846" w:type="dxa"/>
            <w:vAlign w:val="center"/>
          </w:tcPr>
          <w:p w14:paraId="10F14CDD">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m</w:t>
            </w:r>
          </w:p>
        </w:tc>
        <w:tc>
          <w:tcPr>
            <w:tcW w:w="886" w:type="dxa"/>
            <w:vAlign w:val="center"/>
          </w:tcPr>
          <w:p w14:paraId="6AB71BB5">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 xml:space="preserve">1760 </w:t>
            </w:r>
          </w:p>
        </w:tc>
        <w:tc>
          <w:tcPr>
            <w:tcW w:w="764" w:type="dxa"/>
            <w:vAlign w:val="center"/>
          </w:tcPr>
          <w:p w14:paraId="523985F7">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r>
      <w:tr w14:paraId="40060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716" w:type="dxa"/>
            <w:vAlign w:val="center"/>
          </w:tcPr>
          <w:p w14:paraId="34C7E34E">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44</w:t>
            </w:r>
          </w:p>
        </w:tc>
        <w:tc>
          <w:tcPr>
            <w:tcW w:w="1627" w:type="dxa"/>
            <w:vAlign w:val="center"/>
          </w:tcPr>
          <w:p w14:paraId="7AA05176">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空调内机电源线</w:t>
            </w:r>
          </w:p>
        </w:tc>
        <w:tc>
          <w:tcPr>
            <w:tcW w:w="4241" w:type="dxa"/>
            <w:vAlign w:val="center"/>
          </w:tcPr>
          <w:p w14:paraId="09DEC469">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BVR2.5mm</w:t>
            </w:r>
          </w:p>
        </w:tc>
        <w:tc>
          <w:tcPr>
            <w:tcW w:w="846" w:type="dxa"/>
            <w:vAlign w:val="center"/>
          </w:tcPr>
          <w:p w14:paraId="463E8F81">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m</w:t>
            </w:r>
          </w:p>
        </w:tc>
        <w:tc>
          <w:tcPr>
            <w:tcW w:w="886" w:type="dxa"/>
            <w:vAlign w:val="center"/>
          </w:tcPr>
          <w:p w14:paraId="1F36116B">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 xml:space="preserve">1540 </w:t>
            </w:r>
          </w:p>
        </w:tc>
        <w:tc>
          <w:tcPr>
            <w:tcW w:w="764" w:type="dxa"/>
            <w:vAlign w:val="center"/>
          </w:tcPr>
          <w:p w14:paraId="2F93A422">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r>
      <w:tr w14:paraId="6B58C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716" w:type="dxa"/>
            <w:vAlign w:val="center"/>
          </w:tcPr>
          <w:p w14:paraId="24E1FC70">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45</w:t>
            </w:r>
          </w:p>
        </w:tc>
        <w:tc>
          <w:tcPr>
            <w:tcW w:w="1627" w:type="dxa"/>
            <w:vAlign w:val="center"/>
          </w:tcPr>
          <w:p w14:paraId="5E48A472">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空调内机电源线</w:t>
            </w:r>
          </w:p>
        </w:tc>
        <w:tc>
          <w:tcPr>
            <w:tcW w:w="4241" w:type="dxa"/>
            <w:vAlign w:val="center"/>
          </w:tcPr>
          <w:p w14:paraId="6E434876">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BVR4.0mm</w:t>
            </w:r>
          </w:p>
        </w:tc>
        <w:tc>
          <w:tcPr>
            <w:tcW w:w="846" w:type="dxa"/>
            <w:vAlign w:val="center"/>
          </w:tcPr>
          <w:p w14:paraId="0DB3F028">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m</w:t>
            </w:r>
          </w:p>
        </w:tc>
        <w:tc>
          <w:tcPr>
            <w:tcW w:w="886" w:type="dxa"/>
            <w:vAlign w:val="center"/>
          </w:tcPr>
          <w:p w14:paraId="11224CEC">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 xml:space="preserve">2035 </w:t>
            </w:r>
          </w:p>
        </w:tc>
        <w:tc>
          <w:tcPr>
            <w:tcW w:w="764" w:type="dxa"/>
            <w:vAlign w:val="center"/>
          </w:tcPr>
          <w:p w14:paraId="77ADFBAF">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r>
      <w:tr w14:paraId="615A2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716" w:type="dxa"/>
            <w:vAlign w:val="center"/>
          </w:tcPr>
          <w:p w14:paraId="514E0F4A">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46</w:t>
            </w:r>
          </w:p>
        </w:tc>
        <w:tc>
          <w:tcPr>
            <w:tcW w:w="1627" w:type="dxa"/>
            <w:vAlign w:val="center"/>
          </w:tcPr>
          <w:p w14:paraId="753E2EAB">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空调信号线线管</w:t>
            </w:r>
          </w:p>
        </w:tc>
        <w:tc>
          <w:tcPr>
            <w:tcW w:w="4241" w:type="dxa"/>
            <w:vAlign w:val="center"/>
          </w:tcPr>
          <w:p w14:paraId="62E310FC">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ZR-PVC-φ20</w:t>
            </w:r>
          </w:p>
        </w:tc>
        <w:tc>
          <w:tcPr>
            <w:tcW w:w="846" w:type="dxa"/>
            <w:vAlign w:val="center"/>
          </w:tcPr>
          <w:p w14:paraId="3C6EE044">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m</w:t>
            </w:r>
          </w:p>
        </w:tc>
        <w:tc>
          <w:tcPr>
            <w:tcW w:w="886" w:type="dxa"/>
            <w:vAlign w:val="center"/>
          </w:tcPr>
          <w:p w14:paraId="6B5AB5A4">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 xml:space="preserve">1760 </w:t>
            </w:r>
          </w:p>
        </w:tc>
        <w:tc>
          <w:tcPr>
            <w:tcW w:w="764" w:type="dxa"/>
            <w:vAlign w:val="center"/>
          </w:tcPr>
          <w:p w14:paraId="7272E73A">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r>
      <w:tr w14:paraId="6DC03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716" w:type="dxa"/>
            <w:vAlign w:val="center"/>
          </w:tcPr>
          <w:p w14:paraId="1018E46C">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47</w:t>
            </w:r>
          </w:p>
        </w:tc>
        <w:tc>
          <w:tcPr>
            <w:tcW w:w="1627" w:type="dxa"/>
            <w:vAlign w:val="center"/>
          </w:tcPr>
          <w:p w14:paraId="16E0CFDF">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空调电源线管</w:t>
            </w:r>
          </w:p>
        </w:tc>
        <w:tc>
          <w:tcPr>
            <w:tcW w:w="4241" w:type="dxa"/>
            <w:vAlign w:val="center"/>
          </w:tcPr>
          <w:p w14:paraId="585BC38D">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ZR-PVC-φ25</w:t>
            </w:r>
          </w:p>
        </w:tc>
        <w:tc>
          <w:tcPr>
            <w:tcW w:w="846" w:type="dxa"/>
            <w:vAlign w:val="center"/>
          </w:tcPr>
          <w:p w14:paraId="164C3F5C">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m</w:t>
            </w:r>
          </w:p>
        </w:tc>
        <w:tc>
          <w:tcPr>
            <w:tcW w:w="886" w:type="dxa"/>
            <w:vAlign w:val="center"/>
          </w:tcPr>
          <w:p w14:paraId="66A81042">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 xml:space="preserve">506 </w:t>
            </w:r>
          </w:p>
        </w:tc>
        <w:tc>
          <w:tcPr>
            <w:tcW w:w="764" w:type="dxa"/>
            <w:vAlign w:val="center"/>
          </w:tcPr>
          <w:p w14:paraId="1A6C319D">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r>
      <w:tr w14:paraId="53E1C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716" w:type="dxa"/>
            <w:vAlign w:val="center"/>
          </w:tcPr>
          <w:p w14:paraId="543BE20A">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48</w:t>
            </w:r>
          </w:p>
        </w:tc>
        <w:tc>
          <w:tcPr>
            <w:tcW w:w="1627" w:type="dxa"/>
            <w:vAlign w:val="center"/>
          </w:tcPr>
          <w:p w14:paraId="23E1611C">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空调电源线管</w:t>
            </w:r>
          </w:p>
        </w:tc>
        <w:tc>
          <w:tcPr>
            <w:tcW w:w="4241" w:type="dxa"/>
            <w:vAlign w:val="center"/>
          </w:tcPr>
          <w:p w14:paraId="120695AD">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ZR-PVC-φ32</w:t>
            </w:r>
          </w:p>
        </w:tc>
        <w:tc>
          <w:tcPr>
            <w:tcW w:w="846" w:type="dxa"/>
            <w:vAlign w:val="center"/>
          </w:tcPr>
          <w:p w14:paraId="6C243A91">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m</w:t>
            </w:r>
          </w:p>
        </w:tc>
        <w:tc>
          <w:tcPr>
            <w:tcW w:w="886" w:type="dxa"/>
            <w:vAlign w:val="center"/>
          </w:tcPr>
          <w:p w14:paraId="37B1DC82">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 xml:space="preserve">671 </w:t>
            </w:r>
          </w:p>
        </w:tc>
        <w:tc>
          <w:tcPr>
            <w:tcW w:w="764" w:type="dxa"/>
            <w:vAlign w:val="center"/>
          </w:tcPr>
          <w:p w14:paraId="6C5B87DC">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r>
      <w:tr w14:paraId="40AD7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716" w:type="dxa"/>
            <w:vAlign w:val="center"/>
          </w:tcPr>
          <w:p w14:paraId="0A2F4634">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49</w:t>
            </w:r>
          </w:p>
        </w:tc>
        <w:tc>
          <w:tcPr>
            <w:tcW w:w="1627" w:type="dxa"/>
            <w:vAlign w:val="center"/>
          </w:tcPr>
          <w:p w14:paraId="746028C7">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室外机设备基础</w:t>
            </w:r>
          </w:p>
        </w:tc>
        <w:tc>
          <w:tcPr>
            <w:tcW w:w="4241" w:type="dxa"/>
            <w:vAlign w:val="center"/>
          </w:tcPr>
          <w:p w14:paraId="1601A362">
            <w:pPr>
              <w:jc w:val="center"/>
              <w:rPr>
                <w:rFonts w:hint="eastAsia" w:ascii="仿宋" w:hAnsi="仿宋" w:eastAsia="仿宋" w:cs="仿宋"/>
                <w:color w:val="auto"/>
                <w:sz w:val="24"/>
                <w:szCs w:val="24"/>
                <w:highlight w:val="none"/>
              </w:rPr>
            </w:pPr>
          </w:p>
        </w:tc>
        <w:tc>
          <w:tcPr>
            <w:tcW w:w="846" w:type="dxa"/>
            <w:vAlign w:val="center"/>
          </w:tcPr>
          <w:p w14:paraId="47824B37">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台</w:t>
            </w:r>
          </w:p>
        </w:tc>
        <w:tc>
          <w:tcPr>
            <w:tcW w:w="886" w:type="dxa"/>
            <w:vAlign w:val="center"/>
          </w:tcPr>
          <w:p w14:paraId="4418F767">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 xml:space="preserve">8 </w:t>
            </w:r>
          </w:p>
        </w:tc>
        <w:tc>
          <w:tcPr>
            <w:tcW w:w="764" w:type="dxa"/>
            <w:vAlign w:val="center"/>
          </w:tcPr>
          <w:p w14:paraId="68467481">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r>
      <w:tr w14:paraId="06D7C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716" w:type="dxa"/>
            <w:vAlign w:val="center"/>
          </w:tcPr>
          <w:p w14:paraId="6FE42716">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50</w:t>
            </w:r>
          </w:p>
        </w:tc>
        <w:tc>
          <w:tcPr>
            <w:tcW w:w="1627" w:type="dxa"/>
            <w:vAlign w:val="center"/>
          </w:tcPr>
          <w:p w14:paraId="02C9EB11">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室外机设备吊装</w:t>
            </w:r>
          </w:p>
        </w:tc>
        <w:tc>
          <w:tcPr>
            <w:tcW w:w="4241" w:type="dxa"/>
            <w:vAlign w:val="center"/>
          </w:tcPr>
          <w:p w14:paraId="44BCA6A0">
            <w:pPr>
              <w:jc w:val="center"/>
              <w:rPr>
                <w:rFonts w:hint="eastAsia" w:ascii="仿宋" w:hAnsi="仿宋" w:eastAsia="仿宋" w:cs="仿宋"/>
                <w:color w:val="auto"/>
                <w:sz w:val="24"/>
                <w:szCs w:val="24"/>
                <w:highlight w:val="none"/>
              </w:rPr>
            </w:pPr>
          </w:p>
        </w:tc>
        <w:tc>
          <w:tcPr>
            <w:tcW w:w="846" w:type="dxa"/>
            <w:vAlign w:val="center"/>
          </w:tcPr>
          <w:p w14:paraId="6CD3AE84">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项</w:t>
            </w:r>
          </w:p>
        </w:tc>
        <w:tc>
          <w:tcPr>
            <w:tcW w:w="886" w:type="dxa"/>
            <w:vAlign w:val="center"/>
          </w:tcPr>
          <w:p w14:paraId="1B83D29F">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 xml:space="preserve">1 </w:t>
            </w:r>
          </w:p>
        </w:tc>
        <w:tc>
          <w:tcPr>
            <w:tcW w:w="764" w:type="dxa"/>
            <w:vAlign w:val="center"/>
          </w:tcPr>
          <w:p w14:paraId="6C53D5FD">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r>
      <w:tr w14:paraId="6A46B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716" w:type="dxa"/>
            <w:vAlign w:val="center"/>
          </w:tcPr>
          <w:p w14:paraId="1F044456">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51</w:t>
            </w:r>
          </w:p>
        </w:tc>
        <w:tc>
          <w:tcPr>
            <w:tcW w:w="1627" w:type="dxa"/>
            <w:vAlign w:val="center"/>
          </w:tcPr>
          <w:p w14:paraId="3A8E3E42">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室外机安装费</w:t>
            </w:r>
          </w:p>
        </w:tc>
        <w:tc>
          <w:tcPr>
            <w:tcW w:w="4241" w:type="dxa"/>
            <w:vAlign w:val="center"/>
          </w:tcPr>
          <w:p w14:paraId="477C6F07">
            <w:pPr>
              <w:jc w:val="center"/>
              <w:rPr>
                <w:rFonts w:hint="eastAsia" w:ascii="仿宋" w:hAnsi="仿宋" w:eastAsia="仿宋" w:cs="仿宋"/>
                <w:color w:val="auto"/>
                <w:sz w:val="24"/>
                <w:szCs w:val="24"/>
                <w:highlight w:val="none"/>
              </w:rPr>
            </w:pPr>
          </w:p>
        </w:tc>
        <w:tc>
          <w:tcPr>
            <w:tcW w:w="846" w:type="dxa"/>
            <w:vAlign w:val="center"/>
          </w:tcPr>
          <w:p w14:paraId="31CC3AF5">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台</w:t>
            </w:r>
          </w:p>
        </w:tc>
        <w:tc>
          <w:tcPr>
            <w:tcW w:w="886" w:type="dxa"/>
            <w:vAlign w:val="center"/>
          </w:tcPr>
          <w:p w14:paraId="5520F6FC">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 xml:space="preserve">8 </w:t>
            </w:r>
          </w:p>
        </w:tc>
        <w:tc>
          <w:tcPr>
            <w:tcW w:w="764" w:type="dxa"/>
            <w:vAlign w:val="center"/>
          </w:tcPr>
          <w:p w14:paraId="60E68ECE">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r>
      <w:tr w14:paraId="575CB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trPr>
        <w:tc>
          <w:tcPr>
            <w:tcW w:w="716" w:type="dxa"/>
            <w:vAlign w:val="center"/>
          </w:tcPr>
          <w:p w14:paraId="2E833487">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52</w:t>
            </w:r>
          </w:p>
        </w:tc>
        <w:tc>
          <w:tcPr>
            <w:tcW w:w="1627" w:type="dxa"/>
            <w:vAlign w:val="center"/>
          </w:tcPr>
          <w:p w14:paraId="1DF9F112">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室内机安装费</w:t>
            </w:r>
          </w:p>
        </w:tc>
        <w:tc>
          <w:tcPr>
            <w:tcW w:w="4241" w:type="dxa"/>
            <w:vAlign w:val="center"/>
          </w:tcPr>
          <w:p w14:paraId="0CD409F5">
            <w:pPr>
              <w:jc w:val="center"/>
              <w:rPr>
                <w:rFonts w:hint="eastAsia" w:ascii="仿宋" w:hAnsi="仿宋" w:eastAsia="仿宋" w:cs="仿宋"/>
                <w:color w:val="auto"/>
                <w:sz w:val="24"/>
                <w:szCs w:val="24"/>
                <w:highlight w:val="none"/>
              </w:rPr>
            </w:pPr>
          </w:p>
        </w:tc>
        <w:tc>
          <w:tcPr>
            <w:tcW w:w="846" w:type="dxa"/>
            <w:vAlign w:val="center"/>
          </w:tcPr>
          <w:p w14:paraId="68D68584">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台</w:t>
            </w:r>
          </w:p>
        </w:tc>
        <w:tc>
          <w:tcPr>
            <w:tcW w:w="886" w:type="dxa"/>
            <w:vAlign w:val="center"/>
          </w:tcPr>
          <w:p w14:paraId="4514F9AE">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 xml:space="preserve">80 </w:t>
            </w:r>
          </w:p>
        </w:tc>
        <w:tc>
          <w:tcPr>
            <w:tcW w:w="764" w:type="dxa"/>
            <w:vAlign w:val="center"/>
          </w:tcPr>
          <w:p w14:paraId="40CAAA45">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r>
      <w:tr w14:paraId="3F6A7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716" w:type="dxa"/>
            <w:vAlign w:val="center"/>
          </w:tcPr>
          <w:p w14:paraId="4438B958">
            <w:pPr>
              <w:pageBreakBefore w:val="0"/>
              <w:kinsoku/>
              <w:wordWrap/>
              <w:overflowPunct/>
              <w:topLinePunct w:val="0"/>
              <w:bidi w:val="0"/>
              <w:spacing w:line="560" w:lineRule="exact"/>
              <w:jc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rPr>
              <w:t>5</w:t>
            </w:r>
            <w:r>
              <w:rPr>
                <w:rFonts w:hint="eastAsia" w:ascii="仿宋" w:hAnsi="仿宋" w:eastAsia="仿宋" w:cs="仿宋"/>
                <w:color w:val="auto"/>
                <w:sz w:val="24"/>
                <w:szCs w:val="24"/>
                <w:highlight w:val="none"/>
                <w:lang w:val="en-US" w:eastAsia="zh-CN"/>
              </w:rPr>
              <w:t>3</w:t>
            </w:r>
          </w:p>
        </w:tc>
        <w:tc>
          <w:tcPr>
            <w:tcW w:w="1627" w:type="dxa"/>
            <w:vAlign w:val="center"/>
          </w:tcPr>
          <w:p w14:paraId="67590F0F">
            <w:pPr>
              <w:keepNext w:val="0"/>
              <w:keepLines w:val="0"/>
              <w:widowControl/>
              <w:suppressLineNumbers w:val="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000000"/>
                <w:kern w:val="0"/>
                <w:sz w:val="24"/>
                <w:szCs w:val="24"/>
                <w:u w:val="none"/>
                <w:lang w:val="en-US" w:eastAsia="zh-CN" w:bidi="ar"/>
              </w:rPr>
              <w:t>设备及材料运费</w:t>
            </w:r>
          </w:p>
        </w:tc>
        <w:tc>
          <w:tcPr>
            <w:tcW w:w="4241" w:type="dxa"/>
            <w:vAlign w:val="center"/>
          </w:tcPr>
          <w:p w14:paraId="4D2D5129">
            <w:pPr>
              <w:jc w:val="center"/>
              <w:rPr>
                <w:rFonts w:hint="eastAsia" w:ascii="仿宋" w:hAnsi="仿宋" w:eastAsia="仿宋" w:cs="仿宋"/>
                <w:color w:val="auto"/>
                <w:kern w:val="2"/>
                <w:sz w:val="24"/>
                <w:szCs w:val="24"/>
                <w:highlight w:val="none"/>
                <w:lang w:val="en-US" w:eastAsia="zh-CN" w:bidi="ar-SA"/>
              </w:rPr>
            </w:pPr>
          </w:p>
        </w:tc>
        <w:tc>
          <w:tcPr>
            <w:tcW w:w="846" w:type="dxa"/>
            <w:vAlign w:val="center"/>
          </w:tcPr>
          <w:p w14:paraId="27B7584A">
            <w:pPr>
              <w:keepNext w:val="0"/>
              <w:keepLines w:val="0"/>
              <w:widowControl/>
              <w:suppressLineNumbers w:val="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000000"/>
                <w:kern w:val="0"/>
                <w:sz w:val="24"/>
                <w:szCs w:val="24"/>
                <w:u w:val="none"/>
                <w:lang w:val="en-US" w:eastAsia="zh-CN" w:bidi="ar"/>
              </w:rPr>
              <w:t>项</w:t>
            </w:r>
          </w:p>
        </w:tc>
        <w:tc>
          <w:tcPr>
            <w:tcW w:w="886" w:type="dxa"/>
            <w:vAlign w:val="center"/>
          </w:tcPr>
          <w:p w14:paraId="1BAF804D">
            <w:pPr>
              <w:keepNext w:val="0"/>
              <w:keepLines w:val="0"/>
              <w:widowControl/>
              <w:suppressLineNumbers w:val="0"/>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000000"/>
                <w:kern w:val="0"/>
                <w:sz w:val="24"/>
                <w:szCs w:val="24"/>
                <w:u w:val="none"/>
                <w:lang w:val="en-US" w:eastAsia="zh-CN" w:bidi="ar"/>
              </w:rPr>
              <w:t xml:space="preserve">1 </w:t>
            </w:r>
          </w:p>
        </w:tc>
        <w:tc>
          <w:tcPr>
            <w:tcW w:w="764" w:type="dxa"/>
            <w:vAlign w:val="center"/>
          </w:tcPr>
          <w:p w14:paraId="7C89C2EA">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r>
    </w:tbl>
    <w:p w14:paraId="117A622F">
      <w:pPr>
        <w:rPr>
          <w:rFonts w:hint="eastAsia"/>
          <w:lang w:val="en-US" w:eastAsia="zh-CN"/>
        </w:rPr>
      </w:pPr>
    </w:p>
    <w:p w14:paraId="4548391E">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jc w:val="left"/>
        <w:textAlignment w:val="auto"/>
        <w:rPr>
          <w:rFonts w:hint="eastAsia" w:ascii="仿宋_GB2312" w:hAnsi="仿宋_GB2312" w:eastAsia="仿宋_GB2312" w:cs="仿宋_GB2312"/>
          <w:b w:val="0"/>
          <w:bCs/>
          <w:color w:val="auto"/>
          <w:sz w:val="24"/>
          <w:szCs w:val="24"/>
          <w:highlight w:val="none"/>
          <w:lang w:val="en-US" w:eastAsia="zh-CN"/>
        </w:rPr>
      </w:pPr>
      <w:bookmarkStart w:id="35" w:name="_Toc9196"/>
      <w:bookmarkStart w:id="36" w:name="_Toc154259269"/>
      <w:bookmarkStart w:id="37" w:name="_Toc17689_WPSOffice_Level1"/>
      <w:r>
        <w:rPr>
          <w:rFonts w:hint="eastAsia" w:ascii="仿宋_GB2312" w:hAnsi="仿宋_GB2312" w:eastAsia="仿宋_GB2312" w:cs="仿宋_GB2312"/>
          <w:b w:val="0"/>
          <w:bCs/>
          <w:color w:val="auto"/>
          <w:sz w:val="24"/>
          <w:szCs w:val="24"/>
          <w:highlight w:val="none"/>
          <w:lang w:val="en-US" w:eastAsia="zh-CN"/>
        </w:rPr>
        <w:t>注：1、采购</w:t>
      </w:r>
      <w:r>
        <w:rPr>
          <w:rFonts w:hint="eastAsia" w:ascii="仿宋_GB2312" w:hAnsi="仿宋_GB2312" w:eastAsia="仿宋_GB2312" w:cs="仿宋_GB2312"/>
          <w:b w:val="0"/>
          <w:bCs/>
          <w:color w:val="auto"/>
          <w:sz w:val="24"/>
          <w:szCs w:val="24"/>
          <w:highlight w:val="none"/>
        </w:rPr>
        <w:t>清单中所列</w:t>
      </w:r>
      <w:r>
        <w:rPr>
          <w:rFonts w:hint="eastAsia" w:ascii="仿宋_GB2312" w:hAnsi="仿宋_GB2312" w:eastAsia="仿宋_GB2312" w:cs="仿宋_GB2312"/>
          <w:b w:val="0"/>
          <w:bCs/>
          <w:color w:val="auto"/>
          <w:kern w:val="0"/>
          <w:sz w:val="24"/>
          <w:szCs w:val="24"/>
          <w:highlight w:val="none"/>
        </w:rPr>
        <w:t>设备型号规格</w:t>
      </w:r>
      <w:r>
        <w:rPr>
          <w:rFonts w:hint="eastAsia" w:ascii="仿宋_GB2312" w:hAnsi="仿宋_GB2312" w:eastAsia="仿宋_GB2312" w:cs="仿宋_GB2312"/>
          <w:b w:val="0"/>
          <w:bCs/>
          <w:color w:val="auto"/>
          <w:sz w:val="24"/>
          <w:szCs w:val="24"/>
          <w:highlight w:val="none"/>
        </w:rPr>
        <w:t>是对性能、质量要求的描述，投标人根据实际情况自行选择所报产品品牌、规格型号，但所报产品性能、质量不能低于招标文件要求，并须确保与相关设备和系统相匹配、兼容。</w:t>
      </w:r>
    </w:p>
    <w:p w14:paraId="789474FA">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jc w:val="left"/>
        <w:textAlignment w:val="auto"/>
        <w:rPr>
          <w:rFonts w:hint="eastAsia" w:ascii="仿宋_GB2312" w:hAnsi="仿宋_GB2312" w:eastAsia="仿宋_GB2312" w:cs="仿宋_GB2312"/>
          <w:b w:val="0"/>
          <w:bCs/>
          <w:color w:val="auto"/>
          <w:sz w:val="24"/>
          <w:szCs w:val="24"/>
          <w:highlight w:val="none"/>
          <w:lang w:val="en-US" w:eastAsia="zh-CN"/>
        </w:rPr>
      </w:pPr>
      <w:r>
        <w:rPr>
          <w:rFonts w:hint="eastAsia" w:ascii="仿宋_GB2312" w:hAnsi="仿宋_GB2312" w:eastAsia="仿宋_GB2312" w:cs="仿宋_GB2312"/>
          <w:b w:val="0"/>
          <w:bCs/>
          <w:color w:val="auto"/>
          <w:sz w:val="24"/>
          <w:szCs w:val="24"/>
          <w:highlight w:val="none"/>
          <w:lang w:val="en-US" w:eastAsia="zh-CN"/>
        </w:rPr>
        <w:t>2、铜管、保温套管、冷凝水管、电源线等辅材项目数量实际安装时可能存在少量偏差，若数量出现正偏差的均由中标单位负责；若数量负偏差的按照投标单价据实结算。</w:t>
      </w:r>
    </w:p>
    <w:p w14:paraId="0D7A9F67">
      <w:pPr>
        <w:rPr>
          <w:rFonts w:hint="eastAsia"/>
          <w:color w:val="auto"/>
          <w:highlight w:val="none"/>
        </w:rPr>
      </w:pPr>
      <w:bookmarkStart w:id="38" w:name="_Toc21123"/>
      <w:r>
        <w:rPr>
          <w:rFonts w:hint="eastAsia"/>
          <w:color w:val="auto"/>
          <w:highlight w:val="none"/>
        </w:rPr>
        <w:br w:type="page"/>
      </w:r>
    </w:p>
    <w:p w14:paraId="65746AEA">
      <w:pPr>
        <w:pStyle w:val="3"/>
        <w:pageBreakBefore w:val="0"/>
        <w:kinsoku/>
        <w:wordWrap/>
        <w:overflowPunct/>
        <w:topLinePunct w:val="0"/>
        <w:bidi w:val="0"/>
        <w:spacing w:line="560" w:lineRule="exact"/>
        <w:rPr>
          <w:rFonts w:hint="default" w:eastAsia="方正黑体_GBK"/>
          <w:color w:val="auto"/>
          <w:highlight w:val="none"/>
          <w:lang w:val="en-US" w:eastAsia="zh-CN"/>
        </w:rPr>
      </w:pPr>
      <w:r>
        <w:rPr>
          <w:rFonts w:hint="eastAsia"/>
          <w:color w:val="auto"/>
          <w:highlight w:val="none"/>
        </w:rPr>
        <w:t>四、</w:t>
      </w:r>
      <w:bookmarkEnd w:id="35"/>
      <w:bookmarkEnd w:id="36"/>
      <w:bookmarkEnd w:id="37"/>
      <w:r>
        <w:rPr>
          <w:rFonts w:hint="eastAsia"/>
          <w:color w:val="auto"/>
          <w:highlight w:val="none"/>
          <w:lang w:val="en-US" w:eastAsia="zh-CN"/>
        </w:rPr>
        <w:t>设备材料品牌及技术要求</w:t>
      </w:r>
      <w:bookmarkEnd w:id="38"/>
    </w:p>
    <w:p w14:paraId="1FFC92F8">
      <w:pPr>
        <w:pageBreakBefore w:val="0"/>
        <w:kinsoku/>
        <w:wordWrap/>
        <w:overflowPunct/>
        <w:topLinePunct w:val="0"/>
        <w:bidi w:val="0"/>
        <w:adjustRightInd w:val="0"/>
        <w:snapToGrid w:val="0"/>
        <w:spacing w:line="560" w:lineRule="exact"/>
        <w:ind w:firstLine="640" w:firstLineChars="200"/>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技术要求</w:t>
      </w:r>
      <w:r>
        <w:rPr>
          <w:rFonts w:hint="eastAsia" w:ascii="仿宋" w:hAnsi="仿宋" w:eastAsia="仿宋" w:cs="仿宋"/>
          <w:color w:val="auto"/>
          <w:kern w:val="2"/>
          <w:sz w:val="32"/>
          <w:szCs w:val="32"/>
          <w:highlight w:val="none"/>
          <w:lang w:val="zh-CN" w:eastAsia="zh-CN" w:bidi="ar-SA"/>
        </w:rPr>
        <w:t>中凡标有“*”的地方视为重要的技术指标要求或性能要求，</w:t>
      </w:r>
      <w:r>
        <w:rPr>
          <w:rFonts w:hint="eastAsia" w:ascii="仿宋" w:hAnsi="仿宋" w:eastAsia="仿宋" w:cs="仿宋"/>
          <w:color w:val="auto"/>
          <w:kern w:val="2"/>
          <w:sz w:val="32"/>
          <w:szCs w:val="32"/>
          <w:highlight w:val="none"/>
          <w:lang w:val="en-US" w:eastAsia="zh-CN" w:bidi="ar-SA"/>
        </w:rPr>
        <w:t>如出现负偏离则不得进入详细评审阶段</w:t>
      </w:r>
      <w:r>
        <w:rPr>
          <w:rFonts w:hint="eastAsia" w:ascii="仿宋" w:hAnsi="仿宋" w:eastAsia="仿宋" w:cs="仿宋"/>
          <w:color w:val="auto"/>
          <w:kern w:val="2"/>
          <w:sz w:val="32"/>
          <w:szCs w:val="32"/>
          <w:highlight w:val="none"/>
          <w:lang w:val="zh-CN" w:eastAsia="zh-CN" w:bidi="ar-SA"/>
        </w:rPr>
        <w:t>，凡标有带“▲”的技术参数为较重要的</w:t>
      </w:r>
      <w:r>
        <w:rPr>
          <w:rFonts w:hint="eastAsia" w:ascii="仿宋" w:hAnsi="仿宋" w:eastAsia="仿宋" w:cs="仿宋"/>
          <w:color w:val="auto"/>
          <w:kern w:val="2"/>
          <w:sz w:val="32"/>
          <w:szCs w:val="32"/>
          <w:highlight w:val="none"/>
          <w:lang w:val="en-US" w:eastAsia="zh-CN" w:bidi="ar-SA"/>
        </w:rPr>
        <w:t>技术指标要求或性能要求，按照详细评审规则进行扣分。</w:t>
      </w:r>
    </w:p>
    <w:p w14:paraId="4FCD8685">
      <w:pPr>
        <w:pageBreakBefore w:val="0"/>
        <w:kinsoku/>
        <w:wordWrap/>
        <w:overflowPunct/>
        <w:topLinePunct w:val="0"/>
        <w:bidi w:val="0"/>
        <w:adjustRightInd w:val="0"/>
        <w:snapToGrid w:val="0"/>
        <w:spacing w:line="560" w:lineRule="exact"/>
        <w:ind w:firstLine="640" w:firstLineChars="200"/>
        <w:rPr>
          <w:rFonts w:hint="eastAsia" w:ascii="仿宋" w:hAnsi="仿宋" w:eastAsia="仿宋" w:cs="仿宋"/>
          <w:color w:val="auto"/>
          <w:kern w:val="2"/>
          <w:sz w:val="32"/>
          <w:szCs w:val="32"/>
          <w:highlight w:val="none"/>
          <w:lang w:val="zh-CN" w:eastAsia="zh-CN" w:bidi="ar-SA"/>
        </w:rPr>
      </w:pPr>
      <w:r>
        <w:rPr>
          <w:rFonts w:hint="eastAsia" w:ascii="仿宋" w:hAnsi="仿宋" w:eastAsia="仿宋" w:cs="仿宋"/>
          <w:color w:val="auto"/>
          <w:kern w:val="2"/>
          <w:sz w:val="32"/>
          <w:szCs w:val="32"/>
          <w:highlight w:val="none"/>
          <w:lang w:val="zh-CN" w:eastAsia="zh-CN" w:bidi="ar-SA"/>
        </w:rPr>
        <w:t>投标人所投空调设备的参数、性能、数量等，建议</w:t>
      </w:r>
      <w:r>
        <w:rPr>
          <w:rFonts w:hint="eastAsia" w:ascii="仿宋" w:hAnsi="仿宋" w:eastAsia="仿宋" w:cs="仿宋"/>
          <w:color w:val="auto"/>
          <w:kern w:val="2"/>
          <w:sz w:val="32"/>
          <w:szCs w:val="32"/>
          <w:highlight w:val="none"/>
          <w:lang w:val="en-US" w:eastAsia="zh-CN" w:bidi="ar-SA"/>
        </w:rPr>
        <w:t>必须</w:t>
      </w:r>
      <w:r>
        <w:rPr>
          <w:rFonts w:hint="eastAsia" w:ascii="仿宋" w:hAnsi="仿宋" w:eastAsia="仿宋" w:cs="仿宋"/>
          <w:color w:val="auto"/>
          <w:kern w:val="2"/>
          <w:sz w:val="32"/>
          <w:szCs w:val="32"/>
          <w:highlight w:val="none"/>
          <w:lang w:val="zh-CN" w:eastAsia="zh-CN" w:bidi="ar-SA"/>
        </w:rPr>
        <w:t>满足设计图纸要求和本技术要求，各投标人必须对本技术要求逐一作出响应性说明，投标人须填写技术规格偏离表，并提供投标选用的厂家盖公章的证明文件以供评标人查阅，如无提供，将按废标处理。</w:t>
      </w:r>
    </w:p>
    <w:p w14:paraId="7447A9BD">
      <w:pPr>
        <w:keepNext/>
        <w:keepLines/>
        <w:pageBreakBefore w:val="0"/>
        <w:kinsoku/>
        <w:wordWrap/>
        <w:overflowPunct/>
        <w:topLinePunct w:val="0"/>
        <w:bidi w:val="0"/>
        <w:spacing w:line="560" w:lineRule="exact"/>
        <w:ind w:firstLine="643" w:firstLineChars="200"/>
        <w:jc w:val="left"/>
        <w:outlineLvl w:val="2"/>
        <w:rPr>
          <w:rFonts w:hint="eastAsia" w:ascii="仿宋" w:hAnsi="仿宋" w:eastAsia="仿宋" w:cs="仿宋"/>
          <w:b/>
          <w:bCs/>
          <w:color w:val="auto"/>
          <w:kern w:val="2"/>
          <w:sz w:val="32"/>
          <w:szCs w:val="32"/>
          <w:highlight w:val="none"/>
          <w:lang w:val="zh-CN" w:eastAsia="zh-CN" w:bidi="ar-SA"/>
        </w:rPr>
      </w:pPr>
      <w:bookmarkStart w:id="39" w:name="_Toc30805"/>
      <w:bookmarkStart w:id="40" w:name="_Toc24323"/>
      <w:bookmarkStart w:id="41" w:name="_Toc30988"/>
      <w:bookmarkStart w:id="42" w:name="_Toc1024"/>
      <w:bookmarkStart w:id="43" w:name="_Toc8729"/>
      <w:r>
        <w:rPr>
          <w:rFonts w:hint="eastAsia" w:ascii="仿宋" w:hAnsi="仿宋" w:eastAsia="仿宋" w:cs="仿宋"/>
          <w:b/>
          <w:bCs/>
          <w:color w:val="auto"/>
          <w:kern w:val="2"/>
          <w:sz w:val="32"/>
          <w:szCs w:val="32"/>
          <w:highlight w:val="none"/>
          <w:lang w:val="en-US" w:eastAsia="zh-CN" w:bidi="ar-SA"/>
        </w:rPr>
        <w:t>（一）空调系统</w:t>
      </w:r>
      <w:r>
        <w:rPr>
          <w:rFonts w:hint="eastAsia" w:ascii="仿宋" w:hAnsi="仿宋" w:eastAsia="仿宋" w:cs="仿宋"/>
          <w:b/>
          <w:bCs/>
          <w:color w:val="auto"/>
          <w:kern w:val="2"/>
          <w:sz w:val="32"/>
          <w:szCs w:val="32"/>
          <w:highlight w:val="none"/>
          <w:lang w:val="zh-CN" w:eastAsia="zh-CN" w:bidi="ar-SA"/>
        </w:rPr>
        <w:t>技术要求</w:t>
      </w:r>
      <w:bookmarkEnd w:id="39"/>
      <w:bookmarkEnd w:id="40"/>
      <w:bookmarkEnd w:id="41"/>
      <w:bookmarkEnd w:id="42"/>
      <w:bookmarkEnd w:id="43"/>
    </w:p>
    <w:p w14:paraId="1E0F4FF8">
      <w:pPr>
        <w:pageBreakBefore w:val="0"/>
        <w:kinsoku/>
        <w:wordWrap/>
        <w:overflowPunct/>
        <w:topLinePunct w:val="0"/>
        <w:bidi w:val="0"/>
        <w:spacing w:line="560" w:lineRule="exact"/>
        <w:ind w:firstLine="755" w:firstLineChars="236"/>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1.总体要求：投标人须综合考虑设备的可靠性和稳定性、节能性、运行维护便利性、舒适性、技术先进性、使用寿命长短、针对本项目的适合性、性能参数等。</w:t>
      </w:r>
    </w:p>
    <w:p w14:paraId="0F94BE48">
      <w:pPr>
        <w:pageBreakBefore w:val="0"/>
        <w:kinsoku/>
        <w:wordWrap/>
        <w:overflowPunct/>
        <w:topLinePunct w:val="0"/>
        <w:bidi w:val="0"/>
        <w:spacing w:line="560" w:lineRule="exact"/>
        <w:ind w:firstLine="755" w:firstLineChars="236"/>
        <w:rPr>
          <w:rFonts w:hint="eastAsia" w:ascii="仿宋" w:hAnsi="仿宋" w:eastAsia="仿宋" w:cs="仿宋"/>
          <w:color w:val="auto"/>
          <w:kern w:val="2"/>
          <w:sz w:val="32"/>
          <w:szCs w:val="32"/>
          <w:highlight w:val="none"/>
          <w:lang w:val="en-US" w:eastAsia="zh-CN" w:bidi="ar-SA"/>
        </w:rPr>
      </w:pPr>
      <w:bookmarkStart w:id="44" w:name="_Hlk61945258"/>
      <w:r>
        <w:rPr>
          <w:rFonts w:hint="eastAsia" w:ascii="仿宋" w:hAnsi="仿宋" w:eastAsia="仿宋" w:cs="仿宋"/>
          <w:color w:val="auto"/>
          <w:kern w:val="2"/>
          <w:sz w:val="32"/>
          <w:szCs w:val="32"/>
          <w:highlight w:val="none"/>
          <w:lang w:val="en-US" w:eastAsia="zh-CN" w:bidi="ar-SA"/>
        </w:rPr>
        <w:t>2.设备部分基本要求:</w:t>
      </w:r>
    </w:p>
    <w:p w14:paraId="3E26A003">
      <w:pPr>
        <w:pageBreakBefore w:val="0"/>
        <w:kinsoku/>
        <w:wordWrap/>
        <w:overflowPunct/>
        <w:topLinePunct w:val="0"/>
        <w:bidi w:val="0"/>
        <w:spacing w:line="560" w:lineRule="exact"/>
        <w:ind w:firstLine="755" w:firstLineChars="236"/>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2.1各投标人投标时须提供证明材料，未提供证明材料或材料无法证明以下要求的，视为不满足要求。</w:t>
      </w:r>
    </w:p>
    <w:p w14:paraId="3A41777A">
      <w:pPr>
        <w:pageBreakBefore w:val="0"/>
        <w:kinsoku/>
        <w:wordWrap/>
        <w:overflowPunct/>
        <w:topLinePunct w:val="0"/>
        <w:bidi w:val="0"/>
        <w:adjustRightInd w:val="0"/>
        <w:snapToGrid w:val="0"/>
        <w:spacing w:line="560" w:lineRule="exact"/>
        <w:ind w:firstLine="640" w:firstLineChars="200"/>
        <w:rPr>
          <w:rFonts w:hint="eastAsia" w:ascii="仿宋" w:hAnsi="仿宋" w:eastAsia="仿宋" w:cs="仿宋"/>
          <w:color w:val="auto"/>
          <w:kern w:val="2"/>
          <w:sz w:val="32"/>
          <w:szCs w:val="32"/>
          <w:highlight w:val="none"/>
          <w:lang w:val="zh-CN" w:eastAsia="zh-CN" w:bidi="ar-SA"/>
        </w:rPr>
      </w:pPr>
      <w:r>
        <w:rPr>
          <w:rFonts w:hint="eastAsia" w:ascii="仿宋" w:hAnsi="仿宋" w:eastAsia="仿宋" w:cs="仿宋"/>
          <w:color w:val="auto"/>
          <w:kern w:val="2"/>
          <w:sz w:val="32"/>
          <w:szCs w:val="32"/>
          <w:highlight w:val="none"/>
          <w:lang w:val="en-US" w:eastAsia="zh-CN" w:bidi="ar-SA"/>
        </w:rPr>
        <w:t>2.2</w:t>
      </w:r>
      <w:r>
        <w:rPr>
          <w:rFonts w:hint="eastAsia" w:ascii="仿宋" w:hAnsi="仿宋" w:eastAsia="仿宋" w:cs="仿宋"/>
          <w:color w:val="auto"/>
          <w:kern w:val="2"/>
          <w:sz w:val="32"/>
          <w:szCs w:val="32"/>
          <w:highlight w:val="none"/>
          <w:lang w:val="zh-CN" w:eastAsia="zh-CN" w:bidi="ar-SA"/>
        </w:rPr>
        <w:t>投标产品应有当今国际领先技术，空调产品为原厂产品，不接受OEM代工，供货时提供原厂合格证明及检测报告文件。投标人应提供已注册品牌制造商原装、全新的、符合国家及用户提出的有关质量标准的货物。</w:t>
      </w:r>
    </w:p>
    <w:p w14:paraId="44C122AA">
      <w:pPr>
        <w:pageBreakBefore w:val="0"/>
        <w:kinsoku/>
        <w:wordWrap/>
        <w:overflowPunct/>
        <w:topLinePunct w:val="0"/>
        <w:bidi w:val="0"/>
        <w:spacing w:line="560" w:lineRule="exact"/>
        <w:ind w:firstLine="755" w:firstLineChars="236"/>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zh-CN" w:eastAsia="zh-CN" w:bidi="ar-SA"/>
        </w:rPr>
        <w:t>*</w:t>
      </w:r>
      <w:r>
        <w:rPr>
          <w:rFonts w:hint="eastAsia" w:ascii="仿宋" w:hAnsi="仿宋" w:eastAsia="仿宋" w:cs="仿宋"/>
          <w:color w:val="auto"/>
          <w:kern w:val="2"/>
          <w:sz w:val="32"/>
          <w:szCs w:val="32"/>
          <w:highlight w:val="none"/>
          <w:lang w:val="en-US" w:eastAsia="zh-CN" w:bidi="ar-SA"/>
        </w:rPr>
        <w:t>投标人须为产品设备制造商或授权的合法代理经销商，如代理商投标必须提供生产厂家针对此项目授权证明文件；</w:t>
      </w:r>
    </w:p>
    <w:p w14:paraId="374F06E9">
      <w:pPr>
        <w:pageBreakBefore w:val="0"/>
        <w:kinsoku/>
        <w:wordWrap/>
        <w:overflowPunct/>
        <w:topLinePunct w:val="0"/>
        <w:bidi w:val="0"/>
        <w:spacing w:line="560" w:lineRule="exact"/>
        <w:ind w:firstLine="755" w:firstLineChars="236"/>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zh-CN" w:eastAsia="zh-CN" w:bidi="ar-SA"/>
        </w:rPr>
        <w:t>*</w:t>
      </w:r>
      <w:r>
        <w:rPr>
          <w:rFonts w:hint="eastAsia" w:ascii="仿宋" w:hAnsi="仿宋" w:eastAsia="仿宋" w:cs="仿宋"/>
          <w:color w:val="auto"/>
          <w:kern w:val="2"/>
          <w:sz w:val="32"/>
          <w:szCs w:val="32"/>
          <w:highlight w:val="none"/>
          <w:lang w:val="en-US" w:eastAsia="zh-CN" w:bidi="ar-SA"/>
        </w:rPr>
        <w:t>室外机组中的压缩机全部为直流变频压缩机，采用无级变频控制技术；</w:t>
      </w:r>
    </w:p>
    <w:p w14:paraId="53E5739F">
      <w:pPr>
        <w:pageBreakBefore w:val="0"/>
        <w:kinsoku/>
        <w:wordWrap/>
        <w:overflowPunct/>
        <w:topLinePunct w:val="0"/>
        <w:bidi w:val="0"/>
        <w:spacing w:line="560" w:lineRule="exact"/>
        <w:ind w:firstLine="755" w:firstLineChars="236"/>
        <w:rPr>
          <w:rFonts w:hint="eastAsia" w:ascii="仿宋" w:hAnsi="仿宋" w:eastAsia="仿宋" w:cs="仿宋"/>
          <w:color w:val="auto"/>
          <w:kern w:val="2"/>
          <w:sz w:val="32"/>
          <w:szCs w:val="32"/>
          <w:highlight w:val="none"/>
          <w:lang w:val="zh-CN" w:eastAsia="zh-CN" w:bidi="ar-SA"/>
        </w:rPr>
      </w:pPr>
      <w:r>
        <w:rPr>
          <w:rFonts w:hint="eastAsia" w:ascii="仿宋" w:hAnsi="仿宋" w:eastAsia="仿宋" w:cs="仿宋"/>
          <w:color w:val="auto"/>
          <w:kern w:val="2"/>
          <w:sz w:val="32"/>
          <w:szCs w:val="32"/>
          <w:highlight w:val="none"/>
          <w:lang w:val="zh-CN" w:eastAsia="zh-CN" w:bidi="ar-SA"/>
        </w:rPr>
        <w:t>▲投标人所投空调设备的参数、性能、数量等，</w:t>
      </w:r>
      <w:r>
        <w:rPr>
          <w:rFonts w:hint="eastAsia" w:ascii="仿宋" w:hAnsi="仿宋" w:eastAsia="仿宋" w:cs="仿宋"/>
          <w:color w:val="auto"/>
          <w:kern w:val="2"/>
          <w:sz w:val="32"/>
          <w:szCs w:val="32"/>
          <w:highlight w:val="none"/>
          <w:lang w:val="en-US" w:eastAsia="zh-CN" w:bidi="ar-SA"/>
        </w:rPr>
        <w:t>必须</w:t>
      </w:r>
      <w:r>
        <w:rPr>
          <w:rFonts w:hint="eastAsia" w:ascii="仿宋" w:hAnsi="仿宋" w:eastAsia="仿宋" w:cs="仿宋"/>
          <w:color w:val="auto"/>
          <w:kern w:val="2"/>
          <w:sz w:val="32"/>
          <w:szCs w:val="32"/>
          <w:highlight w:val="none"/>
          <w:lang w:val="zh-CN" w:eastAsia="zh-CN" w:bidi="ar-SA"/>
        </w:rPr>
        <w:t>满足</w:t>
      </w:r>
      <w:r>
        <w:rPr>
          <w:rFonts w:hint="eastAsia" w:ascii="仿宋" w:hAnsi="仿宋" w:eastAsia="仿宋" w:cs="仿宋"/>
          <w:color w:val="auto"/>
          <w:kern w:val="2"/>
          <w:sz w:val="32"/>
          <w:szCs w:val="32"/>
          <w:highlight w:val="none"/>
          <w:lang w:val="en-US" w:eastAsia="zh-CN" w:bidi="ar-SA"/>
        </w:rPr>
        <w:t>或优于</w:t>
      </w:r>
      <w:r>
        <w:rPr>
          <w:rFonts w:hint="eastAsia" w:ascii="仿宋" w:hAnsi="仿宋" w:eastAsia="仿宋" w:cs="仿宋"/>
          <w:color w:val="auto"/>
          <w:kern w:val="2"/>
          <w:sz w:val="32"/>
          <w:szCs w:val="32"/>
          <w:highlight w:val="none"/>
          <w:lang w:val="zh-CN" w:eastAsia="zh-CN" w:bidi="ar-SA"/>
        </w:rPr>
        <w:t>设计图纸要求和</w:t>
      </w:r>
      <w:r>
        <w:rPr>
          <w:rFonts w:hint="eastAsia" w:ascii="仿宋" w:hAnsi="仿宋" w:eastAsia="仿宋" w:cs="仿宋"/>
          <w:color w:val="auto"/>
          <w:kern w:val="2"/>
          <w:sz w:val="32"/>
          <w:szCs w:val="32"/>
          <w:highlight w:val="none"/>
          <w:lang w:val="en-US" w:eastAsia="zh-CN" w:bidi="ar-SA"/>
        </w:rPr>
        <w:t>采购清单要求</w:t>
      </w:r>
      <w:r>
        <w:rPr>
          <w:rFonts w:hint="eastAsia" w:ascii="仿宋" w:hAnsi="仿宋" w:eastAsia="仿宋" w:cs="仿宋"/>
          <w:color w:val="auto"/>
          <w:kern w:val="2"/>
          <w:sz w:val="32"/>
          <w:szCs w:val="32"/>
          <w:highlight w:val="none"/>
          <w:lang w:val="zh-CN" w:eastAsia="zh-CN" w:bidi="ar-SA"/>
        </w:rPr>
        <w:t>，各投标人必须对本技术要求</w:t>
      </w:r>
      <w:r>
        <w:rPr>
          <w:rFonts w:hint="eastAsia" w:ascii="仿宋" w:hAnsi="仿宋" w:eastAsia="仿宋" w:cs="仿宋"/>
          <w:color w:val="auto"/>
          <w:kern w:val="2"/>
          <w:sz w:val="32"/>
          <w:szCs w:val="32"/>
          <w:highlight w:val="none"/>
          <w:lang w:val="en-US" w:eastAsia="zh-CN" w:bidi="ar-SA"/>
        </w:rPr>
        <w:t>和采购清单表</w:t>
      </w:r>
      <w:r>
        <w:rPr>
          <w:rFonts w:hint="eastAsia" w:ascii="仿宋" w:hAnsi="仿宋" w:eastAsia="仿宋" w:cs="仿宋"/>
          <w:color w:val="auto"/>
          <w:kern w:val="2"/>
          <w:sz w:val="32"/>
          <w:szCs w:val="32"/>
          <w:highlight w:val="none"/>
          <w:lang w:val="zh-CN" w:eastAsia="zh-CN" w:bidi="ar-SA"/>
        </w:rPr>
        <w:t>逐一作出响应性说明，投标人须填写技术规格偏离表；</w:t>
      </w:r>
    </w:p>
    <w:tbl>
      <w:tblPr>
        <w:tblStyle w:val="13"/>
        <w:tblpPr w:leftFromText="180" w:rightFromText="180" w:vertAnchor="text" w:horzAnchor="page" w:tblpXSpec="center" w:tblpY="1049"/>
        <w:tblOverlap w:val="never"/>
        <w:tblW w:w="98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6"/>
        <w:gridCol w:w="1627"/>
        <w:gridCol w:w="4241"/>
        <w:gridCol w:w="846"/>
        <w:gridCol w:w="886"/>
        <w:gridCol w:w="764"/>
        <w:gridCol w:w="764"/>
      </w:tblGrid>
      <w:tr w14:paraId="5FFFE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0" w:hRule="atLeast"/>
          <w:jc w:val="center"/>
        </w:trPr>
        <w:tc>
          <w:tcPr>
            <w:tcW w:w="716" w:type="dxa"/>
            <w:vAlign w:val="center"/>
          </w:tcPr>
          <w:p w14:paraId="5A301C73">
            <w:pPr>
              <w:pageBreakBefore w:val="0"/>
              <w:widowControl/>
              <w:kinsoku/>
              <w:wordWrap/>
              <w:overflowPunct/>
              <w:topLinePunct w:val="0"/>
              <w:bidi w:val="0"/>
              <w:snapToGrid w:val="0"/>
              <w:spacing w:line="560" w:lineRule="exact"/>
              <w:jc w:val="center"/>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序号</w:t>
            </w:r>
          </w:p>
        </w:tc>
        <w:tc>
          <w:tcPr>
            <w:tcW w:w="1627" w:type="dxa"/>
            <w:vAlign w:val="center"/>
          </w:tcPr>
          <w:p w14:paraId="5D7CD14D">
            <w:pPr>
              <w:pageBreakBefore w:val="0"/>
              <w:widowControl/>
              <w:kinsoku/>
              <w:wordWrap/>
              <w:overflowPunct/>
              <w:topLinePunct w:val="0"/>
              <w:bidi w:val="0"/>
              <w:snapToGrid w:val="0"/>
              <w:spacing w:line="560" w:lineRule="exact"/>
              <w:jc w:val="center"/>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设备名称</w:t>
            </w:r>
          </w:p>
        </w:tc>
        <w:tc>
          <w:tcPr>
            <w:tcW w:w="4241" w:type="dxa"/>
            <w:vAlign w:val="center"/>
          </w:tcPr>
          <w:p w14:paraId="02AF8D46">
            <w:pPr>
              <w:pageBreakBefore w:val="0"/>
              <w:widowControl/>
              <w:kinsoku/>
              <w:wordWrap/>
              <w:overflowPunct/>
              <w:topLinePunct w:val="0"/>
              <w:bidi w:val="0"/>
              <w:snapToGrid w:val="0"/>
              <w:spacing w:line="560" w:lineRule="exact"/>
              <w:jc w:val="center"/>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设备型号规格</w:t>
            </w:r>
          </w:p>
        </w:tc>
        <w:tc>
          <w:tcPr>
            <w:tcW w:w="846" w:type="dxa"/>
            <w:vAlign w:val="center"/>
          </w:tcPr>
          <w:p w14:paraId="609B93FC">
            <w:pPr>
              <w:pageBreakBefore w:val="0"/>
              <w:widowControl/>
              <w:kinsoku/>
              <w:wordWrap/>
              <w:overflowPunct/>
              <w:topLinePunct w:val="0"/>
              <w:bidi w:val="0"/>
              <w:snapToGrid w:val="0"/>
              <w:spacing w:line="560" w:lineRule="exact"/>
              <w:jc w:val="center"/>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计量单位</w:t>
            </w:r>
          </w:p>
        </w:tc>
        <w:tc>
          <w:tcPr>
            <w:tcW w:w="886" w:type="dxa"/>
            <w:vAlign w:val="center"/>
          </w:tcPr>
          <w:p w14:paraId="53172A39">
            <w:pPr>
              <w:pageBreakBefore w:val="0"/>
              <w:widowControl/>
              <w:kinsoku/>
              <w:wordWrap/>
              <w:overflowPunct/>
              <w:topLinePunct w:val="0"/>
              <w:bidi w:val="0"/>
              <w:snapToGrid w:val="0"/>
              <w:spacing w:line="560" w:lineRule="exact"/>
              <w:jc w:val="center"/>
              <w:rPr>
                <w:rFonts w:hint="eastAsia" w:ascii="仿宋" w:hAnsi="仿宋" w:eastAsia="仿宋" w:cs="仿宋"/>
                <w:b/>
                <w:bCs/>
                <w:color w:val="auto"/>
                <w:kern w:val="0"/>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数量</w:t>
            </w:r>
          </w:p>
        </w:tc>
        <w:tc>
          <w:tcPr>
            <w:tcW w:w="764" w:type="dxa"/>
            <w:noWrap/>
            <w:vAlign w:val="center"/>
          </w:tcPr>
          <w:p w14:paraId="4C26093B">
            <w:pPr>
              <w:pageBreakBefore w:val="0"/>
              <w:widowControl/>
              <w:kinsoku/>
              <w:wordWrap/>
              <w:overflowPunct/>
              <w:topLinePunct w:val="0"/>
              <w:bidi w:val="0"/>
              <w:snapToGrid w:val="0"/>
              <w:spacing w:line="560" w:lineRule="exact"/>
              <w:jc w:val="center"/>
              <w:rPr>
                <w:rFonts w:hint="eastAsia" w:ascii="仿宋" w:hAnsi="仿宋" w:eastAsia="仿宋" w:cs="仿宋"/>
                <w:b/>
                <w:bCs/>
                <w:color w:val="auto"/>
                <w:kern w:val="0"/>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投标参数</w:t>
            </w:r>
          </w:p>
        </w:tc>
        <w:tc>
          <w:tcPr>
            <w:tcW w:w="764" w:type="dxa"/>
            <w:noWrap/>
            <w:vAlign w:val="center"/>
          </w:tcPr>
          <w:p w14:paraId="6A02A742">
            <w:pPr>
              <w:pageBreakBefore w:val="0"/>
              <w:widowControl/>
              <w:kinsoku/>
              <w:wordWrap/>
              <w:overflowPunct/>
              <w:topLinePunct w:val="0"/>
              <w:bidi w:val="0"/>
              <w:snapToGrid w:val="0"/>
              <w:spacing w:line="560" w:lineRule="exact"/>
              <w:jc w:val="center"/>
              <w:rPr>
                <w:rFonts w:hint="eastAsia" w:ascii="仿宋" w:hAnsi="仿宋" w:eastAsia="仿宋" w:cs="仿宋"/>
                <w:b/>
                <w:bCs/>
                <w:color w:val="auto"/>
                <w:kern w:val="0"/>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偏离情况</w:t>
            </w:r>
          </w:p>
        </w:tc>
      </w:tr>
      <w:tr w14:paraId="02AE3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6" w:type="dxa"/>
            <w:vAlign w:val="center"/>
          </w:tcPr>
          <w:p w14:paraId="69427A82">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1627" w:type="dxa"/>
            <w:vAlign w:val="center"/>
          </w:tcPr>
          <w:p w14:paraId="18BA9EBC">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环绕气流嵌入式室内机</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SNJ-50</w:t>
            </w:r>
          </w:p>
        </w:tc>
        <w:tc>
          <w:tcPr>
            <w:tcW w:w="4241" w:type="dxa"/>
            <w:vAlign w:val="center"/>
          </w:tcPr>
          <w:p w14:paraId="0B9322D3">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风量≥1000m³/h，制冷量≥5.0kw，制热量≥5.8kw，功率≤33W（直流电机），噪音≤27-36dB（A），机组尺寸≤850*850*210，机组质量≥20kg，自带冷凝水提升泵（1200mm高扬程）</w:t>
            </w:r>
          </w:p>
        </w:tc>
        <w:tc>
          <w:tcPr>
            <w:tcW w:w="846" w:type="dxa"/>
            <w:vAlign w:val="center"/>
          </w:tcPr>
          <w:p w14:paraId="5D6E69B4">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台</w:t>
            </w:r>
          </w:p>
        </w:tc>
        <w:tc>
          <w:tcPr>
            <w:tcW w:w="886" w:type="dxa"/>
            <w:vAlign w:val="center"/>
          </w:tcPr>
          <w:p w14:paraId="00930695">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 xml:space="preserve">28 </w:t>
            </w:r>
          </w:p>
        </w:tc>
        <w:tc>
          <w:tcPr>
            <w:tcW w:w="764" w:type="dxa"/>
            <w:vAlign w:val="center"/>
          </w:tcPr>
          <w:p w14:paraId="18E053CA">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c>
          <w:tcPr>
            <w:tcW w:w="764" w:type="dxa"/>
            <w:vAlign w:val="center"/>
          </w:tcPr>
          <w:p w14:paraId="715994B0">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r>
      <w:tr w14:paraId="6D53D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16" w:type="dxa"/>
            <w:vAlign w:val="center"/>
          </w:tcPr>
          <w:p w14:paraId="592BD74E">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1627" w:type="dxa"/>
            <w:vAlign w:val="center"/>
          </w:tcPr>
          <w:p w14:paraId="1D97BDAF">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环绕气流嵌入式室内机</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SNJ-56</w:t>
            </w:r>
          </w:p>
        </w:tc>
        <w:tc>
          <w:tcPr>
            <w:tcW w:w="4241" w:type="dxa"/>
            <w:vAlign w:val="center"/>
          </w:tcPr>
          <w:p w14:paraId="642946DA">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风量≥1100m³/h，制冷量≥5.6kw，制热量≥6.5kw，功率≤34W（直流电机），噪音≤27-42dB（A），机组尺寸≤850*850*210，机组质量≥25kg，自带冷凝水提升泵（1200mm高扬程）</w:t>
            </w:r>
          </w:p>
        </w:tc>
        <w:tc>
          <w:tcPr>
            <w:tcW w:w="846" w:type="dxa"/>
            <w:vAlign w:val="center"/>
          </w:tcPr>
          <w:p w14:paraId="2D610C8D">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台</w:t>
            </w:r>
          </w:p>
        </w:tc>
        <w:tc>
          <w:tcPr>
            <w:tcW w:w="886" w:type="dxa"/>
            <w:vAlign w:val="center"/>
          </w:tcPr>
          <w:p w14:paraId="4229E5CD">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 xml:space="preserve">9 </w:t>
            </w:r>
          </w:p>
        </w:tc>
        <w:tc>
          <w:tcPr>
            <w:tcW w:w="764" w:type="dxa"/>
            <w:vAlign w:val="center"/>
          </w:tcPr>
          <w:p w14:paraId="35E898A3">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c>
          <w:tcPr>
            <w:tcW w:w="764" w:type="dxa"/>
            <w:vAlign w:val="center"/>
          </w:tcPr>
          <w:p w14:paraId="36EBB11B">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r>
      <w:tr w14:paraId="75C05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16" w:type="dxa"/>
            <w:vAlign w:val="center"/>
          </w:tcPr>
          <w:p w14:paraId="7E9057B2">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1627" w:type="dxa"/>
            <w:vAlign w:val="center"/>
          </w:tcPr>
          <w:p w14:paraId="35A3FF65">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环绕气流嵌入式室内机</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SNJ-63</w:t>
            </w:r>
          </w:p>
        </w:tc>
        <w:tc>
          <w:tcPr>
            <w:tcW w:w="4241" w:type="dxa"/>
            <w:vAlign w:val="center"/>
          </w:tcPr>
          <w:p w14:paraId="0F123D3A">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风量≥1200m³/h，制冷量≥6.3kw，制热量≥7.5kw，功率≤45W（直流电机），噪音≤28-44dB（A），机组尺寸≤850*850*210，机组质量≥25kg，自带冷凝水提升泵（1200mm高扬程）</w:t>
            </w:r>
          </w:p>
        </w:tc>
        <w:tc>
          <w:tcPr>
            <w:tcW w:w="846" w:type="dxa"/>
            <w:vAlign w:val="center"/>
          </w:tcPr>
          <w:p w14:paraId="3D98F744">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台</w:t>
            </w:r>
          </w:p>
        </w:tc>
        <w:tc>
          <w:tcPr>
            <w:tcW w:w="886" w:type="dxa"/>
            <w:vAlign w:val="center"/>
          </w:tcPr>
          <w:p w14:paraId="08EE4763">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 xml:space="preserve">3 </w:t>
            </w:r>
          </w:p>
        </w:tc>
        <w:tc>
          <w:tcPr>
            <w:tcW w:w="764" w:type="dxa"/>
            <w:vAlign w:val="center"/>
          </w:tcPr>
          <w:p w14:paraId="6C164350">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c>
          <w:tcPr>
            <w:tcW w:w="764" w:type="dxa"/>
            <w:vAlign w:val="center"/>
          </w:tcPr>
          <w:p w14:paraId="68A69FAD">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r>
      <w:tr w14:paraId="090C4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16" w:type="dxa"/>
            <w:vAlign w:val="center"/>
          </w:tcPr>
          <w:p w14:paraId="655C342B">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1627" w:type="dxa"/>
            <w:vAlign w:val="center"/>
          </w:tcPr>
          <w:p w14:paraId="25F2C82E">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环绕气流嵌入式室内机</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SNJ-100</w:t>
            </w:r>
          </w:p>
        </w:tc>
        <w:tc>
          <w:tcPr>
            <w:tcW w:w="4241" w:type="dxa"/>
            <w:vAlign w:val="center"/>
          </w:tcPr>
          <w:p w14:paraId="117F55C0">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风量≥1600m³/h，制冷量≥10.0kw，制热量≥11.2kw，功率≤82W（直流电机），噪音≤32-45dB（A），机组尺寸≤850*850*300，机组质量≥30kg，自带冷凝水提升泵（1200mm高扬程）</w:t>
            </w:r>
          </w:p>
        </w:tc>
        <w:tc>
          <w:tcPr>
            <w:tcW w:w="846" w:type="dxa"/>
            <w:vAlign w:val="center"/>
          </w:tcPr>
          <w:p w14:paraId="781A618D">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台</w:t>
            </w:r>
          </w:p>
        </w:tc>
        <w:tc>
          <w:tcPr>
            <w:tcW w:w="886" w:type="dxa"/>
            <w:vAlign w:val="center"/>
          </w:tcPr>
          <w:p w14:paraId="5BDF9AD8">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 xml:space="preserve">1 </w:t>
            </w:r>
          </w:p>
        </w:tc>
        <w:tc>
          <w:tcPr>
            <w:tcW w:w="764" w:type="dxa"/>
            <w:vAlign w:val="center"/>
          </w:tcPr>
          <w:p w14:paraId="380B9854">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c>
          <w:tcPr>
            <w:tcW w:w="764" w:type="dxa"/>
            <w:vAlign w:val="center"/>
          </w:tcPr>
          <w:p w14:paraId="14122A64">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r>
      <w:tr w14:paraId="5D7F4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16" w:type="dxa"/>
            <w:vAlign w:val="center"/>
          </w:tcPr>
          <w:p w14:paraId="4D1FFC29">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1627" w:type="dxa"/>
            <w:vAlign w:val="center"/>
          </w:tcPr>
          <w:p w14:paraId="5A0EFC4B">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环绕气流嵌入式室内机</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SNJ-125</w:t>
            </w:r>
          </w:p>
        </w:tc>
        <w:tc>
          <w:tcPr>
            <w:tcW w:w="4241" w:type="dxa"/>
            <w:vAlign w:val="center"/>
          </w:tcPr>
          <w:p w14:paraId="57D66C74">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风量≥1800m³/h，制冷量≥12.5kw，制热量≥14.0kw，功率≤102W（直流电机），噪音≤34-48dB（A），机组尺寸≤850*850*300，机组质量≥30kg，自带冷凝水提升泵（1200mm高扬程）</w:t>
            </w:r>
          </w:p>
        </w:tc>
        <w:tc>
          <w:tcPr>
            <w:tcW w:w="846" w:type="dxa"/>
            <w:vAlign w:val="center"/>
          </w:tcPr>
          <w:p w14:paraId="7C8A2D38">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台</w:t>
            </w:r>
          </w:p>
        </w:tc>
        <w:tc>
          <w:tcPr>
            <w:tcW w:w="886" w:type="dxa"/>
            <w:vAlign w:val="center"/>
          </w:tcPr>
          <w:p w14:paraId="10438D45">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 xml:space="preserve">36 </w:t>
            </w:r>
          </w:p>
        </w:tc>
        <w:tc>
          <w:tcPr>
            <w:tcW w:w="764" w:type="dxa"/>
            <w:vAlign w:val="center"/>
          </w:tcPr>
          <w:p w14:paraId="1F7FC329">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c>
          <w:tcPr>
            <w:tcW w:w="764" w:type="dxa"/>
            <w:vAlign w:val="center"/>
          </w:tcPr>
          <w:p w14:paraId="5EF23499">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r>
      <w:tr w14:paraId="55F94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16" w:type="dxa"/>
            <w:vAlign w:val="center"/>
          </w:tcPr>
          <w:p w14:paraId="5A88F760">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p>
        </w:tc>
        <w:tc>
          <w:tcPr>
            <w:tcW w:w="1627" w:type="dxa"/>
            <w:vAlign w:val="center"/>
          </w:tcPr>
          <w:p w14:paraId="6D252BBD">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环绕气流嵌入式室内机</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SNJ-140</w:t>
            </w:r>
          </w:p>
        </w:tc>
        <w:tc>
          <w:tcPr>
            <w:tcW w:w="4241" w:type="dxa"/>
            <w:vAlign w:val="center"/>
          </w:tcPr>
          <w:p w14:paraId="57A1185D">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风量≥1800m³/h，制冷量≥14.0kw，制热量≥16.0kw，功率≤115W（直流电机），噪音≤34-49dB（A），机组尺寸≤850*850*300，机组质量≥30kg，自带冷凝水提升泵（1200mm高扬程）</w:t>
            </w:r>
          </w:p>
        </w:tc>
        <w:tc>
          <w:tcPr>
            <w:tcW w:w="846" w:type="dxa"/>
            <w:vAlign w:val="center"/>
          </w:tcPr>
          <w:p w14:paraId="5AEF71EF">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台</w:t>
            </w:r>
          </w:p>
        </w:tc>
        <w:tc>
          <w:tcPr>
            <w:tcW w:w="886" w:type="dxa"/>
            <w:vAlign w:val="center"/>
          </w:tcPr>
          <w:p w14:paraId="6BA7463F">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 xml:space="preserve">1 </w:t>
            </w:r>
          </w:p>
        </w:tc>
        <w:tc>
          <w:tcPr>
            <w:tcW w:w="764" w:type="dxa"/>
            <w:vAlign w:val="center"/>
          </w:tcPr>
          <w:p w14:paraId="4F67A66A">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c>
          <w:tcPr>
            <w:tcW w:w="764" w:type="dxa"/>
            <w:vAlign w:val="center"/>
          </w:tcPr>
          <w:p w14:paraId="4C76C7A2">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r>
      <w:tr w14:paraId="2DB82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16" w:type="dxa"/>
            <w:vAlign w:val="center"/>
          </w:tcPr>
          <w:p w14:paraId="554FC3F0">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p>
        </w:tc>
        <w:tc>
          <w:tcPr>
            <w:tcW w:w="1627" w:type="dxa"/>
            <w:vAlign w:val="center"/>
          </w:tcPr>
          <w:p w14:paraId="088E1A87">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环绕气流嵌入式室内机</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SNJ-160</w:t>
            </w:r>
          </w:p>
        </w:tc>
        <w:tc>
          <w:tcPr>
            <w:tcW w:w="4241" w:type="dxa"/>
            <w:vAlign w:val="center"/>
          </w:tcPr>
          <w:p w14:paraId="4CC476EB">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风量≥2100m³/h，制冷量≥16.0kw，制热量≥18.0kw，功率≤140W（直流电机），噪音≤37-49dB（A），机组尺寸≤850*850*300，机组质量≥30kg，自带冷凝水提升泵（1200mm高扬程）</w:t>
            </w:r>
          </w:p>
        </w:tc>
        <w:tc>
          <w:tcPr>
            <w:tcW w:w="846" w:type="dxa"/>
            <w:vAlign w:val="center"/>
          </w:tcPr>
          <w:p w14:paraId="4E81F0E9">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台</w:t>
            </w:r>
          </w:p>
        </w:tc>
        <w:tc>
          <w:tcPr>
            <w:tcW w:w="886" w:type="dxa"/>
            <w:vAlign w:val="center"/>
          </w:tcPr>
          <w:p w14:paraId="0F477898">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 xml:space="preserve">2 </w:t>
            </w:r>
          </w:p>
        </w:tc>
        <w:tc>
          <w:tcPr>
            <w:tcW w:w="764" w:type="dxa"/>
            <w:vAlign w:val="center"/>
          </w:tcPr>
          <w:p w14:paraId="15764AF4">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c>
          <w:tcPr>
            <w:tcW w:w="764" w:type="dxa"/>
            <w:vAlign w:val="center"/>
          </w:tcPr>
          <w:p w14:paraId="7EF86CC2">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r>
      <w:tr w14:paraId="78A4C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16" w:type="dxa"/>
            <w:vAlign w:val="center"/>
          </w:tcPr>
          <w:p w14:paraId="0BAE04D0">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w:t>
            </w:r>
          </w:p>
        </w:tc>
        <w:tc>
          <w:tcPr>
            <w:tcW w:w="1627" w:type="dxa"/>
            <w:vAlign w:val="center"/>
          </w:tcPr>
          <w:p w14:paraId="2D86C96B">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遥控器</w:t>
            </w:r>
          </w:p>
        </w:tc>
        <w:tc>
          <w:tcPr>
            <w:tcW w:w="4241" w:type="dxa"/>
            <w:vAlign w:val="center"/>
          </w:tcPr>
          <w:p w14:paraId="343D67D1">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进行常规模式设定，可锁定，可设置温度上下限等设置</w:t>
            </w:r>
          </w:p>
        </w:tc>
        <w:tc>
          <w:tcPr>
            <w:tcW w:w="846" w:type="dxa"/>
            <w:vAlign w:val="center"/>
          </w:tcPr>
          <w:p w14:paraId="2A46D193">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个</w:t>
            </w:r>
          </w:p>
        </w:tc>
        <w:tc>
          <w:tcPr>
            <w:tcW w:w="886" w:type="dxa"/>
            <w:vAlign w:val="center"/>
          </w:tcPr>
          <w:p w14:paraId="4330B355">
            <w:pPr>
              <w:keepNext w:val="0"/>
              <w:keepLines w:val="0"/>
              <w:widowControl/>
              <w:suppressLineNumbers w:val="0"/>
              <w:jc w:val="center"/>
              <w:textAlignment w:val="center"/>
              <w:rPr>
                <w:rFonts w:hint="default" w:ascii="仿宋" w:hAnsi="仿宋" w:eastAsia="仿宋" w:cs="仿宋"/>
                <w:color w:val="auto"/>
                <w:sz w:val="24"/>
                <w:szCs w:val="24"/>
                <w:highlight w:val="none"/>
                <w:lang w:val="en-US"/>
              </w:rPr>
            </w:pPr>
            <w:r>
              <w:rPr>
                <w:rFonts w:hint="eastAsia" w:ascii="仿宋" w:hAnsi="仿宋" w:eastAsia="仿宋" w:cs="仿宋"/>
                <w:i w:val="0"/>
                <w:iCs w:val="0"/>
                <w:color w:val="000000"/>
                <w:kern w:val="0"/>
                <w:sz w:val="24"/>
                <w:szCs w:val="24"/>
                <w:u w:val="none"/>
                <w:lang w:val="en-US" w:eastAsia="zh-CN" w:bidi="ar"/>
              </w:rPr>
              <w:t>120</w:t>
            </w:r>
          </w:p>
        </w:tc>
        <w:tc>
          <w:tcPr>
            <w:tcW w:w="764" w:type="dxa"/>
            <w:vAlign w:val="center"/>
          </w:tcPr>
          <w:p w14:paraId="2DEB702D">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c>
          <w:tcPr>
            <w:tcW w:w="764" w:type="dxa"/>
            <w:vAlign w:val="center"/>
          </w:tcPr>
          <w:p w14:paraId="23F32611">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r>
      <w:tr w14:paraId="3A4D8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6" w:type="dxa"/>
            <w:vAlign w:val="center"/>
          </w:tcPr>
          <w:p w14:paraId="0247460C">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w:t>
            </w:r>
          </w:p>
        </w:tc>
        <w:tc>
          <w:tcPr>
            <w:tcW w:w="1627" w:type="dxa"/>
            <w:shd w:val="clear" w:color="auto" w:fill="auto"/>
            <w:vAlign w:val="center"/>
          </w:tcPr>
          <w:p w14:paraId="195043BF">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全直流变频多联机室外机</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KT1</w:t>
            </w:r>
          </w:p>
        </w:tc>
        <w:tc>
          <w:tcPr>
            <w:tcW w:w="4241" w:type="dxa"/>
            <w:shd w:val="clear" w:color="auto" w:fill="auto"/>
            <w:vAlign w:val="center"/>
          </w:tcPr>
          <w:p w14:paraId="6B4CD086">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制冷量≥73.5kw，制热量≥82.0kw，制冷功率≤19.0kw，风量≥24000m³/h，APF≥4.65（一级能效，提供中国能效标识网备案截图），噪音≤62dB（A），机组尺寸≤1600*1000*1700，机组质量≥355kg，单模块，不可组合</w:t>
            </w:r>
          </w:p>
        </w:tc>
        <w:tc>
          <w:tcPr>
            <w:tcW w:w="846" w:type="dxa"/>
            <w:vAlign w:val="center"/>
          </w:tcPr>
          <w:p w14:paraId="29CE743A">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台</w:t>
            </w:r>
          </w:p>
        </w:tc>
        <w:tc>
          <w:tcPr>
            <w:tcW w:w="886" w:type="dxa"/>
            <w:vAlign w:val="center"/>
          </w:tcPr>
          <w:p w14:paraId="4533AAAD">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 xml:space="preserve">1 </w:t>
            </w:r>
          </w:p>
        </w:tc>
        <w:tc>
          <w:tcPr>
            <w:tcW w:w="764" w:type="dxa"/>
            <w:vAlign w:val="center"/>
          </w:tcPr>
          <w:p w14:paraId="212A796F">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c>
          <w:tcPr>
            <w:tcW w:w="764" w:type="dxa"/>
            <w:vAlign w:val="center"/>
          </w:tcPr>
          <w:p w14:paraId="79A7FA0E">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r>
      <w:tr w14:paraId="3484F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16" w:type="dxa"/>
            <w:vAlign w:val="center"/>
          </w:tcPr>
          <w:p w14:paraId="451712EF">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w:t>
            </w:r>
          </w:p>
        </w:tc>
        <w:tc>
          <w:tcPr>
            <w:tcW w:w="1627" w:type="dxa"/>
            <w:vAlign w:val="center"/>
          </w:tcPr>
          <w:p w14:paraId="7F24ADBF">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全直流变频多联机室外机</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KT2</w:t>
            </w:r>
          </w:p>
        </w:tc>
        <w:tc>
          <w:tcPr>
            <w:tcW w:w="4241" w:type="dxa"/>
            <w:vAlign w:val="center"/>
          </w:tcPr>
          <w:p w14:paraId="4E3252EA">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制冷量≥101.0kw，制热量≥112.0kw，制冷功率≤28.0kw，风量≥40000m³/h，APF≥4.45（一级能效，提供中国能效标识网备案截图），噪音≤67dB（A），机组尺寸≤2100*1000*1700，机组质量≥450kg，单模块，不可组合</w:t>
            </w:r>
          </w:p>
        </w:tc>
        <w:tc>
          <w:tcPr>
            <w:tcW w:w="846" w:type="dxa"/>
            <w:vAlign w:val="center"/>
          </w:tcPr>
          <w:p w14:paraId="3238C0CC">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台</w:t>
            </w:r>
          </w:p>
        </w:tc>
        <w:tc>
          <w:tcPr>
            <w:tcW w:w="886" w:type="dxa"/>
            <w:vAlign w:val="center"/>
          </w:tcPr>
          <w:p w14:paraId="4D6FDA07">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 xml:space="preserve">1 </w:t>
            </w:r>
          </w:p>
        </w:tc>
        <w:tc>
          <w:tcPr>
            <w:tcW w:w="764" w:type="dxa"/>
            <w:vAlign w:val="center"/>
          </w:tcPr>
          <w:p w14:paraId="73DFD604">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c>
          <w:tcPr>
            <w:tcW w:w="764" w:type="dxa"/>
            <w:vAlign w:val="center"/>
          </w:tcPr>
          <w:p w14:paraId="75AEFED7">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r>
      <w:tr w14:paraId="0E7B3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16" w:type="dxa"/>
            <w:vAlign w:val="center"/>
          </w:tcPr>
          <w:p w14:paraId="1E771942">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w:t>
            </w:r>
          </w:p>
        </w:tc>
        <w:tc>
          <w:tcPr>
            <w:tcW w:w="1627" w:type="dxa"/>
            <w:vAlign w:val="center"/>
          </w:tcPr>
          <w:p w14:paraId="098B177D">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全直流变频多联机室外机</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KT3</w:t>
            </w:r>
          </w:p>
        </w:tc>
        <w:tc>
          <w:tcPr>
            <w:tcW w:w="4241" w:type="dxa"/>
            <w:vAlign w:val="center"/>
          </w:tcPr>
          <w:p w14:paraId="4B25913F">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制冷量≥117.5kw，制热量≥131.0kw，制冷功率≤33.3kw，风量≥42000m³/h，APF≥4.25（一级能效，提供中国能效标识网备案截图），噪音≤68dB（A），机组尺寸≤2100*1000*1700，机组质量≥480kg，单模块，不可组合</w:t>
            </w:r>
          </w:p>
        </w:tc>
        <w:tc>
          <w:tcPr>
            <w:tcW w:w="846" w:type="dxa"/>
            <w:vAlign w:val="center"/>
          </w:tcPr>
          <w:p w14:paraId="0B39A581">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台</w:t>
            </w:r>
          </w:p>
        </w:tc>
        <w:tc>
          <w:tcPr>
            <w:tcW w:w="886" w:type="dxa"/>
            <w:vAlign w:val="center"/>
          </w:tcPr>
          <w:p w14:paraId="3520C1C4">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 xml:space="preserve">1 </w:t>
            </w:r>
          </w:p>
        </w:tc>
        <w:tc>
          <w:tcPr>
            <w:tcW w:w="764" w:type="dxa"/>
            <w:vAlign w:val="center"/>
          </w:tcPr>
          <w:p w14:paraId="1E9CF158">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c>
          <w:tcPr>
            <w:tcW w:w="764" w:type="dxa"/>
            <w:vAlign w:val="center"/>
          </w:tcPr>
          <w:p w14:paraId="393622E0">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r>
      <w:tr w14:paraId="4C245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16" w:type="dxa"/>
            <w:vAlign w:val="center"/>
          </w:tcPr>
          <w:p w14:paraId="68CE4660">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w:t>
            </w:r>
          </w:p>
        </w:tc>
        <w:tc>
          <w:tcPr>
            <w:tcW w:w="1627" w:type="dxa"/>
            <w:vAlign w:val="center"/>
          </w:tcPr>
          <w:p w14:paraId="1129989C">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全直流变频多联机室外机</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KT4</w:t>
            </w:r>
          </w:p>
        </w:tc>
        <w:tc>
          <w:tcPr>
            <w:tcW w:w="4241" w:type="dxa"/>
            <w:vAlign w:val="center"/>
          </w:tcPr>
          <w:p w14:paraId="7345EFEC">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制冷量≥90.0kw，制热量≥100.0kw，制冷功率≤25.0kw，风量≥32000m³/h，APF≥4.55（一级能效，提供中国能效标识网备案截图），噪音≤64dB（A），机组尺寸≤2100*1000*1700，机组质量≥430kg，单模块，不可组合</w:t>
            </w:r>
          </w:p>
        </w:tc>
        <w:tc>
          <w:tcPr>
            <w:tcW w:w="846" w:type="dxa"/>
            <w:vAlign w:val="center"/>
          </w:tcPr>
          <w:p w14:paraId="7900D091">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台</w:t>
            </w:r>
          </w:p>
        </w:tc>
        <w:tc>
          <w:tcPr>
            <w:tcW w:w="886" w:type="dxa"/>
            <w:vAlign w:val="center"/>
          </w:tcPr>
          <w:p w14:paraId="4423267E">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 xml:space="preserve">1 </w:t>
            </w:r>
          </w:p>
        </w:tc>
        <w:tc>
          <w:tcPr>
            <w:tcW w:w="764" w:type="dxa"/>
            <w:vAlign w:val="center"/>
          </w:tcPr>
          <w:p w14:paraId="14CC0E3F">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c>
          <w:tcPr>
            <w:tcW w:w="764" w:type="dxa"/>
            <w:vAlign w:val="center"/>
          </w:tcPr>
          <w:p w14:paraId="65A9AC1D">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r>
      <w:tr w14:paraId="721B9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16" w:type="dxa"/>
            <w:vAlign w:val="center"/>
          </w:tcPr>
          <w:p w14:paraId="63CED548">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w:t>
            </w:r>
          </w:p>
        </w:tc>
        <w:tc>
          <w:tcPr>
            <w:tcW w:w="1627" w:type="dxa"/>
            <w:vAlign w:val="center"/>
          </w:tcPr>
          <w:p w14:paraId="4EF22FA9">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全直流变频多联机室外机</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KT5</w:t>
            </w:r>
          </w:p>
        </w:tc>
        <w:tc>
          <w:tcPr>
            <w:tcW w:w="4241" w:type="dxa"/>
            <w:vAlign w:val="center"/>
          </w:tcPr>
          <w:p w14:paraId="13CF2A41">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制冷量≥95.0kw，制热量≥106.0kw，制冷功率≤25.8kw，风量≥40000m³/h，APF≥4.5（一级能效，提供中国能效标识网备案截图），噪音≤67dB（A），机组尺寸≤2700*1000*1700，机组质量≥445kg，单模块，不可组合</w:t>
            </w:r>
          </w:p>
        </w:tc>
        <w:tc>
          <w:tcPr>
            <w:tcW w:w="846" w:type="dxa"/>
            <w:vAlign w:val="center"/>
          </w:tcPr>
          <w:p w14:paraId="122F6348">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台</w:t>
            </w:r>
          </w:p>
        </w:tc>
        <w:tc>
          <w:tcPr>
            <w:tcW w:w="886" w:type="dxa"/>
            <w:vAlign w:val="center"/>
          </w:tcPr>
          <w:p w14:paraId="173B6775">
            <w:pPr>
              <w:keepNext w:val="0"/>
              <w:keepLines w:val="0"/>
              <w:widowControl/>
              <w:suppressLineNumbers w:val="0"/>
              <w:jc w:val="center"/>
              <w:textAlignment w:val="center"/>
              <w:rPr>
                <w:rFonts w:hint="eastAsia" w:ascii="仿宋" w:hAnsi="仿宋" w:eastAsia="仿宋" w:cs="仿宋"/>
                <w:color w:val="auto"/>
                <w:sz w:val="24"/>
                <w:szCs w:val="24"/>
                <w:highlight w:val="none"/>
              </w:rPr>
            </w:pPr>
            <w:r>
              <w:rPr>
                <w:rFonts w:hint="eastAsia" w:ascii="仿宋" w:hAnsi="仿宋" w:eastAsia="仿宋" w:cs="仿宋"/>
                <w:i w:val="0"/>
                <w:iCs w:val="0"/>
                <w:color w:val="000000"/>
                <w:kern w:val="0"/>
                <w:sz w:val="24"/>
                <w:szCs w:val="24"/>
                <w:u w:val="none"/>
                <w:lang w:val="en-US" w:eastAsia="zh-CN" w:bidi="ar"/>
              </w:rPr>
              <w:t xml:space="preserve">1 </w:t>
            </w:r>
          </w:p>
        </w:tc>
        <w:tc>
          <w:tcPr>
            <w:tcW w:w="764" w:type="dxa"/>
            <w:vAlign w:val="center"/>
          </w:tcPr>
          <w:p w14:paraId="0BB1C243">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c>
          <w:tcPr>
            <w:tcW w:w="764" w:type="dxa"/>
            <w:vAlign w:val="center"/>
          </w:tcPr>
          <w:p w14:paraId="38C99C83">
            <w:pPr>
              <w:pageBreakBefore w:val="0"/>
              <w:kinsoku/>
              <w:wordWrap/>
              <w:overflowPunct/>
              <w:topLinePunct w:val="0"/>
              <w:bidi w:val="0"/>
              <w:spacing w:line="560" w:lineRule="exact"/>
              <w:jc w:val="center"/>
              <w:rPr>
                <w:rFonts w:hint="eastAsia" w:ascii="仿宋" w:hAnsi="仿宋" w:eastAsia="仿宋" w:cs="仿宋"/>
                <w:color w:val="auto"/>
                <w:sz w:val="24"/>
                <w:szCs w:val="24"/>
                <w:highlight w:val="none"/>
              </w:rPr>
            </w:pPr>
          </w:p>
        </w:tc>
      </w:tr>
      <w:tr w14:paraId="41D01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3" w:hRule="atLeast"/>
          <w:jc w:val="center"/>
        </w:trPr>
        <w:tc>
          <w:tcPr>
            <w:tcW w:w="716" w:type="dxa"/>
            <w:vAlign w:val="center"/>
          </w:tcPr>
          <w:p w14:paraId="7A95D279">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14</w:t>
            </w:r>
          </w:p>
        </w:tc>
        <w:tc>
          <w:tcPr>
            <w:tcW w:w="1627" w:type="dxa"/>
            <w:vAlign w:val="center"/>
          </w:tcPr>
          <w:p w14:paraId="27302AD1">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全直流变频多联机室外机</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KT6</w:t>
            </w:r>
          </w:p>
        </w:tc>
        <w:tc>
          <w:tcPr>
            <w:tcW w:w="4241" w:type="dxa"/>
            <w:vAlign w:val="center"/>
          </w:tcPr>
          <w:p w14:paraId="47D8C624">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制冷量≥33.5kw，制热量≥37.5kw，制冷功率≤9.0kw，风量≥12000m³/h，APF≥4.9（一级能效，提供中国能效标识网备案截图），噪音≤60dB（A），机组尺寸≤1100*1000*1700，机组质量≥220kg，单模块，不可组合</w:t>
            </w:r>
          </w:p>
        </w:tc>
        <w:tc>
          <w:tcPr>
            <w:tcW w:w="846" w:type="dxa"/>
            <w:vAlign w:val="center"/>
          </w:tcPr>
          <w:p w14:paraId="5C117F62">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台</w:t>
            </w:r>
          </w:p>
        </w:tc>
        <w:tc>
          <w:tcPr>
            <w:tcW w:w="886" w:type="dxa"/>
            <w:vAlign w:val="center"/>
          </w:tcPr>
          <w:p w14:paraId="36342338">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 xml:space="preserve">1 </w:t>
            </w:r>
          </w:p>
        </w:tc>
        <w:tc>
          <w:tcPr>
            <w:tcW w:w="764" w:type="dxa"/>
            <w:vAlign w:val="center"/>
          </w:tcPr>
          <w:p w14:paraId="4D2FB4D1">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p>
        </w:tc>
        <w:tc>
          <w:tcPr>
            <w:tcW w:w="764" w:type="dxa"/>
            <w:vAlign w:val="center"/>
          </w:tcPr>
          <w:p w14:paraId="07E6E0D6">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p>
        </w:tc>
      </w:tr>
      <w:tr w14:paraId="6FEF4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16" w:type="dxa"/>
            <w:vAlign w:val="center"/>
          </w:tcPr>
          <w:p w14:paraId="6CA3A988">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15</w:t>
            </w:r>
          </w:p>
        </w:tc>
        <w:tc>
          <w:tcPr>
            <w:tcW w:w="1627" w:type="dxa"/>
            <w:vAlign w:val="center"/>
          </w:tcPr>
          <w:p w14:paraId="3217AA61">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全直流变频多联机室外机</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KT7</w:t>
            </w:r>
          </w:p>
        </w:tc>
        <w:tc>
          <w:tcPr>
            <w:tcW w:w="4241" w:type="dxa"/>
            <w:vAlign w:val="center"/>
          </w:tcPr>
          <w:p w14:paraId="02BD4365">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制冷量≥95.0kw，制热量≥106.0kw，制冷功率≤25.8kw，风量≥40000m³/h，APF≥4.5（一级能效，提供中国能效标识网备案截图），噪音≤67dB（A），机组尺寸≤2700*1000*1700，机组质量≥445kg，单模块，不可组合</w:t>
            </w:r>
          </w:p>
        </w:tc>
        <w:tc>
          <w:tcPr>
            <w:tcW w:w="846" w:type="dxa"/>
            <w:vAlign w:val="center"/>
          </w:tcPr>
          <w:p w14:paraId="60EFA06D">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台</w:t>
            </w:r>
          </w:p>
        </w:tc>
        <w:tc>
          <w:tcPr>
            <w:tcW w:w="886" w:type="dxa"/>
            <w:vAlign w:val="center"/>
          </w:tcPr>
          <w:p w14:paraId="260E4FA6">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 xml:space="preserve">1 </w:t>
            </w:r>
          </w:p>
        </w:tc>
        <w:tc>
          <w:tcPr>
            <w:tcW w:w="764" w:type="dxa"/>
            <w:vAlign w:val="center"/>
          </w:tcPr>
          <w:p w14:paraId="53FB4CDA">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p>
        </w:tc>
        <w:tc>
          <w:tcPr>
            <w:tcW w:w="764" w:type="dxa"/>
            <w:vAlign w:val="center"/>
          </w:tcPr>
          <w:p w14:paraId="1DBF241F">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p>
        </w:tc>
      </w:tr>
      <w:tr w14:paraId="28023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716" w:type="dxa"/>
            <w:vAlign w:val="center"/>
          </w:tcPr>
          <w:p w14:paraId="49F331E2">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16</w:t>
            </w:r>
          </w:p>
        </w:tc>
        <w:tc>
          <w:tcPr>
            <w:tcW w:w="1627" w:type="dxa"/>
            <w:vAlign w:val="center"/>
          </w:tcPr>
          <w:p w14:paraId="6424A007">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全直流变频多联机室外机</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KT8</w:t>
            </w:r>
          </w:p>
        </w:tc>
        <w:tc>
          <w:tcPr>
            <w:tcW w:w="4241" w:type="dxa"/>
            <w:vAlign w:val="center"/>
          </w:tcPr>
          <w:p w14:paraId="062B87AD">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制冷量≥73.5kw，制热量≥82.0kw，制冷功率≤19.0kw，风量≥24000m³/h，APF≥4.65（一级能效，提供中国能效标识网备案截图），噪音≤62dB（A），机组尺寸≤1600*1000*1700，机组质量≥355kg，单模块，不可组合</w:t>
            </w:r>
          </w:p>
        </w:tc>
        <w:tc>
          <w:tcPr>
            <w:tcW w:w="846" w:type="dxa"/>
            <w:vAlign w:val="center"/>
          </w:tcPr>
          <w:p w14:paraId="01C89826">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台</w:t>
            </w:r>
          </w:p>
        </w:tc>
        <w:tc>
          <w:tcPr>
            <w:tcW w:w="886" w:type="dxa"/>
            <w:vAlign w:val="center"/>
          </w:tcPr>
          <w:p w14:paraId="132376CD">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 xml:space="preserve">1 </w:t>
            </w:r>
          </w:p>
        </w:tc>
        <w:tc>
          <w:tcPr>
            <w:tcW w:w="764" w:type="dxa"/>
            <w:vAlign w:val="center"/>
          </w:tcPr>
          <w:p w14:paraId="3EDBE991">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p>
        </w:tc>
        <w:tc>
          <w:tcPr>
            <w:tcW w:w="764" w:type="dxa"/>
            <w:vAlign w:val="center"/>
          </w:tcPr>
          <w:p w14:paraId="3602F74F">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p>
        </w:tc>
      </w:tr>
    </w:tbl>
    <w:p w14:paraId="0702BEEC">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zh-CN" w:eastAsia="zh-CN" w:bidi="ar"/>
        </w:rPr>
      </w:pPr>
    </w:p>
    <w:p w14:paraId="10302AAF">
      <w:pPr>
        <w:pageBreakBefore w:val="0"/>
        <w:kinsoku/>
        <w:wordWrap/>
        <w:overflowPunct/>
        <w:topLinePunct w:val="0"/>
        <w:bidi w:val="0"/>
        <w:spacing w:line="560" w:lineRule="exact"/>
        <w:ind w:firstLine="1072" w:firstLineChars="335"/>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采用R410A环保制冷剂；</w:t>
      </w:r>
    </w:p>
    <w:p w14:paraId="6BF35099">
      <w:pPr>
        <w:pageBreakBefore w:val="0"/>
        <w:kinsoku/>
        <w:wordWrap/>
        <w:overflowPunct/>
        <w:topLinePunct w:val="0"/>
        <w:bidi w:val="0"/>
        <w:spacing w:line="560" w:lineRule="exact"/>
        <w:ind w:firstLine="755" w:firstLineChars="236"/>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zh-CN" w:eastAsia="zh-CN" w:bidi="ar-SA"/>
        </w:rPr>
        <w:t>▲</w:t>
      </w:r>
      <w:r>
        <w:rPr>
          <w:rFonts w:hint="eastAsia" w:ascii="仿宋" w:hAnsi="仿宋" w:eastAsia="仿宋" w:cs="仿宋"/>
          <w:color w:val="auto"/>
          <w:kern w:val="2"/>
          <w:sz w:val="32"/>
          <w:szCs w:val="32"/>
          <w:highlight w:val="none"/>
          <w:lang w:val="en-US" w:eastAsia="zh-CN" w:bidi="ar-SA"/>
        </w:rPr>
        <w:t>室外机风扇电机、室内机风扇电机须采用直流无刷电机；</w:t>
      </w:r>
    </w:p>
    <w:p w14:paraId="36AD9352">
      <w:pPr>
        <w:pageBreakBefore w:val="0"/>
        <w:kinsoku/>
        <w:wordWrap/>
        <w:overflowPunct/>
        <w:topLinePunct w:val="0"/>
        <w:bidi w:val="0"/>
        <w:spacing w:line="560" w:lineRule="exact"/>
        <w:ind w:firstLine="755" w:firstLineChars="236"/>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zh-CN" w:eastAsia="zh-CN" w:bidi="ar-SA"/>
        </w:rPr>
        <w:t>▲</w:t>
      </w:r>
      <w:r>
        <w:rPr>
          <w:rFonts w:hint="eastAsia" w:ascii="仿宋" w:hAnsi="仿宋" w:eastAsia="仿宋" w:cs="仿宋"/>
          <w:color w:val="auto"/>
          <w:kern w:val="2"/>
          <w:sz w:val="32"/>
          <w:szCs w:val="32"/>
          <w:highlight w:val="none"/>
          <w:lang w:val="en-US" w:eastAsia="zh-CN" w:bidi="ar-SA"/>
        </w:rPr>
        <w:t>多联机生产厂家必须具有十年以上变频多联机生产经验，且不接受任何代工产品；</w:t>
      </w:r>
    </w:p>
    <w:p w14:paraId="5645F4B4">
      <w:pPr>
        <w:pageBreakBefore w:val="0"/>
        <w:kinsoku/>
        <w:wordWrap/>
        <w:overflowPunct/>
        <w:topLinePunct w:val="0"/>
        <w:bidi w:val="0"/>
        <w:spacing w:line="560" w:lineRule="exact"/>
        <w:ind w:firstLine="1072" w:firstLineChars="335"/>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所选空调设备应为该品牌最新一代的全新产品，不得采用已换代产品；</w:t>
      </w:r>
    </w:p>
    <w:p w14:paraId="61F8B0A9">
      <w:pPr>
        <w:pageBreakBefore w:val="0"/>
        <w:kinsoku/>
        <w:wordWrap/>
        <w:overflowPunct/>
        <w:topLinePunct w:val="0"/>
        <w:bidi w:val="0"/>
        <w:spacing w:line="560" w:lineRule="exact"/>
        <w:ind w:firstLine="755" w:firstLineChars="236"/>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zh-CN" w:eastAsia="zh-CN" w:bidi="ar-SA"/>
        </w:rPr>
        <w:t>▲</w:t>
      </w:r>
      <w:r>
        <w:rPr>
          <w:rFonts w:hint="eastAsia" w:ascii="仿宋" w:hAnsi="仿宋" w:eastAsia="仿宋" w:cs="仿宋"/>
          <w:color w:val="auto"/>
          <w:kern w:val="2"/>
          <w:sz w:val="32"/>
          <w:szCs w:val="32"/>
          <w:highlight w:val="none"/>
          <w:lang w:val="en-US" w:eastAsia="zh-CN" w:bidi="ar-SA"/>
        </w:rPr>
        <w:t>所投产品室外机需提供中国质量认证中心（CQC）出具的中国节能产品认证实验报告，且提供APF值在中国能效标识网截图证明。</w:t>
      </w:r>
      <w:bookmarkEnd w:id="44"/>
    </w:p>
    <w:p w14:paraId="600C2293">
      <w:pPr>
        <w:pageBreakBefore w:val="0"/>
        <w:kinsoku/>
        <w:wordWrap/>
        <w:overflowPunct/>
        <w:topLinePunct w:val="0"/>
        <w:bidi w:val="0"/>
        <w:spacing w:line="560" w:lineRule="exact"/>
        <w:ind w:firstLine="755" w:firstLineChars="236"/>
        <w:rPr>
          <w:rFonts w:hint="eastAsia" w:ascii="仿宋" w:hAnsi="仿宋" w:eastAsia="仿宋" w:cs="仿宋"/>
          <w:color w:val="auto"/>
          <w:kern w:val="2"/>
          <w:sz w:val="32"/>
          <w:szCs w:val="32"/>
          <w:highlight w:val="none"/>
          <w:lang w:val="en-US" w:eastAsia="zh-CN" w:bidi="ar-SA"/>
        </w:rPr>
      </w:pPr>
      <w:bookmarkStart w:id="45" w:name="_Toc3098"/>
      <w:bookmarkStart w:id="46" w:name="_Toc30877"/>
      <w:bookmarkStart w:id="47" w:name="_Toc7106"/>
      <w:bookmarkStart w:id="48" w:name="_Toc17542"/>
      <w:bookmarkStart w:id="49" w:name="_Toc14522"/>
      <w:r>
        <w:rPr>
          <w:rFonts w:hint="eastAsia" w:ascii="仿宋" w:hAnsi="仿宋" w:eastAsia="仿宋" w:cs="仿宋"/>
          <w:color w:val="auto"/>
          <w:kern w:val="2"/>
          <w:sz w:val="32"/>
          <w:szCs w:val="32"/>
          <w:highlight w:val="none"/>
          <w:lang w:val="en-US" w:eastAsia="zh-CN" w:bidi="ar-SA"/>
        </w:rPr>
        <w:t>a.室外机技术要求：</w:t>
      </w:r>
    </w:p>
    <w:p w14:paraId="20D43549">
      <w:pPr>
        <w:pageBreakBefore w:val="0"/>
        <w:numPr>
          <w:ilvl w:val="255"/>
          <w:numId w:val="0"/>
        </w:numPr>
        <w:kinsoku/>
        <w:wordWrap/>
        <w:overflowPunct/>
        <w:topLinePunct w:val="0"/>
        <w:bidi w:val="0"/>
        <w:spacing w:line="560" w:lineRule="exact"/>
        <w:ind w:firstLine="960" w:firstLineChars="300"/>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1）冷量大于68kw的设备单模块内有至少两台压缩机；具备单模块压缩机间的后备运转功能；</w:t>
      </w:r>
    </w:p>
    <w:p w14:paraId="06A0D1FA">
      <w:pPr>
        <w:pageBreakBefore w:val="0"/>
        <w:kinsoku/>
        <w:wordWrap/>
        <w:overflowPunct/>
        <w:topLinePunct w:val="0"/>
        <w:bidi w:val="0"/>
        <w:spacing w:line="560" w:lineRule="exact"/>
        <w:ind w:firstLine="755" w:firstLineChars="236"/>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zh-CN" w:eastAsia="zh-CN" w:bidi="ar-SA"/>
        </w:rPr>
        <w:t>▲</w:t>
      </w:r>
      <w:r>
        <w:rPr>
          <w:rFonts w:hint="eastAsia" w:ascii="仿宋" w:hAnsi="仿宋" w:eastAsia="仿宋" w:cs="仿宋"/>
          <w:color w:val="auto"/>
          <w:kern w:val="2"/>
          <w:sz w:val="32"/>
          <w:szCs w:val="32"/>
          <w:highlight w:val="none"/>
          <w:lang w:val="en-US" w:eastAsia="zh-CN" w:bidi="ar-SA"/>
        </w:rPr>
        <w:t>2）室外机采用多电子膨胀阀设计，单个电子膨胀阀可实现3000级冷媒流量调节；</w:t>
      </w:r>
    </w:p>
    <w:p w14:paraId="5B752C0F">
      <w:pPr>
        <w:pageBreakBefore w:val="0"/>
        <w:kinsoku/>
        <w:wordWrap/>
        <w:overflowPunct/>
        <w:topLinePunct w:val="0"/>
        <w:bidi w:val="0"/>
        <w:spacing w:line="560" w:lineRule="exact"/>
        <w:ind w:firstLine="755" w:firstLineChars="236"/>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zh-CN" w:eastAsia="zh-CN" w:bidi="ar-SA"/>
        </w:rPr>
        <w:t>▲</w:t>
      </w:r>
      <w:r>
        <w:rPr>
          <w:rFonts w:hint="eastAsia" w:ascii="仿宋" w:hAnsi="仿宋" w:eastAsia="仿宋" w:cs="仿宋"/>
          <w:color w:val="auto"/>
          <w:kern w:val="2"/>
          <w:sz w:val="32"/>
          <w:szCs w:val="32"/>
          <w:highlight w:val="none"/>
          <w:lang w:val="en-US" w:eastAsia="zh-CN" w:bidi="ar-SA"/>
        </w:rPr>
        <w:t>3）该项目所选室外机为热泵式机组，噪音不大于68dB（A）；</w:t>
      </w:r>
    </w:p>
    <w:p w14:paraId="3C9AB1BC">
      <w:pPr>
        <w:pageBreakBefore w:val="0"/>
        <w:kinsoku/>
        <w:wordWrap/>
        <w:overflowPunct/>
        <w:topLinePunct w:val="0"/>
        <w:bidi w:val="0"/>
        <w:spacing w:line="560" w:lineRule="exact"/>
        <w:ind w:firstLine="1072" w:firstLineChars="335"/>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4）室外机具有静音设计、能有效降低噪音；</w:t>
      </w:r>
    </w:p>
    <w:p w14:paraId="45AD2BCB">
      <w:pPr>
        <w:pageBreakBefore w:val="0"/>
        <w:kinsoku/>
        <w:wordWrap/>
        <w:overflowPunct/>
        <w:topLinePunct w:val="0"/>
        <w:bidi w:val="0"/>
        <w:spacing w:line="560" w:lineRule="exact"/>
        <w:ind w:firstLine="1072" w:firstLineChars="335"/>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5）室外机具有抑制高次谐波，抗雷击功能；</w:t>
      </w:r>
    </w:p>
    <w:p w14:paraId="7311770F">
      <w:pPr>
        <w:pageBreakBefore w:val="0"/>
        <w:kinsoku/>
        <w:wordWrap/>
        <w:overflowPunct/>
        <w:topLinePunct w:val="0"/>
        <w:bidi w:val="0"/>
        <w:spacing w:line="560" w:lineRule="exact"/>
        <w:ind w:firstLine="1072" w:firstLineChars="335"/>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6）室外机电器箱体采用旋转、防水、分层设计；</w:t>
      </w:r>
    </w:p>
    <w:p w14:paraId="560A1678">
      <w:pPr>
        <w:pageBreakBefore w:val="0"/>
        <w:kinsoku/>
        <w:wordWrap/>
        <w:overflowPunct/>
        <w:topLinePunct w:val="0"/>
        <w:bidi w:val="0"/>
        <w:spacing w:line="560" w:lineRule="exact"/>
        <w:ind w:firstLine="755" w:firstLineChars="236"/>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zh-CN" w:eastAsia="zh-CN" w:bidi="ar-SA"/>
        </w:rPr>
        <w:t>▲</w:t>
      </w:r>
      <w:r>
        <w:rPr>
          <w:rFonts w:hint="eastAsia" w:ascii="仿宋" w:hAnsi="仿宋" w:eastAsia="仿宋" w:cs="仿宋"/>
          <w:color w:val="auto"/>
          <w:kern w:val="2"/>
          <w:sz w:val="32"/>
          <w:szCs w:val="32"/>
          <w:highlight w:val="none"/>
          <w:lang w:val="en-US" w:eastAsia="zh-CN" w:bidi="ar-SA"/>
        </w:rPr>
        <w:t>7）室外机具有宽广的运转范围，制冷时运行温度范围应制冷-15℃～53℃；制热-30℃～28℃，提供证明文件；</w:t>
      </w:r>
    </w:p>
    <w:p w14:paraId="116C66EC">
      <w:pPr>
        <w:pageBreakBefore w:val="0"/>
        <w:kinsoku/>
        <w:wordWrap/>
        <w:overflowPunct/>
        <w:topLinePunct w:val="0"/>
        <w:bidi w:val="0"/>
        <w:spacing w:line="560" w:lineRule="exact"/>
        <w:ind w:firstLine="755" w:firstLineChars="236"/>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8）模块内各压缩机间采用交叉回油模式；室外机具备先进油平衡控制技术，无需停机即可正常进行回油运转,具有9级回油，提供公开发行产品彩色样册和第三方检测报告；</w:t>
      </w:r>
    </w:p>
    <w:p w14:paraId="52D1B9E1">
      <w:pPr>
        <w:pageBreakBefore w:val="0"/>
        <w:kinsoku/>
        <w:wordWrap/>
        <w:overflowPunct/>
        <w:topLinePunct w:val="0"/>
        <w:bidi w:val="0"/>
        <w:spacing w:line="560" w:lineRule="exact"/>
        <w:ind w:firstLine="755" w:firstLineChars="236"/>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zh-CN" w:eastAsia="zh-CN" w:bidi="ar-SA"/>
        </w:rPr>
        <w:t>*</w:t>
      </w:r>
      <w:r>
        <w:rPr>
          <w:rFonts w:hint="eastAsia" w:ascii="仿宋" w:hAnsi="仿宋" w:eastAsia="仿宋" w:cs="仿宋"/>
          <w:color w:val="auto"/>
          <w:kern w:val="2"/>
          <w:sz w:val="32"/>
          <w:szCs w:val="32"/>
          <w:highlight w:val="none"/>
          <w:lang w:val="en-US" w:eastAsia="zh-CN" w:bidi="ar-SA"/>
        </w:rPr>
        <w:t>9）冷媒配管最大实际单管长≥220米、最大总管长≥1000米、室内外机最大高低差≥110米、室内机高低差≥40米；</w:t>
      </w:r>
    </w:p>
    <w:p w14:paraId="1F7B0E0C">
      <w:pPr>
        <w:pageBreakBefore w:val="0"/>
        <w:kinsoku/>
        <w:wordWrap/>
        <w:overflowPunct/>
        <w:topLinePunct w:val="0"/>
        <w:bidi w:val="0"/>
        <w:spacing w:line="560" w:lineRule="exact"/>
        <w:ind w:firstLine="755" w:firstLineChars="236"/>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zh-CN" w:eastAsia="zh-CN" w:bidi="ar-SA"/>
        </w:rPr>
        <w:t>*</w:t>
      </w:r>
      <w:r>
        <w:rPr>
          <w:rFonts w:hint="eastAsia" w:ascii="仿宋" w:hAnsi="仿宋" w:eastAsia="仿宋" w:cs="仿宋"/>
          <w:color w:val="auto"/>
          <w:kern w:val="2"/>
          <w:sz w:val="32"/>
          <w:szCs w:val="32"/>
          <w:highlight w:val="none"/>
          <w:lang w:val="en-US" w:eastAsia="zh-CN" w:bidi="ar-SA"/>
        </w:rPr>
        <w:t>10）室外机变频器的调节范围在0～480Hz，控制频率精度为0.01Hz,提供证明文件；</w:t>
      </w:r>
    </w:p>
    <w:p w14:paraId="0F67A765">
      <w:pPr>
        <w:pageBreakBefore w:val="0"/>
        <w:kinsoku/>
        <w:wordWrap/>
        <w:overflowPunct/>
        <w:topLinePunct w:val="0"/>
        <w:bidi w:val="0"/>
        <w:spacing w:line="560" w:lineRule="exact"/>
        <w:ind w:firstLine="755" w:firstLineChars="236"/>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zh-CN" w:eastAsia="zh-CN" w:bidi="ar-SA"/>
        </w:rPr>
        <w:t>▲</w:t>
      </w:r>
      <w:r>
        <w:rPr>
          <w:rFonts w:hint="eastAsia" w:ascii="仿宋" w:hAnsi="仿宋" w:eastAsia="仿宋" w:cs="仿宋"/>
          <w:color w:val="auto"/>
          <w:kern w:val="2"/>
          <w:sz w:val="32"/>
          <w:szCs w:val="32"/>
          <w:highlight w:val="none"/>
          <w:lang w:val="en-US" w:eastAsia="zh-CN" w:bidi="ar-SA"/>
        </w:rPr>
        <w:t>11）室外机换热效率：室外机换热器两排相邻翅片的折弯处，在加工时留有足够的通风间距作为通风通道，降低错位翅片的风阻，提高化霜排水能力，提供公开发行产品彩色样册和第三方检测报告；</w:t>
      </w:r>
    </w:p>
    <w:p w14:paraId="3E00B657">
      <w:pPr>
        <w:pageBreakBefore w:val="0"/>
        <w:kinsoku/>
        <w:wordWrap/>
        <w:overflowPunct/>
        <w:topLinePunct w:val="0"/>
        <w:bidi w:val="0"/>
        <w:spacing w:line="560" w:lineRule="exact"/>
        <w:ind w:firstLine="755" w:firstLineChars="236"/>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zh-CN" w:eastAsia="zh-CN" w:bidi="ar-SA"/>
        </w:rPr>
        <w:t>▲</w:t>
      </w:r>
      <w:r>
        <w:rPr>
          <w:rFonts w:hint="eastAsia" w:ascii="仿宋" w:hAnsi="仿宋" w:eastAsia="仿宋" w:cs="仿宋"/>
          <w:color w:val="auto"/>
          <w:kern w:val="2"/>
          <w:sz w:val="32"/>
          <w:szCs w:val="32"/>
          <w:highlight w:val="none"/>
          <w:lang w:val="en-US" w:eastAsia="zh-CN" w:bidi="ar-SA"/>
        </w:rPr>
        <w:t>12）室外机制冷能力：系统需具备冷媒三级过冷控制，独立的板式换热器作为三级过冷器，确保系统冷媒最大过冷度≥35℃。满足板式换热器作为三级过冷器且最大35度过冷度，提供公开发行产品彩色样册和第三方检测报告；</w:t>
      </w:r>
    </w:p>
    <w:p w14:paraId="25910A51">
      <w:pPr>
        <w:pageBreakBefore w:val="0"/>
        <w:kinsoku/>
        <w:wordWrap/>
        <w:overflowPunct/>
        <w:topLinePunct w:val="0"/>
        <w:bidi w:val="0"/>
        <w:spacing w:line="560" w:lineRule="exact"/>
        <w:ind w:firstLine="755" w:firstLineChars="236"/>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zh-CN" w:eastAsia="zh-CN" w:bidi="ar-SA"/>
        </w:rPr>
        <w:t>▲</w:t>
      </w:r>
      <w:r>
        <w:rPr>
          <w:rFonts w:hint="eastAsia" w:ascii="仿宋" w:hAnsi="仿宋" w:eastAsia="仿宋" w:cs="仿宋"/>
          <w:color w:val="auto"/>
          <w:kern w:val="2"/>
          <w:sz w:val="32"/>
          <w:szCs w:val="32"/>
          <w:highlight w:val="none"/>
          <w:lang w:val="en-US" w:eastAsia="zh-CN" w:bidi="ar-SA"/>
        </w:rPr>
        <w:t>13）室外机防结霜技术：室外机换热器采用防结霜管路设计，以保证机组在额定低温制热工况下运行,底部无结霜现象，提供公开发行产品彩色样册和第三方检测报告；</w:t>
      </w:r>
    </w:p>
    <w:p w14:paraId="695B0CB7">
      <w:pPr>
        <w:pStyle w:val="2"/>
        <w:ind w:firstLine="640" w:firstLineChars="200"/>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zh-CN" w:eastAsia="zh-CN" w:bidi="ar-SA"/>
        </w:rPr>
        <w:t>▲</w:t>
      </w:r>
      <w:r>
        <w:rPr>
          <w:rFonts w:hint="eastAsia" w:ascii="仿宋" w:hAnsi="仿宋" w:eastAsia="仿宋" w:cs="仿宋"/>
          <w:color w:val="auto"/>
          <w:kern w:val="2"/>
          <w:sz w:val="32"/>
          <w:szCs w:val="32"/>
          <w:highlight w:val="none"/>
          <w:lang w:val="en-US" w:eastAsia="zh-CN" w:bidi="ar-SA"/>
        </w:rPr>
        <w:t>14）室外机降噪措施：室外机带有独立压缩机隔音箱，钣金隔音箱体高效降噪设计，降低机组运行噪音，提供公开发行产品彩色样册和第三方检测报告；</w:t>
      </w:r>
    </w:p>
    <w:p w14:paraId="42A1F54F">
      <w:pPr>
        <w:pStyle w:val="2"/>
        <w:ind w:firstLine="640" w:firstLineChars="200"/>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zh-CN" w:eastAsia="zh-CN" w:bidi="ar-SA"/>
        </w:rPr>
        <w:t>▲</w:t>
      </w:r>
      <w:r>
        <w:rPr>
          <w:rFonts w:hint="eastAsia" w:ascii="仿宋" w:hAnsi="仿宋" w:eastAsia="仿宋" w:cs="仿宋"/>
          <w:color w:val="auto"/>
          <w:kern w:val="2"/>
          <w:sz w:val="32"/>
          <w:szCs w:val="32"/>
          <w:highlight w:val="none"/>
          <w:lang w:val="en-US" w:eastAsia="zh-CN" w:bidi="ar-SA"/>
        </w:rPr>
        <w:t>15）室外机制冷制热无衰减功能：机组具备高温制冷能力零衰减、低温制热能力低衰减功能，提供认证证书；</w:t>
      </w:r>
    </w:p>
    <w:p w14:paraId="0A93A6C7">
      <w:pPr>
        <w:pStyle w:val="2"/>
        <w:ind w:firstLine="640" w:firstLineChars="200"/>
        <w:rPr>
          <w:rFonts w:hint="default"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zh-CN" w:eastAsia="zh-CN" w:bidi="ar-SA"/>
        </w:rPr>
        <w:t>▲</w:t>
      </w:r>
      <w:r>
        <w:rPr>
          <w:rFonts w:hint="eastAsia" w:ascii="仿宋" w:hAnsi="仿宋" w:eastAsia="仿宋" w:cs="仿宋"/>
          <w:color w:val="auto"/>
          <w:kern w:val="2"/>
          <w:sz w:val="32"/>
          <w:szCs w:val="32"/>
          <w:highlight w:val="none"/>
          <w:lang w:val="en-US" w:eastAsia="zh-CN" w:bidi="ar-SA"/>
        </w:rPr>
        <w:t>16）产品性能要求：投标产品获得《产品耐候性等级认证》、《产品长效节能认证》、《产品长运无故障认证》三项认证，需提供检测报告；</w:t>
      </w:r>
    </w:p>
    <w:p w14:paraId="417A090D">
      <w:pPr>
        <w:pageBreakBefore w:val="0"/>
        <w:kinsoku/>
        <w:wordWrap/>
        <w:overflowPunct/>
        <w:topLinePunct w:val="0"/>
        <w:bidi w:val="0"/>
        <w:spacing w:line="560" w:lineRule="exact"/>
        <w:ind w:firstLine="755" w:firstLineChars="236"/>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b.室内机技术要</w:t>
      </w:r>
      <w:bookmarkStart w:id="63" w:name="_GoBack"/>
      <w:bookmarkEnd w:id="63"/>
      <w:r>
        <w:rPr>
          <w:rFonts w:hint="eastAsia" w:ascii="仿宋" w:hAnsi="仿宋" w:eastAsia="仿宋" w:cs="仿宋"/>
          <w:color w:val="auto"/>
          <w:kern w:val="2"/>
          <w:sz w:val="32"/>
          <w:szCs w:val="32"/>
          <w:highlight w:val="none"/>
          <w:lang w:val="en-US" w:eastAsia="zh-CN" w:bidi="ar-SA"/>
        </w:rPr>
        <w:t>求：</w:t>
      </w:r>
    </w:p>
    <w:p w14:paraId="7D6687E5">
      <w:pPr>
        <w:pageBreakBefore w:val="0"/>
        <w:kinsoku/>
        <w:wordWrap/>
        <w:overflowPunct/>
        <w:topLinePunct w:val="0"/>
        <w:bidi w:val="0"/>
        <w:spacing w:line="560" w:lineRule="exact"/>
        <w:ind w:firstLine="755" w:firstLineChars="236"/>
        <w:rPr>
          <w:rFonts w:hint="default"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1）为保证良好使用效果，嵌入式室内机可实现至少4档风量可调节。</w:t>
      </w:r>
    </w:p>
    <w:p w14:paraId="663350F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zh-CN" w:eastAsia="zh-CN" w:bidi="ar-SA"/>
        </w:rPr>
        <w:t>▲</w:t>
      </w:r>
      <w:r>
        <w:rPr>
          <w:rFonts w:hint="eastAsia" w:ascii="仿宋" w:hAnsi="仿宋" w:eastAsia="仿宋" w:cs="仿宋"/>
          <w:color w:val="auto"/>
          <w:kern w:val="2"/>
          <w:sz w:val="32"/>
          <w:szCs w:val="32"/>
          <w:highlight w:val="none"/>
          <w:lang w:val="en-US" w:eastAsia="zh-CN" w:bidi="ar-SA"/>
        </w:rPr>
        <w:t>2）室内机采用直流无刷电机且须标配冷凝水提升泵。</w:t>
      </w:r>
    </w:p>
    <w:p w14:paraId="3688058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zh-CN" w:eastAsia="zh-CN" w:bidi="ar-SA"/>
        </w:rPr>
        <w:t>▲</w:t>
      </w:r>
      <w:r>
        <w:rPr>
          <w:rFonts w:hint="eastAsia" w:ascii="仿宋" w:hAnsi="仿宋" w:eastAsia="仿宋" w:cs="仿宋"/>
          <w:color w:val="auto"/>
          <w:kern w:val="2"/>
          <w:sz w:val="32"/>
          <w:szCs w:val="32"/>
          <w:highlight w:val="none"/>
          <w:lang w:val="en-US" w:eastAsia="zh-CN" w:bidi="ar-SA"/>
        </w:rPr>
        <w:t>3）当某台室内机发生故障时，不影响其余室内机正常使用。</w:t>
      </w:r>
    </w:p>
    <w:bookmarkEnd w:id="45"/>
    <w:bookmarkEnd w:id="46"/>
    <w:bookmarkEnd w:id="47"/>
    <w:bookmarkEnd w:id="48"/>
    <w:bookmarkEnd w:id="49"/>
    <w:p w14:paraId="3FC3E33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c.控制系统要求</w:t>
      </w:r>
    </w:p>
    <w:p w14:paraId="22C4D79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1）系统布线简捷，具有自动地址设定功能、接线和管道连接错误检测功能。</w:t>
      </w:r>
    </w:p>
    <w:p w14:paraId="3444012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2）每台室内机配置一套标准型有线控制器（控制器固定在墙上）或遥控器,能显示室内机的主要运行状况。</w:t>
      </w:r>
    </w:p>
    <w:p w14:paraId="5C296FE7">
      <w:pPr>
        <w:pageBreakBefore w:val="0"/>
        <w:kinsoku/>
        <w:wordWrap/>
        <w:overflowPunct/>
        <w:topLinePunct w:val="0"/>
        <w:bidi w:val="0"/>
        <w:spacing w:line="560" w:lineRule="exact"/>
        <w:ind w:firstLine="960" w:firstLineChars="300"/>
        <w:rPr>
          <w:rFonts w:hint="default"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3）控制器应具有开、关机时间设定；运行模式切换；温度设定；风速切换；风向设定；故障自我诊断，报警显示等功能。</w:t>
      </w:r>
    </w:p>
    <w:p w14:paraId="24FCE1EB">
      <w:pPr>
        <w:pageBreakBefore w:val="0"/>
        <w:kinsoku/>
        <w:wordWrap/>
        <w:overflowPunct/>
        <w:topLinePunct w:val="0"/>
        <w:bidi w:val="0"/>
        <w:spacing w:line="560" w:lineRule="exact"/>
        <w:ind w:firstLine="960" w:firstLineChars="300"/>
        <w:rPr>
          <w:rFonts w:hint="default"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4）机组须具有方便检修维护的功能。</w:t>
      </w:r>
    </w:p>
    <w:p w14:paraId="52AA8C89">
      <w:pPr>
        <w:pageBreakBefore w:val="0"/>
        <w:kinsoku/>
        <w:wordWrap/>
        <w:overflowPunct/>
        <w:topLinePunct w:val="0"/>
        <w:bidi w:val="0"/>
        <w:spacing w:line="560" w:lineRule="exact"/>
        <w:ind w:firstLine="640" w:firstLineChars="200"/>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zh-CN" w:eastAsia="zh-CN" w:bidi="ar-SA"/>
        </w:rPr>
        <w:t>▲</w:t>
      </w:r>
      <w:r>
        <w:rPr>
          <w:rFonts w:hint="eastAsia" w:ascii="仿宋" w:hAnsi="仿宋" w:eastAsia="仿宋" w:cs="仿宋"/>
          <w:color w:val="auto"/>
          <w:kern w:val="2"/>
          <w:sz w:val="32"/>
          <w:szCs w:val="32"/>
          <w:highlight w:val="none"/>
          <w:lang w:val="en-US" w:eastAsia="zh-CN" w:bidi="ar-SA"/>
        </w:rPr>
        <w:t>5）集中控制系统须同时具有设备厂家封闭控制系统和可开放协议接驳第三方楼宇自控系统的功能，能实现操作、监控、分户计费功能、能源分析、故障代码显示、日程设定等功能。如有第三方楼宇自控，投标人应协同第三方楼宇自控相关单位完成对空调集控部分的开发及调试。</w:t>
      </w:r>
    </w:p>
    <w:p w14:paraId="12645AB3">
      <w:pPr>
        <w:keepNext/>
        <w:keepLines/>
        <w:pageBreakBefore w:val="0"/>
        <w:kinsoku/>
        <w:wordWrap/>
        <w:overflowPunct/>
        <w:topLinePunct w:val="0"/>
        <w:bidi w:val="0"/>
        <w:spacing w:line="560" w:lineRule="exact"/>
        <w:ind w:firstLine="643" w:firstLineChars="200"/>
        <w:jc w:val="left"/>
        <w:outlineLvl w:val="2"/>
        <w:rPr>
          <w:rFonts w:hint="eastAsia" w:ascii="仿宋" w:hAnsi="仿宋" w:eastAsia="仿宋" w:cs="仿宋"/>
          <w:b/>
          <w:bCs/>
          <w:color w:val="auto"/>
          <w:kern w:val="2"/>
          <w:sz w:val="32"/>
          <w:szCs w:val="32"/>
          <w:highlight w:val="none"/>
          <w:lang w:val="en-US" w:eastAsia="zh-CN" w:bidi="ar-SA"/>
        </w:rPr>
      </w:pPr>
      <w:bookmarkStart w:id="50" w:name="_Toc9609"/>
      <w:bookmarkStart w:id="51" w:name="_Toc17854"/>
      <w:bookmarkStart w:id="52" w:name="_Toc15258"/>
      <w:bookmarkStart w:id="53" w:name="_Toc5722"/>
      <w:bookmarkStart w:id="54" w:name="_Toc31559"/>
      <w:r>
        <w:rPr>
          <w:rFonts w:hint="eastAsia" w:ascii="仿宋" w:hAnsi="仿宋" w:eastAsia="仿宋" w:cs="仿宋"/>
          <w:b/>
          <w:bCs/>
          <w:color w:val="auto"/>
          <w:kern w:val="2"/>
          <w:sz w:val="32"/>
          <w:szCs w:val="32"/>
          <w:highlight w:val="none"/>
          <w:lang w:val="en-US" w:eastAsia="zh-CN" w:bidi="ar-SA"/>
        </w:rPr>
        <w:t>（二）其他材料技术要求</w:t>
      </w:r>
      <w:bookmarkEnd w:id="50"/>
      <w:bookmarkEnd w:id="51"/>
      <w:bookmarkEnd w:id="52"/>
      <w:bookmarkEnd w:id="53"/>
      <w:bookmarkEnd w:id="54"/>
    </w:p>
    <w:p w14:paraId="1FBD70ED">
      <w:pPr>
        <w:pageBreakBefore w:val="0"/>
        <w:kinsoku/>
        <w:wordWrap/>
        <w:overflowPunct/>
        <w:topLinePunct w:val="0"/>
        <w:bidi w:val="0"/>
        <w:spacing w:line="560" w:lineRule="exact"/>
        <w:ind w:firstLine="640" w:firstLineChars="200"/>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1、铜管</w:t>
      </w:r>
    </w:p>
    <w:tbl>
      <w:tblPr>
        <w:tblStyle w:val="13"/>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6"/>
        <w:gridCol w:w="1339"/>
        <w:gridCol w:w="2397"/>
        <w:gridCol w:w="2331"/>
        <w:gridCol w:w="922"/>
      </w:tblGrid>
      <w:tr w14:paraId="28779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66" w:type="dxa"/>
            <w:vAlign w:val="center"/>
          </w:tcPr>
          <w:p w14:paraId="2AAA070B">
            <w:pPr>
              <w:pageBreakBefore w:val="0"/>
              <w:kinsoku/>
              <w:wordWrap/>
              <w:overflowPunct/>
              <w:topLinePunct w:val="0"/>
              <w:autoSpaceDE w:val="0"/>
              <w:autoSpaceDN w:val="0"/>
              <w:bidi w:val="0"/>
              <w:adjustRightInd w:val="0"/>
              <w:spacing w:line="560" w:lineRule="exact"/>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铜管外径（mm）</w:t>
            </w:r>
          </w:p>
        </w:tc>
        <w:tc>
          <w:tcPr>
            <w:tcW w:w="1339" w:type="dxa"/>
            <w:vAlign w:val="center"/>
          </w:tcPr>
          <w:p w14:paraId="5C89CDD3">
            <w:pPr>
              <w:pageBreakBefore w:val="0"/>
              <w:kinsoku/>
              <w:wordWrap/>
              <w:overflowPunct/>
              <w:topLinePunct w:val="0"/>
              <w:autoSpaceDE w:val="0"/>
              <w:autoSpaceDN w:val="0"/>
              <w:bidi w:val="0"/>
              <w:adjustRightInd w:val="0"/>
              <w:spacing w:line="560" w:lineRule="exact"/>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壁厚(mm)</w:t>
            </w:r>
          </w:p>
        </w:tc>
        <w:tc>
          <w:tcPr>
            <w:tcW w:w="2397" w:type="dxa"/>
            <w:vAlign w:val="center"/>
          </w:tcPr>
          <w:p w14:paraId="29CB036D">
            <w:pPr>
              <w:pageBreakBefore w:val="0"/>
              <w:kinsoku/>
              <w:wordWrap/>
              <w:overflowPunct/>
              <w:topLinePunct w:val="0"/>
              <w:autoSpaceDE w:val="0"/>
              <w:autoSpaceDN w:val="0"/>
              <w:bidi w:val="0"/>
              <w:adjustRightInd w:val="0"/>
              <w:spacing w:line="560" w:lineRule="exact"/>
              <w:ind w:firstLine="480" w:firstLineChars="200"/>
              <w:jc w:val="center"/>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bCs/>
                <w:color w:val="auto"/>
                <w:sz w:val="24"/>
                <w:szCs w:val="24"/>
                <w:highlight w:val="none"/>
              </w:rPr>
              <w:t>水平管架间距（m）</w:t>
            </w:r>
          </w:p>
        </w:tc>
        <w:tc>
          <w:tcPr>
            <w:tcW w:w="2331" w:type="dxa"/>
            <w:vAlign w:val="center"/>
          </w:tcPr>
          <w:p w14:paraId="61693A31">
            <w:pPr>
              <w:pageBreakBefore w:val="0"/>
              <w:kinsoku/>
              <w:wordWrap/>
              <w:overflowPunct/>
              <w:topLinePunct w:val="0"/>
              <w:autoSpaceDE w:val="0"/>
              <w:autoSpaceDN w:val="0"/>
              <w:bidi w:val="0"/>
              <w:adjustRightInd w:val="0"/>
              <w:spacing w:line="560" w:lineRule="exact"/>
              <w:ind w:firstLine="480" w:firstLineChars="200"/>
              <w:jc w:val="center"/>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bCs/>
                <w:color w:val="auto"/>
                <w:sz w:val="24"/>
                <w:szCs w:val="24"/>
                <w:highlight w:val="none"/>
              </w:rPr>
              <w:t>垂直管架间距（m）</w:t>
            </w:r>
          </w:p>
        </w:tc>
        <w:tc>
          <w:tcPr>
            <w:tcW w:w="922" w:type="dxa"/>
            <w:vAlign w:val="center"/>
          </w:tcPr>
          <w:p w14:paraId="282F5B64">
            <w:pPr>
              <w:pageBreakBefore w:val="0"/>
              <w:kinsoku/>
              <w:wordWrap/>
              <w:overflowPunct/>
              <w:topLinePunct w:val="0"/>
              <w:autoSpaceDE w:val="0"/>
              <w:autoSpaceDN w:val="0"/>
              <w:bidi w:val="0"/>
              <w:adjustRightInd w:val="0"/>
              <w:spacing w:line="560" w:lineRule="exact"/>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rPr>
              <w:t>备注</w:t>
            </w:r>
          </w:p>
        </w:tc>
      </w:tr>
      <w:tr w14:paraId="5E225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66" w:type="dxa"/>
            <w:vAlign w:val="center"/>
          </w:tcPr>
          <w:p w14:paraId="6CA7C867">
            <w:pPr>
              <w:pageBreakBefore w:val="0"/>
              <w:kinsoku/>
              <w:wordWrap/>
              <w:overflowPunct/>
              <w:topLinePunct w:val="0"/>
              <w:autoSpaceDE w:val="0"/>
              <w:autoSpaceDN w:val="0"/>
              <w:bidi w:val="0"/>
              <w:adjustRightInd w:val="0"/>
              <w:spacing w:line="560" w:lineRule="exact"/>
              <w:ind w:firstLine="480" w:firstLineChars="200"/>
              <w:jc w:val="center"/>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6.4</w:t>
            </w:r>
          </w:p>
        </w:tc>
        <w:tc>
          <w:tcPr>
            <w:tcW w:w="1339" w:type="dxa"/>
            <w:vAlign w:val="center"/>
          </w:tcPr>
          <w:p w14:paraId="72EB9BC4">
            <w:pPr>
              <w:pageBreakBefore w:val="0"/>
              <w:kinsoku/>
              <w:wordWrap/>
              <w:overflowPunct/>
              <w:topLinePunct w:val="0"/>
              <w:autoSpaceDE w:val="0"/>
              <w:autoSpaceDN w:val="0"/>
              <w:bidi w:val="0"/>
              <w:adjustRightInd w:val="0"/>
              <w:spacing w:line="560" w:lineRule="exact"/>
              <w:ind w:firstLine="480" w:firstLineChars="200"/>
              <w:jc w:val="center"/>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0.8</w:t>
            </w:r>
          </w:p>
        </w:tc>
        <w:tc>
          <w:tcPr>
            <w:tcW w:w="2397" w:type="dxa"/>
            <w:vAlign w:val="center"/>
          </w:tcPr>
          <w:p w14:paraId="15B92F35">
            <w:pPr>
              <w:pageBreakBefore w:val="0"/>
              <w:kinsoku/>
              <w:wordWrap/>
              <w:overflowPunct/>
              <w:topLinePunct w:val="0"/>
              <w:autoSpaceDE w:val="0"/>
              <w:autoSpaceDN w:val="0"/>
              <w:bidi w:val="0"/>
              <w:adjustRightInd w:val="0"/>
              <w:spacing w:line="560" w:lineRule="exact"/>
              <w:ind w:firstLine="480" w:firstLineChars="200"/>
              <w:jc w:val="center"/>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≤1.4</w:t>
            </w:r>
          </w:p>
        </w:tc>
        <w:tc>
          <w:tcPr>
            <w:tcW w:w="2331" w:type="dxa"/>
            <w:vMerge w:val="restart"/>
            <w:vAlign w:val="center"/>
          </w:tcPr>
          <w:p w14:paraId="68BA4F99">
            <w:pPr>
              <w:pageBreakBefore w:val="0"/>
              <w:kinsoku/>
              <w:wordWrap/>
              <w:overflowPunct/>
              <w:topLinePunct w:val="0"/>
              <w:autoSpaceDE w:val="0"/>
              <w:autoSpaceDN w:val="0"/>
              <w:bidi w:val="0"/>
              <w:adjustRightInd w:val="0"/>
              <w:spacing w:line="560" w:lineRule="exact"/>
              <w:ind w:firstLine="480" w:firstLineChars="200"/>
              <w:jc w:val="center"/>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≤3.0</w:t>
            </w:r>
          </w:p>
        </w:tc>
        <w:tc>
          <w:tcPr>
            <w:tcW w:w="922" w:type="dxa"/>
            <w:vMerge w:val="restart"/>
            <w:vAlign w:val="center"/>
          </w:tcPr>
          <w:p w14:paraId="6EB0EB66">
            <w:pPr>
              <w:pageBreakBefore w:val="0"/>
              <w:kinsoku/>
              <w:wordWrap/>
              <w:overflowPunct/>
              <w:topLinePunct w:val="0"/>
              <w:autoSpaceDE w:val="0"/>
              <w:autoSpaceDN w:val="0"/>
              <w:bidi w:val="0"/>
              <w:adjustRightInd w:val="0"/>
              <w:spacing w:line="560" w:lineRule="exact"/>
              <w:ind w:firstLine="480" w:firstLineChars="200"/>
              <w:rPr>
                <w:rFonts w:hint="eastAsia" w:asciiTheme="minorEastAsia" w:hAnsiTheme="minorEastAsia" w:eastAsiaTheme="minorEastAsia" w:cstheme="minorEastAsia"/>
                <w:color w:val="auto"/>
                <w:sz w:val="24"/>
                <w:szCs w:val="24"/>
                <w:highlight w:val="none"/>
                <w:lang w:val="zh-CN"/>
              </w:rPr>
            </w:pPr>
          </w:p>
        </w:tc>
      </w:tr>
      <w:tr w14:paraId="3AE87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66" w:type="dxa"/>
            <w:vAlign w:val="center"/>
          </w:tcPr>
          <w:p w14:paraId="52EABE19">
            <w:pPr>
              <w:pageBreakBefore w:val="0"/>
              <w:kinsoku/>
              <w:wordWrap/>
              <w:overflowPunct/>
              <w:topLinePunct w:val="0"/>
              <w:autoSpaceDE w:val="0"/>
              <w:autoSpaceDN w:val="0"/>
              <w:bidi w:val="0"/>
              <w:adjustRightInd w:val="0"/>
              <w:spacing w:line="560" w:lineRule="exact"/>
              <w:ind w:firstLine="480" w:firstLineChars="200"/>
              <w:jc w:val="center"/>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9.5</w:t>
            </w:r>
          </w:p>
        </w:tc>
        <w:tc>
          <w:tcPr>
            <w:tcW w:w="1339" w:type="dxa"/>
            <w:vAlign w:val="center"/>
          </w:tcPr>
          <w:p w14:paraId="4BA6B3AE">
            <w:pPr>
              <w:pageBreakBefore w:val="0"/>
              <w:kinsoku/>
              <w:wordWrap/>
              <w:overflowPunct/>
              <w:topLinePunct w:val="0"/>
              <w:autoSpaceDE w:val="0"/>
              <w:autoSpaceDN w:val="0"/>
              <w:bidi w:val="0"/>
              <w:adjustRightInd w:val="0"/>
              <w:spacing w:line="560" w:lineRule="exact"/>
              <w:ind w:firstLine="480" w:firstLineChars="200"/>
              <w:jc w:val="center"/>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0.8</w:t>
            </w:r>
          </w:p>
        </w:tc>
        <w:tc>
          <w:tcPr>
            <w:tcW w:w="2397" w:type="dxa"/>
            <w:vAlign w:val="center"/>
          </w:tcPr>
          <w:p w14:paraId="378722AA">
            <w:pPr>
              <w:pageBreakBefore w:val="0"/>
              <w:kinsoku/>
              <w:wordWrap/>
              <w:overflowPunct/>
              <w:topLinePunct w:val="0"/>
              <w:autoSpaceDE w:val="0"/>
              <w:autoSpaceDN w:val="0"/>
              <w:bidi w:val="0"/>
              <w:adjustRightInd w:val="0"/>
              <w:spacing w:line="560" w:lineRule="exact"/>
              <w:ind w:firstLine="480" w:firstLineChars="200"/>
              <w:jc w:val="center"/>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≤1.4</w:t>
            </w:r>
          </w:p>
        </w:tc>
        <w:tc>
          <w:tcPr>
            <w:tcW w:w="2331" w:type="dxa"/>
            <w:vMerge w:val="continue"/>
            <w:vAlign w:val="center"/>
          </w:tcPr>
          <w:p w14:paraId="59B7F82A">
            <w:pPr>
              <w:pageBreakBefore w:val="0"/>
              <w:kinsoku/>
              <w:wordWrap/>
              <w:overflowPunct/>
              <w:topLinePunct w:val="0"/>
              <w:autoSpaceDE w:val="0"/>
              <w:autoSpaceDN w:val="0"/>
              <w:bidi w:val="0"/>
              <w:adjustRightInd w:val="0"/>
              <w:spacing w:line="560" w:lineRule="exact"/>
              <w:ind w:firstLine="480" w:firstLineChars="200"/>
              <w:rPr>
                <w:rFonts w:hint="eastAsia" w:asciiTheme="minorEastAsia" w:hAnsiTheme="minorEastAsia" w:eastAsiaTheme="minorEastAsia" w:cstheme="minorEastAsia"/>
                <w:color w:val="auto"/>
                <w:sz w:val="24"/>
                <w:szCs w:val="24"/>
                <w:highlight w:val="none"/>
                <w:lang w:val="zh-CN"/>
              </w:rPr>
            </w:pPr>
          </w:p>
        </w:tc>
        <w:tc>
          <w:tcPr>
            <w:tcW w:w="922" w:type="dxa"/>
            <w:vMerge w:val="continue"/>
            <w:vAlign w:val="center"/>
          </w:tcPr>
          <w:p w14:paraId="2C070F53">
            <w:pPr>
              <w:pageBreakBefore w:val="0"/>
              <w:kinsoku/>
              <w:wordWrap/>
              <w:overflowPunct/>
              <w:topLinePunct w:val="0"/>
              <w:autoSpaceDE w:val="0"/>
              <w:autoSpaceDN w:val="0"/>
              <w:bidi w:val="0"/>
              <w:adjustRightInd w:val="0"/>
              <w:spacing w:line="560" w:lineRule="exact"/>
              <w:ind w:firstLine="480" w:firstLineChars="200"/>
              <w:rPr>
                <w:rFonts w:hint="eastAsia" w:asciiTheme="minorEastAsia" w:hAnsiTheme="minorEastAsia" w:eastAsiaTheme="minorEastAsia" w:cstheme="minorEastAsia"/>
                <w:color w:val="auto"/>
                <w:sz w:val="24"/>
                <w:szCs w:val="24"/>
                <w:highlight w:val="none"/>
                <w:lang w:val="zh-CN"/>
              </w:rPr>
            </w:pPr>
          </w:p>
        </w:tc>
      </w:tr>
      <w:tr w14:paraId="7568A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66" w:type="dxa"/>
            <w:vAlign w:val="center"/>
          </w:tcPr>
          <w:p w14:paraId="29260520">
            <w:pPr>
              <w:pageBreakBefore w:val="0"/>
              <w:kinsoku/>
              <w:wordWrap/>
              <w:overflowPunct/>
              <w:topLinePunct w:val="0"/>
              <w:autoSpaceDE w:val="0"/>
              <w:autoSpaceDN w:val="0"/>
              <w:bidi w:val="0"/>
              <w:adjustRightInd w:val="0"/>
              <w:spacing w:line="560" w:lineRule="exact"/>
              <w:ind w:firstLine="480" w:firstLineChars="200"/>
              <w:jc w:val="center"/>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12.7</w:t>
            </w:r>
          </w:p>
        </w:tc>
        <w:tc>
          <w:tcPr>
            <w:tcW w:w="1339" w:type="dxa"/>
            <w:vAlign w:val="center"/>
          </w:tcPr>
          <w:p w14:paraId="25764461">
            <w:pPr>
              <w:pageBreakBefore w:val="0"/>
              <w:kinsoku/>
              <w:wordWrap/>
              <w:overflowPunct/>
              <w:topLinePunct w:val="0"/>
              <w:autoSpaceDE w:val="0"/>
              <w:autoSpaceDN w:val="0"/>
              <w:bidi w:val="0"/>
              <w:adjustRightInd w:val="0"/>
              <w:spacing w:line="560" w:lineRule="exact"/>
              <w:ind w:firstLine="480" w:firstLineChars="200"/>
              <w:jc w:val="center"/>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0.8</w:t>
            </w:r>
          </w:p>
        </w:tc>
        <w:tc>
          <w:tcPr>
            <w:tcW w:w="2397" w:type="dxa"/>
            <w:vAlign w:val="center"/>
          </w:tcPr>
          <w:p w14:paraId="1380C71A">
            <w:pPr>
              <w:pageBreakBefore w:val="0"/>
              <w:kinsoku/>
              <w:wordWrap/>
              <w:overflowPunct/>
              <w:topLinePunct w:val="0"/>
              <w:autoSpaceDE w:val="0"/>
              <w:autoSpaceDN w:val="0"/>
              <w:bidi w:val="0"/>
              <w:adjustRightInd w:val="0"/>
              <w:spacing w:line="560" w:lineRule="exact"/>
              <w:ind w:firstLine="480" w:firstLineChars="200"/>
              <w:jc w:val="center"/>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≤1.6</w:t>
            </w:r>
          </w:p>
        </w:tc>
        <w:tc>
          <w:tcPr>
            <w:tcW w:w="2331" w:type="dxa"/>
            <w:vMerge w:val="continue"/>
            <w:vAlign w:val="center"/>
          </w:tcPr>
          <w:p w14:paraId="48FB7948">
            <w:pPr>
              <w:pageBreakBefore w:val="0"/>
              <w:kinsoku/>
              <w:wordWrap/>
              <w:overflowPunct/>
              <w:topLinePunct w:val="0"/>
              <w:autoSpaceDE w:val="0"/>
              <w:autoSpaceDN w:val="0"/>
              <w:bidi w:val="0"/>
              <w:adjustRightInd w:val="0"/>
              <w:spacing w:line="560" w:lineRule="exact"/>
              <w:ind w:firstLine="480" w:firstLineChars="200"/>
              <w:rPr>
                <w:rFonts w:hint="eastAsia" w:asciiTheme="minorEastAsia" w:hAnsiTheme="minorEastAsia" w:eastAsiaTheme="minorEastAsia" w:cstheme="minorEastAsia"/>
                <w:color w:val="auto"/>
                <w:sz w:val="24"/>
                <w:szCs w:val="24"/>
                <w:highlight w:val="none"/>
                <w:lang w:val="zh-CN"/>
              </w:rPr>
            </w:pPr>
          </w:p>
        </w:tc>
        <w:tc>
          <w:tcPr>
            <w:tcW w:w="922" w:type="dxa"/>
            <w:vMerge w:val="continue"/>
            <w:vAlign w:val="center"/>
          </w:tcPr>
          <w:p w14:paraId="5D354B7E">
            <w:pPr>
              <w:pageBreakBefore w:val="0"/>
              <w:kinsoku/>
              <w:wordWrap/>
              <w:overflowPunct/>
              <w:topLinePunct w:val="0"/>
              <w:autoSpaceDE w:val="0"/>
              <w:autoSpaceDN w:val="0"/>
              <w:bidi w:val="0"/>
              <w:adjustRightInd w:val="0"/>
              <w:spacing w:line="560" w:lineRule="exact"/>
              <w:ind w:firstLine="480" w:firstLineChars="200"/>
              <w:rPr>
                <w:rFonts w:hint="eastAsia" w:asciiTheme="minorEastAsia" w:hAnsiTheme="minorEastAsia" w:eastAsiaTheme="minorEastAsia" w:cstheme="minorEastAsia"/>
                <w:color w:val="auto"/>
                <w:sz w:val="24"/>
                <w:szCs w:val="24"/>
                <w:highlight w:val="none"/>
                <w:lang w:val="zh-CN"/>
              </w:rPr>
            </w:pPr>
          </w:p>
        </w:tc>
      </w:tr>
      <w:tr w14:paraId="6814B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66" w:type="dxa"/>
            <w:vAlign w:val="center"/>
          </w:tcPr>
          <w:p w14:paraId="6029413D">
            <w:pPr>
              <w:pageBreakBefore w:val="0"/>
              <w:kinsoku/>
              <w:wordWrap/>
              <w:overflowPunct/>
              <w:topLinePunct w:val="0"/>
              <w:autoSpaceDE w:val="0"/>
              <w:autoSpaceDN w:val="0"/>
              <w:bidi w:val="0"/>
              <w:adjustRightInd w:val="0"/>
              <w:spacing w:line="560" w:lineRule="exact"/>
              <w:ind w:firstLine="480" w:firstLineChars="200"/>
              <w:jc w:val="center"/>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15.9</w:t>
            </w:r>
          </w:p>
        </w:tc>
        <w:tc>
          <w:tcPr>
            <w:tcW w:w="1339" w:type="dxa"/>
            <w:vAlign w:val="center"/>
          </w:tcPr>
          <w:p w14:paraId="158E8C45">
            <w:pPr>
              <w:pageBreakBefore w:val="0"/>
              <w:kinsoku/>
              <w:wordWrap/>
              <w:overflowPunct/>
              <w:topLinePunct w:val="0"/>
              <w:autoSpaceDE w:val="0"/>
              <w:autoSpaceDN w:val="0"/>
              <w:bidi w:val="0"/>
              <w:adjustRightInd w:val="0"/>
              <w:spacing w:line="560" w:lineRule="exact"/>
              <w:ind w:firstLine="480" w:firstLineChars="200"/>
              <w:jc w:val="center"/>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1.0</w:t>
            </w:r>
          </w:p>
        </w:tc>
        <w:tc>
          <w:tcPr>
            <w:tcW w:w="2397" w:type="dxa"/>
            <w:vAlign w:val="center"/>
          </w:tcPr>
          <w:p w14:paraId="58AB9AB4">
            <w:pPr>
              <w:pageBreakBefore w:val="0"/>
              <w:kinsoku/>
              <w:wordWrap/>
              <w:overflowPunct/>
              <w:topLinePunct w:val="0"/>
              <w:autoSpaceDE w:val="0"/>
              <w:autoSpaceDN w:val="0"/>
              <w:bidi w:val="0"/>
              <w:adjustRightInd w:val="0"/>
              <w:spacing w:line="560" w:lineRule="exact"/>
              <w:ind w:firstLine="480" w:firstLineChars="200"/>
              <w:jc w:val="center"/>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≤1.6</w:t>
            </w:r>
          </w:p>
        </w:tc>
        <w:tc>
          <w:tcPr>
            <w:tcW w:w="2331" w:type="dxa"/>
            <w:vMerge w:val="continue"/>
            <w:vAlign w:val="center"/>
          </w:tcPr>
          <w:p w14:paraId="387777A4">
            <w:pPr>
              <w:pageBreakBefore w:val="0"/>
              <w:kinsoku/>
              <w:wordWrap/>
              <w:overflowPunct/>
              <w:topLinePunct w:val="0"/>
              <w:autoSpaceDE w:val="0"/>
              <w:autoSpaceDN w:val="0"/>
              <w:bidi w:val="0"/>
              <w:adjustRightInd w:val="0"/>
              <w:spacing w:line="560" w:lineRule="exact"/>
              <w:ind w:firstLine="480" w:firstLineChars="200"/>
              <w:rPr>
                <w:rFonts w:hint="eastAsia" w:asciiTheme="minorEastAsia" w:hAnsiTheme="minorEastAsia" w:eastAsiaTheme="minorEastAsia" w:cstheme="minorEastAsia"/>
                <w:color w:val="auto"/>
                <w:sz w:val="24"/>
                <w:szCs w:val="24"/>
                <w:highlight w:val="none"/>
                <w:lang w:val="zh-CN"/>
              </w:rPr>
            </w:pPr>
          </w:p>
        </w:tc>
        <w:tc>
          <w:tcPr>
            <w:tcW w:w="922" w:type="dxa"/>
            <w:vMerge w:val="continue"/>
            <w:vAlign w:val="center"/>
          </w:tcPr>
          <w:p w14:paraId="59561445">
            <w:pPr>
              <w:pageBreakBefore w:val="0"/>
              <w:kinsoku/>
              <w:wordWrap/>
              <w:overflowPunct/>
              <w:topLinePunct w:val="0"/>
              <w:autoSpaceDE w:val="0"/>
              <w:autoSpaceDN w:val="0"/>
              <w:bidi w:val="0"/>
              <w:adjustRightInd w:val="0"/>
              <w:spacing w:line="560" w:lineRule="exact"/>
              <w:ind w:firstLine="480" w:firstLineChars="200"/>
              <w:rPr>
                <w:rFonts w:hint="eastAsia" w:asciiTheme="minorEastAsia" w:hAnsiTheme="minorEastAsia" w:eastAsiaTheme="minorEastAsia" w:cstheme="minorEastAsia"/>
                <w:color w:val="auto"/>
                <w:sz w:val="24"/>
                <w:szCs w:val="24"/>
                <w:highlight w:val="none"/>
                <w:lang w:val="zh-CN"/>
              </w:rPr>
            </w:pPr>
          </w:p>
        </w:tc>
      </w:tr>
      <w:tr w14:paraId="033D6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66" w:type="dxa"/>
            <w:vAlign w:val="center"/>
          </w:tcPr>
          <w:p w14:paraId="53806D64">
            <w:pPr>
              <w:pageBreakBefore w:val="0"/>
              <w:kinsoku/>
              <w:wordWrap/>
              <w:overflowPunct/>
              <w:topLinePunct w:val="0"/>
              <w:autoSpaceDE w:val="0"/>
              <w:autoSpaceDN w:val="0"/>
              <w:bidi w:val="0"/>
              <w:adjustRightInd w:val="0"/>
              <w:spacing w:line="560" w:lineRule="exact"/>
              <w:ind w:firstLine="480" w:firstLineChars="200"/>
              <w:jc w:val="center"/>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19.1</w:t>
            </w:r>
          </w:p>
        </w:tc>
        <w:tc>
          <w:tcPr>
            <w:tcW w:w="1339" w:type="dxa"/>
            <w:vAlign w:val="center"/>
          </w:tcPr>
          <w:p w14:paraId="37765BD9">
            <w:pPr>
              <w:pageBreakBefore w:val="0"/>
              <w:kinsoku/>
              <w:wordWrap/>
              <w:overflowPunct/>
              <w:topLinePunct w:val="0"/>
              <w:autoSpaceDE w:val="0"/>
              <w:autoSpaceDN w:val="0"/>
              <w:bidi w:val="0"/>
              <w:adjustRightInd w:val="0"/>
              <w:spacing w:line="560" w:lineRule="exact"/>
              <w:ind w:firstLine="480" w:firstLineChars="200"/>
              <w:jc w:val="center"/>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1.0</w:t>
            </w:r>
          </w:p>
        </w:tc>
        <w:tc>
          <w:tcPr>
            <w:tcW w:w="2397" w:type="dxa"/>
            <w:vAlign w:val="center"/>
          </w:tcPr>
          <w:p w14:paraId="53D9AF18">
            <w:pPr>
              <w:pageBreakBefore w:val="0"/>
              <w:kinsoku/>
              <w:wordWrap/>
              <w:overflowPunct/>
              <w:topLinePunct w:val="0"/>
              <w:autoSpaceDE w:val="0"/>
              <w:autoSpaceDN w:val="0"/>
              <w:bidi w:val="0"/>
              <w:adjustRightInd w:val="0"/>
              <w:spacing w:line="560" w:lineRule="exact"/>
              <w:ind w:firstLine="480" w:firstLineChars="200"/>
              <w:jc w:val="center"/>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≤1.6</w:t>
            </w:r>
          </w:p>
        </w:tc>
        <w:tc>
          <w:tcPr>
            <w:tcW w:w="2331" w:type="dxa"/>
            <w:vMerge w:val="continue"/>
            <w:vAlign w:val="center"/>
          </w:tcPr>
          <w:p w14:paraId="488DB40B">
            <w:pPr>
              <w:pageBreakBefore w:val="0"/>
              <w:kinsoku/>
              <w:wordWrap/>
              <w:overflowPunct/>
              <w:topLinePunct w:val="0"/>
              <w:autoSpaceDE w:val="0"/>
              <w:autoSpaceDN w:val="0"/>
              <w:bidi w:val="0"/>
              <w:adjustRightInd w:val="0"/>
              <w:spacing w:line="560" w:lineRule="exact"/>
              <w:ind w:firstLine="480" w:firstLineChars="200"/>
              <w:rPr>
                <w:rFonts w:hint="eastAsia" w:asciiTheme="minorEastAsia" w:hAnsiTheme="minorEastAsia" w:eastAsiaTheme="minorEastAsia" w:cstheme="minorEastAsia"/>
                <w:color w:val="auto"/>
                <w:sz w:val="24"/>
                <w:szCs w:val="24"/>
                <w:highlight w:val="none"/>
                <w:lang w:val="zh-CN"/>
              </w:rPr>
            </w:pPr>
          </w:p>
        </w:tc>
        <w:tc>
          <w:tcPr>
            <w:tcW w:w="922" w:type="dxa"/>
            <w:vMerge w:val="continue"/>
            <w:vAlign w:val="center"/>
          </w:tcPr>
          <w:p w14:paraId="7709B692">
            <w:pPr>
              <w:pageBreakBefore w:val="0"/>
              <w:kinsoku/>
              <w:wordWrap/>
              <w:overflowPunct/>
              <w:topLinePunct w:val="0"/>
              <w:autoSpaceDE w:val="0"/>
              <w:autoSpaceDN w:val="0"/>
              <w:bidi w:val="0"/>
              <w:adjustRightInd w:val="0"/>
              <w:spacing w:line="560" w:lineRule="exact"/>
              <w:ind w:firstLine="480" w:firstLineChars="200"/>
              <w:rPr>
                <w:rFonts w:hint="eastAsia" w:asciiTheme="minorEastAsia" w:hAnsiTheme="minorEastAsia" w:eastAsiaTheme="minorEastAsia" w:cstheme="minorEastAsia"/>
                <w:color w:val="auto"/>
                <w:sz w:val="24"/>
                <w:szCs w:val="24"/>
                <w:highlight w:val="none"/>
                <w:lang w:val="zh-CN"/>
              </w:rPr>
            </w:pPr>
          </w:p>
        </w:tc>
      </w:tr>
      <w:tr w14:paraId="2513A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66" w:type="dxa"/>
            <w:vAlign w:val="center"/>
          </w:tcPr>
          <w:p w14:paraId="53B19761">
            <w:pPr>
              <w:pageBreakBefore w:val="0"/>
              <w:kinsoku/>
              <w:wordWrap/>
              <w:overflowPunct/>
              <w:topLinePunct w:val="0"/>
              <w:autoSpaceDE w:val="0"/>
              <w:autoSpaceDN w:val="0"/>
              <w:bidi w:val="0"/>
              <w:adjustRightInd w:val="0"/>
              <w:spacing w:line="560" w:lineRule="exact"/>
              <w:ind w:firstLine="480" w:firstLineChars="200"/>
              <w:jc w:val="center"/>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22.2</w:t>
            </w:r>
          </w:p>
        </w:tc>
        <w:tc>
          <w:tcPr>
            <w:tcW w:w="1339" w:type="dxa"/>
            <w:vAlign w:val="center"/>
          </w:tcPr>
          <w:p w14:paraId="6089AE0A">
            <w:pPr>
              <w:pageBreakBefore w:val="0"/>
              <w:kinsoku/>
              <w:wordWrap/>
              <w:overflowPunct/>
              <w:topLinePunct w:val="0"/>
              <w:autoSpaceDE w:val="0"/>
              <w:autoSpaceDN w:val="0"/>
              <w:bidi w:val="0"/>
              <w:adjustRightInd w:val="0"/>
              <w:spacing w:line="560" w:lineRule="exact"/>
              <w:ind w:firstLine="480" w:firstLineChars="200"/>
              <w:jc w:val="center"/>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1.0</w:t>
            </w:r>
          </w:p>
        </w:tc>
        <w:tc>
          <w:tcPr>
            <w:tcW w:w="2397" w:type="dxa"/>
            <w:vAlign w:val="center"/>
          </w:tcPr>
          <w:p w14:paraId="7B6429C8">
            <w:pPr>
              <w:pageBreakBefore w:val="0"/>
              <w:kinsoku/>
              <w:wordWrap/>
              <w:overflowPunct/>
              <w:topLinePunct w:val="0"/>
              <w:autoSpaceDE w:val="0"/>
              <w:autoSpaceDN w:val="0"/>
              <w:bidi w:val="0"/>
              <w:adjustRightInd w:val="0"/>
              <w:spacing w:line="560" w:lineRule="exact"/>
              <w:ind w:firstLine="480" w:firstLineChars="200"/>
              <w:jc w:val="center"/>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≤1.6</w:t>
            </w:r>
          </w:p>
        </w:tc>
        <w:tc>
          <w:tcPr>
            <w:tcW w:w="2331" w:type="dxa"/>
            <w:vMerge w:val="continue"/>
            <w:vAlign w:val="center"/>
          </w:tcPr>
          <w:p w14:paraId="2F14E2B9">
            <w:pPr>
              <w:pageBreakBefore w:val="0"/>
              <w:kinsoku/>
              <w:wordWrap/>
              <w:overflowPunct/>
              <w:topLinePunct w:val="0"/>
              <w:autoSpaceDE w:val="0"/>
              <w:autoSpaceDN w:val="0"/>
              <w:bidi w:val="0"/>
              <w:adjustRightInd w:val="0"/>
              <w:spacing w:line="560" w:lineRule="exact"/>
              <w:ind w:firstLine="480" w:firstLineChars="200"/>
              <w:rPr>
                <w:rFonts w:hint="eastAsia" w:asciiTheme="minorEastAsia" w:hAnsiTheme="minorEastAsia" w:eastAsiaTheme="minorEastAsia" w:cstheme="minorEastAsia"/>
                <w:color w:val="auto"/>
                <w:sz w:val="24"/>
                <w:szCs w:val="24"/>
                <w:highlight w:val="none"/>
                <w:lang w:val="zh-CN"/>
              </w:rPr>
            </w:pPr>
          </w:p>
        </w:tc>
        <w:tc>
          <w:tcPr>
            <w:tcW w:w="922" w:type="dxa"/>
            <w:vMerge w:val="continue"/>
            <w:vAlign w:val="center"/>
          </w:tcPr>
          <w:p w14:paraId="09E968F7">
            <w:pPr>
              <w:pageBreakBefore w:val="0"/>
              <w:kinsoku/>
              <w:wordWrap/>
              <w:overflowPunct/>
              <w:topLinePunct w:val="0"/>
              <w:autoSpaceDE w:val="0"/>
              <w:autoSpaceDN w:val="0"/>
              <w:bidi w:val="0"/>
              <w:adjustRightInd w:val="0"/>
              <w:spacing w:line="560" w:lineRule="exact"/>
              <w:ind w:firstLine="480" w:firstLineChars="200"/>
              <w:rPr>
                <w:rFonts w:hint="eastAsia" w:asciiTheme="minorEastAsia" w:hAnsiTheme="minorEastAsia" w:eastAsiaTheme="minorEastAsia" w:cstheme="minorEastAsia"/>
                <w:color w:val="auto"/>
                <w:sz w:val="24"/>
                <w:szCs w:val="24"/>
                <w:highlight w:val="none"/>
                <w:lang w:val="zh-CN"/>
              </w:rPr>
            </w:pPr>
          </w:p>
        </w:tc>
      </w:tr>
      <w:tr w14:paraId="4431C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66" w:type="dxa"/>
            <w:vAlign w:val="center"/>
          </w:tcPr>
          <w:p w14:paraId="2C7A4F34">
            <w:pPr>
              <w:pageBreakBefore w:val="0"/>
              <w:kinsoku/>
              <w:wordWrap/>
              <w:overflowPunct/>
              <w:topLinePunct w:val="0"/>
              <w:autoSpaceDE w:val="0"/>
              <w:autoSpaceDN w:val="0"/>
              <w:bidi w:val="0"/>
              <w:adjustRightInd w:val="0"/>
              <w:spacing w:line="560" w:lineRule="exact"/>
              <w:ind w:firstLine="480" w:firstLineChars="200"/>
              <w:jc w:val="center"/>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25.4</w:t>
            </w:r>
          </w:p>
        </w:tc>
        <w:tc>
          <w:tcPr>
            <w:tcW w:w="1339" w:type="dxa"/>
            <w:vAlign w:val="center"/>
          </w:tcPr>
          <w:p w14:paraId="2A4AE5EB">
            <w:pPr>
              <w:pageBreakBefore w:val="0"/>
              <w:kinsoku/>
              <w:wordWrap/>
              <w:overflowPunct/>
              <w:topLinePunct w:val="0"/>
              <w:autoSpaceDE w:val="0"/>
              <w:autoSpaceDN w:val="0"/>
              <w:bidi w:val="0"/>
              <w:adjustRightInd w:val="0"/>
              <w:spacing w:line="560" w:lineRule="exact"/>
              <w:ind w:firstLine="480" w:firstLineChars="200"/>
              <w:jc w:val="center"/>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1.</w:t>
            </w:r>
            <w:r>
              <w:rPr>
                <w:rFonts w:hint="eastAsia" w:asciiTheme="minorEastAsia" w:hAnsiTheme="minorEastAsia" w:eastAsiaTheme="minorEastAsia" w:cstheme="minorEastAsia"/>
                <w:color w:val="auto"/>
                <w:sz w:val="24"/>
                <w:szCs w:val="24"/>
                <w:highlight w:val="none"/>
              </w:rPr>
              <w:t>0</w:t>
            </w:r>
          </w:p>
        </w:tc>
        <w:tc>
          <w:tcPr>
            <w:tcW w:w="2397" w:type="dxa"/>
            <w:vAlign w:val="center"/>
          </w:tcPr>
          <w:p w14:paraId="521AE214">
            <w:pPr>
              <w:pageBreakBefore w:val="0"/>
              <w:kinsoku/>
              <w:wordWrap/>
              <w:overflowPunct/>
              <w:topLinePunct w:val="0"/>
              <w:autoSpaceDE w:val="0"/>
              <w:autoSpaceDN w:val="0"/>
              <w:bidi w:val="0"/>
              <w:adjustRightInd w:val="0"/>
              <w:spacing w:line="560" w:lineRule="exact"/>
              <w:ind w:firstLine="480" w:firstLineChars="200"/>
              <w:jc w:val="center"/>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≤1.6</w:t>
            </w:r>
          </w:p>
        </w:tc>
        <w:tc>
          <w:tcPr>
            <w:tcW w:w="2331" w:type="dxa"/>
            <w:vMerge w:val="continue"/>
            <w:vAlign w:val="center"/>
          </w:tcPr>
          <w:p w14:paraId="10622188">
            <w:pPr>
              <w:pageBreakBefore w:val="0"/>
              <w:kinsoku/>
              <w:wordWrap/>
              <w:overflowPunct/>
              <w:topLinePunct w:val="0"/>
              <w:autoSpaceDE w:val="0"/>
              <w:autoSpaceDN w:val="0"/>
              <w:bidi w:val="0"/>
              <w:adjustRightInd w:val="0"/>
              <w:spacing w:line="560" w:lineRule="exact"/>
              <w:ind w:firstLine="480" w:firstLineChars="200"/>
              <w:rPr>
                <w:rFonts w:hint="eastAsia" w:asciiTheme="minorEastAsia" w:hAnsiTheme="minorEastAsia" w:eastAsiaTheme="minorEastAsia" w:cstheme="minorEastAsia"/>
                <w:color w:val="auto"/>
                <w:sz w:val="24"/>
                <w:szCs w:val="24"/>
                <w:highlight w:val="none"/>
                <w:lang w:val="zh-CN"/>
              </w:rPr>
            </w:pPr>
          </w:p>
        </w:tc>
        <w:tc>
          <w:tcPr>
            <w:tcW w:w="922" w:type="dxa"/>
            <w:vMerge w:val="continue"/>
            <w:vAlign w:val="center"/>
          </w:tcPr>
          <w:p w14:paraId="703DF1E6">
            <w:pPr>
              <w:pageBreakBefore w:val="0"/>
              <w:kinsoku/>
              <w:wordWrap/>
              <w:overflowPunct/>
              <w:topLinePunct w:val="0"/>
              <w:autoSpaceDE w:val="0"/>
              <w:autoSpaceDN w:val="0"/>
              <w:bidi w:val="0"/>
              <w:adjustRightInd w:val="0"/>
              <w:spacing w:line="560" w:lineRule="exact"/>
              <w:ind w:firstLine="480" w:firstLineChars="200"/>
              <w:rPr>
                <w:rFonts w:hint="eastAsia" w:asciiTheme="minorEastAsia" w:hAnsiTheme="minorEastAsia" w:eastAsiaTheme="minorEastAsia" w:cstheme="minorEastAsia"/>
                <w:color w:val="auto"/>
                <w:sz w:val="24"/>
                <w:szCs w:val="24"/>
                <w:highlight w:val="none"/>
                <w:lang w:val="zh-CN"/>
              </w:rPr>
            </w:pPr>
          </w:p>
        </w:tc>
      </w:tr>
      <w:tr w14:paraId="7BE9A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766" w:type="dxa"/>
            <w:vAlign w:val="center"/>
          </w:tcPr>
          <w:p w14:paraId="2BC6F0E0">
            <w:pPr>
              <w:pageBreakBefore w:val="0"/>
              <w:kinsoku/>
              <w:wordWrap/>
              <w:overflowPunct/>
              <w:topLinePunct w:val="0"/>
              <w:autoSpaceDE w:val="0"/>
              <w:autoSpaceDN w:val="0"/>
              <w:bidi w:val="0"/>
              <w:adjustRightInd w:val="0"/>
              <w:spacing w:line="560" w:lineRule="exact"/>
              <w:ind w:firstLine="480" w:firstLineChars="200"/>
              <w:jc w:val="center"/>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28.6</w:t>
            </w:r>
          </w:p>
        </w:tc>
        <w:tc>
          <w:tcPr>
            <w:tcW w:w="1339" w:type="dxa"/>
            <w:vAlign w:val="center"/>
          </w:tcPr>
          <w:p w14:paraId="367B9C74">
            <w:pPr>
              <w:pageBreakBefore w:val="0"/>
              <w:kinsoku/>
              <w:wordWrap/>
              <w:overflowPunct/>
              <w:topLinePunct w:val="0"/>
              <w:autoSpaceDE w:val="0"/>
              <w:autoSpaceDN w:val="0"/>
              <w:bidi w:val="0"/>
              <w:adjustRightInd w:val="0"/>
              <w:spacing w:line="560" w:lineRule="exact"/>
              <w:ind w:firstLine="480" w:firstLineChars="200"/>
              <w:jc w:val="center"/>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1.</w:t>
            </w:r>
            <w:r>
              <w:rPr>
                <w:rFonts w:hint="eastAsia" w:asciiTheme="minorEastAsia" w:hAnsiTheme="minorEastAsia" w:eastAsiaTheme="minorEastAsia" w:cstheme="minorEastAsia"/>
                <w:color w:val="auto"/>
                <w:sz w:val="24"/>
                <w:szCs w:val="24"/>
                <w:highlight w:val="none"/>
              </w:rPr>
              <w:t>0</w:t>
            </w:r>
          </w:p>
        </w:tc>
        <w:tc>
          <w:tcPr>
            <w:tcW w:w="2397" w:type="dxa"/>
            <w:vAlign w:val="center"/>
          </w:tcPr>
          <w:p w14:paraId="5EDF776F">
            <w:pPr>
              <w:pageBreakBefore w:val="0"/>
              <w:kinsoku/>
              <w:wordWrap/>
              <w:overflowPunct/>
              <w:topLinePunct w:val="0"/>
              <w:autoSpaceDE w:val="0"/>
              <w:autoSpaceDN w:val="0"/>
              <w:bidi w:val="0"/>
              <w:adjustRightInd w:val="0"/>
              <w:spacing w:line="560" w:lineRule="exact"/>
              <w:ind w:firstLine="480" w:firstLineChars="200"/>
              <w:jc w:val="center"/>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≤1.6</w:t>
            </w:r>
          </w:p>
        </w:tc>
        <w:tc>
          <w:tcPr>
            <w:tcW w:w="2331" w:type="dxa"/>
            <w:vMerge w:val="continue"/>
            <w:vAlign w:val="center"/>
          </w:tcPr>
          <w:p w14:paraId="0BD7883D">
            <w:pPr>
              <w:pageBreakBefore w:val="0"/>
              <w:kinsoku/>
              <w:wordWrap/>
              <w:overflowPunct/>
              <w:topLinePunct w:val="0"/>
              <w:autoSpaceDE w:val="0"/>
              <w:autoSpaceDN w:val="0"/>
              <w:bidi w:val="0"/>
              <w:adjustRightInd w:val="0"/>
              <w:spacing w:line="560" w:lineRule="exact"/>
              <w:ind w:firstLine="480" w:firstLineChars="200"/>
              <w:rPr>
                <w:rFonts w:hint="eastAsia" w:asciiTheme="minorEastAsia" w:hAnsiTheme="minorEastAsia" w:eastAsiaTheme="minorEastAsia" w:cstheme="minorEastAsia"/>
                <w:color w:val="auto"/>
                <w:sz w:val="24"/>
                <w:szCs w:val="24"/>
                <w:highlight w:val="none"/>
                <w:lang w:val="zh-CN"/>
              </w:rPr>
            </w:pPr>
          </w:p>
        </w:tc>
        <w:tc>
          <w:tcPr>
            <w:tcW w:w="922" w:type="dxa"/>
            <w:vMerge w:val="continue"/>
            <w:vAlign w:val="center"/>
          </w:tcPr>
          <w:p w14:paraId="211EDD6D">
            <w:pPr>
              <w:pageBreakBefore w:val="0"/>
              <w:kinsoku/>
              <w:wordWrap/>
              <w:overflowPunct/>
              <w:topLinePunct w:val="0"/>
              <w:autoSpaceDE w:val="0"/>
              <w:autoSpaceDN w:val="0"/>
              <w:bidi w:val="0"/>
              <w:adjustRightInd w:val="0"/>
              <w:spacing w:line="560" w:lineRule="exact"/>
              <w:ind w:firstLine="480" w:firstLineChars="200"/>
              <w:rPr>
                <w:rFonts w:hint="eastAsia" w:asciiTheme="minorEastAsia" w:hAnsiTheme="minorEastAsia" w:eastAsiaTheme="minorEastAsia" w:cstheme="minorEastAsia"/>
                <w:color w:val="auto"/>
                <w:sz w:val="24"/>
                <w:szCs w:val="24"/>
                <w:highlight w:val="none"/>
                <w:lang w:val="zh-CN"/>
              </w:rPr>
            </w:pPr>
          </w:p>
        </w:tc>
      </w:tr>
      <w:tr w14:paraId="5528C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66" w:type="dxa"/>
            <w:vAlign w:val="center"/>
          </w:tcPr>
          <w:p w14:paraId="2BC8BA4D">
            <w:pPr>
              <w:pageBreakBefore w:val="0"/>
              <w:kinsoku/>
              <w:wordWrap/>
              <w:overflowPunct/>
              <w:topLinePunct w:val="0"/>
              <w:autoSpaceDE w:val="0"/>
              <w:autoSpaceDN w:val="0"/>
              <w:bidi w:val="0"/>
              <w:adjustRightInd w:val="0"/>
              <w:spacing w:line="560" w:lineRule="exact"/>
              <w:ind w:firstLine="480" w:firstLineChars="200"/>
              <w:jc w:val="center"/>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34.9</w:t>
            </w:r>
          </w:p>
        </w:tc>
        <w:tc>
          <w:tcPr>
            <w:tcW w:w="1339" w:type="dxa"/>
            <w:vAlign w:val="center"/>
          </w:tcPr>
          <w:p w14:paraId="6446F2BA">
            <w:pPr>
              <w:pageBreakBefore w:val="0"/>
              <w:kinsoku/>
              <w:wordWrap/>
              <w:overflowPunct/>
              <w:topLinePunct w:val="0"/>
              <w:autoSpaceDE w:val="0"/>
              <w:autoSpaceDN w:val="0"/>
              <w:bidi w:val="0"/>
              <w:adjustRightInd w:val="0"/>
              <w:spacing w:line="560" w:lineRule="exact"/>
              <w:ind w:firstLine="480" w:firstLineChars="200"/>
              <w:jc w:val="center"/>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1.3</w:t>
            </w:r>
          </w:p>
        </w:tc>
        <w:tc>
          <w:tcPr>
            <w:tcW w:w="2397" w:type="dxa"/>
            <w:vAlign w:val="center"/>
          </w:tcPr>
          <w:p w14:paraId="71807E9F">
            <w:pPr>
              <w:pageBreakBefore w:val="0"/>
              <w:kinsoku/>
              <w:wordWrap/>
              <w:overflowPunct/>
              <w:topLinePunct w:val="0"/>
              <w:autoSpaceDE w:val="0"/>
              <w:autoSpaceDN w:val="0"/>
              <w:bidi w:val="0"/>
              <w:adjustRightInd w:val="0"/>
              <w:spacing w:line="560" w:lineRule="exact"/>
              <w:ind w:firstLine="480" w:firstLineChars="200"/>
              <w:jc w:val="center"/>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≤1.6</w:t>
            </w:r>
          </w:p>
        </w:tc>
        <w:tc>
          <w:tcPr>
            <w:tcW w:w="2331" w:type="dxa"/>
            <w:vMerge w:val="continue"/>
            <w:vAlign w:val="center"/>
          </w:tcPr>
          <w:p w14:paraId="2D174FA8">
            <w:pPr>
              <w:pageBreakBefore w:val="0"/>
              <w:kinsoku/>
              <w:wordWrap/>
              <w:overflowPunct/>
              <w:topLinePunct w:val="0"/>
              <w:autoSpaceDE w:val="0"/>
              <w:autoSpaceDN w:val="0"/>
              <w:bidi w:val="0"/>
              <w:adjustRightInd w:val="0"/>
              <w:spacing w:line="560" w:lineRule="exact"/>
              <w:ind w:firstLine="480" w:firstLineChars="200"/>
              <w:rPr>
                <w:rFonts w:hint="eastAsia" w:asciiTheme="minorEastAsia" w:hAnsiTheme="minorEastAsia" w:eastAsiaTheme="minorEastAsia" w:cstheme="minorEastAsia"/>
                <w:color w:val="auto"/>
                <w:sz w:val="24"/>
                <w:szCs w:val="24"/>
                <w:highlight w:val="none"/>
                <w:lang w:val="zh-CN"/>
              </w:rPr>
            </w:pPr>
          </w:p>
        </w:tc>
        <w:tc>
          <w:tcPr>
            <w:tcW w:w="922" w:type="dxa"/>
            <w:vMerge w:val="continue"/>
            <w:vAlign w:val="center"/>
          </w:tcPr>
          <w:p w14:paraId="411E108B">
            <w:pPr>
              <w:pageBreakBefore w:val="0"/>
              <w:kinsoku/>
              <w:wordWrap/>
              <w:overflowPunct/>
              <w:topLinePunct w:val="0"/>
              <w:autoSpaceDE w:val="0"/>
              <w:autoSpaceDN w:val="0"/>
              <w:bidi w:val="0"/>
              <w:adjustRightInd w:val="0"/>
              <w:spacing w:line="560" w:lineRule="exact"/>
              <w:ind w:firstLine="480" w:firstLineChars="200"/>
              <w:rPr>
                <w:rFonts w:hint="eastAsia" w:asciiTheme="minorEastAsia" w:hAnsiTheme="minorEastAsia" w:eastAsiaTheme="minorEastAsia" w:cstheme="minorEastAsia"/>
                <w:color w:val="auto"/>
                <w:sz w:val="24"/>
                <w:szCs w:val="24"/>
                <w:highlight w:val="none"/>
                <w:lang w:val="zh-CN"/>
              </w:rPr>
            </w:pPr>
          </w:p>
        </w:tc>
      </w:tr>
      <w:tr w14:paraId="4A5DB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66" w:type="dxa"/>
            <w:vAlign w:val="center"/>
          </w:tcPr>
          <w:p w14:paraId="0F31DA21">
            <w:pPr>
              <w:pageBreakBefore w:val="0"/>
              <w:kinsoku/>
              <w:wordWrap/>
              <w:overflowPunct/>
              <w:topLinePunct w:val="0"/>
              <w:autoSpaceDE w:val="0"/>
              <w:autoSpaceDN w:val="0"/>
              <w:bidi w:val="0"/>
              <w:adjustRightInd w:val="0"/>
              <w:spacing w:line="560" w:lineRule="exact"/>
              <w:ind w:firstLine="480" w:firstLineChars="200"/>
              <w:jc w:val="center"/>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41.3</w:t>
            </w:r>
          </w:p>
        </w:tc>
        <w:tc>
          <w:tcPr>
            <w:tcW w:w="1339" w:type="dxa"/>
            <w:vAlign w:val="center"/>
          </w:tcPr>
          <w:p w14:paraId="75082F85">
            <w:pPr>
              <w:pageBreakBefore w:val="0"/>
              <w:kinsoku/>
              <w:wordWrap/>
              <w:overflowPunct/>
              <w:topLinePunct w:val="0"/>
              <w:autoSpaceDE w:val="0"/>
              <w:autoSpaceDN w:val="0"/>
              <w:bidi w:val="0"/>
              <w:adjustRightInd w:val="0"/>
              <w:spacing w:line="560" w:lineRule="exact"/>
              <w:ind w:firstLine="480" w:firstLineChars="200"/>
              <w:jc w:val="center"/>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1.</w:t>
            </w:r>
            <w:r>
              <w:rPr>
                <w:rFonts w:hint="eastAsia" w:asciiTheme="minorEastAsia" w:hAnsiTheme="minorEastAsia" w:eastAsiaTheme="minorEastAsia" w:cstheme="minorEastAsia"/>
                <w:color w:val="auto"/>
                <w:sz w:val="24"/>
                <w:szCs w:val="24"/>
                <w:highlight w:val="none"/>
              </w:rPr>
              <w:t>5</w:t>
            </w:r>
          </w:p>
        </w:tc>
        <w:tc>
          <w:tcPr>
            <w:tcW w:w="2397" w:type="dxa"/>
            <w:vAlign w:val="center"/>
          </w:tcPr>
          <w:p w14:paraId="3081B520">
            <w:pPr>
              <w:pageBreakBefore w:val="0"/>
              <w:kinsoku/>
              <w:wordWrap/>
              <w:overflowPunct/>
              <w:topLinePunct w:val="0"/>
              <w:autoSpaceDE w:val="0"/>
              <w:autoSpaceDN w:val="0"/>
              <w:bidi w:val="0"/>
              <w:adjustRightInd w:val="0"/>
              <w:spacing w:line="560" w:lineRule="exact"/>
              <w:ind w:firstLine="480" w:firstLineChars="200"/>
              <w:jc w:val="center"/>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≤1.6</w:t>
            </w:r>
          </w:p>
        </w:tc>
        <w:tc>
          <w:tcPr>
            <w:tcW w:w="2331" w:type="dxa"/>
            <w:vMerge w:val="continue"/>
            <w:vAlign w:val="center"/>
          </w:tcPr>
          <w:p w14:paraId="1A6261D4">
            <w:pPr>
              <w:pageBreakBefore w:val="0"/>
              <w:kinsoku/>
              <w:wordWrap/>
              <w:overflowPunct/>
              <w:topLinePunct w:val="0"/>
              <w:autoSpaceDE w:val="0"/>
              <w:autoSpaceDN w:val="0"/>
              <w:bidi w:val="0"/>
              <w:adjustRightInd w:val="0"/>
              <w:spacing w:line="560" w:lineRule="exact"/>
              <w:ind w:firstLine="480" w:firstLineChars="200"/>
              <w:rPr>
                <w:rFonts w:hint="eastAsia" w:asciiTheme="minorEastAsia" w:hAnsiTheme="minorEastAsia" w:eastAsiaTheme="minorEastAsia" w:cstheme="minorEastAsia"/>
                <w:color w:val="auto"/>
                <w:sz w:val="24"/>
                <w:szCs w:val="24"/>
                <w:highlight w:val="none"/>
                <w:lang w:val="zh-CN"/>
              </w:rPr>
            </w:pPr>
          </w:p>
        </w:tc>
        <w:tc>
          <w:tcPr>
            <w:tcW w:w="922" w:type="dxa"/>
            <w:vMerge w:val="continue"/>
            <w:vAlign w:val="center"/>
          </w:tcPr>
          <w:p w14:paraId="526F7204">
            <w:pPr>
              <w:pageBreakBefore w:val="0"/>
              <w:kinsoku/>
              <w:wordWrap/>
              <w:overflowPunct/>
              <w:topLinePunct w:val="0"/>
              <w:autoSpaceDE w:val="0"/>
              <w:autoSpaceDN w:val="0"/>
              <w:bidi w:val="0"/>
              <w:adjustRightInd w:val="0"/>
              <w:spacing w:line="560" w:lineRule="exact"/>
              <w:ind w:firstLine="480" w:firstLineChars="200"/>
              <w:rPr>
                <w:rFonts w:hint="eastAsia" w:asciiTheme="minorEastAsia" w:hAnsiTheme="minorEastAsia" w:eastAsiaTheme="minorEastAsia" w:cstheme="minorEastAsia"/>
                <w:color w:val="auto"/>
                <w:sz w:val="24"/>
                <w:szCs w:val="24"/>
                <w:highlight w:val="none"/>
                <w:lang w:val="zh-CN"/>
              </w:rPr>
            </w:pPr>
          </w:p>
        </w:tc>
      </w:tr>
    </w:tbl>
    <w:p w14:paraId="42171A49">
      <w:pPr>
        <w:pageBreakBefore w:val="0"/>
        <w:kinsoku/>
        <w:wordWrap/>
        <w:overflowPunct/>
        <w:topLinePunct w:val="0"/>
        <w:bidi w:val="0"/>
        <w:spacing w:line="560" w:lineRule="exact"/>
        <w:ind w:firstLine="640" w:firstLineChars="200"/>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1.1采用空调用去磷无缝紫铜管，抗拉强度不小于240kgf/mm2，符合国标GB/T1527-2017，铜管的最小壁厚见下表。</w:t>
      </w:r>
    </w:p>
    <w:p w14:paraId="0335EBB9">
      <w:pPr>
        <w:pageBreakBefore w:val="0"/>
        <w:kinsoku/>
        <w:wordWrap/>
        <w:overflowPunct/>
        <w:topLinePunct w:val="0"/>
        <w:bidi w:val="0"/>
        <w:spacing w:line="560" w:lineRule="exact"/>
        <w:ind w:firstLine="640" w:firstLineChars="200"/>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2、冷凝水管</w:t>
      </w:r>
    </w:p>
    <w:p w14:paraId="772C84F3">
      <w:pPr>
        <w:pageBreakBefore w:val="0"/>
        <w:kinsoku/>
        <w:wordWrap/>
        <w:overflowPunct/>
        <w:topLinePunct w:val="0"/>
        <w:bidi w:val="0"/>
        <w:spacing w:line="560" w:lineRule="exact"/>
        <w:ind w:firstLine="640" w:firstLineChars="200"/>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2.1采用PVC管，规格为：φ32x3.6，φ40x4.5，φ50x5.6，9mm橡塑保温。</w:t>
      </w:r>
    </w:p>
    <w:tbl>
      <w:tblPr>
        <w:tblStyle w:val="13"/>
        <w:tblW w:w="87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00"/>
        <w:gridCol w:w="1705"/>
        <w:gridCol w:w="2182"/>
        <w:gridCol w:w="1854"/>
        <w:gridCol w:w="1385"/>
      </w:tblGrid>
      <w:tr w14:paraId="53EA8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600" w:type="dxa"/>
            <w:vAlign w:val="center"/>
          </w:tcPr>
          <w:p w14:paraId="34E5E5F6">
            <w:pPr>
              <w:pageBreakBefore w:val="0"/>
              <w:kinsoku/>
              <w:wordWrap/>
              <w:overflowPunct/>
              <w:topLinePunct w:val="0"/>
              <w:bidi w:val="0"/>
              <w:spacing w:line="560" w:lineRule="atLeast"/>
              <w:jc w:val="center"/>
              <w:rPr>
                <w:rFonts w:hint="eastAsia" w:ascii="宋体" w:hAnsi="宋体" w:cs="宋体"/>
                <w:bCs/>
                <w:color w:val="auto"/>
                <w:sz w:val="24"/>
                <w:highlight w:val="none"/>
              </w:rPr>
            </w:pPr>
            <w:r>
              <w:rPr>
                <w:rFonts w:hint="eastAsia" w:ascii="宋体" w:hAnsi="宋体" w:cs="宋体"/>
                <w:bCs/>
                <w:color w:val="auto"/>
                <w:sz w:val="24"/>
                <w:highlight w:val="none"/>
              </w:rPr>
              <w:t>管道规格</w:t>
            </w:r>
          </w:p>
        </w:tc>
        <w:tc>
          <w:tcPr>
            <w:tcW w:w="1705" w:type="dxa"/>
            <w:vAlign w:val="center"/>
          </w:tcPr>
          <w:p w14:paraId="17959972">
            <w:pPr>
              <w:pageBreakBefore w:val="0"/>
              <w:kinsoku/>
              <w:wordWrap/>
              <w:overflowPunct/>
              <w:topLinePunct w:val="0"/>
              <w:bidi w:val="0"/>
              <w:spacing w:line="560" w:lineRule="atLeast"/>
              <w:jc w:val="center"/>
              <w:rPr>
                <w:rFonts w:hint="eastAsia" w:ascii="宋体" w:hAnsi="宋体" w:cs="宋体"/>
                <w:bCs/>
                <w:color w:val="auto"/>
                <w:sz w:val="24"/>
                <w:highlight w:val="none"/>
              </w:rPr>
            </w:pPr>
            <w:r>
              <w:rPr>
                <w:rFonts w:hint="eastAsia" w:ascii="宋体" w:hAnsi="宋体" w:cs="宋体"/>
                <w:bCs/>
                <w:color w:val="auto"/>
                <w:sz w:val="24"/>
                <w:highlight w:val="none"/>
              </w:rPr>
              <w:t>壁厚（mm）</w:t>
            </w:r>
          </w:p>
        </w:tc>
        <w:tc>
          <w:tcPr>
            <w:tcW w:w="2182" w:type="dxa"/>
            <w:vAlign w:val="center"/>
          </w:tcPr>
          <w:p w14:paraId="34923C87">
            <w:pPr>
              <w:pageBreakBefore w:val="0"/>
              <w:kinsoku/>
              <w:wordWrap/>
              <w:overflowPunct/>
              <w:topLinePunct w:val="0"/>
              <w:bidi w:val="0"/>
              <w:spacing w:line="560" w:lineRule="atLeast"/>
              <w:jc w:val="center"/>
              <w:rPr>
                <w:rFonts w:hint="eastAsia" w:ascii="宋体" w:hAnsi="宋体" w:cs="宋体"/>
                <w:bCs/>
                <w:color w:val="auto"/>
                <w:sz w:val="24"/>
                <w:highlight w:val="none"/>
              </w:rPr>
            </w:pPr>
            <w:r>
              <w:rPr>
                <w:rFonts w:hint="eastAsia" w:ascii="宋体" w:hAnsi="宋体" w:cs="宋体"/>
                <w:bCs/>
                <w:color w:val="auto"/>
                <w:sz w:val="24"/>
                <w:highlight w:val="none"/>
              </w:rPr>
              <w:t>水平管架间距（m）</w:t>
            </w:r>
          </w:p>
        </w:tc>
        <w:tc>
          <w:tcPr>
            <w:tcW w:w="1854" w:type="dxa"/>
            <w:vAlign w:val="center"/>
          </w:tcPr>
          <w:p w14:paraId="2600BC4D">
            <w:pPr>
              <w:pageBreakBefore w:val="0"/>
              <w:kinsoku/>
              <w:wordWrap/>
              <w:overflowPunct/>
              <w:topLinePunct w:val="0"/>
              <w:bidi w:val="0"/>
              <w:spacing w:line="560" w:lineRule="atLeast"/>
              <w:jc w:val="center"/>
              <w:rPr>
                <w:rFonts w:hint="eastAsia" w:ascii="宋体" w:hAnsi="宋体" w:cs="宋体"/>
                <w:bCs/>
                <w:color w:val="auto"/>
                <w:sz w:val="24"/>
                <w:highlight w:val="none"/>
              </w:rPr>
            </w:pPr>
            <w:r>
              <w:rPr>
                <w:rFonts w:hint="eastAsia" w:ascii="宋体" w:hAnsi="宋体" w:cs="宋体"/>
                <w:bCs/>
                <w:color w:val="auto"/>
                <w:sz w:val="24"/>
                <w:highlight w:val="none"/>
              </w:rPr>
              <w:t>垂直管架间距（m）</w:t>
            </w:r>
          </w:p>
        </w:tc>
        <w:tc>
          <w:tcPr>
            <w:tcW w:w="1385" w:type="dxa"/>
            <w:vAlign w:val="center"/>
          </w:tcPr>
          <w:p w14:paraId="4C14DC54">
            <w:pPr>
              <w:pageBreakBefore w:val="0"/>
              <w:kinsoku/>
              <w:wordWrap/>
              <w:overflowPunct/>
              <w:topLinePunct w:val="0"/>
              <w:bidi w:val="0"/>
              <w:spacing w:line="560" w:lineRule="atLeast"/>
              <w:jc w:val="center"/>
              <w:rPr>
                <w:rFonts w:hint="eastAsia" w:ascii="宋体" w:hAnsi="宋体" w:cs="宋体"/>
                <w:bCs/>
                <w:color w:val="auto"/>
                <w:sz w:val="24"/>
                <w:highlight w:val="none"/>
              </w:rPr>
            </w:pPr>
            <w:r>
              <w:rPr>
                <w:rFonts w:hint="eastAsia" w:ascii="宋体" w:hAnsi="宋体" w:cs="宋体"/>
                <w:bCs/>
                <w:color w:val="auto"/>
                <w:sz w:val="24"/>
                <w:highlight w:val="none"/>
              </w:rPr>
              <w:t>倾斜度</w:t>
            </w:r>
          </w:p>
        </w:tc>
      </w:tr>
      <w:tr w14:paraId="78D03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600" w:type="dxa"/>
            <w:vAlign w:val="center"/>
          </w:tcPr>
          <w:p w14:paraId="6319ED78">
            <w:pPr>
              <w:pageBreakBefore w:val="0"/>
              <w:kinsoku/>
              <w:wordWrap/>
              <w:overflowPunct/>
              <w:topLinePunct w:val="0"/>
              <w:bidi w:val="0"/>
              <w:spacing w:line="560" w:lineRule="atLeast"/>
              <w:jc w:val="center"/>
              <w:rPr>
                <w:rFonts w:hint="eastAsia" w:ascii="宋体" w:hAnsi="宋体" w:cs="宋体"/>
                <w:bCs/>
                <w:color w:val="auto"/>
                <w:sz w:val="24"/>
                <w:highlight w:val="none"/>
              </w:rPr>
            </w:pPr>
            <w:r>
              <w:rPr>
                <w:rFonts w:hint="eastAsia" w:ascii="宋体" w:hAnsi="宋体" w:cs="宋体"/>
                <w:bCs/>
                <w:color w:val="auto"/>
                <w:sz w:val="24"/>
                <w:highlight w:val="none"/>
              </w:rPr>
              <w:t>Φ20</w:t>
            </w:r>
          </w:p>
        </w:tc>
        <w:tc>
          <w:tcPr>
            <w:tcW w:w="1705" w:type="dxa"/>
            <w:vAlign w:val="center"/>
          </w:tcPr>
          <w:p w14:paraId="0B80DC0E">
            <w:pPr>
              <w:pageBreakBefore w:val="0"/>
              <w:kinsoku/>
              <w:wordWrap/>
              <w:overflowPunct/>
              <w:topLinePunct w:val="0"/>
              <w:bidi w:val="0"/>
              <w:spacing w:line="560" w:lineRule="atLeast"/>
              <w:ind w:firstLine="720" w:firstLineChars="300"/>
              <w:rPr>
                <w:rFonts w:hint="eastAsia" w:ascii="宋体" w:hAnsi="宋体" w:cs="宋体"/>
                <w:bCs/>
                <w:color w:val="auto"/>
                <w:sz w:val="24"/>
                <w:highlight w:val="none"/>
              </w:rPr>
            </w:pPr>
            <w:r>
              <w:rPr>
                <w:rFonts w:hint="eastAsia" w:ascii="宋体" w:hAnsi="宋体" w:cs="宋体"/>
                <w:bCs/>
                <w:color w:val="auto"/>
                <w:sz w:val="24"/>
                <w:highlight w:val="none"/>
              </w:rPr>
              <w:t>2.3</w:t>
            </w:r>
          </w:p>
        </w:tc>
        <w:tc>
          <w:tcPr>
            <w:tcW w:w="2182" w:type="dxa"/>
            <w:vAlign w:val="center"/>
          </w:tcPr>
          <w:p w14:paraId="396D3ADE">
            <w:pPr>
              <w:pageBreakBefore w:val="0"/>
              <w:kinsoku/>
              <w:wordWrap/>
              <w:overflowPunct/>
              <w:topLinePunct w:val="0"/>
              <w:bidi w:val="0"/>
              <w:spacing w:line="560" w:lineRule="atLeast"/>
              <w:ind w:firstLine="720" w:firstLineChars="300"/>
              <w:rPr>
                <w:rFonts w:hint="eastAsia" w:ascii="宋体" w:hAnsi="宋体" w:cs="宋体"/>
                <w:bCs/>
                <w:color w:val="auto"/>
                <w:sz w:val="24"/>
                <w:highlight w:val="none"/>
              </w:rPr>
            </w:pPr>
            <w:r>
              <w:rPr>
                <w:rFonts w:hint="eastAsia" w:ascii="宋体" w:hAnsi="宋体" w:cs="宋体"/>
                <w:bCs/>
                <w:color w:val="auto"/>
                <w:sz w:val="24"/>
                <w:highlight w:val="none"/>
              </w:rPr>
              <w:t>≤0.8</w:t>
            </w:r>
          </w:p>
        </w:tc>
        <w:tc>
          <w:tcPr>
            <w:tcW w:w="1854" w:type="dxa"/>
            <w:vAlign w:val="center"/>
          </w:tcPr>
          <w:p w14:paraId="549A125D">
            <w:pPr>
              <w:pageBreakBefore w:val="0"/>
              <w:kinsoku/>
              <w:wordWrap/>
              <w:overflowPunct/>
              <w:topLinePunct w:val="0"/>
              <w:bidi w:val="0"/>
              <w:spacing w:line="560" w:lineRule="atLeast"/>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≤2.0</w:t>
            </w:r>
          </w:p>
        </w:tc>
        <w:tc>
          <w:tcPr>
            <w:tcW w:w="1385" w:type="dxa"/>
            <w:vAlign w:val="center"/>
          </w:tcPr>
          <w:p w14:paraId="3CB8DADA">
            <w:pPr>
              <w:pageBreakBefore w:val="0"/>
              <w:kinsoku/>
              <w:wordWrap/>
              <w:overflowPunct/>
              <w:topLinePunct w:val="0"/>
              <w:bidi w:val="0"/>
              <w:spacing w:line="560" w:lineRule="atLeast"/>
              <w:jc w:val="center"/>
              <w:rPr>
                <w:rFonts w:hint="eastAsia" w:ascii="宋体" w:hAnsi="宋体" w:cs="宋体"/>
                <w:bCs/>
                <w:color w:val="auto"/>
                <w:sz w:val="24"/>
                <w:highlight w:val="none"/>
              </w:rPr>
            </w:pPr>
            <w:r>
              <w:rPr>
                <w:rFonts w:hint="eastAsia" w:ascii="宋体" w:hAnsi="宋体" w:cs="宋体"/>
                <w:bCs/>
                <w:color w:val="auto"/>
                <w:sz w:val="24"/>
                <w:highlight w:val="none"/>
              </w:rPr>
              <w:t>≥5/1000</w:t>
            </w:r>
          </w:p>
        </w:tc>
      </w:tr>
      <w:tr w14:paraId="3C89F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1600" w:type="dxa"/>
            <w:vAlign w:val="center"/>
          </w:tcPr>
          <w:p w14:paraId="2A10F4D9">
            <w:pPr>
              <w:pageBreakBefore w:val="0"/>
              <w:kinsoku/>
              <w:wordWrap/>
              <w:overflowPunct/>
              <w:topLinePunct w:val="0"/>
              <w:bidi w:val="0"/>
              <w:spacing w:line="560" w:lineRule="atLeast"/>
              <w:jc w:val="center"/>
              <w:rPr>
                <w:rFonts w:hint="eastAsia" w:ascii="宋体" w:hAnsi="宋体" w:cs="宋体"/>
                <w:bCs/>
                <w:color w:val="auto"/>
                <w:sz w:val="24"/>
                <w:highlight w:val="none"/>
              </w:rPr>
            </w:pPr>
            <w:r>
              <w:rPr>
                <w:rFonts w:hint="eastAsia" w:ascii="宋体" w:hAnsi="宋体" w:cs="宋体"/>
                <w:bCs/>
                <w:color w:val="auto"/>
                <w:sz w:val="24"/>
                <w:highlight w:val="none"/>
              </w:rPr>
              <w:t>Φ25</w:t>
            </w:r>
          </w:p>
        </w:tc>
        <w:tc>
          <w:tcPr>
            <w:tcW w:w="1705" w:type="dxa"/>
            <w:vAlign w:val="center"/>
          </w:tcPr>
          <w:p w14:paraId="719462E7">
            <w:pPr>
              <w:pageBreakBefore w:val="0"/>
              <w:kinsoku/>
              <w:wordWrap/>
              <w:overflowPunct/>
              <w:topLinePunct w:val="0"/>
              <w:bidi w:val="0"/>
              <w:spacing w:line="560" w:lineRule="atLeast"/>
              <w:ind w:firstLine="720" w:firstLineChars="300"/>
              <w:rPr>
                <w:rFonts w:hint="eastAsia" w:ascii="宋体" w:hAnsi="宋体" w:cs="宋体"/>
                <w:bCs/>
                <w:color w:val="auto"/>
                <w:sz w:val="24"/>
                <w:highlight w:val="none"/>
              </w:rPr>
            </w:pPr>
            <w:r>
              <w:rPr>
                <w:rFonts w:hint="eastAsia" w:ascii="宋体" w:hAnsi="宋体" w:cs="宋体"/>
                <w:bCs/>
                <w:color w:val="auto"/>
                <w:sz w:val="24"/>
                <w:highlight w:val="none"/>
              </w:rPr>
              <w:t>2.8</w:t>
            </w:r>
          </w:p>
        </w:tc>
        <w:tc>
          <w:tcPr>
            <w:tcW w:w="2182" w:type="dxa"/>
            <w:vAlign w:val="center"/>
          </w:tcPr>
          <w:p w14:paraId="52218E67">
            <w:pPr>
              <w:pageBreakBefore w:val="0"/>
              <w:kinsoku/>
              <w:wordWrap/>
              <w:overflowPunct/>
              <w:topLinePunct w:val="0"/>
              <w:bidi w:val="0"/>
              <w:spacing w:line="560" w:lineRule="atLeast"/>
              <w:ind w:firstLine="720" w:firstLineChars="300"/>
              <w:rPr>
                <w:rFonts w:hint="eastAsia" w:ascii="宋体" w:hAnsi="宋体" w:cs="宋体"/>
                <w:bCs/>
                <w:color w:val="auto"/>
                <w:sz w:val="24"/>
                <w:highlight w:val="none"/>
              </w:rPr>
            </w:pPr>
            <w:r>
              <w:rPr>
                <w:rFonts w:hint="eastAsia" w:ascii="宋体" w:hAnsi="宋体" w:cs="宋体"/>
                <w:bCs/>
                <w:color w:val="auto"/>
                <w:sz w:val="24"/>
                <w:highlight w:val="none"/>
              </w:rPr>
              <w:t>≤0.8</w:t>
            </w:r>
          </w:p>
        </w:tc>
        <w:tc>
          <w:tcPr>
            <w:tcW w:w="1854" w:type="dxa"/>
            <w:vAlign w:val="center"/>
          </w:tcPr>
          <w:p w14:paraId="043AA91A">
            <w:pPr>
              <w:pageBreakBefore w:val="0"/>
              <w:kinsoku/>
              <w:wordWrap/>
              <w:overflowPunct/>
              <w:topLinePunct w:val="0"/>
              <w:bidi w:val="0"/>
              <w:spacing w:line="560" w:lineRule="atLeast"/>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≤2.0</w:t>
            </w:r>
          </w:p>
        </w:tc>
        <w:tc>
          <w:tcPr>
            <w:tcW w:w="1385" w:type="dxa"/>
            <w:vAlign w:val="center"/>
          </w:tcPr>
          <w:p w14:paraId="7E16127B">
            <w:pPr>
              <w:pageBreakBefore w:val="0"/>
              <w:kinsoku/>
              <w:wordWrap/>
              <w:overflowPunct/>
              <w:topLinePunct w:val="0"/>
              <w:bidi w:val="0"/>
              <w:spacing w:line="560" w:lineRule="atLeast"/>
              <w:jc w:val="center"/>
              <w:rPr>
                <w:rFonts w:hint="eastAsia" w:ascii="宋体" w:hAnsi="宋体" w:cs="宋体"/>
                <w:bCs/>
                <w:color w:val="auto"/>
                <w:sz w:val="24"/>
                <w:highlight w:val="none"/>
              </w:rPr>
            </w:pPr>
            <w:r>
              <w:rPr>
                <w:rFonts w:hint="eastAsia" w:ascii="宋体" w:hAnsi="宋体" w:cs="宋体"/>
                <w:bCs/>
                <w:color w:val="auto"/>
                <w:sz w:val="24"/>
                <w:highlight w:val="none"/>
              </w:rPr>
              <w:t>≥5/1000</w:t>
            </w:r>
          </w:p>
        </w:tc>
      </w:tr>
      <w:tr w14:paraId="20098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0" w:type="dxa"/>
            <w:vAlign w:val="center"/>
          </w:tcPr>
          <w:p w14:paraId="26B63E80">
            <w:pPr>
              <w:pageBreakBefore w:val="0"/>
              <w:kinsoku/>
              <w:wordWrap/>
              <w:overflowPunct/>
              <w:topLinePunct w:val="0"/>
              <w:bidi w:val="0"/>
              <w:spacing w:line="560" w:lineRule="atLeast"/>
              <w:jc w:val="center"/>
              <w:rPr>
                <w:rFonts w:hint="eastAsia" w:ascii="宋体" w:hAnsi="宋体" w:cs="宋体"/>
                <w:bCs/>
                <w:color w:val="auto"/>
                <w:sz w:val="24"/>
                <w:highlight w:val="none"/>
              </w:rPr>
            </w:pPr>
            <w:r>
              <w:rPr>
                <w:rFonts w:hint="eastAsia" w:ascii="宋体" w:hAnsi="宋体" w:cs="宋体"/>
                <w:bCs/>
                <w:color w:val="auto"/>
                <w:sz w:val="24"/>
                <w:highlight w:val="none"/>
              </w:rPr>
              <w:t>Φ32</w:t>
            </w:r>
          </w:p>
        </w:tc>
        <w:tc>
          <w:tcPr>
            <w:tcW w:w="1705" w:type="dxa"/>
            <w:vAlign w:val="center"/>
          </w:tcPr>
          <w:p w14:paraId="1C179570">
            <w:pPr>
              <w:pageBreakBefore w:val="0"/>
              <w:kinsoku/>
              <w:wordWrap/>
              <w:overflowPunct/>
              <w:topLinePunct w:val="0"/>
              <w:bidi w:val="0"/>
              <w:spacing w:line="560" w:lineRule="atLeast"/>
              <w:ind w:firstLine="720" w:firstLineChars="300"/>
              <w:rPr>
                <w:rFonts w:hint="eastAsia" w:ascii="宋体" w:hAnsi="宋体" w:cs="宋体"/>
                <w:bCs/>
                <w:color w:val="auto"/>
                <w:sz w:val="24"/>
                <w:highlight w:val="none"/>
              </w:rPr>
            </w:pPr>
            <w:r>
              <w:rPr>
                <w:rFonts w:hint="eastAsia" w:ascii="宋体" w:hAnsi="宋体" w:cs="宋体"/>
                <w:bCs/>
                <w:color w:val="auto"/>
                <w:sz w:val="24"/>
                <w:highlight w:val="none"/>
              </w:rPr>
              <w:t>3.6</w:t>
            </w:r>
          </w:p>
        </w:tc>
        <w:tc>
          <w:tcPr>
            <w:tcW w:w="2182" w:type="dxa"/>
            <w:vAlign w:val="center"/>
          </w:tcPr>
          <w:p w14:paraId="131B2046">
            <w:pPr>
              <w:pageBreakBefore w:val="0"/>
              <w:kinsoku/>
              <w:wordWrap/>
              <w:overflowPunct/>
              <w:topLinePunct w:val="0"/>
              <w:bidi w:val="0"/>
              <w:spacing w:line="560" w:lineRule="atLeast"/>
              <w:ind w:firstLine="720" w:firstLineChars="300"/>
              <w:rPr>
                <w:rFonts w:hint="eastAsia" w:ascii="宋体" w:hAnsi="宋体" w:cs="宋体"/>
                <w:bCs/>
                <w:color w:val="auto"/>
                <w:sz w:val="24"/>
                <w:highlight w:val="none"/>
              </w:rPr>
            </w:pPr>
            <w:r>
              <w:rPr>
                <w:rFonts w:hint="eastAsia" w:ascii="宋体" w:hAnsi="宋体" w:cs="宋体"/>
                <w:bCs/>
                <w:color w:val="auto"/>
                <w:sz w:val="24"/>
                <w:highlight w:val="none"/>
              </w:rPr>
              <w:t>≤0.8</w:t>
            </w:r>
          </w:p>
        </w:tc>
        <w:tc>
          <w:tcPr>
            <w:tcW w:w="1854" w:type="dxa"/>
            <w:vAlign w:val="center"/>
          </w:tcPr>
          <w:p w14:paraId="5D34F4FD">
            <w:pPr>
              <w:pageBreakBefore w:val="0"/>
              <w:kinsoku/>
              <w:wordWrap/>
              <w:overflowPunct/>
              <w:topLinePunct w:val="0"/>
              <w:bidi w:val="0"/>
              <w:spacing w:line="560" w:lineRule="atLeast"/>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≤2.0</w:t>
            </w:r>
          </w:p>
        </w:tc>
        <w:tc>
          <w:tcPr>
            <w:tcW w:w="1385" w:type="dxa"/>
            <w:vAlign w:val="center"/>
          </w:tcPr>
          <w:p w14:paraId="7E17A1AB">
            <w:pPr>
              <w:pageBreakBefore w:val="0"/>
              <w:kinsoku/>
              <w:wordWrap/>
              <w:overflowPunct/>
              <w:topLinePunct w:val="0"/>
              <w:bidi w:val="0"/>
              <w:spacing w:line="560" w:lineRule="atLeast"/>
              <w:jc w:val="center"/>
              <w:rPr>
                <w:rFonts w:hint="eastAsia" w:ascii="宋体" w:hAnsi="宋体" w:cs="宋体"/>
                <w:bCs/>
                <w:color w:val="auto"/>
                <w:sz w:val="24"/>
                <w:highlight w:val="none"/>
              </w:rPr>
            </w:pPr>
            <w:r>
              <w:rPr>
                <w:rFonts w:hint="eastAsia" w:ascii="宋体" w:hAnsi="宋体" w:cs="宋体"/>
                <w:bCs/>
                <w:color w:val="auto"/>
                <w:sz w:val="24"/>
                <w:highlight w:val="none"/>
              </w:rPr>
              <w:t>≥5/1000</w:t>
            </w:r>
          </w:p>
        </w:tc>
      </w:tr>
      <w:tr w14:paraId="270C4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0" w:type="dxa"/>
            <w:vAlign w:val="center"/>
          </w:tcPr>
          <w:p w14:paraId="71C0E52D">
            <w:pPr>
              <w:pageBreakBefore w:val="0"/>
              <w:kinsoku/>
              <w:wordWrap/>
              <w:overflowPunct/>
              <w:topLinePunct w:val="0"/>
              <w:bidi w:val="0"/>
              <w:spacing w:line="560" w:lineRule="atLeast"/>
              <w:jc w:val="center"/>
              <w:rPr>
                <w:rFonts w:hint="eastAsia" w:ascii="宋体" w:hAnsi="宋体" w:cs="宋体"/>
                <w:bCs/>
                <w:color w:val="auto"/>
                <w:sz w:val="24"/>
                <w:highlight w:val="none"/>
              </w:rPr>
            </w:pPr>
            <w:r>
              <w:rPr>
                <w:rFonts w:hint="eastAsia" w:ascii="宋体" w:hAnsi="宋体" w:cs="宋体"/>
                <w:bCs/>
                <w:color w:val="auto"/>
                <w:sz w:val="24"/>
                <w:highlight w:val="none"/>
              </w:rPr>
              <w:t>Φ40</w:t>
            </w:r>
          </w:p>
        </w:tc>
        <w:tc>
          <w:tcPr>
            <w:tcW w:w="1705" w:type="dxa"/>
            <w:vAlign w:val="center"/>
          </w:tcPr>
          <w:p w14:paraId="091F1E82">
            <w:pPr>
              <w:pageBreakBefore w:val="0"/>
              <w:kinsoku/>
              <w:wordWrap/>
              <w:overflowPunct/>
              <w:topLinePunct w:val="0"/>
              <w:bidi w:val="0"/>
              <w:spacing w:line="560" w:lineRule="atLeast"/>
              <w:ind w:firstLine="720" w:firstLineChars="300"/>
              <w:rPr>
                <w:rFonts w:hint="eastAsia" w:ascii="宋体" w:hAnsi="宋体" w:cs="宋体"/>
                <w:bCs/>
                <w:color w:val="auto"/>
                <w:sz w:val="24"/>
                <w:highlight w:val="none"/>
              </w:rPr>
            </w:pPr>
            <w:r>
              <w:rPr>
                <w:rFonts w:hint="eastAsia" w:ascii="宋体" w:hAnsi="宋体" w:cs="宋体"/>
                <w:bCs/>
                <w:color w:val="auto"/>
                <w:sz w:val="24"/>
                <w:highlight w:val="none"/>
              </w:rPr>
              <w:t>4.5</w:t>
            </w:r>
          </w:p>
        </w:tc>
        <w:tc>
          <w:tcPr>
            <w:tcW w:w="2182" w:type="dxa"/>
            <w:vAlign w:val="center"/>
          </w:tcPr>
          <w:p w14:paraId="44F7F31E">
            <w:pPr>
              <w:pageBreakBefore w:val="0"/>
              <w:kinsoku/>
              <w:wordWrap/>
              <w:overflowPunct/>
              <w:topLinePunct w:val="0"/>
              <w:bidi w:val="0"/>
              <w:spacing w:line="560" w:lineRule="atLeast"/>
              <w:ind w:firstLine="720" w:firstLineChars="300"/>
              <w:rPr>
                <w:rFonts w:hint="eastAsia" w:ascii="宋体" w:hAnsi="宋体" w:cs="宋体"/>
                <w:bCs/>
                <w:color w:val="auto"/>
                <w:sz w:val="24"/>
                <w:highlight w:val="none"/>
              </w:rPr>
            </w:pPr>
            <w:r>
              <w:rPr>
                <w:rFonts w:hint="eastAsia" w:ascii="宋体" w:hAnsi="宋体" w:cs="宋体"/>
                <w:bCs/>
                <w:color w:val="auto"/>
                <w:sz w:val="24"/>
                <w:highlight w:val="none"/>
              </w:rPr>
              <w:t>≤0.8</w:t>
            </w:r>
          </w:p>
        </w:tc>
        <w:tc>
          <w:tcPr>
            <w:tcW w:w="1854" w:type="dxa"/>
            <w:vAlign w:val="center"/>
          </w:tcPr>
          <w:p w14:paraId="50D5DC6F">
            <w:pPr>
              <w:pageBreakBefore w:val="0"/>
              <w:kinsoku/>
              <w:wordWrap/>
              <w:overflowPunct/>
              <w:topLinePunct w:val="0"/>
              <w:bidi w:val="0"/>
              <w:spacing w:line="560" w:lineRule="atLeast"/>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≤2.0</w:t>
            </w:r>
          </w:p>
        </w:tc>
        <w:tc>
          <w:tcPr>
            <w:tcW w:w="1385" w:type="dxa"/>
            <w:vAlign w:val="center"/>
          </w:tcPr>
          <w:p w14:paraId="7F0319C0">
            <w:pPr>
              <w:pageBreakBefore w:val="0"/>
              <w:kinsoku/>
              <w:wordWrap/>
              <w:overflowPunct/>
              <w:topLinePunct w:val="0"/>
              <w:bidi w:val="0"/>
              <w:spacing w:line="560" w:lineRule="atLeast"/>
              <w:jc w:val="center"/>
              <w:rPr>
                <w:rFonts w:hint="eastAsia" w:ascii="宋体" w:hAnsi="宋体" w:cs="宋体"/>
                <w:bCs/>
                <w:color w:val="auto"/>
                <w:sz w:val="24"/>
                <w:highlight w:val="none"/>
              </w:rPr>
            </w:pPr>
            <w:r>
              <w:rPr>
                <w:rFonts w:hint="eastAsia" w:ascii="宋体" w:hAnsi="宋体" w:cs="宋体"/>
                <w:bCs/>
                <w:color w:val="auto"/>
                <w:sz w:val="24"/>
                <w:highlight w:val="none"/>
              </w:rPr>
              <w:t>≥5/1000</w:t>
            </w:r>
          </w:p>
        </w:tc>
      </w:tr>
      <w:tr w14:paraId="0DF29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0" w:type="dxa"/>
            <w:vAlign w:val="center"/>
          </w:tcPr>
          <w:p w14:paraId="6F24CCEE">
            <w:pPr>
              <w:pageBreakBefore w:val="0"/>
              <w:kinsoku/>
              <w:wordWrap/>
              <w:overflowPunct/>
              <w:topLinePunct w:val="0"/>
              <w:bidi w:val="0"/>
              <w:spacing w:line="560" w:lineRule="atLeast"/>
              <w:jc w:val="center"/>
              <w:rPr>
                <w:rFonts w:hint="eastAsia" w:ascii="宋体" w:hAnsi="宋体" w:cs="宋体"/>
                <w:bCs/>
                <w:color w:val="auto"/>
                <w:sz w:val="24"/>
                <w:highlight w:val="none"/>
              </w:rPr>
            </w:pPr>
            <w:r>
              <w:rPr>
                <w:rFonts w:hint="eastAsia" w:ascii="宋体" w:hAnsi="宋体" w:cs="宋体"/>
                <w:bCs/>
                <w:color w:val="auto"/>
                <w:sz w:val="24"/>
                <w:highlight w:val="none"/>
              </w:rPr>
              <w:t>Φ50</w:t>
            </w:r>
          </w:p>
        </w:tc>
        <w:tc>
          <w:tcPr>
            <w:tcW w:w="1705" w:type="dxa"/>
            <w:vAlign w:val="center"/>
          </w:tcPr>
          <w:p w14:paraId="3DD1D6D0">
            <w:pPr>
              <w:pageBreakBefore w:val="0"/>
              <w:kinsoku/>
              <w:wordWrap/>
              <w:overflowPunct/>
              <w:topLinePunct w:val="0"/>
              <w:bidi w:val="0"/>
              <w:spacing w:line="560" w:lineRule="atLeast"/>
              <w:ind w:firstLine="720" w:firstLineChars="300"/>
              <w:rPr>
                <w:rFonts w:hint="eastAsia" w:ascii="宋体" w:hAnsi="宋体" w:cs="宋体"/>
                <w:bCs/>
                <w:color w:val="auto"/>
                <w:sz w:val="24"/>
                <w:highlight w:val="none"/>
              </w:rPr>
            </w:pPr>
            <w:r>
              <w:rPr>
                <w:rFonts w:hint="eastAsia" w:ascii="宋体" w:hAnsi="宋体" w:cs="宋体"/>
                <w:bCs/>
                <w:color w:val="auto"/>
                <w:sz w:val="24"/>
                <w:highlight w:val="none"/>
              </w:rPr>
              <w:t>5.6</w:t>
            </w:r>
          </w:p>
        </w:tc>
        <w:tc>
          <w:tcPr>
            <w:tcW w:w="2182" w:type="dxa"/>
            <w:vAlign w:val="center"/>
          </w:tcPr>
          <w:p w14:paraId="69C17F64">
            <w:pPr>
              <w:pageBreakBefore w:val="0"/>
              <w:kinsoku/>
              <w:wordWrap/>
              <w:overflowPunct/>
              <w:topLinePunct w:val="0"/>
              <w:bidi w:val="0"/>
              <w:spacing w:line="560" w:lineRule="atLeast"/>
              <w:ind w:firstLine="720" w:firstLineChars="300"/>
              <w:rPr>
                <w:rFonts w:hint="eastAsia" w:ascii="宋体" w:hAnsi="宋体" w:cs="宋体"/>
                <w:bCs/>
                <w:color w:val="auto"/>
                <w:sz w:val="24"/>
                <w:highlight w:val="none"/>
              </w:rPr>
            </w:pPr>
            <w:r>
              <w:rPr>
                <w:rFonts w:hint="eastAsia" w:ascii="宋体" w:hAnsi="宋体" w:cs="宋体"/>
                <w:bCs/>
                <w:color w:val="auto"/>
                <w:sz w:val="24"/>
                <w:highlight w:val="none"/>
              </w:rPr>
              <w:t>≤1.0</w:t>
            </w:r>
          </w:p>
        </w:tc>
        <w:tc>
          <w:tcPr>
            <w:tcW w:w="1854" w:type="dxa"/>
            <w:vAlign w:val="center"/>
          </w:tcPr>
          <w:p w14:paraId="77B0CBD9">
            <w:pPr>
              <w:pageBreakBefore w:val="0"/>
              <w:kinsoku/>
              <w:wordWrap/>
              <w:overflowPunct/>
              <w:topLinePunct w:val="0"/>
              <w:bidi w:val="0"/>
              <w:spacing w:line="560" w:lineRule="atLeast"/>
              <w:ind w:firstLine="480" w:firstLineChars="200"/>
              <w:rPr>
                <w:rFonts w:hint="eastAsia" w:ascii="宋体" w:hAnsi="宋体" w:cs="宋体"/>
                <w:bCs/>
                <w:color w:val="auto"/>
                <w:sz w:val="24"/>
                <w:highlight w:val="none"/>
              </w:rPr>
            </w:pPr>
            <w:r>
              <w:rPr>
                <w:rFonts w:hint="eastAsia" w:ascii="宋体" w:hAnsi="宋体" w:cs="宋体"/>
                <w:bCs/>
                <w:color w:val="auto"/>
                <w:sz w:val="24"/>
                <w:highlight w:val="none"/>
              </w:rPr>
              <w:t>≤2.0</w:t>
            </w:r>
          </w:p>
        </w:tc>
        <w:tc>
          <w:tcPr>
            <w:tcW w:w="1385" w:type="dxa"/>
            <w:vAlign w:val="center"/>
          </w:tcPr>
          <w:p w14:paraId="587ECDBB">
            <w:pPr>
              <w:pageBreakBefore w:val="0"/>
              <w:kinsoku/>
              <w:wordWrap/>
              <w:overflowPunct/>
              <w:topLinePunct w:val="0"/>
              <w:bidi w:val="0"/>
              <w:spacing w:line="560" w:lineRule="atLeast"/>
              <w:jc w:val="center"/>
              <w:rPr>
                <w:rFonts w:hint="eastAsia" w:ascii="宋体" w:hAnsi="宋体" w:cs="宋体"/>
                <w:bCs/>
                <w:color w:val="auto"/>
                <w:sz w:val="24"/>
                <w:highlight w:val="none"/>
              </w:rPr>
            </w:pPr>
            <w:r>
              <w:rPr>
                <w:rFonts w:hint="eastAsia" w:ascii="宋体" w:hAnsi="宋体" w:cs="宋体"/>
                <w:bCs/>
                <w:color w:val="auto"/>
                <w:sz w:val="24"/>
                <w:highlight w:val="none"/>
              </w:rPr>
              <w:t>≥5/1000</w:t>
            </w:r>
          </w:p>
        </w:tc>
      </w:tr>
    </w:tbl>
    <w:p w14:paraId="4FB5F839">
      <w:pPr>
        <w:pageBreakBefore w:val="0"/>
        <w:kinsoku/>
        <w:wordWrap/>
        <w:overflowPunct/>
        <w:topLinePunct w:val="0"/>
        <w:bidi w:val="0"/>
        <w:spacing w:line="560" w:lineRule="atLeast"/>
        <w:ind w:firstLine="640" w:firstLineChars="200"/>
        <w:rPr>
          <w:rFonts w:hint="default"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3、空调保温材料</w:t>
      </w:r>
    </w:p>
    <w:p w14:paraId="11003937">
      <w:pPr>
        <w:pageBreakBefore w:val="0"/>
        <w:kinsoku/>
        <w:wordWrap/>
        <w:overflowPunct/>
        <w:topLinePunct w:val="0"/>
        <w:bidi w:val="0"/>
        <w:spacing w:line="560" w:lineRule="atLeast"/>
        <w:ind w:firstLine="640" w:firstLineChars="200"/>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3.1冷媒管道采用的橡塑保温材料，厚度如下：</w:t>
      </w:r>
    </w:p>
    <w:p w14:paraId="14C0A04C">
      <w:pPr>
        <w:pageBreakBefore w:val="0"/>
        <w:kinsoku/>
        <w:wordWrap/>
        <w:overflowPunct/>
        <w:topLinePunct w:val="0"/>
        <w:bidi w:val="0"/>
        <w:spacing w:line="560" w:lineRule="atLeast"/>
        <w:ind w:firstLine="640" w:firstLineChars="200"/>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冷媒铜管保温管厚度表</w:t>
      </w:r>
    </w:p>
    <w:tbl>
      <w:tblPr>
        <w:tblStyle w:val="13"/>
        <w:tblW w:w="5478" w:type="dxa"/>
        <w:jc w:val="center"/>
        <w:tblLayout w:type="fixed"/>
        <w:tblCellMar>
          <w:top w:w="0" w:type="dxa"/>
          <w:left w:w="108" w:type="dxa"/>
          <w:bottom w:w="0" w:type="dxa"/>
          <w:right w:w="108" w:type="dxa"/>
        </w:tblCellMar>
      </w:tblPr>
      <w:tblGrid>
        <w:gridCol w:w="2237"/>
        <w:gridCol w:w="3241"/>
      </w:tblGrid>
      <w:tr w14:paraId="650A964E">
        <w:tblPrEx>
          <w:tblCellMar>
            <w:top w:w="0" w:type="dxa"/>
            <w:left w:w="108" w:type="dxa"/>
            <w:bottom w:w="0" w:type="dxa"/>
            <w:right w:w="108" w:type="dxa"/>
          </w:tblCellMar>
        </w:tblPrEx>
        <w:trPr>
          <w:trHeight w:val="425" w:hRule="atLeast"/>
          <w:jc w:val="center"/>
        </w:trPr>
        <w:tc>
          <w:tcPr>
            <w:tcW w:w="2237" w:type="dxa"/>
            <w:tcBorders>
              <w:top w:val="single" w:color="auto" w:sz="4" w:space="0"/>
              <w:left w:val="single" w:color="auto" w:sz="4" w:space="0"/>
              <w:bottom w:val="single" w:color="auto" w:sz="4" w:space="0"/>
              <w:right w:val="single" w:color="auto" w:sz="4" w:space="0"/>
            </w:tcBorders>
            <w:vAlign w:val="center"/>
          </w:tcPr>
          <w:p w14:paraId="56A6CBC1">
            <w:pPr>
              <w:pageBreakBefore w:val="0"/>
              <w:widowControl/>
              <w:kinsoku/>
              <w:wordWrap/>
              <w:overflowPunct/>
              <w:topLinePunct w:val="0"/>
              <w:bidi w:val="0"/>
              <w:spacing w:line="560" w:lineRule="atLeast"/>
              <w:ind w:firstLine="480" w:firstLineChars="20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铜管规格（mm）</w:t>
            </w:r>
          </w:p>
        </w:tc>
        <w:tc>
          <w:tcPr>
            <w:tcW w:w="3241" w:type="dxa"/>
            <w:tcBorders>
              <w:top w:val="single" w:color="auto" w:sz="4" w:space="0"/>
              <w:left w:val="nil"/>
              <w:bottom w:val="single" w:color="auto" w:sz="4" w:space="0"/>
              <w:right w:val="single" w:color="auto" w:sz="4" w:space="0"/>
            </w:tcBorders>
            <w:vAlign w:val="center"/>
          </w:tcPr>
          <w:p w14:paraId="0114CA02">
            <w:pPr>
              <w:pageBreakBefore w:val="0"/>
              <w:widowControl/>
              <w:kinsoku/>
              <w:wordWrap/>
              <w:overflowPunct/>
              <w:topLinePunct w:val="0"/>
              <w:bidi w:val="0"/>
              <w:spacing w:line="560" w:lineRule="atLeast"/>
              <w:ind w:firstLine="480" w:firstLineChars="20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保温管厚度（mm）</w:t>
            </w:r>
          </w:p>
        </w:tc>
      </w:tr>
      <w:tr w14:paraId="0EF11FB8">
        <w:tblPrEx>
          <w:tblCellMar>
            <w:top w:w="0" w:type="dxa"/>
            <w:left w:w="108" w:type="dxa"/>
            <w:bottom w:w="0" w:type="dxa"/>
            <w:right w:w="108" w:type="dxa"/>
          </w:tblCellMar>
        </w:tblPrEx>
        <w:trPr>
          <w:trHeight w:val="360" w:hRule="atLeast"/>
          <w:jc w:val="center"/>
        </w:trPr>
        <w:tc>
          <w:tcPr>
            <w:tcW w:w="2237" w:type="dxa"/>
            <w:tcBorders>
              <w:top w:val="single" w:color="auto" w:sz="4" w:space="0"/>
              <w:left w:val="single" w:color="auto" w:sz="4" w:space="0"/>
              <w:bottom w:val="single" w:color="auto" w:sz="4" w:space="0"/>
              <w:right w:val="single" w:color="auto" w:sz="4" w:space="0"/>
            </w:tcBorders>
            <w:vAlign w:val="center"/>
          </w:tcPr>
          <w:p w14:paraId="764DCFE7">
            <w:pPr>
              <w:pageBreakBefore w:val="0"/>
              <w:widowControl/>
              <w:kinsoku/>
              <w:wordWrap/>
              <w:overflowPunct/>
              <w:topLinePunct w:val="0"/>
              <w:bidi w:val="0"/>
              <w:spacing w:line="560" w:lineRule="atLeast"/>
              <w:ind w:firstLine="480" w:firstLineChars="20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φ6.4</w:t>
            </w:r>
          </w:p>
        </w:tc>
        <w:tc>
          <w:tcPr>
            <w:tcW w:w="3241" w:type="dxa"/>
            <w:tcBorders>
              <w:top w:val="single" w:color="auto" w:sz="4" w:space="0"/>
              <w:left w:val="nil"/>
              <w:bottom w:val="single" w:color="auto" w:sz="4" w:space="0"/>
              <w:right w:val="single" w:color="auto" w:sz="4" w:space="0"/>
            </w:tcBorders>
            <w:vAlign w:val="center"/>
          </w:tcPr>
          <w:p w14:paraId="16B18AB9">
            <w:pPr>
              <w:pageBreakBefore w:val="0"/>
              <w:widowControl/>
              <w:kinsoku/>
              <w:wordWrap/>
              <w:overflowPunct/>
              <w:topLinePunct w:val="0"/>
              <w:bidi w:val="0"/>
              <w:snapToGrid w:val="0"/>
              <w:spacing w:line="560" w:lineRule="atLeast"/>
              <w:ind w:firstLine="480" w:firstLineChars="20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15</w:t>
            </w:r>
          </w:p>
        </w:tc>
      </w:tr>
      <w:tr w14:paraId="317D2607">
        <w:tblPrEx>
          <w:tblCellMar>
            <w:top w:w="0" w:type="dxa"/>
            <w:left w:w="108" w:type="dxa"/>
            <w:bottom w:w="0" w:type="dxa"/>
            <w:right w:w="108" w:type="dxa"/>
          </w:tblCellMar>
        </w:tblPrEx>
        <w:trPr>
          <w:trHeight w:val="360" w:hRule="atLeast"/>
          <w:jc w:val="center"/>
        </w:trPr>
        <w:tc>
          <w:tcPr>
            <w:tcW w:w="2237" w:type="dxa"/>
            <w:tcBorders>
              <w:top w:val="nil"/>
              <w:left w:val="single" w:color="auto" w:sz="4" w:space="0"/>
              <w:bottom w:val="single" w:color="auto" w:sz="4" w:space="0"/>
              <w:right w:val="single" w:color="auto" w:sz="4" w:space="0"/>
            </w:tcBorders>
            <w:vAlign w:val="center"/>
          </w:tcPr>
          <w:p w14:paraId="089988C3">
            <w:pPr>
              <w:pageBreakBefore w:val="0"/>
              <w:widowControl/>
              <w:kinsoku/>
              <w:wordWrap/>
              <w:overflowPunct/>
              <w:topLinePunct w:val="0"/>
              <w:bidi w:val="0"/>
              <w:spacing w:line="560" w:lineRule="atLeast"/>
              <w:ind w:firstLine="480" w:firstLineChars="20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φ9.5</w:t>
            </w:r>
          </w:p>
        </w:tc>
        <w:tc>
          <w:tcPr>
            <w:tcW w:w="3241" w:type="dxa"/>
            <w:tcBorders>
              <w:top w:val="nil"/>
              <w:left w:val="nil"/>
              <w:bottom w:val="single" w:color="auto" w:sz="4" w:space="0"/>
              <w:right w:val="single" w:color="auto" w:sz="4" w:space="0"/>
            </w:tcBorders>
            <w:vAlign w:val="center"/>
          </w:tcPr>
          <w:p w14:paraId="0C87904E">
            <w:pPr>
              <w:pageBreakBefore w:val="0"/>
              <w:widowControl/>
              <w:kinsoku/>
              <w:wordWrap/>
              <w:overflowPunct/>
              <w:topLinePunct w:val="0"/>
              <w:bidi w:val="0"/>
              <w:snapToGrid w:val="0"/>
              <w:spacing w:line="560" w:lineRule="atLeast"/>
              <w:ind w:firstLine="480" w:firstLineChars="20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15</w:t>
            </w:r>
          </w:p>
        </w:tc>
      </w:tr>
      <w:tr w14:paraId="7EB9BF56">
        <w:tblPrEx>
          <w:tblCellMar>
            <w:top w:w="0" w:type="dxa"/>
            <w:left w:w="108" w:type="dxa"/>
            <w:bottom w:w="0" w:type="dxa"/>
            <w:right w:w="108" w:type="dxa"/>
          </w:tblCellMar>
        </w:tblPrEx>
        <w:trPr>
          <w:trHeight w:val="360" w:hRule="atLeast"/>
          <w:jc w:val="center"/>
        </w:trPr>
        <w:tc>
          <w:tcPr>
            <w:tcW w:w="2237" w:type="dxa"/>
            <w:tcBorders>
              <w:top w:val="single" w:color="auto" w:sz="4" w:space="0"/>
              <w:left w:val="single" w:color="auto" w:sz="4" w:space="0"/>
              <w:bottom w:val="single" w:color="auto" w:sz="4" w:space="0"/>
              <w:right w:val="single" w:color="auto" w:sz="4" w:space="0"/>
            </w:tcBorders>
            <w:vAlign w:val="center"/>
          </w:tcPr>
          <w:p w14:paraId="13804580">
            <w:pPr>
              <w:pageBreakBefore w:val="0"/>
              <w:widowControl/>
              <w:kinsoku/>
              <w:wordWrap/>
              <w:overflowPunct/>
              <w:topLinePunct w:val="0"/>
              <w:bidi w:val="0"/>
              <w:spacing w:line="560" w:lineRule="atLeast"/>
              <w:ind w:firstLine="480" w:firstLineChars="20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φ12.7</w:t>
            </w:r>
          </w:p>
        </w:tc>
        <w:tc>
          <w:tcPr>
            <w:tcW w:w="3241" w:type="dxa"/>
            <w:tcBorders>
              <w:top w:val="single" w:color="auto" w:sz="4" w:space="0"/>
              <w:left w:val="nil"/>
              <w:bottom w:val="single" w:color="auto" w:sz="4" w:space="0"/>
              <w:right w:val="single" w:color="auto" w:sz="4" w:space="0"/>
            </w:tcBorders>
            <w:vAlign w:val="center"/>
          </w:tcPr>
          <w:p w14:paraId="50DA3AF9">
            <w:pPr>
              <w:pageBreakBefore w:val="0"/>
              <w:widowControl/>
              <w:kinsoku/>
              <w:wordWrap/>
              <w:overflowPunct/>
              <w:topLinePunct w:val="0"/>
              <w:bidi w:val="0"/>
              <w:snapToGrid w:val="0"/>
              <w:spacing w:line="560" w:lineRule="atLeast"/>
              <w:ind w:firstLine="480" w:firstLineChars="20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15</w:t>
            </w:r>
          </w:p>
        </w:tc>
      </w:tr>
      <w:tr w14:paraId="1D4D2E80">
        <w:tblPrEx>
          <w:tblCellMar>
            <w:top w:w="0" w:type="dxa"/>
            <w:left w:w="108" w:type="dxa"/>
            <w:bottom w:w="0" w:type="dxa"/>
            <w:right w:w="108" w:type="dxa"/>
          </w:tblCellMar>
        </w:tblPrEx>
        <w:trPr>
          <w:trHeight w:val="360" w:hRule="atLeast"/>
          <w:jc w:val="center"/>
        </w:trPr>
        <w:tc>
          <w:tcPr>
            <w:tcW w:w="2237" w:type="dxa"/>
            <w:tcBorders>
              <w:top w:val="nil"/>
              <w:left w:val="single" w:color="auto" w:sz="4" w:space="0"/>
              <w:bottom w:val="single" w:color="auto" w:sz="4" w:space="0"/>
              <w:right w:val="single" w:color="auto" w:sz="4" w:space="0"/>
            </w:tcBorders>
            <w:vAlign w:val="center"/>
          </w:tcPr>
          <w:p w14:paraId="6268B971">
            <w:pPr>
              <w:pageBreakBefore w:val="0"/>
              <w:widowControl/>
              <w:kinsoku/>
              <w:wordWrap/>
              <w:overflowPunct/>
              <w:topLinePunct w:val="0"/>
              <w:bidi w:val="0"/>
              <w:spacing w:line="560" w:lineRule="atLeast"/>
              <w:ind w:firstLine="480" w:firstLineChars="20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φ15.9</w:t>
            </w:r>
          </w:p>
        </w:tc>
        <w:tc>
          <w:tcPr>
            <w:tcW w:w="3241" w:type="dxa"/>
            <w:tcBorders>
              <w:top w:val="nil"/>
              <w:left w:val="nil"/>
              <w:bottom w:val="single" w:color="auto" w:sz="4" w:space="0"/>
              <w:right w:val="single" w:color="auto" w:sz="4" w:space="0"/>
            </w:tcBorders>
            <w:vAlign w:val="center"/>
          </w:tcPr>
          <w:p w14:paraId="4E9D426C">
            <w:pPr>
              <w:pageBreakBefore w:val="0"/>
              <w:widowControl/>
              <w:kinsoku/>
              <w:wordWrap/>
              <w:overflowPunct/>
              <w:topLinePunct w:val="0"/>
              <w:bidi w:val="0"/>
              <w:spacing w:line="560" w:lineRule="atLeast"/>
              <w:ind w:firstLine="480" w:firstLineChars="20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20</w:t>
            </w:r>
          </w:p>
        </w:tc>
      </w:tr>
      <w:tr w14:paraId="6A766458">
        <w:tblPrEx>
          <w:tblCellMar>
            <w:top w:w="0" w:type="dxa"/>
            <w:left w:w="108" w:type="dxa"/>
            <w:bottom w:w="0" w:type="dxa"/>
            <w:right w:w="108" w:type="dxa"/>
          </w:tblCellMar>
        </w:tblPrEx>
        <w:trPr>
          <w:trHeight w:val="360" w:hRule="atLeast"/>
          <w:jc w:val="center"/>
        </w:trPr>
        <w:tc>
          <w:tcPr>
            <w:tcW w:w="2237" w:type="dxa"/>
            <w:tcBorders>
              <w:top w:val="nil"/>
              <w:left w:val="single" w:color="auto" w:sz="4" w:space="0"/>
              <w:bottom w:val="single" w:color="auto" w:sz="4" w:space="0"/>
              <w:right w:val="single" w:color="auto" w:sz="4" w:space="0"/>
            </w:tcBorders>
            <w:vAlign w:val="center"/>
          </w:tcPr>
          <w:p w14:paraId="248657DD">
            <w:pPr>
              <w:pageBreakBefore w:val="0"/>
              <w:widowControl/>
              <w:kinsoku/>
              <w:wordWrap/>
              <w:overflowPunct/>
              <w:topLinePunct w:val="0"/>
              <w:bidi w:val="0"/>
              <w:spacing w:line="560" w:lineRule="atLeast"/>
              <w:ind w:firstLine="480" w:firstLineChars="20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φ19.1</w:t>
            </w:r>
          </w:p>
        </w:tc>
        <w:tc>
          <w:tcPr>
            <w:tcW w:w="3241" w:type="dxa"/>
            <w:tcBorders>
              <w:top w:val="nil"/>
              <w:left w:val="nil"/>
              <w:bottom w:val="single" w:color="auto" w:sz="4" w:space="0"/>
              <w:right w:val="single" w:color="auto" w:sz="4" w:space="0"/>
            </w:tcBorders>
            <w:vAlign w:val="center"/>
          </w:tcPr>
          <w:p w14:paraId="54AA3FAE">
            <w:pPr>
              <w:pageBreakBefore w:val="0"/>
              <w:widowControl/>
              <w:kinsoku/>
              <w:wordWrap/>
              <w:overflowPunct/>
              <w:topLinePunct w:val="0"/>
              <w:bidi w:val="0"/>
              <w:spacing w:line="560" w:lineRule="atLeast"/>
              <w:ind w:firstLine="480" w:firstLineChars="20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20</w:t>
            </w:r>
          </w:p>
        </w:tc>
      </w:tr>
      <w:tr w14:paraId="46FA5EB7">
        <w:tblPrEx>
          <w:tblCellMar>
            <w:top w:w="0" w:type="dxa"/>
            <w:left w:w="108" w:type="dxa"/>
            <w:bottom w:w="0" w:type="dxa"/>
            <w:right w:w="108" w:type="dxa"/>
          </w:tblCellMar>
        </w:tblPrEx>
        <w:trPr>
          <w:trHeight w:val="360" w:hRule="atLeast"/>
          <w:jc w:val="center"/>
        </w:trPr>
        <w:tc>
          <w:tcPr>
            <w:tcW w:w="2237" w:type="dxa"/>
            <w:tcBorders>
              <w:top w:val="single" w:color="auto" w:sz="4" w:space="0"/>
              <w:left w:val="single" w:color="auto" w:sz="4" w:space="0"/>
              <w:bottom w:val="single" w:color="auto" w:sz="4" w:space="0"/>
              <w:right w:val="single" w:color="auto" w:sz="4" w:space="0"/>
            </w:tcBorders>
            <w:vAlign w:val="center"/>
          </w:tcPr>
          <w:p w14:paraId="5AABAD0B">
            <w:pPr>
              <w:pageBreakBefore w:val="0"/>
              <w:widowControl/>
              <w:kinsoku/>
              <w:wordWrap/>
              <w:overflowPunct/>
              <w:topLinePunct w:val="0"/>
              <w:bidi w:val="0"/>
              <w:spacing w:line="560" w:lineRule="atLeast"/>
              <w:ind w:firstLine="480" w:firstLineChars="20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φ22.2</w:t>
            </w:r>
          </w:p>
        </w:tc>
        <w:tc>
          <w:tcPr>
            <w:tcW w:w="3241" w:type="dxa"/>
            <w:tcBorders>
              <w:top w:val="single" w:color="auto" w:sz="4" w:space="0"/>
              <w:left w:val="nil"/>
              <w:bottom w:val="single" w:color="auto" w:sz="4" w:space="0"/>
              <w:right w:val="single" w:color="auto" w:sz="4" w:space="0"/>
            </w:tcBorders>
            <w:vAlign w:val="center"/>
          </w:tcPr>
          <w:p w14:paraId="5E0A176B">
            <w:pPr>
              <w:pageBreakBefore w:val="0"/>
              <w:widowControl/>
              <w:kinsoku/>
              <w:wordWrap/>
              <w:overflowPunct/>
              <w:topLinePunct w:val="0"/>
              <w:bidi w:val="0"/>
              <w:spacing w:line="560" w:lineRule="atLeast"/>
              <w:ind w:firstLine="480" w:firstLineChars="20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20</w:t>
            </w:r>
          </w:p>
        </w:tc>
      </w:tr>
      <w:tr w14:paraId="07CAF0CF">
        <w:tblPrEx>
          <w:tblCellMar>
            <w:top w:w="0" w:type="dxa"/>
            <w:left w:w="108" w:type="dxa"/>
            <w:bottom w:w="0" w:type="dxa"/>
            <w:right w:w="108" w:type="dxa"/>
          </w:tblCellMar>
        </w:tblPrEx>
        <w:trPr>
          <w:trHeight w:val="360" w:hRule="atLeast"/>
          <w:jc w:val="center"/>
        </w:trPr>
        <w:tc>
          <w:tcPr>
            <w:tcW w:w="2237" w:type="dxa"/>
            <w:tcBorders>
              <w:top w:val="single" w:color="auto" w:sz="4" w:space="0"/>
              <w:left w:val="single" w:color="auto" w:sz="4" w:space="0"/>
              <w:bottom w:val="single" w:color="auto" w:sz="4" w:space="0"/>
              <w:right w:val="single" w:color="auto" w:sz="4" w:space="0"/>
            </w:tcBorders>
            <w:vAlign w:val="center"/>
          </w:tcPr>
          <w:p w14:paraId="592E8880">
            <w:pPr>
              <w:pageBreakBefore w:val="0"/>
              <w:widowControl/>
              <w:kinsoku/>
              <w:wordWrap/>
              <w:overflowPunct/>
              <w:topLinePunct w:val="0"/>
              <w:bidi w:val="0"/>
              <w:spacing w:line="560" w:lineRule="atLeast"/>
              <w:ind w:firstLine="480" w:firstLineChars="20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φ25.4</w:t>
            </w:r>
          </w:p>
        </w:tc>
        <w:tc>
          <w:tcPr>
            <w:tcW w:w="3241" w:type="dxa"/>
            <w:tcBorders>
              <w:top w:val="single" w:color="auto" w:sz="4" w:space="0"/>
              <w:left w:val="nil"/>
              <w:bottom w:val="single" w:color="auto" w:sz="4" w:space="0"/>
              <w:right w:val="single" w:color="auto" w:sz="4" w:space="0"/>
            </w:tcBorders>
            <w:vAlign w:val="center"/>
          </w:tcPr>
          <w:p w14:paraId="793CA23E">
            <w:pPr>
              <w:pageBreakBefore w:val="0"/>
              <w:widowControl/>
              <w:kinsoku/>
              <w:wordWrap/>
              <w:overflowPunct/>
              <w:topLinePunct w:val="0"/>
              <w:bidi w:val="0"/>
              <w:spacing w:line="560" w:lineRule="atLeast"/>
              <w:ind w:firstLine="480" w:firstLineChars="20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25</w:t>
            </w:r>
          </w:p>
        </w:tc>
      </w:tr>
      <w:tr w14:paraId="5A461174">
        <w:tblPrEx>
          <w:tblCellMar>
            <w:top w:w="0" w:type="dxa"/>
            <w:left w:w="108" w:type="dxa"/>
            <w:bottom w:w="0" w:type="dxa"/>
            <w:right w:w="108" w:type="dxa"/>
          </w:tblCellMar>
        </w:tblPrEx>
        <w:trPr>
          <w:trHeight w:val="360" w:hRule="atLeast"/>
          <w:jc w:val="center"/>
        </w:trPr>
        <w:tc>
          <w:tcPr>
            <w:tcW w:w="2237" w:type="dxa"/>
            <w:tcBorders>
              <w:top w:val="single" w:color="auto" w:sz="4" w:space="0"/>
              <w:left w:val="single" w:color="auto" w:sz="4" w:space="0"/>
              <w:bottom w:val="single" w:color="auto" w:sz="4" w:space="0"/>
              <w:right w:val="single" w:color="auto" w:sz="4" w:space="0"/>
            </w:tcBorders>
            <w:vAlign w:val="center"/>
          </w:tcPr>
          <w:p w14:paraId="3117811F">
            <w:pPr>
              <w:pageBreakBefore w:val="0"/>
              <w:widowControl/>
              <w:kinsoku/>
              <w:wordWrap/>
              <w:overflowPunct/>
              <w:topLinePunct w:val="0"/>
              <w:bidi w:val="0"/>
              <w:spacing w:line="560" w:lineRule="atLeast"/>
              <w:ind w:firstLine="480" w:firstLineChars="20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φ28.6</w:t>
            </w:r>
          </w:p>
        </w:tc>
        <w:tc>
          <w:tcPr>
            <w:tcW w:w="3241" w:type="dxa"/>
            <w:tcBorders>
              <w:top w:val="single" w:color="auto" w:sz="4" w:space="0"/>
              <w:left w:val="nil"/>
              <w:bottom w:val="single" w:color="auto" w:sz="4" w:space="0"/>
              <w:right w:val="single" w:color="auto" w:sz="4" w:space="0"/>
            </w:tcBorders>
            <w:vAlign w:val="center"/>
          </w:tcPr>
          <w:p w14:paraId="559066D8">
            <w:pPr>
              <w:pageBreakBefore w:val="0"/>
              <w:widowControl/>
              <w:kinsoku/>
              <w:wordWrap/>
              <w:overflowPunct/>
              <w:topLinePunct w:val="0"/>
              <w:bidi w:val="0"/>
              <w:spacing w:line="560" w:lineRule="atLeast"/>
              <w:ind w:firstLine="480" w:firstLineChars="20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25</w:t>
            </w:r>
          </w:p>
        </w:tc>
      </w:tr>
      <w:tr w14:paraId="6E201504">
        <w:tblPrEx>
          <w:tblCellMar>
            <w:top w:w="0" w:type="dxa"/>
            <w:left w:w="108" w:type="dxa"/>
            <w:bottom w:w="0" w:type="dxa"/>
            <w:right w:w="108" w:type="dxa"/>
          </w:tblCellMar>
        </w:tblPrEx>
        <w:trPr>
          <w:trHeight w:val="360" w:hRule="atLeast"/>
          <w:jc w:val="center"/>
        </w:trPr>
        <w:tc>
          <w:tcPr>
            <w:tcW w:w="2237" w:type="dxa"/>
            <w:tcBorders>
              <w:top w:val="single" w:color="auto" w:sz="4" w:space="0"/>
              <w:left w:val="single" w:color="auto" w:sz="4" w:space="0"/>
              <w:bottom w:val="single" w:color="auto" w:sz="4" w:space="0"/>
              <w:right w:val="single" w:color="auto" w:sz="4" w:space="0"/>
            </w:tcBorders>
            <w:vAlign w:val="center"/>
          </w:tcPr>
          <w:p w14:paraId="2DA9D5BE">
            <w:pPr>
              <w:pageBreakBefore w:val="0"/>
              <w:widowControl/>
              <w:kinsoku/>
              <w:wordWrap/>
              <w:overflowPunct/>
              <w:topLinePunct w:val="0"/>
              <w:bidi w:val="0"/>
              <w:spacing w:line="560" w:lineRule="atLeast"/>
              <w:ind w:firstLine="480" w:firstLineChars="20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φ31.8</w:t>
            </w:r>
          </w:p>
        </w:tc>
        <w:tc>
          <w:tcPr>
            <w:tcW w:w="3241" w:type="dxa"/>
            <w:tcBorders>
              <w:top w:val="single" w:color="auto" w:sz="4" w:space="0"/>
              <w:left w:val="nil"/>
              <w:bottom w:val="single" w:color="auto" w:sz="4" w:space="0"/>
              <w:right w:val="single" w:color="auto" w:sz="4" w:space="0"/>
            </w:tcBorders>
            <w:vAlign w:val="center"/>
          </w:tcPr>
          <w:p w14:paraId="2D1B85EB">
            <w:pPr>
              <w:pageBreakBefore w:val="0"/>
              <w:widowControl/>
              <w:kinsoku/>
              <w:wordWrap/>
              <w:overflowPunct/>
              <w:topLinePunct w:val="0"/>
              <w:bidi w:val="0"/>
              <w:spacing w:line="560" w:lineRule="atLeast"/>
              <w:ind w:firstLine="480" w:firstLineChars="20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25</w:t>
            </w:r>
          </w:p>
        </w:tc>
      </w:tr>
      <w:tr w14:paraId="56BEB4F5">
        <w:tblPrEx>
          <w:tblCellMar>
            <w:top w:w="0" w:type="dxa"/>
            <w:left w:w="108" w:type="dxa"/>
            <w:bottom w:w="0" w:type="dxa"/>
            <w:right w:w="108" w:type="dxa"/>
          </w:tblCellMar>
        </w:tblPrEx>
        <w:trPr>
          <w:trHeight w:val="360" w:hRule="atLeast"/>
          <w:jc w:val="center"/>
        </w:trPr>
        <w:tc>
          <w:tcPr>
            <w:tcW w:w="2237" w:type="dxa"/>
            <w:tcBorders>
              <w:top w:val="single" w:color="auto" w:sz="4" w:space="0"/>
              <w:left w:val="single" w:color="auto" w:sz="4" w:space="0"/>
              <w:bottom w:val="single" w:color="auto" w:sz="4" w:space="0"/>
              <w:right w:val="single" w:color="auto" w:sz="4" w:space="0"/>
            </w:tcBorders>
            <w:vAlign w:val="center"/>
          </w:tcPr>
          <w:p w14:paraId="38D46EBA">
            <w:pPr>
              <w:pageBreakBefore w:val="0"/>
              <w:widowControl/>
              <w:kinsoku/>
              <w:wordWrap/>
              <w:overflowPunct/>
              <w:topLinePunct w:val="0"/>
              <w:bidi w:val="0"/>
              <w:spacing w:line="560" w:lineRule="atLeast"/>
              <w:ind w:firstLine="480" w:firstLineChars="20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φ34.9</w:t>
            </w:r>
          </w:p>
        </w:tc>
        <w:tc>
          <w:tcPr>
            <w:tcW w:w="3241" w:type="dxa"/>
            <w:tcBorders>
              <w:top w:val="single" w:color="auto" w:sz="4" w:space="0"/>
              <w:left w:val="nil"/>
              <w:bottom w:val="single" w:color="auto" w:sz="4" w:space="0"/>
              <w:right w:val="single" w:color="auto" w:sz="4" w:space="0"/>
            </w:tcBorders>
            <w:vAlign w:val="center"/>
          </w:tcPr>
          <w:p w14:paraId="23B5C711">
            <w:pPr>
              <w:pageBreakBefore w:val="0"/>
              <w:widowControl/>
              <w:kinsoku/>
              <w:wordWrap/>
              <w:overflowPunct/>
              <w:topLinePunct w:val="0"/>
              <w:bidi w:val="0"/>
              <w:spacing w:line="560" w:lineRule="atLeast"/>
              <w:ind w:firstLine="480" w:firstLineChars="20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25</w:t>
            </w:r>
          </w:p>
        </w:tc>
      </w:tr>
      <w:tr w14:paraId="31EDB23E">
        <w:tblPrEx>
          <w:tblCellMar>
            <w:top w:w="0" w:type="dxa"/>
            <w:left w:w="108" w:type="dxa"/>
            <w:bottom w:w="0" w:type="dxa"/>
            <w:right w:w="108" w:type="dxa"/>
          </w:tblCellMar>
        </w:tblPrEx>
        <w:trPr>
          <w:trHeight w:val="90" w:hRule="atLeast"/>
          <w:jc w:val="center"/>
        </w:trPr>
        <w:tc>
          <w:tcPr>
            <w:tcW w:w="2237" w:type="dxa"/>
            <w:tcBorders>
              <w:top w:val="single" w:color="auto" w:sz="4" w:space="0"/>
              <w:left w:val="single" w:color="auto" w:sz="4" w:space="0"/>
              <w:bottom w:val="single" w:color="auto" w:sz="4" w:space="0"/>
              <w:right w:val="single" w:color="auto" w:sz="4" w:space="0"/>
            </w:tcBorders>
            <w:vAlign w:val="center"/>
          </w:tcPr>
          <w:p w14:paraId="0EC2F488">
            <w:pPr>
              <w:pageBreakBefore w:val="0"/>
              <w:widowControl/>
              <w:kinsoku/>
              <w:wordWrap/>
              <w:overflowPunct/>
              <w:topLinePunct w:val="0"/>
              <w:bidi w:val="0"/>
              <w:spacing w:line="560" w:lineRule="atLeast"/>
              <w:ind w:firstLine="480" w:firstLineChars="20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φ38.1</w:t>
            </w:r>
          </w:p>
        </w:tc>
        <w:tc>
          <w:tcPr>
            <w:tcW w:w="3241" w:type="dxa"/>
            <w:tcBorders>
              <w:top w:val="single" w:color="auto" w:sz="4" w:space="0"/>
              <w:left w:val="nil"/>
              <w:bottom w:val="single" w:color="auto" w:sz="4" w:space="0"/>
              <w:right w:val="single" w:color="auto" w:sz="4" w:space="0"/>
            </w:tcBorders>
            <w:vAlign w:val="center"/>
          </w:tcPr>
          <w:p w14:paraId="2CC06F18">
            <w:pPr>
              <w:pageBreakBefore w:val="0"/>
              <w:widowControl/>
              <w:kinsoku/>
              <w:wordWrap/>
              <w:overflowPunct/>
              <w:topLinePunct w:val="0"/>
              <w:bidi w:val="0"/>
              <w:spacing w:line="560" w:lineRule="atLeast"/>
              <w:ind w:firstLine="480" w:firstLineChars="20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25</w:t>
            </w:r>
          </w:p>
        </w:tc>
      </w:tr>
      <w:tr w14:paraId="2336643B">
        <w:tblPrEx>
          <w:tblCellMar>
            <w:top w:w="0" w:type="dxa"/>
            <w:left w:w="108" w:type="dxa"/>
            <w:bottom w:w="0" w:type="dxa"/>
            <w:right w:w="108" w:type="dxa"/>
          </w:tblCellMar>
        </w:tblPrEx>
        <w:trPr>
          <w:trHeight w:val="360" w:hRule="atLeast"/>
          <w:jc w:val="center"/>
        </w:trPr>
        <w:tc>
          <w:tcPr>
            <w:tcW w:w="2237" w:type="dxa"/>
            <w:tcBorders>
              <w:top w:val="single" w:color="auto" w:sz="4" w:space="0"/>
              <w:left w:val="single" w:color="auto" w:sz="4" w:space="0"/>
              <w:bottom w:val="single" w:color="auto" w:sz="4" w:space="0"/>
              <w:right w:val="single" w:color="auto" w:sz="4" w:space="0"/>
            </w:tcBorders>
            <w:vAlign w:val="center"/>
          </w:tcPr>
          <w:p w14:paraId="3555010F">
            <w:pPr>
              <w:pageBreakBefore w:val="0"/>
              <w:widowControl/>
              <w:kinsoku/>
              <w:wordWrap/>
              <w:overflowPunct/>
              <w:topLinePunct w:val="0"/>
              <w:bidi w:val="0"/>
              <w:spacing w:line="560" w:lineRule="atLeast"/>
              <w:ind w:firstLine="480" w:firstLineChars="20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φ41.3</w:t>
            </w:r>
          </w:p>
        </w:tc>
        <w:tc>
          <w:tcPr>
            <w:tcW w:w="3241" w:type="dxa"/>
            <w:tcBorders>
              <w:top w:val="single" w:color="auto" w:sz="4" w:space="0"/>
              <w:left w:val="nil"/>
              <w:bottom w:val="single" w:color="auto" w:sz="4" w:space="0"/>
              <w:right w:val="single" w:color="auto" w:sz="4" w:space="0"/>
            </w:tcBorders>
            <w:vAlign w:val="center"/>
          </w:tcPr>
          <w:p w14:paraId="04D73351">
            <w:pPr>
              <w:pageBreakBefore w:val="0"/>
              <w:widowControl/>
              <w:kinsoku/>
              <w:wordWrap/>
              <w:overflowPunct/>
              <w:topLinePunct w:val="0"/>
              <w:bidi w:val="0"/>
              <w:spacing w:line="560" w:lineRule="atLeast"/>
              <w:ind w:firstLine="480" w:firstLineChars="200"/>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25</w:t>
            </w:r>
          </w:p>
        </w:tc>
      </w:tr>
    </w:tbl>
    <w:p w14:paraId="3FC7C15A">
      <w:pPr>
        <w:pageBreakBefore w:val="0"/>
        <w:kinsoku/>
        <w:wordWrap/>
        <w:overflowPunct/>
        <w:topLinePunct w:val="0"/>
        <w:bidi w:val="0"/>
        <w:spacing w:line="560" w:lineRule="atLeast"/>
        <w:ind w:firstLine="480" w:firstLineChars="200"/>
        <w:rPr>
          <w:rFonts w:hint="eastAsia" w:ascii="宋体" w:hAnsi="宋体" w:cs="宋体"/>
          <w:color w:val="auto"/>
          <w:sz w:val="24"/>
          <w:highlight w:val="none"/>
        </w:rPr>
      </w:pPr>
    </w:p>
    <w:p w14:paraId="67828271">
      <w:pPr>
        <w:pageBreakBefore w:val="0"/>
        <w:kinsoku/>
        <w:wordWrap/>
        <w:overflowPunct/>
        <w:topLinePunct w:val="0"/>
        <w:bidi w:val="0"/>
        <w:spacing w:line="560" w:lineRule="atLeast"/>
        <w:ind w:firstLine="640" w:firstLineChars="200"/>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3.3性能要求：</w:t>
      </w:r>
    </w:p>
    <w:p w14:paraId="0F48EECF">
      <w:pPr>
        <w:pageBreakBefore w:val="0"/>
        <w:kinsoku/>
        <w:wordWrap/>
        <w:overflowPunct/>
        <w:topLinePunct w:val="0"/>
        <w:bidi w:val="0"/>
        <w:spacing w:line="560" w:lineRule="atLeast"/>
        <w:ind w:firstLine="640" w:firstLineChars="200"/>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1）外观:产品应带自然表皮,表面无明显气泡和裂口；</w:t>
      </w:r>
    </w:p>
    <w:p w14:paraId="7211EB9E">
      <w:pPr>
        <w:pageBreakBefore w:val="0"/>
        <w:kinsoku/>
        <w:wordWrap/>
        <w:overflowPunct/>
        <w:topLinePunct w:val="0"/>
        <w:bidi w:val="0"/>
        <w:spacing w:line="560" w:lineRule="atLeast"/>
        <w:ind w:firstLine="640" w:firstLineChars="200"/>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2）表观密度:≤65kg/m3；</w:t>
      </w:r>
    </w:p>
    <w:p w14:paraId="3E0C2D70">
      <w:pPr>
        <w:pageBreakBefore w:val="0"/>
        <w:kinsoku/>
        <w:wordWrap/>
        <w:overflowPunct/>
        <w:topLinePunct w:val="0"/>
        <w:bidi w:val="0"/>
        <w:spacing w:line="560" w:lineRule="atLeast"/>
        <w:ind w:firstLine="640" w:firstLineChars="200"/>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3）燃烧性能：</w:t>
      </w:r>
    </w:p>
    <w:p w14:paraId="4904E4C6">
      <w:pPr>
        <w:pageBreakBefore w:val="0"/>
        <w:kinsoku/>
        <w:wordWrap/>
        <w:overflowPunct/>
        <w:topLinePunct w:val="0"/>
        <w:bidi w:val="0"/>
        <w:spacing w:line="560" w:lineRule="atLeast"/>
        <w:ind w:firstLine="640" w:firstLineChars="200"/>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燃烧等级B1级(GB8624-2006《建筑材料及制品燃烧性能分级》)；</w:t>
      </w:r>
    </w:p>
    <w:p w14:paraId="6A8D96AE">
      <w:pPr>
        <w:pageBreakBefore w:val="0"/>
        <w:kinsoku/>
        <w:wordWrap/>
        <w:overflowPunct/>
        <w:topLinePunct w:val="0"/>
        <w:bidi w:val="0"/>
        <w:spacing w:line="560" w:lineRule="atLeast"/>
        <w:ind w:firstLine="640" w:firstLineChars="200"/>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氧指数&gt;39%；</w:t>
      </w:r>
    </w:p>
    <w:p w14:paraId="53524E09">
      <w:pPr>
        <w:pageBreakBefore w:val="0"/>
        <w:kinsoku/>
        <w:wordWrap/>
        <w:overflowPunct/>
        <w:topLinePunct w:val="0"/>
        <w:bidi w:val="0"/>
        <w:spacing w:line="560" w:lineRule="atLeast"/>
        <w:ind w:firstLine="640" w:firstLineChars="200"/>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4）湿阻因子≥10000；</w:t>
      </w:r>
    </w:p>
    <w:p w14:paraId="10EA7511">
      <w:pPr>
        <w:pageBreakBefore w:val="0"/>
        <w:kinsoku/>
        <w:wordWrap/>
        <w:overflowPunct/>
        <w:topLinePunct w:val="0"/>
        <w:bidi w:val="0"/>
        <w:spacing w:line="560" w:lineRule="atLeast"/>
        <w:ind w:firstLine="640" w:firstLineChars="200"/>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5）导热系数：≤0.032W/m.K,平均温度0℃；≤0.039W/m.K,平均温度40℃；</w:t>
      </w:r>
    </w:p>
    <w:p w14:paraId="05CF64EA">
      <w:pPr>
        <w:pageBreakBefore w:val="0"/>
        <w:kinsoku/>
        <w:wordWrap/>
        <w:overflowPunct/>
        <w:topLinePunct w:val="0"/>
        <w:bidi w:val="0"/>
        <w:spacing w:line="560" w:lineRule="atLeast"/>
        <w:ind w:firstLine="640" w:firstLineChars="200"/>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6）真空吸水率：≤10%；</w:t>
      </w:r>
    </w:p>
    <w:p w14:paraId="70206EFE">
      <w:pPr>
        <w:pageBreakBefore w:val="0"/>
        <w:kinsoku/>
        <w:wordWrap/>
        <w:overflowPunct/>
        <w:topLinePunct w:val="0"/>
        <w:bidi w:val="0"/>
        <w:spacing w:line="560" w:lineRule="atLeast"/>
        <w:ind w:firstLine="640" w:firstLineChars="200"/>
        <w:rPr>
          <w:rFonts w:hint="eastAsia" w:ascii="仿宋" w:hAnsi="仿宋" w:eastAsia="仿宋" w:cs="仿宋"/>
          <w:color w:val="auto"/>
          <w:kern w:val="2"/>
          <w:sz w:val="32"/>
          <w:szCs w:val="32"/>
          <w:highlight w:val="none"/>
          <w:lang w:val="en-US" w:eastAsia="zh-CN" w:bidi="ar-SA"/>
        </w:rPr>
      </w:pPr>
      <w:r>
        <w:rPr>
          <w:rFonts w:hint="eastAsia" w:ascii="仿宋" w:hAnsi="仿宋" w:eastAsia="仿宋" w:cs="仿宋"/>
          <w:color w:val="auto"/>
          <w:kern w:val="2"/>
          <w:sz w:val="32"/>
          <w:szCs w:val="32"/>
          <w:highlight w:val="none"/>
          <w:lang w:val="en-US" w:eastAsia="zh-CN" w:bidi="ar-SA"/>
        </w:rPr>
        <w:t>7）尺寸稳定性：条件105℃±3℃，7d时，≤10%；</w:t>
      </w:r>
    </w:p>
    <w:p w14:paraId="53F1A9C2">
      <w:pPr>
        <w:pageBreakBefore w:val="0"/>
        <w:kinsoku/>
        <w:wordWrap/>
        <w:overflowPunct/>
        <w:topLinePunct w:val="0"/>
        <w:bidi w:val="0"/>
        <w:spacing w:line="560" w:lineRule="atLeast"/>
        <w:ind w:firstLine="640" w:firstLineChars="200"/>
        <w:rPr>
          <w:rFonts w:hint="eastAsia" w:ascii="仿宋" w:hAnsi="仿宋" w:eastAsia="仿宋" w:cs="仿宋"/>
          <w:color w:val="auto"/>
          <w:sz w:val="32"/>
          <w:szCs w:val="32"/>
          <w:highlight w:val="none"/>
        </w:rPr>
      </w:pPr>
      <w:r>
        <w:rPr>
          <w:rFonts w:hint="eastAsia" w:ascii="仿宋" w:hAnsi="仿宋" w:eastAsia="仿宋" w:cs="仿宋"/>
          <w:color w:val="auto"/>
          <w:kern w:val="2"/>
          <w:sz w:val="32"/>
          <w:szCs w:val="32"/>
          <w:highlight w:val="none"/>
          <w:lang w:val="en-US" w:eastAsia="zh-CN" w:bidi="ar-SA"/>
        </w:rPr>
        <w:t>8）压缩回弹率：条件：压缩率50%，压缩时间72h时，≥80%。</w:t>
      </w:r>
    </w:p>
    <w:p w14:paraId="739BF57E">
      <w:pPr>
        <w:pStyle w:val="3"/>
        <w:pageBreakBefore w:val="0"/>
        <w:kinsoku/>
        <w:wordWrap/>
        <w:overflowPunct/>
        <w:topLinePunct w:val="0"/>
        <w:bidi w:val="0"/>
        <w:spacing w:line="560" w:lineRule="atLeast"/>
        <w:rPr>
          <w:rFonts w:hint="default" w:ascii="仿宋" w:hAnsi="仿宋" w:eastAsia="方正黑体_GBK" w:cs="仿宋"/>
          <w:color w:val="auto"/>
          <w:sz w:val="32"/>
          <w:szCs w:val="32"/>
          <w:highlight w:val="none"/>
          <w:lang w:val="en-US" w:eastAsia="zh-CN"/>
        </w:rPr>
      </w:pPr>
      <w:bookmarkStart w:id="55" w:name="_Toc154259291"/>
      <w:bookmarkStart w:id="56" w:name="_Toc19784"/>
      <w:bookmarkStart w:id="57" w:name="_Toc20117_WPSOffice_Level1"/>
      <w:r>
        <w:rPr>
          <w:rFonts w:hint="eastAsia"/>
          <w:color w:val="auto"/>
          <w:highlight w:val="none"/>
        </w:rPr>
        <w:t>五、</w:t>
      </w:r>
      <w:bookmarkEnd w:id="55"/>
      <w:r>
        <w:rPr>
          <w:rFonts w:hint="eastAsia"/>
          <w:color w:val="auto"/>
          <w:highlight w:val="none"/>
          <w:lang w:val="en-US" w:eastAsia="zh-CN"/>
        </w:rPr>
        <w:t>安装技术要求</w:t>
      </w:r>
      <w:bookmarkEnd w:id="56"/>
    </w:p>
    <w:p w14:paraId="5222BAA3">
      <w:pPr>
        <w:pageBreakBefore w:val="0"/>
        <w:kinsoku/>
        <w:wordWrap/>
        <w:overflowPunct/>
        <w:topLinePunct w:val="0"/>
        <w:bidi w:val="0"/>
        <w:adjustRightInd w:val="0"/>
        <w:snapToGrid w:val="0"/>
        <w:spacing w:line="560" w:lineRule="atLeast"/>
        <w:ind w:firstLine="643" w:firstLineChars="200"/>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（一）安装作业技术要求</w:t>
      </w:r>
    </w:p>
    <w:p w14:paraId="381A14E9">
      <w:pPr>
        <w:pageBreakBefore w:val="0"/>
        <w:kinsoku/>
        <w:wordWrap/>
        <w:overflowPunct/>
        <w:topLinePunct w:val="0"/>
        <w:bidi w:val="0"/>
        <w:adjustRightInd w:val="0"/>
        <w:snapToGrid w:val="0"/>
        <w:spacing w:line="560" w:lineRule="atLeast"/>
        <w:ind w:firstLine="640" w:firstLineChars="200"/>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1、项目的安装应执行本招标文件所列的技术规范、技术标准以及监理工程师认为必要采用的其他规范及标准；</w:t>
      </w:r>
    </w:p>
    <w:p w14:paraId="10A8B2CE">
      <w:pPr>
        <w:pageBreakBefore w:val="0"/>
        <w:kinsoku/>
        <w:wordWrap/>
        <w:overflowPunct/>
        <w:topLinePunct w:val="0"/>
        <w:bidi w:val="0"/>
        <w:adjustRightInd w:val="0"/>
        <w:snapToGrid w:val="0"/>
        <w:spacing w:line="560" w:lineRule="atLeast"/>
        <w:ind w:firstLine="640" w:firstLineChars="200"/>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2、安装应以设计图纸为依据，按图纸的规定及要求进行施工，对图纸的任何变更，均应报招标人批准；</w:t>
      </w:r>
    </w:p>
    <w:p w14:paraId="186DEDF6">
      <w:pPr>
        <w:pageBreakBefore w:val="0"/>
        <w:kinsoku/>
        <w:wordWrap/>
        <w:overflowPunct/>
        <w:topLinePunct w:val="0"/>
        <w:bidi w:val="0"/>
        <w:adjustRightInd w:val="0"/>
        <w:snapToGrid w:val="0"/>
        <w:spacing w:line="560" w:lineRule="atLeast"/>
        <w:ind w:firstLine="640" w:firstLineChars="200"/>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3、安装应积极采用新技术、新材料、新工艺，同时应采取慎重负责的态度，在充分了解及研究的基础上，选用适合本工程的新技术、新材料和新工艺，在严格按产品说明及相关技术规范施工，必要时可先做小规模实验或示范；</w:t>
      </w:r>
    </w:p>
    <w:p w14:paraId="64B6DB6F">
      <w:pPr>
        <w:pageBreakBefore w:val="0"/>
        <w:kinsoku/>
        <w:wordWrap/>
        <w:overflowPunct/>
        <w:topLinePunct w:val="0"/>
        <w:bidi w:val="0"/>
        <w:adjustRightInd w:val="0"/>
        <w:snapToGrid w:val="0"/>
        <w:spacing w:line="560" w:lineRule="atLeast"/>
        <w:ind w:firstLine="640" w:firstLineChars="200"/>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4、所有设备的安装及调试应严格满足产品技术文件的规定及要求并在供货商指派的技术人员的指导下进行；</w:t>
      </w:r>
    </w:p>
    <w:p w14:paraId="01662C88">
      <w:pPr>
        <w:pageBreakBefore w:val="0"/>
        <w:kinsoku/>
        <w:wordWrap/>
        <w:overflowPunct/>
        <w:topLinePunct w:val="0"/>
        <w:bidi w:val="0"/>
        <w:adjustRightInd w:val="0"/>
        <w:snapToGrid w:val="0"/>
        <w:spacing w:line="560" w:lineRule="atLeast"/>
        <w:ind w:firstLine="640" w:firstLineChars="200"/>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5、冷媒管道系统气密试验需按下列步骤进行：</w:t>
      </w:r>
    </w:p>
    <w:p w14:paraId="56FE5E8B">
      <w:pPr>
        <w:pageBreakBefore w:val="0"/>
        <w:kinsoku/>
        <w:wordWrap/>
        <w:overflowPunct/>
        <w:topLinePunct w:val="0"/>
        <w:bidi w:val="0"/>
        <w:adjustRightInd w:val="0"/>
        <w:snapToGrid w:val="0"/>
        <w:spacing w:line="560" w:lineRule="atLeast"/>
        <w:ind w:firstLine="640" w:firstLineChars="200"/>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5.1正压试验步骤：</w:t>
      </w:r>
    </w:p>
    <w:p w14:paraId="4FDE2DD1">
      <w:pPr>
        <w:pageBreakBefore w:val="0"/>
        <w:kinsoku/>
        <w:wordWrap/>
        <w:overflowPunct/>
        <w:topLinePunct w:val="0"/>
        <w:bidi w:val="0"/>
        <w:adjustRightInd w:val="0"/>
        <w:snapToGrid w:val="0"/>
        <w:spacing w:line="560" w:lineRule="atLeast"/>
        <w:ind w:firstLine="640" w:firstLineChars="200"/>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A.室外机和室内机安装完毕后，进行连接铜管的配管，对需要焊接的接口进行打磨处理，采用氮气保护焊接,焊接完毕后加入氮气，加到0.5MPa时，停止加压，放置5分钟，确认压力是否有明显降低，同时用发泡实验液进行泄漏点检查。</w:t>
      </w:r>
    </w:p>
    <w:p w14:paraId="26F6A330">
      <w:pPr>
        <w:pageBreakBefore w:val="0"/>
        <w:kinsoku/>
        <w:wordWrap/>
        <w:overflowPunct/>
        <w:topLinePunct w:val="0"/>
        <w:bidi w:val="0"/>
        <w:adjustRightInd w:val="0"/>
        <w:snapToGrid w:val="0"/>
        <w:spacing w:line="560" w:lineRule="atLeast"/>
        <w:ind w:firstLine="640" w:firstLineChars="200"/>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B.然后加压至1.5MPa，在放置60分钟，确认压力是否有降低。</w:t>
      </w:r>
    </w:p>
    <w:p w14:paraId="7D203258">
      <w:pPr>
        <w:pageBreakBefore w:val="0"/>
        <w:kinsoku/>
        <w:wordWrap/>
        <w:overflowPunct/>
        <w:topLinePunct w:val="0"/>
        <w:bidi w:val="0"/>
        <w:adjustRightInd w:val="0"/>
        <w:snapToGrid w:val="0"/>
        <w:spacing w:line="560" w:lineRule="atLeast"/>
        <w:ind w:firstLine="640" w:firstLineChars="200"/>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C.加至规定的压力(4.0MPa)，记录周围的温度和压力，记录时间为上午一次，下午一次。</w:t>
      </w:r>
    </w:p>
    <w:p w14:paraId="4C949CE1">
      <w:pPr>
        <w:pageBreakBefore w:val="0"/>
        <w:kinsoku/>
        <w:wordWrap/>
        <w:overflowPunct/>
        <w:topLinePunct w:val="0"/>
        <w:bidi w:val="0"/>
        <w:adjustRightInd w:val="0"/>
        <w:snapToGrid w:val="0"/>
        <w:spacing w:line="560" w:lineRule="atLeast"/>
        <w:ind w:firstLine="640" w:firstLineChars="200"/>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D.保压15天，根据温度和压力记录的情况，如果压力不降低则为合格。这时周围的温度有1℃的变化，压力有0.01MPa的变化要进行修正。</w:t>
      </w:r>
    </w:p>
    <w:p w14:paraId="269E5E96">
      <w:pPr>
        <w:pageBreakBefore w:val="0"/>
        <w:kinsoku/>
        <w:wordWrap/>
        <w:overflowPunct/>
        <w:topLinePunct w:val="0"/>
        <w:bidi w:val="0"/>
        <w:adjustRightInd w:val="0"/>
        <w:snapToGrid w:val="0"/>
        <w:spacing w:line="560" w:lineRule="atLeast"/>
        <w:ind w:firstLine="640" w:firstLineChars="200"/>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E.通过以上确认,如果确实有压力降低的情况，就是有泄漏，在焊接处，扩口部等用发泡试验液检查泄漏点进行修正，修正后再做气密试验。</w:t>
      </w:r>
    </w:p>
    <w:p w14:paraId="22358DD7">
      <w:pPr>
        <w:pageBreakBefore w:val="0"/>
        <w:kinsoku/>
        <w:wordWrap/>
        <w:overflowPunct/>
        <w:topLinePunct w:val="0"/>
        <w:bidi w:val="0"/>
        <w:adjustRightInd w:val="0"/>
        <w:snapToGrid w:val="0"/>
        <w:spacing w:line="560" w:lineRule="atLeast"/>
        <w:ind w:firstLine="640" w:firstLineChars="200"/>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5.2真空试验步骤：按规范执行。</w:t>
      </w:r>
    </w:p>
    <w:p w14:paraId="125FB350">
      <w:pPr>
        <w:pageBreakBefore w:val="0"/>
        <w:kinsoku/>
        <w:wordWrap/>
        <w:overflowPunct/>
        <w:topLinePunct w:val="0"/>
        <w:bidi w:val="0"/>
        <w:adjustRightInd w:val="0"/>
        <w:snapToGrid w:val="0"/>
        <w:spacing w:line="560" w:lineRule="atLeast"/>
        <w:ind w:firstLine="640" w:firstLineChars="200"/>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6、所有管道、管路阀门应按设计编号设置标签。标签位置：管道、阀门的操作面。标签应统一规格。不同系统的标签应有区别。标签文字应为印刷体，具备永久性的防脱落、防水、防高温、防腐蚀等性能；</w:t>
      </w:r>
    </w:p>
    <w:p w14:paraId="1100738B">
      <w:pPr>
        <w:pageBreakBefore w:val="0"/>
        <w:kinsoku/>
        <w:wordWrap/>
        <w:overflowPunct/>
        <w:topLinePunct w:val="0"/>
        <w:bidi w:val="0"/>
        <w:adjustRightInd w:val="0"/>
        <w:snapToGrid w:val="0"/>
        <w:spacing w:line="560" w:lineRule="atLeast"/>
        <w:ind w:firstLine="640" w:firstLineChars="200"/>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7、各种管道、装置的安装应充分考虑管线的综合布设及安装，采用先进适用、适当统一的安装工艺及方法，避免吊装件、支撑件杂乱无章。</w:t>
      </w:r>
    </w:p>
    <w:p w14:paraId="77A8442B">
      <w:pPr>
        <w:pageBreakBefore w:val="0"/>
        <w:kinsoku/>
        <w:wordWrap/>
        <w:overflowPunct/>
        <w:topLinePunct w:val="0"/>
        <w:bidi w:val="0"/>
        <w:adjustRightInd w:val="0"/>
        <w:snapToGrid w:val="0"/>
        <w:spacing w:line="560" w:lineRule="atLeast"/>
        <w:ind w:firstLine="643" w:firstLineChars="200"/>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（二）设备、材料的要求</w:t>
      </w:r>
    </w:p>
    <w:p w14:paraId="3076D9C2">
      <w:pPr>
        <w:pageBreakBefore w:val="0"/>
        <w:kinsoku/>
        <w:wordWrap/>
        <w:overflowPunct/>
        <w:topLinePunct w:val="0"/>
        <w:bidi w:val="0"/>
        <w:adjustRightInd w:val="0"/>
        <w:snapToGrid w:val="0"/>
        <w:spacing w:line="560" w:lineRule="atLeast"/>
        <w:ind w:firstLine="640" w:firstLineChars="200"/>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1、投标人所提供的设备、材料必须满足国家的环保、消防、安全和机械制造的相关标准、规范，并严格按现行的设计、制造的各项标准及技术规范要求进行选材、制造；</w:t>
      </w:r>
    </w:p>
    <w:p w14:paraId="561B14C9">
      <w:pPr>
        <w:pageBreakBefore w:val="0"/>
        <w:kinsoku/>
        <w:wordWrap/>
        <w:overflowPunct/>
        <w:topLinePunct w:val="0"/>
        <w:bidi w:val="0"/>
        <w:adjustRightInd w:val="0"/>
        <w:snapToGrid w:val="0"/>
        <w:spacing w:line="560" w:lineRule="atLeast"/>
        <w:ind w:firstLine="640" w:firstLineChars="200"/>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2、投标人应充分考虑到设备的使用特性，所提供的设备、部件或产品须耐腐蚀或表面进行防腐工艺处理，以保证空调系统设备有足够的使用寿命；</w:t>
      </w:r>
    </w:p>
    <w:p w14:paraId="28F5E305">
      <w:pPr>
        <w:pageBreakBefore w:val="0"/>
        <w:kinsoku/>
        <w:wordWrap/>
        <w:overflowPunct/>
        <w:topLinePunct w:val="0"/>
        <w:bidi w:val="0"/>
        <w:adjustRightInd w:val="0"/>
        <w:snapToGrid w:val="0"/>
        <w:spacing w:line="560" w:lineRule="atLeast"/>
        <w:ind w:firstLine="640" w:firstLineChars="200"/>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3、投标人必须严格遵照国家现行的设计、制造标准和规范要求，采用国内外同行业中近年内的先进制造工艺、新材料及新技术，以保证所提供的设备质量和性能达到国内领先水平；</w:t>
      </w:r>
    </w:p>
    <w:p w14:paraId="0768E59F">
      <w:pPr>
        <w:pageBreakBefore w:val="0"/>
        <w:kinsoku/>
        <w:wordWrap/>
        <w:overflowPunct/>
        <w:topLinePunct w:val="0"/>
        <w:bidi w:val="0"/>
        <w:adjustRightInd w:val="0"/>
        <w:snapToGrid w:val="0"/>
        <w:spacing w:line="560" w:lineRule="atLeast"/>
        <w:ind w:firstLine="640" w:firstLineChars="200"/>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4、若招标方对中标方在施工过程中提供的材料（部件）等有疑问时，须按照业主要求提供相关检测报告；</w:t>
      </w:r>
    </w:p>
    <w:p w14:paraId="13424E25">
      <w:pPr>
        <w:pageBreakBefore w:val="0"/>
        <w:kinsoku/>
        <w:wordWrap/>
        <w:overflowPunct/>
        <w:topLinePunct w:val="0"/>
        <w:bidi w:val="0"/>
        <w:adjustRightInd w:val="0"/>
        <w:snapToGrid w:val="0"/>
        <w:spacing w:line="560" w:lineRule="atLeast"/>
        <w:ind w:firstLine="640" w:firstLineChars="200"/>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5、中标方所提供的设备、材料及辅材必须满足招标文件及有关部门的要求并取得有关使用的许可证或质量检测合格证，若因此存在的问题影响验收，必须由中标人无条件整改直至符合要求为止，一切损失及所产生的费用由中标人负责。</w:t>
      </w:r>
    </w:p>
    <w:p w14:paraId="2DCF2865">
      <w:pPr>
        <w:pStyle w:val="3"/>
        <w:pageBreakBefore w:val="0"/>
        <w:kinsoku/>
        <w:wordWrap/>
        <w:overflowPunct/>
        <w:topLinePunct w:val="0"/>
        <w:bidi w:val="0"/>
        <w:spacing w:line="560" w:lineRule="atLeast"/>
        <w:rPr>
          <w:rFonts w:hint="eastAsia"/>
          <w:color w:val="auto"/>
          <w:highlight w:val="none"/>
        </w:rPr>
      </w:pPr>
      <w:bookmarkStart w:id="58" w:name="_Toc154259292"/>
      <w:bookmarkStart w:id="59" w:name="_Toc1674"/>
      <w:r>
        <w:rPr>
          <w:rFonts w:hint="eastAsia"/>
          <w:color w:val="auto"/>
          <w:highlight w:val="none"/>
        </w:rPr>
        <w:t>六、</w:t>
      </w:r>
      <w:bookmarkEnd w:id="57"/>
      <w:bookmarkEnd w:id="58"/>
      <w:bookmarkStart w:id="60" w:name="_Toc928_WPSOffice_Level1"/>
      <w:bookmarkStart w:id="61" w:name="_Toc29270"/>
      <w:bookmarkStart w:id="62" w:name="_Toc154259293"/>
      <w:r>
        <w:rPr>
          <w:rFonts w:hint="eastAsia"/>
          <w:color w:val="auto"/>
          <w:highlight w:val="none"/>
        </w:rPr>
        <w:t>质量</w:t>
      </w:r>
      <w:bookmarkEnd w:id="60"/>
      <w:bookmarkEnd w:id="61"/>
      <w:r>
        <w:rPr>
          <w:rFonts w:hint="eastAsia"/>
          <w:color w:val="auto"/>
          <w:highlight w:val="none"/>
          <w:lang w:val="en-US" w:eastAsia="zh-CN"/>
        </w:rPr>
        <w:t>保修</w:t>
      </w:r>
      <w:r>
        <w:rPr>
          <w:rFonts w:hint="eastAsia"/>
          <w:color w:val="auto"/>
          <w:highlight w:val="none"/>
        </w:rPr>
        <w:t>要求</w:t>
      </w:r>
      <w:bookmarkEnd w:id="59"/>
      <w:bookmarkEnd w:id="62"/>
    </w:p>
    <w:p w14:paraId="28F144AA">
      <w:pPr>
        <w:keepNext w:val="0"/>
        <w:keepLines w:val="0"/>
        <w:pageBreakBefore w:val="0"/>
        <w:widowControl w:val="0"/>
        <w:kinsoku/>
        <w:wordWrap/>
        <w:overflowPunct/>
        <w:topLinePunct w:val="0"/>
        <w:autoSpaceDE/>
        <w:autoSpaceDN/>
        <w:bidi w:val="0"/>
        <w:spacing w:line="560" w:lineRule="atLeast"/>
        <w:ind w:firstLine="640" w:firstLineChars="200"/>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（一）本工程质保期36个月及以上（系统验收合格之日起算）。</w:t>
      </w:r>
    </w:p>
    <w:p w14:paraId="22AA183C">
      <w:pPr>
        <w:keepNext w:val="0"/>
        <w:keepLines w:val="0"/>
        <w:pageBreakBefore w:val="0"/>
        <w:widowControl w:val="0"/>
        <w:kinsoku/>
        <w:wordWrap/>
        <w:overflowPunct/>
        <w:topLinePunct w:val="0"/>
        <w:autoSpaceDE/>
        <w:autoSpaceDN/>
        <w:bidi w:val="0"/>
        <w:spacing w:line="560" w:lineRule="atLeast"/>
        <w:ind w:firstLine="640" w:firstLineChars="200"/>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（二）在质保期内，设备出现质量问题供货商需负责处理解决，所发生的费用均由供货商负担。</w:t>
      </w:r>
    </w:p>
    <w:p w14:paraId="0CD4AB80">
      <w:pPr>
        <w:keepNext w:val="0"/>
        <w:keepLines w:val="0"/>
        <w:pageBreakBefore w:val="0"/>
        <w:widowControl w:val="0"/>
        <w:kinsoku/>
        <w:wordWrap/>
        <w:overflowPunct/>
        <w:topLinePunct w:val="0"/>
        <w:autoSpaceDE/>
        <w:autoSpaceDN/>
        <w:bidi w:val="0"/>
        <w:spacing w:line="560" w:lineRule="atLeast"/>
        <w:ind w:firstLine="640" w:firstLineChars="200"/>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（三）质保期外收取一定的维修成本费，如需更换关键部件，供货商也本着先解决问题，再谈价格的方式，以最快方式将新零部件送达。</w:t>
      </w:r>
    </w:p>
    <w:p w14:paraId="5044DDBD">
      <w:pPr>
        <w:keepNext w:val="0"/>
        <w:keepLines w:val="0"/>
        <w:pageBreakBefore w:val="0"/>
        <w:widowControl w:val="0"/>
        <w:kinsoku/>
        <w:wordWrap/>
        <w:overflowPunct/>
        <w:topLinePunct w:val="0"/>
        <w:autoSpaceDE/>
        <w:autoSpaceDN/>
        <w:bidi w:val="0"/>
        <w:spacing w:line="560" w:lineRule="atLeast"/>
        <w:ind w:firstLine="640" w:firstLineChars="200"/>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四）在质保期内，中标人应负责维修及更换损坏的设备及零部件（含冷媒），并承担全部费用。空调系统出现故障2小时内响应，8小时到达现场解决故障。如果中标人在收到通知后8小时内没有到达招标人现场进行维修，招标人可采取必要的补救措施，但风险和费用由中标人承担。</w:t>
      </w:r>
    </w:p>
    <w:p w14:paraId="3446FD2F">
      <w:pPr>
        <w:keepNext w:val="0"/>
        <w:keepLines w:val="0"/>
        <w:pageBreakBefore w:val="0"/>
        <w:widowControl w:val="0"/>
        <w:kinsoku/>
        <w:wordWrap/>
        <w:overflowPunct/>
        <w:topLinePunct w:val="0"/>
        <w:autoSpaceDE/>
        <w:autoSpaceDN/>
        <w:bidi w:val="0"/>
        <w:spacing w:line="560" w:lineRule="atLeast"/>
        <w:ind w:firstLine="640" w:firstLineChars="200"/>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（五）售后响应速度及时，应有24小时售后服务专线。</w:t>
      </w:r>
    </w:p>
    <w:p w14:paraId="7EBF0538">
      <w:pPr>
        <w:keepNext w:val="0"/>
        <w:keepLines w:val="0"/>
        <w:pageBreakBefore w:val="0"/>
        <w:widowControl w:val="0"/>
        <w:kinsoku/>
        <w:wordWrap/>
        <w:overflowPunct/>
        <w:topLinePunct w:val="0"/>
        <w:autoSpaceDE/>
        <w:autoSpaceDN/>
        <w:bidi w:val="0"/>
        <w:spacing w:line="560" w:lineRule="atLeast"/>
        <w:ind w:firstLine="640" w:firstLineChars="200"/>
        <w:textAlignment w:val="auto"/>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（六）投标产品的生产厂家，在本地应设有售后服务机构及常用备品备件仓库，能够快速及时准确地应对售后服务需求。</w:t>
      </w:r>
    </w:p>
    <w:p w14:paraId="70D06A88">
      <w:pPr>
        <w:keepNext w:val="0"/>
        <w:keepLines w:val="0"/>
        <w:pageBreakBefore w:val="0"/>
        <w:widowControl w:val="0"/>
        <w:kinsoku/>
        <w:wordWrap/>
        <w:overflowPunct/>
        <w:topLinePunct w:val="0"/>
        <w:autoSpaceDE/>
        <w:autoSpaceDN/>
        <w:bidi w:val="0"/>
        <w:spacing w:line="560" w:lineRule="atLeast"/>
        <w:ind w:firstLine="640" w:firstLineChars="200"/>
        <w:textAlignment w:val="auto"/>
        <w:rPr>
          <w:rFonts w:hint="eastAsia"/>
          <w:color w:val="auto"/>
          <w:highlight w:val="none"/>
          <w:lang w:val="en-US" w:eastAsia="zh-CN"/>
        </w:rPr>
      </w:pPr>
      <w:r>
        <w:rPr>
          <w:rFonts w:hint="eastAsia" w:ascii="仿宋" w:hAnsi="仿宋" w:eastAsia="仿宋" w:cs="仿宋"/>
          <w:color w:val="auto"/>
          <w:sz w:val="32"/>
          <w:szCs w:val="32"/>
          <w:highlight w:val="none"/>
          <w:lang w:val="en-US" w:eastAsia="zh-CN"/>
        </w:rPr>
        <w:t>（七）负责对需方技术管理人员、操作人员、维修人员进行结构原理、性能、操作、维修、故障排除等基本知识的培训，使需方人员至一定熟练度，由双方人员认可。</w:t>
      </w:r>
    </w:p>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3BFA81E6-2762-4CF6-AE02-A1DE4EDC1BE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黑体_GBK">
    <w:panose1 w:val="03000509000000000000"/>
    <w:charset w:val="86"/>
    <w:family w:val="auto"/>
    <w:pitch w:val="default"/>
    <w:sig w:usb0="00000001" w:usb1="080E0000" w:usb2="00000000" w:usb3="00000000" w:csb0="00040000" w:csb1="00000000"/>
    <w:embedRegular r:id="rId2" w:fontKey="{E60CFEB9-18D7-441C-801C-CC1F36244018}"/>
  </w:font>
  <w:font w:name="仿宋">
    <w:panose1 w:val="02010609060101010101"/>
    <w:charset w:val="86"/>
    <w:family w:val="modern"/>
    <w:pitch w:val="default"/>
    <w:sig w:usb0="800002BF" w:usb1="38CF7CFA" w:usb2="00000016" w:usb3="00000000" w:csb0="00040001" w:csb1="00000000"/>
    <w:embedRegular r:id="rId3" w:fontKey="{78A81366-CEEF-47EB-B2CD-ED9E241EB574}"/>
  </w:font>
  <w:font w:name="方正楷体_GBK">
    <w:altName w:val="微软雅黑"/>
    <w:panose1 w:val="03000509000000000000"/>
    <w:charset w:val="86"/>
    <w:family w:val="auto"/>
    <w:pitch w:val="default"/>
    <w:sig w:usb0="00000000" w:usb1="00000000" w:usb2="00000000" w:usb3="00000000" w:csb0="00040000" w:csb1="00000000"/>
  </w:font>
  <w:font w:name="仿宋_GB2312">
    <w:panose1 w:val="02010609030101010101"/>
    <w:charset w:val="86"/>
    <w:family w:val="auto"/>
    <w:pitch w:val="default"/>
    <w:sig w:usb0="00000001" w:usb1="080E0000" w:usb2="00000000" w:usb3="00000000" w:csb0="00040000" w:csb1="00000000"/>
    <w:embedRegular r:id="rId4" w:fontKey="{0145C41F-918E-4624-B266-FE3F3D92F7C3}"/>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C620D5">
    <w:pPr>
      <w:pStyle w:val="1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51C81E">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851C81E">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FA5829"/>
    <w:multiLevelType w:val="singleLevel"/>
    <w:tmpl w:val="86FA5829"/>
    <w:lvl w:ilvl="0" w:tentative="0">
      <w:start w:val="3"/>
      <w:numFmt w:val="chineseCounting"/>
      <w:suff w:val="nothing"/>
      <w:lvlText w:val="%1、"/>
      <w:lvlJc w:val="left"/>
      <w:pPr>
        <w:ind w:left="-10"/>
      </w:pPr>
      <w:rPr>
        <w:rFonts w:hint="eastAsia"/>
      </w:rPr>
    </w:lvl>
  </w:abstractNum>
  <w:abstractNum w:abstractNumId="1">
    <w:nsid w:val="CE5FF568"/>
    <w:multiLevelType w:val="singleLevel"/>
    <w:tmpl w:val="CE5FF568"/>
    <w:lvl w:ilvl="0" w:tentative="0">
      <w:start w:val="1"/>
      <w:numFmt w:val="chineseCounting"/>
      <w:pStyle w:val="4"/>
      <w:suff w:val="nothing"/>
      <w:lvlText w:val="（%1）"/>
      <w:lvlJc w:val="left"/>
      <w:pPr>
        <w:ind w:left="-420" w:firstLine="420"/>
      </w:pPr>
      <w:rPr>
        <w:rFonts w:hint="eastAsia"/>
      </w:rPr>
    </w:lvl>
  </w:abstractNum>
  <w:abstractNum w:abstractNumId="2">
    <w:nsid w:val="D80D5AA0"/>
    <w:multiLevelType w:val="singleLevel"/>
    <w:tmpl w:val="D80D5AA0"/>
    <w:lvl w:ilvl="0" w:tentative="0">
      <w:start w:val="2"/>
      <w:numFmt w:val="chineseCounting"/>
      <w:suff w:val="nothing"/>
      <w:lvlText w:val="（%1）"/>
      <w:lvlJc w:val="left"/>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B25FB"/>
    <w:rsid w:val="00286C1B"/>
    <w:rsid w:val="002B1257"/>
    <w:rsid w:val="00331B8E"/>
    <w:rsid w:val="00440D94"/>
    <w:rsid w:val="00613987"/>
    <w:rsid w:val="006A2340"/>
    <w:rsid w:val="00843B78"/>
    <w:rsid w:val="00A114A0"/>
    <w:rsid w:val="00B4244A"/>
    <w:rsid w:val="00B5557D"/>
    <w:rsid w:val="00BB7625"/>
    <w:rsid w:val="00BE4DEF"/>
    <w:rsid w:val="00EA604A"/>
    <w:rsid w:val="00F410B1"/>
    <w:rsid w:val="00F465C9"/>
    <w:rsid w:val="01066511"/>
    <w:rsid w:val="01105295"/>
    <w:rsid w:val="01132DD0"/>
    <w:rsid w:val="01197792"/>
    <w:rsid w:val="0138330A"/>
    <w:rsid w:val="014A5501"/>
    <w:rsid w:val="014E045D"/>
    <w:rsid w:val="01657999"/>
    <w:rsid w:val="016E1E01"/>
    <w:rsid w:val="018D4BDF"/>
    <w:rsid w:val="01984345"/>
    <w:rsid w:val="019C7FBC"/>
    <w:rsid w:val="01B732E8"/>
    <w:rsid w:val="01BA3E00"/>
    <w:rsid w:val="01BF0CB8"/>
    <w:rsid w:val="01C303C7"/>
    <w:rsid w:val="01D85AE7"/>
    <w:rsid w:val="01DF4C3B"/>
    <w:rsid w:val="01EC63CA"/>
    <w:rsid w:val="01FE2EBB"/>
    <w:rsid w:val="022B099C"/>
    <w:rsid w:val="024036AA"/>
    <w:rsid w:val="024615D2"/>
    <w:rsid w:val="024709B3"/>
    <w:rsid w:val="02484B97"/>
    <w:rsid w:val="026052E2"/>
    <w:rsid w:val="02641FCA"/>
    <w:rsid w:val="026D5D67"/>
    <w:rsid w:val="02716201"/>
    <w:rsid w:val="02871C95"/>
    <w:rsid w:val="02AB329E"/>
    <w:rsid w:val="02B001F3"/>
    <w:rsid w:val="02B366EF"/>
    <w:rsid w:val="02CD4397"/>
    <w:rsid w:val="02DF4704"/>
    <w:rsid w:val="02F302F1"/>
    <w:rsid w:val="02F55525"/>
    <w:rsid w:val="034E72F4"/>
    <w:rsid w:val="03557A87"/>
    <w:rsid w:val="03567B50"/>
    <w:rsid w:val="035B59E6"/>
    <w:rsid w:val="035F4FDD"/>
    <w:rsid w:val="036C1551"/>
    <w:rsid w:val="03800EB6"/>
    <w:rsid w:val="03964ED7"/>
    <w:rsid w:val="03AD5F76"/>
    <w:rsid w:val="03AE55CC"/>
    <w:rsid w:val="03B65F25"/>
    <w:rsid w:val="03C31A7B"/>
    <w:rsid w:val="03D46CAF"/>
    <w:rsid w:val="03DC7609"/>
    <w:rsid w:val="03FB6837"/>
    <w:rsid w:val="03FE0355"/>
    <w:rsid w:val="042A0C26"/>
    <w:rsid w:val="043F1B21"/>
    <w:rsid w:val="04562B2A"/>
    <w:rsid w:val="045E5524"/>
    <w:rsid w:val="04613A0F"/>
    <w:rsid w:val="04732628"/>
    <w:rsid w:val="04770889"/>
    <w:rsid w:val="047F3B8F"/>
    <w:rsid w:val="04864745"/>
    <w:rsid w:val="049B4415"/>
    <w:rsid w:val="04A81C8E"/>
    <w:rsid w:val="04AA759F"/>
    <w:rsid w:val="04AF5C5E"/>
    <w:rsid w:val="04BA273C"/>
    <w:rsid w:val="04C60C10"/>
    <w:rsid w:val="04DA7364"/>
    <w:rsid w:val="04E9748A"/>
    <w:rsid w:val="052967D9"/>
    <w:rsid w:val="053764E4"/>
    <w:rsid w:val="05443D33"/>
    <w:rsid w:val="05923C34"/>
    <w:rsid w:val="05AC405C"/>
    <w:rsid w:val="05B77596"/>
    <w:rsid w:val="05D55D63"/>
    <w:rsid w:val="05D807AC"/>
    <w:rsid w:val="05D80CA6"/>
    <w:rsid w:val="05DC05E2"/>
    <w:rsid w:val="05E444F3"/>
    <w:rsid w:val="05E956B2"/>
    <w:rsid w:val="061452D8"/>
    <w:rsid w:val="06365183"/>
    <w:rsid w:val="06574949"/>
    <w:rsid w:val="065969C1"/>
    <w:rsid w:val="065F0C98"/>
    <w:rsid w:val="066B1B82"/>
    <w:rsid w:val="069A2E3B"/>
    <w:rsid w:val="06B4263D"/>
    <w:rsid w:val="06B77224"/>
    <w:rsid w:val="06BC75FB"/>
    <w:rsid w:val="06C40BBC"/>
    <w:rsid w:val="06D77113"/>
    <w:rsid w:val="06EF6672"/>
    <w:rsid w:val="06F408F5"/>
    <w:rsid w:val="07070625"/>
    <w:rsid w:val="07100056"/>
    <w:rsid w:val="075C40E0"/>
    <w:rsid w:val="075C5293"/>
    <w:rsid w:val="075D4D97"/>
    <w:rsid w:val="076E3101"/>
    <w:rsid w:val="07714171"/>
    <w:rsid w:val="07726F64"/>
    <w:rsid w:val="0774071A"/>
    <w:rsid w:val="07772D90"/>
    <w:rsid w:val="0795025F"/>
    <w:rsid w:val="07B425A9"/>
    <w:rsid w:val="07BB1D2E"/>
    <w:rsid w:val="07C10BD6"/>
    <w:rsid w:val="07D72B83"/>
    <w:rsid w:val="07EB7A33"/>
    <w:rsid w:val="07F05F43"/>
    <w:rsid w:val="08071F04"/>
    <w:rsid w:val="08143486"/>
    <w:rsid w:val="08240C6D"/>
    <w:rsid w:val="082C5567"/>
    <w:rsid w:val="08470A60"/>
    <w:rsid w:val="085329ED"/>
    <w:rsid w:val="0875328E"/>
    <w:rsid w:val="08894697"/>
    <w:rsid w:val="08AF339F"/>
    <w:rsid w:val="08AF5901"/>
    <w:rsid w:val="08E0021B"/>
    <w:rsid w:val="08E746F8"/>
    <w:rsid w:val="08ED4096"/>
    <w:rsid w:val="08F50D9F"/>
    <w:rsid w:val="08FE73DB"/>
    <w:rsid w:val="0938534F"/>
    <w:rsid w:val="09473828"/>
    <w:rsid w:val="095659F3"/>
    <w:rsid w:val="095C409B"/>
    <w:rsid w:val="095F2A89"/>
    <w:rsid w:val="09622B98"/>
    <w:rsid w:val="09720EE5"/>
    <w:rsid w:val="09896AAE"/>
    <w:rsid w:val="098F266A"/>
    <w:rsid w:val="099A53C9"/>
    <w:rsid w:val="0A0F1886"/>
    <w:rsid w:val="0A2B4871"/>
    <w:rsid w:val="0A4555DE"/>
    <w:rsid w:val="0A5A410B"/>
    <w:rsid w:val="0A7A4D3F"/>
    <w:rsid w:val="0A916272"/>
    <w:rsid w:val="0A97294F"/>
    <w:rsid w:val="0A9E6884"/>
    <w:rsid w:val="0AA87BC0"/>
    <w:rsid w:val="0AB228CC"/>
    <w:rsid w:val="0AC17CDC"/>
    <w:rsid w:val="0AD96DB2"/>
    <w:rsid w:val="0ADE4DE4"/>
    <w:rsid w:val="0AE2194F"/>
    <w:rsid w:val="0AE77D93"/>
    <w:rsid w:val="0B0863D9"/>
    <w:rsid w:val="0B0A4297"/>
    <w:rsid w:val="0B233B19"/>
    <w:rsid w:val="0B4C492A"/>
    <w:rsid w:val="0B6B3BC3"/>
    <w:rsid w:val="0B742D24"/>
    <w:rsid w:val="0BBF55CB"/>
    <w:rsid w:val="0BC44728"/>
    <w:rsid w:val="0BD03EE2"/>
    <w:rsid w:val="0C0661A9"/>
    <w:rsid w:val="0C07367B"/>
    <w:rsid w:val="0C2076C8"/>
    <w:rsid w:val="0C5B19E9"/>
    <w:rsid w:val="0CA81750"/>
    <w:rsid w:val="0CB30CEB"/>
    <w:rsid w:val="0CC10DEA"/>
    <w:rsid w:val="0CC123A5"/>
    <w:rsid w:val="0CDC3636"/>
    <w:rsid w:val="0CF30089"/>
    <w:rsid w:val="0CFC4091"/>
    <w:rsid w:val="0D12771F"/>
    <w:rsid w:val="0D174B5B"/>
    <w:rsid w:val="0D204502"/>
    <w:rsid w:val="0D2F4436"/>
    <w:rsid w:val="0D3179BE"/>
    <w:rsid w:val="0D33317C"/>
    <w:rsid w:val="0D3844B3"/>
    <w:rsid w:val="0D3D2520"/>
    <w:rsid w:val="0D6F6D63"/>
    <w:rsid w:val="0D7513ED"/>
    <w:rsid w:val="0D757294"/>
    <w:rsid w:val="0D784010"/>
    <w:rsid w:val="0D7B0F4B"/>
    <w:rsid w:val="0D856E5B"/>
    <w:rsid w:val="0D9C348C"/>
    <w:rsid w:val="0DA10A69"/>
    <w:rsid w:val="0DA56C9A"/>
    <w:rsid w:val="0DB97983"/>
    <w:rsid w:val="0DC279D4"/>
    <w:rsid w:val="0DD21150"/>
    <w:rsid w:val="0DFA3B70"/>
    <w:rsid w:val="0E0615B6"/>
    <w:rsid w:val="0E10788F"/>
    <w:rsid w:val="0E1D49AA"/>
    <w:rsid w:val="0E244E76"/>
    <w:rsid w:val="0E3120E3"/>
    <w:rsid w:val="0E3F3E69"/>
    <w:rsid w:val="0E5E676E"/>
    <w:rsid w:val="0E65427D"/>
    <w:rsid w:val="0E7F57C5"/>
    <w:rsid w:val="0E8328A9"/>
    <w:rsid w:val="0E87175D"/>
    <w:rsid w:val="0E8F1B7C"/>
    <w:rsid w:val="0EA44548"/>
    <w:rsid w:val="0ECC31F5"/>
    <w:rsid w:val="0ECF1853"/>
    <w:rsid w:val="0ED1636A"/>
    <w:rsid w:val="0F024CF3"/>
    <w:rsid w:val="0F1022AF"/>
    <w:rsid w:val="0F4F43B7"/>
    <w:rsid w:val="0F57218A"/>
    <w:rsid w:val="0F594081"/>
    <w:rsid w:val="0F7E7E39"/>
    <w:rsid w:val="0F8B4B3F"/>
    <w:rsid w:val="0F94764B"/>
    <w:rsid w:val="0F9D596A"/>
    <w:rsid w:val="0FB32B64"/>
    <w:rsid w:val="0FB342FD"/>
    <w:rsid w:val="0FBE2A43"/>
    <w:rsid w:val="0FC53A2F"/>
    <w:rsid w:val="0FD12F8E"/>
    <w:rsid w:val="0FE04185"/>
    <w:rsid w:val="0FF9770D"/>
    <w:rsid w:val="100A0A08"/>
    <w:rsid w:val="10167E8E"/>
    <w:rsid w:val="1030411F"/>
    <w:rsid w:val="103478AE"/>
    <w:rsid w:val="103D6DE1"/>
    <w:rsid w:val="10443573"/>
    <w:rsid w:val="106D07A5"/>
    <w:rsid w:val="108079CB"/>
    <w:rsid w:val="10936801"/>
    <w:rsid w:val="109B3A2F"/>
    <w:rsid w:val="10A63D02"/>
    <w:rsid w:val="10B677DC"/>
    <w:rsid w:val="10C44246"/>
    <w:rsid w:val="10CF63D7"/>
    <w:rsid w:val="10D96AD7"/>
    <w:rsid w:val="10DB6445"/>
    <w:rsid w:val="10ED7A6E"/>
    <w:rsid w:val="10FB48C1"/>
    <w:rsid w:val="1110629A"/>
    <w:rsid w:val="11215240"/>
    <w:rsid w:val="112C4E70"/>
    <w:rsid w:val="11330257"/>
    <w:rsid w:val="113B479C"/>
    <w:rsid w:val="11455A46"/>
    <w:rsid w:val="11593459"/>
    <w:rsid w:val="115C5C12"/>
    <w:rsid w:val="115D6811"/>
    <w:rsid w:val="11695BEA"/>
    <w:rsid w:val="116C1E79"/>
    <w:rsid w:val="117E7B5D"/>
    <w:rsid w:val="119B468D"/>
    <w:rsid w:val="11B11A70"/>
    <w:rsid w:val="11B23A90"/>
    <w:rsid w:val="11B26125"/>
    <w:rsid w:val="11F71674"/>
    <w:rsid w:val="120E33EA"/>
    <w:rsid w:val="120E3EBB"/>
    <w:rsid w:val="12136588"/>
    <w:rsid w:val="123358F6"/>
    <w:rsid w:val="12352567"/>
    <w:rsid w:val="124F5A35"/>
    <w:rsid w:val="1280082C"/>
    <w:rsid w:val="128205F9"/>
    <w:rsid w:val="12946F8F"/>
    <w:rsid w:val="12BD17B8"/>
    <w:rsid w:val="12CD6707"/>
    <w:rsid w:val="12D4506E"/>
    <w:rsid w:val="12F347A3"/>
    <w:rsid w:val="130A424D"/>
    <w:rsid w:val="13193C3F"/>
    <w:rsid w:val="13314701"/>
    <w:rsid w:val="133150B4"/>
    <w:rsid w:val="134740F4"/>
    <w:rsid w:val="134D41CF"/>
    <w:rsid w:val="1367162A"/>
    <w:rsid w:val="13AD7124"/>
    <w:rsid w:val="13C30126"/>
    <w:rsid w:val="13E00346"/>
    <w:rsid w:val="13E45B64"/>
    <w:rsid w:val="13F10207"/>
    <w:rsid w:val="14082BEB"/>
    <w:rsid w:val="1409702E"/>
    <w:rsid w:val="14150320"/>
    <w:rsid w:val="14173CAC"/>
    <w:rsid w:val="14680972"/>
    <w:rsid w:val="146817E7"/>
    <w:rsid w:val="14787422"/>
    <w:rsid w:val="14A613F0"/>
    <w:rsid w:val="14B841EC"/>
    <w:rsid w:val="14C5061A"/>
    <w:rsid w:val="14C8440B"/>
    <w:rsid w:val="14C856BE"/>
    <w:rsid w:val="14C96679"/>
    <w:rsid w:val="14E63EA6"/>
    <w:rsid w:val="14E96BFF"/>
    <w:rsid w:val="14EA645D"/>
    <w:rsid w:val="14FD1D85"/>
    <w:rsid w:val="150C1F60"/>
    <w:rsid w:val="15127972"/>
    <w:rsid w:val="15391AC3"/>
    <w:rsid w:val="15502C04"/>
    <w:rsid w:val="1557012C"/>
    <w:rsid w:val="155E02D9"/>
    <w:rsid w:val="159A5159"/>
    <w:rsid w:val="15A34D2B"/>
    <w:rsid w:val="15A67491"/>
    <w:rsid w:val="15B66773"/>
    <w:rsid w:val="15B74C6B"/>
    <w:rsid w:val="15C11079"/>
    <w:rsid w:val="15CA2DD8"/>
    <w:rsid w:val="15CC290B"/>
    <w:rsid w:val="15CD2AF2"/>
    <w:rsid w:val="15D8768B"/>
    <w:rsid w:val="15D97FE5"/>
    <w:rsid w:val="15DD6E55"/>
    <w:rsid w:val="15E66EDE"/>
    <w:rsid w:val="15E965C1"/>
    <w:rsid w:val="160535AF"/>
    <w:rsid w:val="16161F00"/>
    <w:rsid w:val="1639037E"/>
    <w:rsid w:val="163E024C"/>
    <w:rsid w:val="168360E8"/>
    <w:rsid w:val="169E335D"/>
    <w:rsid w:val="16A963C0"/>
    <w:rsid w:val="16B312A7"/>
    <w:rsid w:val="16BD333D"/>
    <w:rsid w:val="16C55930"/>
    <w:rsid w:val="16C80CC5"/>
    <w:rsid w:val="17096ECB"/>
    <w:rsid w:val="170D1C97"/>
    <w:rsid w:val="170D7249"/>
    <w:rsid w:val="170E62D4"/>
    <w:rsid w:val="171B09DB"/>
    <w:rsid w:val="17430BC1"/>
    <w:rsid w:val="17581CA3"/>
    <w:rsid w:val="175D5368"/>
    <w:rsid w:val="176614DC"/>
    <w:rsid w:val="178412BD"/>
    <w:rsid w:val="178755A0"/>
    <w:rsid w:val="178E6D8D"/>
    <w:rsid w:val="179561CC"/>
    <w:rsid w:val="179A2F9B"/>
    <w:rsid w:val="17B948E9"/>
    <w:rsid w:val="17D63747"/>
    <w:rsid w:val="17D71CFF"/>
    <w:rsid w:val="17E8387C"/>
    <w:rsid w:val="17F11C20"/>
    <w:rsid w:val="17F42C59"/>
    <w:rsid w:val="18151F71"/>
    <w:rsid w:val="18282146"/>
    <w:rsid w:val="18491E7A"/>
    <w:rsid w:val="1853282B"/>
    <w:rsid w:val="18584236"/>
    <w:rsid w:val="1865551D"/>
    <w:rsid w:val="187E7F36"/>
    <w:rsid w:val="188B3457"/>
    <w:rsid w:val="18BD5C24"/>
    <w:rsid w:val="18CE1B88"/>
    <w:rsid w:val="18DF0CD9"/>
    <w:rsid w:val="18E8020F"/>
    <w:rsid w:val="18FE4EF4"/>
    <w:rsid w:val="193247FF"/>
    <w:rsid w:val="193371FC"/>
    <w:rsid w:val="193F327A"/>
    <w:rsid w:val="194D06D4"/>
    <w:rsid w:val="194D4E40"/>
    <w:rsid w:val="194F2597"/>
    <w:rsid w:val="1955201B"/>
    <w:rsid w:val="196606A0"/>
    <w:rsid w:val="19A32209"/>
    <w:rsid w:val="19CB34B8"/>
    <w:rsid w:val="19D735BE"/>
    <w:rsid w:val="1A08249E"/>
    <w:rsid w:val="1A121B28"/>
    <w:rsid w:val="1A630BEC"/>
    <w:rsid w:val="1A7979F1"/>
    <w:rsid w:val="1A8E28A0"/>
    <w:rsid w:val="1AAB791B"/>
    <w:rsid w:val="1AAC70FE"/>
    <w:rsid w:val="1AC9442D"/>
    <w:rsid w:val="1AD04802"/>
    <w:rsid w:val="1AD70D5F"/>
    <w:rsid w:val="1AE45BF4"/>
    <w:rsid w:val="1B306031"/>
    <w:rsid w:val="1B372E03"/>
    <w:rsid w:val="1B3C3D61"/>
    <w:rsid w:val="1B4164A4"/>
    <w:rsid w:val="1B515B4C"/>
    <w:rsid w:val="1B5C096F"/>
    <w:rsid w:val="1B5D0329"/>
    <w:rsid w:val="1B822811"/>
    <w:rsid w:val="1B8D6260"/>
    <w:rsid w:val="1B8E31BE"/>
    <w:rsid w:val="1B924264"/>
    <w:rsid w:val="1BB1769D"/>
    <w:rsid w:val="1BBE2465"/>
    <w:rsid w:val="1BD822B5"/>
    <w:rsid w:val="1BD85CF0"/>
    <w:rsid w:val="1BD950A7"/>
    <w:rsid w:val="1BEC3EE5"/>
    <w:rsid w:val="1BF65375"/>
    <w:rsid w:val="1C001D30"/>
    <w:rsid w:val="1C2A0FC2"/>
    <w:rsid w:val="1C2E401F"/>
    <w:rsid w:val="1C694284"/>
    <w:rsid w:val="1C79577F"/>
    <w:rsid w:val="1C881A0A"/>
    <w:rsid w:val="1C9965FD"/>
    <w:rsid w:val="1C9C7948"/>
    <w:rsid w:val="1CB35A8A"/>
    <w:rsid w:val="1CBE26F3"/>
    <w:rsid w:val="1CC36D69"/>
    <w:rsid w:val="1CE36920"/>
    <w:rsid w:val="1CE6464C"/>
    <w:rsid w:val="1D0D64FA"/>
    <w:rsid w:val="1D1863FB"/>
    <w:rsid w:val="1D1C29CB"/>
    <w:rsid w:val="1D48136E"/>
    <w:rsid w:val="1D6904C7"/>
    <w:rsid w:val="1D767E88"/>
    <w:rsid w:val="1D954F27"/>
    <w:rsid w:val="1D994044"/>
    <w:rsid w:val="1DEA7178"/>
    <w:rsid w:val="1DF97DBE"/>
    <w:rsid w:val="1E017908"/>
    <w:rsid w:val="1E177841"/>
    <w:rsid w:val="1E256FF3"/>
    <w:rsid w:val="1E2C1A1B"/>
    <w:rsid w:val="1E305FDF"/>
    <w:rsid w:val="1E5378CB"/>
    <w:rsid w:val="1E65704C"/>
    <w:rsid w:val="1E6B3FD0"/>
    <w:rsid w:val="1E855218"/>
    <w:rsid w:val="1E94091E"/>
    <w:rsid w:val="1E947C08"/>
    <w:rsid w:val="1E995DAA"/>
    <w:rsid w:val="1EB8410A"/>
    <w:rsid w:val="1EB90B35"/>
    <w:rsid w:val="1EDE07D0"/>
    <w:rsid w:val="1EE92E2B"/>
    <w:rsid w:val="1EF419D5"/>
    <w:rsid w:val="1EF97F25"/>
    <w:rsid w:val="1EFB042D"/>
    <w:rsid w:val="1F036CCC"/>
    <w:rsid w:val="1F053577"/>
    <w:rsid w:val="1F0953B9"/>
    <w:rsid w:val="1F0A587B"/>
    <w:rsid w:val="1F0C511C"/>
    <w:rsid w:val="1F1D06E0"/>
    <w:rsid w:val="1F2A2C2F"/>
    <w:rsid w:val="1F3533A2"/>
    <w:rsid w:val="1F387057"/>
    <w:rsid w:val="1F435BDB"/>
    <w:rsid w:val="1F52602D"/>
    <w:rsid w:val="1F550EE0"/>
    <w:rsid w:val="1F801B39"/>
    <w:rsid w:val="1F8A5AF0"/>
    <w:rsid w:val="1FA75E62"/>
    <w:rsid w:val="1FB263A8"/>
    <w:rsid w:val="1FB327D0"/>
    <w:rsid w:val="1FFC282F"/>
    <w:rsid w:val="201551F4"/>
    <w:rsid w:val="201C1BCE"/>
    <w:rsid w:val="204761C4"/>
    <w:rsid w:val="204B3652"/>
    <w:rsid w:val="2071587D"/>
    <w:rsid w:val="20842337"/>
    <w:rsid w:val="20875A57"/>
    <w:rsid w:val="208B6C63"/>
    <w:rsid w:val="20B63A11"/>
    <w:rsid w:val="20B71796"/>
    <w:rsid w:val="20BD2F70"/>
    <w:rsid w:val="20E026D9"/>
    <w:rsid w:val="20F224F6"/>
    <w:rsid w:val="210566AA"/>
    <w:rsid w:val="21296F1E"/>
    <w:rsid w:val="214F01A3"/>
    <w:rsid w:val="216A172E"/>
    <w:rsid w:val="2173549E"/>
    <w:rsid w:val="21764336"/>
    <w:rsid w:val="218D011E"/>
    <w:rsid w:val="21A8190D"/>
    <w:rsid w:val="21C47740"/>
    <w:rsid w:val="21CA50DE"/>
    <w:rsid w:val="21CA57BC"/>
    <w:rsid w:val="21D120FD"/>
    <w:rsid w:val="21D751FD"/>
    <w:rsid w:val="21E1003C"/>
    <w:rsid w:val="21F46D04"/>
    <w:rsid w:val="21F86E37"/>
    <w:rsid w:val="22083015"/>
    <w:rsid w:val="220E1DEB"/>
    <w:rsid w:val="221A3E76"/>
    <w:rsid w:val="221A559F"/>
    <w:rsid w:val="224D5B79"/>
    <w:rsid w:val="22604E32"/>
    <w:rsid w:val="22630296"/>
    <w:rsid w:val="226B0194"/>
    <w:rsid w:val="2276684B"/>
    <w:rsid w:val="22A54CCF"/>
    <w:rsid w:val="22D65A06"/>
    <w:rsid w:val="22E078C6"/>
    <w:rsid w:val="230662A3"/>
    <w:rsid w:val="231103C3"/>
    <w:rsid w:val="23113A22"/>
    <w:rsid w:val="231C089E"/>
    <w:rsid w:val="2335451F"/>
    <w:rsid w:val="23432360"/>
    <w:rsid w:val="234A7B0F"/>
    <w:rsid w:val="236F180A"/>
    <w:rsid w:val="23786284"/>
    <w:rsid w:val="2381261A"/>
    <w:rsid w:val="238F7B16"/>
    <w:rsid w:val="23934335"/>
    <w:rsid w:val="23A760A8"/>
    <w:rsid w:val="23AF1AE5"/>
    <w:rsid w:val="23C60D89"/>
    <w:rsid w:val="23D34DC7"/>
    <w:rsid w:val="23D62FAC"/>
    <w:rsid w:val="23DD2D5D"/>
    <w:rsid w:val="23ED50B9"/>
    <w:rsid w:val="240768A1"/>
    <w:rsid w:val="241248D1"/>
    <w:rsid w:val="2414663A"/>
    <w:rsid w:val="242811EF"/>
    <w:rsid w:val="243F3A4F"/>
    <w:rsid w:val="24415BE2"/>
    <w:rsid w:val="245474BD"/>
    <w:rsid w:val="245554A0"/>
    <w:rsid w:val="24556615"/>
    <w:rsid w:val="246E04D0"/>
    <w:rsid w:val="247144B0"/>
    <w:rsid w:val="24927D46"/>
    <w:rsid w:val="24942104"/>
    <w:rsid w:val="24974D41"/>
    <w:rsid w:val="24AA42FA"/>
    <w:rsid w:val="24B75689"/>
    <w:rsid w:val="24BA4CA4"/>
    <w:rsid w:val="24BD3D17"/>
    <w:rsid w:val="24BE2B26"/>
    <w:rsid w:val="24C13F49"/>
    <w:rsid w:val="24C43165"/>
    <w:rsid w:val="24CC4357"/>
    <w:rsid w:val="24CC6DA1"/>
    <w:rsid w:val="24D27F3D"/>
    <w:rsid w:val="24D83369"/>
    <w:rsid w:val="24E80A19"/>
    <w:rsid w:val="24EB012C"/>
    <w:rsid w:val="24FF5653"/>
    <w:rsid w:val="2501462C"/>
    <w:rsid w:val="250F6B44"/>
    <w:rsid w:val="253729DB"/>
    <w:rsid w:val="25501550"/>
    <w:rsid w:val="25536B9D"/>
    <w:rsid w:val="2566710A"/>
    <w:rsid w:val="257636F5"/>
    <w:rsid w:val="257D4C83"/>
    <w:rsid w:val="25B40ADB"/>
    <w:rsid w:val="25E95604"/>
    <w:rsid w:val="25F36AB6"/>
    <w:rsid w:val="260644C9"/>
    <w:rsid w:val="26176071"/>
    <w:rsid w:val="26450D04"/>
    <w:rsid w:val="26497E50"/>
    <w:rsid w:val="2650521F"/>
    <w:rsid w:val="2674445D"/>
    <w:rsid w:val="267D1667"/>
    <w:rsid w:val="26892521"/>
    <w:rsid w:val="268B597F"/>
    <w:rsid w:val="26A3256F"/>
    <w:rsid w:val="26AC0D86"/>
    <w:rsid w:val="26CB5B1E"/>
    <w:rsid w:val="26D610A3"/>
    <w:rsid w:val="26E22AF0"/>
    <w:rsid w:val="26E47FD4"/>
    <w:rsid w:val="27034F56"/>
    <w:rsid w:val="270E64D3"/>
    <w:rsid w:val="27144F70"/>
    <w:rsid w:val="273E22FB"/>
    <w:rsid w:val="27457BAF"/>
    <w:rsid w:val="27512AC1"/>
    <w:rsid w:val="27587BEA"/>
    <w:rsid w:val="276E2197"/>
    <w:rsid w:val="276F0F01"/>
    <w:rsid w:val="277A04DC"/>
    <w:rsid w:val="277C6AE1"/>
    <w:rsid w:val="278B4058"/>
    <w:rsid w:val="27905CDB"/>
    <w:rsid w:val="2792571A"/>
    <w:rsid w:val="27AD303E"/>
    <w:rsid w:val="27AE55C0"/>
    <w:rsid w:val="27C66A22"/>
    <w:rsid w:val="27F31F90"/>
    <w:rsid w:val="28114697"/>
    <w:rsid w:val="282F307D"/>
    <w:rsid w:val="284B6C35"/>
    <w:rsid w:val="2856132A"/>
    <w:rsid w:val="28572EB6"/>
    <w:rsid w:val="288038DF"/>
    <w:rsid w:val="289E73E3"/>
    <w:rsid w:val="289F5F6E"/>
    <w:rsid w:val="28AD776F"/>
    <w:rsid w:val="28B078F7"/>
    <w:rsid w:val="28BE3C14"/>
    <w:rsid w:val="28C052B8"/>
    <w:rsid w:val="28C653F5"/>
    <w:rsid w:val="28CE3CFF"/>
    <w:rsid w:val="28DA2937"/>
    <w:rsid w:val="28ED0977"/>
    <w:rsid w:val="28F23CD1"/>
    <w:rsid w:val="29061E39"/>
    <w:rsid w:val="290864F5"/>
    <w:rsid w:val="29097250"/>
    <w:rsid w:val="291F022D"/>
    <w:rsid w:val="29240962"/>
    <w:rsid w:val="29346E7B"/>
    <w:rsid w:val="2941002B"/>
    <w:rsid w:val="29783F5B"/>
    <w:rsid w:val="297B3126"/>
    <w:rsid w:val="29A02EB9"/>
    <w:rsid w:val="29AA47A4"/>
    <w:rsid w:val="29BE40F4"/>
    <w:rsid w:val="29C621CA"/>
    <w:rsid w:val="2A030644"/>
    <w:rsid w:val="2A07405E"/>
    <w:rsid w:val="2A1025FC"/>
    <w:rsid w:val="2A1767BD"/>
    <w:rsid w:val="2A324C75"/>
    <w:rsid w:val="2A3511B3"/>
    <w:rsid w:val="2A4743CA"/>
    <w:rsid w:val="2A5642A6"/>
    <w:rsid w:val="2A602D75"/>
    <w:rsid w:val="2A6E4A7D"/>
    <w:rsid w:val="2A8560B0"/>
    <w:rsid w:val="2AB14D03"/>
    <w:rsid w:val="2AB55459"/>
    <w:rsid w:val="2AD937DB"/>
    <w:rsid w:val="2AE32CFA"/>
    <w:rsid w:val="2B054D75"/>
    <w:rsid w:val="2B2C3802"/>
    <w:rsid w:val="2B2E07AA"/>
    <w:rsid w:val="2B305A68"/>
    <w:rsid w:val="2B4C74B6"/>
    <w:rsid w:val="2B515997"/>
    <w:rsid w:val="2B593ADD"/>
    <w:rsid w:val="2B593CD9"/>
    <w:rsid w:val="2B6B6198"/>
    <w:rsid w:val="2B8964D4"/>
    <w:rsid w:val="2B901007"/>
    <w:rsid w:val="2BA33828"/>
    <w:rsid w:val="2BA90B52"/>
    <w:rsid w:val="2BAE6EE1"/>
    <w:rsid w:val="2BCF5910"/>
    <w:rsid w:val="2BE62449"/>
    <w:rsid w:val="2BFE59BD"/>
    <w:rsid w:val="2C1622EF"/>
    <w:rsid w:val="2C2279E8"/>
    <w:rsid w:val="2C267E1B"/>
    <w:rsid w:val="2C451DB4"/>
    <w:rsid w:val="2C5357EE"/>
    <w:rsid w:val="2C57647A"/>
    <w:rsid w:val="2C5C3A57"/>
    <w:rsid w:val="2C677938"/>
    <w:rsid w:val="2C7548FE"/>
    <w:rsid w:val="2C792158"/>
    <w:rsid w:val="2CA243BC"/>
    <w:rsid w:val="2CB94177"/>
    <w:rsid w:val="2CBD0139"/>
    <w:rsid w:val="2CC53AFE"/>
    <w:rsid w:val="2CCC586E"/>
    <w:rsid w:val="2CD25ED3"/>
    <w:rsid w:val="2CD54D39"/>
    <w:rsid w:val="2CD66B5D"/>
    <w:rsid w:val="2CE313F8"/>
    <w:rsid w:val="2CF364DF"/>
    <w:rsid w:val="2CFF326E"/>
    <w:rsid w:val="2D0C7E18"/>
    <w:rsid w:val="2D2E4C77"/>
    <w:rsid w:val="2D3340CA"/>
    <w:rsid w:val="2D3C593E"/>
    <w:rsid w:val="2D694603"/>
    <w:rsid w:val="2D6C780B"/>
    <w:rsid w:val="2D885B5A"/>
    <w:rsid w:val="2D9C3616"/>
    <w:rsid w:val="2DA44A6B"/>
    <w:rsid w:val="2DD777FC"/>
    <w:rsid w:val="2DDE0EF9"/>
    <w:rsid w:val="2DF67D87"/>
    <w:rsid w:val="2E092421"/>
    <w:rsid w:val="2E0E7C59"/>
    <w:rsid w:val="2E15284F"/>
    <w:rsid w:val="2E1548F3"/>
    <w:rsid w:val="2E15563B"/>
    <w:rsid w:val="2E1901CE"/>
    <w:rsid w:val="2E207FE2"/>
    <w:rsid w:val="2E24465B"/>
    <w:rsid w:val="2E296A1E"/>
    <w:rsid w:val="2E460579"/>
    <w:rsid w:val="2E5D0DCD"/>
    <w:rsid w:val="2E5F274B"/>
    <w:rsid w:val="2E65615A"/>
    <w:rsid w:val="2E6C42C8"/>
    <w:rsid w:val="2E77125C"/>
    <w:rsid w:val="2E8A08E6"/>
    <w:rsid w:val="2EAA0595"/>
    <w:rsid w:val="2ED34E1F"/>
    <w:rsid w:val="2ED40BA8"/>
    <w:rsid w:val="2ED5260D"/>
    <w:rsid w:val="2ED55894"/>
    <w:rsid w:val="2EE34526"/>
    <w:rsid w:val="2EE736D1"/>
    <w:rsid w:val="2EF151FB"/>
    <w:rsid w:val="2EF258DE"/>
    <w:rsid w:val="2EFF46D9"/>
    <w:rsid w:val="2F0F20CB"/>
    <w:rsid w:val="2F1E0F68"/>
    <w:rsid w:val="2F2C3416"/>
    <w:rsid w:val="2F3220F5"/>
    <w:rsid w:val="2F4968D4"/>
    <w:rsid w:val="2F5B500B"/>
    <w:rsid w:val="2F5E3819"/>
    <w:rsid w:val="2F684A75"/>
    <w:rsid w:val="2F687F4D"/>
    <w:rsid w:val="2F6E755C"/>
    <w:rsid w:val="2FAF2213"/>
    <w:rsid w:val="2FC46235"/>
    <w:rsid w:val="2FD20498"/>
    <w:rsid w:val="2FD63AA2"/>
    <w:rsid w:val="2FD83497"/>
    <w:rsid w:val="2FDB1949"/>
    <w:rsid w:val="2FED5962"/>
    <w:rsid w:val="30361F87"/>
    <w:rsid w:val="304765B2"/>
    <w:rsid w:val="308570AC"/>
    <w:rsid w:val="309313E1"/>
    <w:rsid w:val="30B55F95"/>
    <w:rsid w:val="30BB6F7D"/>
    <w:rsid w:val="30C94232"/>
    <w:rsid w:val="30F05AB3"/>
    <w:rsid w:val="310B6E42"/>
    <w:rsid w:val="31133FD7"/>
    <w:rsid w:val="311B0429"/>
    <w:rsid w:val="311E6B04"/>
    <w:rsid w:val="31210E95"/>
    <w:rsid w:val="313465AC"/>
    <w:rsid w:val="31364A00"/>
    <w:rsid w:val="31521839"/>
    <w:rsid w:val="31617A94"/>
    <w:rsid w:val="316D5CFC"/>
    <w:rsid w:val="317664F5"/>
    <w:rsid w:val="31803BBA"/>
    <w:rsid w:val="31835BDB"/>
    <w:rsid w:val="319409E2"/>
    <w:rsid w:val="319B7CBB"/>
    <w:rsid w:val="31B5198C"/>
    <w:rsid w:val="31BE3605"/>
    <w:rsid w:val="31DE251B"/>
    <w:rsid w:val="31FC019B"/>
    <w:rsid w:val="32047D71"/>
    <w:rsid w:val="32446019"/>
    <w:rsid w:val="324D0C03"/>
    <w:rsid w:val="3263466D"/>
    <w:rsid w:val="327152FA"/>
    <w:rsid w:val="328B3D3A"/>
    <w:rsid w:val="328F76A5"/>
    <w:rsid w:val="32915A00"/>
    <w:rsid w:val="329D692B"/>
    <w:rsid w:val="32A03D42"/>
    <w:rsid w:val="32B77891"/>
    <w:rsid w:val="32B91ABE"/>
    <w:rsid w:val="32C461D9"/>
    <w:rsid w:val="32EB5470"/>
    <w:rsid w:val="33076A1B"/>
    <w:rsid w:val="331158B4"/>
    <w:rsid w:val="33131A3C"/>
    <w:rsid w:val="33182BC8"/>
    <w:rsid w:val="33184235"/>
    <w:rsid w:val="332907D2"/>
    <w:rsid w:val="332C297A"/>
    <w:rsid w:val="333F17C2"/>
    <w:rsid w:val="33436507"/>
    <w:rsid w:val="337170D8"/>
    <w:rsid w:val="337D0108"/>
    <w:rsid w:val="33890D99"/>
    <w:rsid w:val="338E4621"/>
    <w:rsid w:val="33963AC8"/>
    <w:rsid w:val="33BE5DA3"/>
    <w:rsid w:val="33DA0678"/>
    <w:rsid w:val="34006765"/>
    <w:rsid w:val="34043FD0"/>
    <w:rsid w:val="340A64E3"/>
    <w:rsid w:val="340B2DD1"/>
    <w:rsid w:val="340B366F"/>
    <w:rsid w:val="340D3744"/>
    <w:rsid w:val="341B4870"/>
    <w:rsid w:val="34342560"/>
    <w:rsid w:val="34383E68"/>
    <w:rsid w:val="344609C3"/>
    <w:rsid w:val="34492FBF"/>
    <w:rsid w:val="344C74D5"/>
    <w:rsid w:val="344E3526"/>
    <w:rsid w:val="3483377B"/>
    <w:rsid w:val="348D41E0"/>
    <w:rsid w:val="34B7161A"/>
    <w:rsid w:val="34BE4FA9"/>
    <w:rsid w:val="34C30DFE"/>
    <w:rsid w:val="34F57EEB"/>
    <w:rsid w:val="34F93400"/>
    <w:rsid w:val="34FA68A5"/>
    <w:rsid w:val="34FD61E8"/>
    <w:rsid w:val="35094EED"/>
    <w:rsid w:val="350C4613"/>
    <w:rsid w:val="3523558E"/>
    <w:rsid w:val="353831E2"/>
    <w:rsid w:val="353B258F"/>
    <w:rsid w:val="354F1ABE"/>
    <w:rsid w:val="3550492B"/>
    <w:rsid w:val="3554147B"/>
    <w:rsid w:val="356634EA"/>
    <w:rsid w:val="35676BF6"/>
    <w:rsid w:val="35815A90"/>
    <w:rsid w:val="358A28EB"/>
    <w:rsid w:val="358B53CE"/>
    <w:rsid w:val="35970C21"/>
    <w:rsid w:val="35A3068C"/>
    <w:rsid w:val="35A826AD"/>
    <w:rsid w:val="35AD117D"/>
    <w:rsid w:val="35C863DD"/>
    <w:rsid w:val="35C94385"/>
    <w:rsid w:val="35D02B2F"/>
    <w:rsid w:val="35E66380"/>
    <w:rsid w:val="35EC3865"/>
    <w:rsid w:val="35EF3C93"/>
    <w:rsid w:val="35F717C0"/>
    <w:rsid w:val="35F73552"/>
    <w:rsid w:val="360013C9"/>
    <w:rsid w:val="36215C0C"/>
    <w:rsid w:val="362C5AB1"/>
    <w:rsid w:val="362E55E3"/>
    <w:rsid w:val="368D184B"/>
    <w:rsid w:val="36917401"/>
    <w:rsid w:val="369351BD"/>
    <w:rsid w:val="36AB3751"/>
    <w:rsid w:val="36CF3C45"/>
    <w:rsid w:val="36D234BF"/>
    <w:rsid w:val="36D24DEA"/>
    <w:rsid w:val="36EB16B7"/>
    <w:rsid w:val="370F1557"/>
    <w:rsid w:val="374431FB"/>
    <w:rsid w:val="375756F0"/>
    <w:rsid w:val="37701FAB"/>
    <w:rsid w:val="37780B8A"/>
    <w:rsid w:val="377D3888"/>
    <w:rsid w:val="3790677D"/>
    <w:rsid w:val="37A23FEE"/>
    <w:rsid w:val="37B548D2"/>
    <w:rsid w:val="37D16BC0"/>
    <w:rsid w:val="37D369C9"/>
    <w:rsid w:val="37F14D47"/>
    <w:rsid w:val="38375167"/>
    <w:rsid w:val="383A19CF"/>
    <w:rsid w:val="384717C1"/>
    <w:rsid w:val="38780130"/>
    <w:rsid w:val="38B95954"/>
    <w:rsid w:val="38E26D0F"/>
    <w:rsid w:val="38E6231C"/>
    <w:rsid w:val="38F43664"/>
    <w:rsid w:val="39073472"/>
    <w:rsid w:val="39336038"/>
    <w:rsid w:val="39390F8E"/>
    <w:rsid w:val="394C4CF1"/>
    <w:rsid w:val="397E3772"/>
    <w:rsid w:val="39AF202C"/>
    <w:rsid w:val="39AF5ACF"/>
    <w:rsid w:val="39D10854"/>
    <w:rsid w:val="39DB435C"/>
    <w:rsid w:val="39E77A39"/>
    <w:rsid w:val="39EF5745"/>
    <w:rsid w:val="39FD45AD"/>
    <w:rsid w:val="3A144E06"/>
    <w:rsid w:val="3A2544F0"/>
    <w:rsid w:val="3A3139B9"/>
    <w:rsid w:val="3A342973"/>
    <w:rsid w:val="3A3D60EB"/>
    <w:rsid w:val="3A554FB3"/>
    <w:rsid w:val="3A6666E6"/>
    <w:rsid w:val="3A812E0B"/>
    <w:rsid w:val="3AA31A10"/>
    <w:rsid w:val="3AA32572"/>
    <w:rsid w:val="3AB86CD5"/>
    <w:rsid w:val="3ABE7E6D"/>
    <w:rsid w:val="3AC6627F"/>
    <w:rsid w:val="3AF42F26"/>
    <w:rsid w:val="3AFB0D67"/>
    <w:rsid w:val="3B076DE6"/>
    <w:rsid w:val="3B0C0194"/>
    <w:rsid w:val="3B0C3045"/>
    <w:rsid w:val="3B2F3D13"/>
    <w:rsid w:val="3B340812"/>
    <w:rsid w:val="3B37734D"/>
    <w:rsid w:val="3B3E20D1"/>
    <w:rsid w:val="3B4158C8"/>
    <w:rsid w:val="3B5503D9"/>
    <w:rsid w:val="3B5E7735"/>
    <w:rsid w:val="3B821102"/>
    <w:rsid w:val="3B925DBC"/>
    <w:rsid w:val="3BA02D39"/>
    <w:rsid w:val="3BB17D8F"/>
    <w:rsid w:val="3BC853A2"/>
    <w:rsid w:val="3BCD0E38"/>
    <w:rsid w:val="3C0C6F2F"/>
    <w:rsid w:val="3C337831"/>
    <w:rsid w:val="3C3421DB"/>
    <w:rsid w:val="3C49178C"/>
    <w:rsid w:val="3C505528"/>
    <w:rsid w:val="3C5B048E"/>
    <w:rsid w:val="3C5E380B"/>
    <w:rsid w:val="3C651677"/>
    <w:rsid w:val="3C6C3616"/>
    <w:rsid w:val="3C89364A"/>
    <w:rsid w:val="3C9A2CC3"/>
    <w:rsid w:val="3CA32CFC"/>
    <w:rsid w:val="3CB653BE"/>
    <w:rsid w:val="3CC11CE4"/>
    <w:rsid w:val="3CCE7F80"/>
    <w:rsid w:val="3CDF1780"/>
    <w:rsid w:val="3CEB44FC"/>
    <w:rsid w:val="3D01766C"/>
    <w:rsid w:val="3D051E50"/>
    <w:rsid w:val="3D1E4EEC"/>
    <w:rsid w:val="3D2466AF"/>
    <w:rsid w:val="3D2B5667"/>
    <w:rsid w:val="3D2C5E54"/>
    <w:rsid w:val="3D3B06C4"/>
    <w:rsid w:val="3D5B3DBE"/>
    <w:rsid w:val="3D624DAC"/>
    <w:rsid w:val="3D6517CD"/>
    <w:rsid w:val="3D672AD9"/>
    <w:rsid w:val="3D817366"/>
    <w:rsid w:val="3D883B79"/>
    <w:rsid w:val="3D91084C"/>
    <w:rsid w:val="3DA34513"/>
    <w:rsid w:val="3DC0440E"/>
    <w:rsid w:val="3DCA67EC"/>
    <w:rsid w:val="3DD83BBA"/>
    <w:rsid w:val="3E1768EB"/>
    <w:rsid w:val="3E1E7089"/>
    <w:rsid w:val="3E22309F"/>
    <w:rsid w:val="3E2C757B"/>
    <w:rsid w:val="3E5F5A00"/>
    <w:rsid w:val="3E7208E8"/>
    <w:rsid w:val="3EBA3009"/>
    <w:rsid w:val="3ECC53B5"/>
    <w:rsid w:val="3F242F80"/>
    <w:rsid w:val="3F305DC2"/>
    <w:rsid w:val="3F3570C3"/>
    <w:rsid w:val="3F426D2B"/>
    <w:rsid w:val="3F7E00A5"/>
    <w:rsid w:val="3F833670"/>
    <w:rsid w:val="3F844019"/>
    <w:rsid w:val="3F851C0E"/>
    <w:rsid w:val="3F8723F4"/>
    <w:rsid w:val="3F89221C"/>
    <w:rsid w:val="3F8A6791"/>
    <w:rsid w:val="3F955630"/>
    <w:rsid w:val="3FB01EA9"/>
    <w:rsid w:val="3FC71777"/>
    <w:rsid w:val="3FD12E26"/>
    <w:rsid w:val="3FD62F2F"/>
    <w:rsid w:val="3FE43D25"/>
    <w:rsid w:val="3FE80445"/>
    <w:rsid w:val="3FF5591D"/>
    <w:rsid w:val="3FFC0BD2"/>
    <w:rsid w:val="40111AD6"/>
    <w:rsid w:val="402638C7"/>
    <w:rsid w:val="403364F3"/>
    <w:rsid w:val="40341393"/>
    <w:rsid w:val="404528BD"/>
    <w:rsid w:val="404B6856"/>
    <w:rsid w:val="40552285"/>
    <w:rsid w:val="407A4B62"/>
    <w:rsid w:val="40847926"/>
    <w:rsid w:val="40864D31"/>
    <w:rsid w:val="408B1BF3"/>
    <w:rsid w:val="409D1129"/>
    <w:rsid w:val="409F3118"/>
    <w:rsid w:val="40CE501B"/>
    <w:rsid w:val="40D91953"/>
    <w:rsid w:val="40E2206D"/>
    <w:rsid w:val="411140E1"/>
    <w:rsid w:val="41181FF8"/>
    <w:rsid w:val="412227DD"/>
    <w:rsid w:val="412E79D6"/>
    <w:rsid w:val="41354331"/>
    <w:rsid w:val="414314BF"/>
    <w:rsid w:val="414F485B"/>
    <w:rsid w:val="4155554A"/>
    <w:rsid w:val="41672047"/>
    <w:rsid w:val="41881F0C"/>
    <w:rsid w:val="418B2D54"/>
    <w:rsid w:val="419457CB"/>
    <w:rsid w:val="41A95B22"/>
    <w:rsid w:val="41D759C1"/>
    <w:rsid w:val="41E262AC"/>
    <w:rsid w:val="41EB3415"/>
    <w:rsid w:val="41FE771D"/>
    <w:rsid w:val="42004582"/>
    <w:rsid w:val="422F01C6"/>
    <w:rsid w:val="42335943"/>
    <w:rsid w:val="423A0E94"/>
    <w:rsid w:val="42443DF2"/>
    <w:rsid w:val="424C3F25"/>
    <w:rsid w:val="42815783"/>
    <w:rsid w:val="42A30743"/>
    <w:rsid w:val="42B753BB"/>
    <w:rsid w:val="42E125B5"/>
    <w:rsid w:val="42EA5484"/>
    <w:rsid w:val="42F46F13"/>
    <w:rsid w:val="43024CD2"/>
    <w:rsid w:val="43064FA7"/>
    <w:rsid w:val="431A0B5D"/>
    <w:rsid w:val="43212AB6"/>
    <w:rsid w:val="4328021A"/>
    <w:rsid w:val="433D5FF6"/>
    <w:rsid w:val="4378046B"/>
    <w:rsid w:val="437E5D2B"/>
    <w:rsid w:val="438D7681"/>
    <w:rsid w:val="43A50742"/>
    <w:rsid w:val="43B57123"/>
    <w:rsid w:val="43BA7C1B"/>
    <w:rsid w:val="43C4538A"/>
    <w:rsid w:val="43CD0A4B"/>
    <w:rsid w:val="43CF2B39"/>
    <w:rsid w:val="43ED477A"/>
    <w:rsid w:val="44063B85"/>
    <w:rsid w:val="441140E9"/>
    <w:rsid w:val="4435217A"/>
    <w:rsid w:val="443D37CE"/>
    <w:rsid w:val="44494739"/>
    <w:rsid w:val="44564489"/>
    <w:rsid w:val="445A6CB8"/>
    <w:rsid w:val="445A79EA"/>
    <w:rsid w:val="447A21C8"/>
    <w:rsid w:val="44947BE6"/>
    <w:rsid w:val="44A17ECF"/>
    <w:rsid w:val="44A21AB1"/>
    <w:rsid w:val="44B4778F"/>
    <w:rsid w:val="44BB2B46"/>
    <w:rsid w:val="44C03A5D"/>
    <w:rsid w:val="44CF2622"/>
    <w:rsid w:val="44CF47F6"/>
    <w:rsid w:val="44EF1D49"/>
    <w:rsid w:val="44FC4FBF"/>
    <w:rsid w:val="44FE0165"/>
    <w:rsid w:val="450E0F31"/>
    <w:rsid w:val="45477A94"/>
    <w:rsid w:val="454917AD"/>
    <w:rsid w:val="4568377F"/>
    <w:rsid w:val="45712FCB"/>
    <w:rsid w:val="457C5799"/>
    <w:rsid w:val="4584237F"/>
    <w:rsid w:val="45866707"/>
    <w:rsid w:val="45961197"/>
    <w:rsid w:val="45C927B2"/>
    <w:rsid w:val="45E27B1B"/>
    <w:rsid w:val="45EA5BE2"/>
    <w:rsid w:val="45F7017B"/>
    <w:rsid w:val="46020702"/>
    <w:rsid w:val="460D6045"/>
    <w:rsid w:val="461B1251"/>
    <w:rsid w:val="461B57BD"/>
    <w:rsid w:val="46232313"/>
    <w:rsid w:val="462C637F"/>
    <w:rsid w:val="4632235F"/>
    <w:rsid w:val="463E47EE"/>
    <w:rsid w:val="4643382A"/>
    <w:rsid w:val="465751B5"/>
    <w:rsid w:val="46744205"/>
    <w:rsid w:val="46787127"/>
    <w:rsid w:val="467F7F95"/>
    <w:rsid w:val="46E34F5A"/>
    <w:rsid w:val="46E51C59"/>
    <w:rsid w:val="46EC55EE"/>
    <w:rsid w:val="47213549"/>
    <w:rsid w:val="4728244E"/>
    <w:rsid w:val="472D424E"/>
    <w:rsid w:val="47393168"/>
    <w:rsid w:val="473B703C"/>
    <w:rsid w:val="473F7F72"/>
    <w:rsid w:val="47405970"/>
    <w:rsid w:val="47462CC7"/>
    <w:rsid w:val="474C78DB"/>
    <w:rsid w:val="47763712"/>
    <w:rsid w:val="479D67F3"/>
    <w:rsid w:val="47D14F75"/>
    <w:rsid w:val="47E40B80"/>
    <w:rsid w:val="47E93CAE"/>
    <w:rsid w:val="47F37B18"/>
    <w:rsid w:val="48336B34"/>
    <w:rsid w:val="483A1E40"/>
    <w:rsid w:val="484B37DD"/>
    <w:rsid w:val="48512D5C"/>
    <w:rsid w:val="4873149B"/>
    <w:rsid w:val="48756761"/>
    <w:rsid w:val="487867B9"/>
    <w:rsid w:val="487E3941"/>
    <w:rsid w:val="48B52C85"/>
    <w:rsid w:val="48C42CF5"/>
    <w:rsid w:val="48E70851"/>
    <w:rsid w:val="48E7093C"/>
    <w:rsid w:val="48EB57CD"/>
    <w:rsid w:val="48EE2B9C"/>
    <w:rsid w:val="49415E49"/>
    <w:rsid w:val="49627C71"/>
    <w:rsid w:val="497F3C8E"/>
    <w:rsid w:val="497F57B7"/>
    <w:rsid w:val="4999675C"/>
    <w:rsid w:val="49B2497B"/>
    <w:rsid w:val="49B378E2"/>
    <w:rsid w:val="49D652D7"/>
    <w:rsid w:val="49D70887"/>
    <w:rsid w:val="49E21BFE"/>
    <w:rsid w:val="49E33656"/>
    <w:rsid w:val="4A1D6018"/>
    <w:rsid w:val="4A1E1ED6"/>
    <w:rsid w:val="4A242F4E"/>
    <w:rsid w:val="4A305E62"/>
    <w:rsid w:val="4A4D7818"/>
    <w:rsid w:val="4A5928C2"/>
    <w:rsid w:val="4A8439E2"/>
    <w:rsid w:val="4A900490"/>
    <w:rsid w:val="4A9115C7"/>
    <w:rsid w:val="4AB42F1C"/>
    <w:rsid w:val="4ABA0FD2"/>
    <w:rsid w:val="4AC97914"/>
    <w:rsid w:val="4AF235FD"/>
    <w:rsid w:val="4B2F2B8D"/>
    <w:rsid w:val="4B4763AF"/>
    <w:rsid w:val="4B4D57E4"/>
    <w:rsid w:val="4B614C52"/>
    <w:rsid w:val="4B95060E"/>
    <w:rsid w:val="4B96656C"/>
    <w:rsid w:val="4B9936DB"/>
    <w:rsid w:val="4BA951D1"/>
    <w:rsid w:val="4BAA0729"/>
    <w:rsid w:val="4BD253DA"/>
    <w:rsid w:val="4BF37381"/>
    <w:rsid w:val="4C013B53"/>
    <w:rsid w:val="4C0236A4"/>
    <w:rsid w:val="4C0D2AAF"/>
    <w:rsid w:val="4C1B0944"/>
    <w:rsid w:val="4C284C78"/>
    <w:rsid w:val="4C2D1252"/>
    <w:rsid w:val="4C4A6E04"/>
    <w:rsid w:val="4C9102C2"/>
    <w:rsid w:val="4C9E78E2"/>
    <w:rsid w:val="4CA653DB"/>
    <w:rsid w:val="4CA75491"/>
    <w:rsid w:val="4CC239D2"/>
    <w:rsid w:val="4CC908F1"/>
    <w:rsid w:val="4CCD1E85"/>
    <w:rsid w:val="4CF54F99"/>
    <w:rsid w:val="4D0478AD"/>
    <w:rsid w:val="4D0B42CC"/>
    <w:rsid w:val="4D0F02D9"/>
    <w:rsid w:val="4D1177EE"/>
    <w:rsid w:val="4D13374C"/>
    <w:rsid w:val="4D156E88"/>
    <w:rsid w:val="4D1A26FC"/>
    <w:rsid w:val="4D2242EA"/>
    <w:rsid w:val="4D4D4F84"/>
    <w:rsid w:val="4D554272"/>
    <w:rsid w:val="4D9372E0"/>
    <w:rsid w:val="4D9710E5"/>
    <w:rsid w:val="4D9C599D"/>
    <w:rsid w:val="4DB46160"/>
    <w:rsid w:val="4DBE3B4D"/>
    <w:rsid w:val="4DC91AF8"/>
    <w:rsid w:val="4DCA2FD9"/>
    <w:rsid w:val="4DCB19A8"/>
    <w:rsid w:val="4DE25989"/>
    <w:rsid w:val="4DEB48F7"/>
    <w:rsid w:val="4DF51E96"/>
    <w:rsid w:val="4DFA2DCD"/>
    <w:rsid w:val="4DFD1A6A"/>
    <w:rsid w:val="4DFE2883"/>
    <w:rsid w:val="4E0B0207"/>
    <w:rsid w:val="4E0B48D0"/>
    <w:rsid w:val="4E0F6796"/>
    <w:rsid w:val="4E113229"/>
    <w:rsid w:val="4E475306"/>
    <w:rsid w:val="4E8727DA"/>
    <w:rsid w:val="4E932CAA"/>
    <w:rsid w:val="4EB87EBF"/>
    <w:rsid w:val="4EBE554E"/>
    <w:rsid w:val="4ECE5D9C"/>
    <w:rsid w:val="4ED72193"/>
    <w:rsid w:val="4EDF48C0"/>
    <w:rsid w:val="4EEF63CE"/>
    <w:rsid w:val="4F081CD1"/>
    <w:rsid w:val="4F0C0CE7"/>
    <w:rsid w:val="4F190799"/>
    <w:rsid w:val="4F1933D8"/>
    <w:rsid w:val="4F253B33"/>
    <w:rsid w:val="4F3C7503"/>
    <w:rsid w:val="4F450008"/>
    <w:rsid w:val="4F627F2B"/>
    <w:rsid w:val="4F672C29"/>
    <w:rsid w:val="4F7119B8"/>
    <w:rsid w:val="4F771F63"/>
    <w:rsid w:val="4F8F060B"/>
    <w:rsid w:val="4F90592E"/>
    <w:rsid w:val="4F931D14"/>
    <w:rsid w:val="4F932082"/>
    <w:rsid w:val="4F99478E"/>
    <w:rsid w:val="4F9D30F4"/>
    <w:rsid w:val="4F9D6537"/>
    <w:rsid w:val="4FA87A43"/>
    <w:rsid w:val="4FB114EC"/>
    <w:rsid w:val="4FB74E77"/>
    <w:rsid w:val="4FD24E65"/>
    <w:rsid w:val="4FE45595"/>
    <w:rsid w:val="4FED7B32"/>
    <w:rsid w:val="50027932"/>
    <w:rsid w:val="50051AD4"/>
    <w:rsid w:val="501455BA"/>
    <w:rsid w:val="501640EB"/>
    <w:rsid w:val="502659A8"/>
    <w:rsid w:val="50303C52"/>
    <w:rsid w:val="503C3BF8"/>
    <w:rsid w:val="50403FA6"/>
    <w:rsid w:val="50543F5E"/>
    <w:rsid w:val="50607DEF"/>
    <w:rsid w:val="50631B76"/>
    <w:rsid w:val="50691DD1"/>
    <w:rsid w:val="507A356D"/>
    <w:rsid w:val="50801389"/>
    <w:rsid w:val="508C35FA"/>
    <w:rsid w:val="50940F1D"/>
    <w:rsid w:val="50A42D6B"/>
    <w:rsid w:val="50A95D95"/>
    <w:rsid w:val="50BF1C6A"/>
    <w:rsid w:val="50D85621"/>
    <w:rsid w:val="50E54700"/>
    <w:rsid w:val="50EE4B5D"/>
    <w:rsid w:val="510B0296"/>
    <w:rsid w:val="511A6E09"/>
    <w:rsid w:val="51267E38"/>
    <w:rsid w:val="51285E8B"/>
    <w:rsid w:val="51437F37"/>
    <w:rsid w:val="5154171A"/>
    <w:rsid w:val="51570A0C"/>
    <w:rsid w:val="516A0042"/>
    <w:rsid w:val="516F04DE"/>
    <w:rsid w:val="51A30C8D"/>
    <w:rsid w:val="51A57FD1"/>
    <w:rsid w:val="51AA1F9E"/>
    <w:rsid w:val="51AA5BE5"/>
    <w:rsid w:val="51AF4508"/>
    <w:rsid w:val="51BC753A"/>
    <w:rsid w:val="51EE1ACE"/>
    <w:rsid w:val="520914C1"/>
    <w:rsid w:val="520E1152"/>
    <w:rsid w:val="523107E5"/>
    <w:rsid w:val="52395A26"/>
    <w:rsid w:val="523E0BDA"/>
    <w:rsid w:val="5245778F"/>
    <w:rsid w:val="524A1D0E"/>
    <w:rsid w:val="524B5F21"/>
    <w:rsid w:val="524D68CA"/>
    <w:rsid w:val="52772875"/>
    <w:rsid w:val="52875E03"/>
    <w:rsid w:val="52B47B3F"/>
    <w:rsid w:val="52D91A29"/>
    <w:rsid w:val="53121858"/>
    <w:rsid w:val="531530FE"/>
    <w:rsid w:val="532B2C16"/>
    <w:rsid w:val="532D6178"/>
    <w:rsid w:val="535D4E00"/>
    <w:rsid w:val="53903AC0"/>
    <w:rsid w:val="53B23A45"/>
    <w:rsid w:val="53B94B07"/>
    <w:rsid w:val="53C57AC5"/>
    <w:rsid w:val="53E611F9"/>
    <w:rsid w:val="53E9065A"/>
    <w:rsid w:val="53F03350"/>
    <w:rsid w:val="54032CC4"/>
    <w:rsid w:val="54243B19"/>
    <w:rsid w:val="542E13B8"/>
    <w:rsid w:val="543E1909"/>
    <w:rsid w:val="54482803"/>
    <w:rsid w:val="545B69AC"/>
    <w:rsid w:val="54741CD1"/>
    <w:rsid w:val="54777274"/>
    <w:rsid w:val="547B5534"/>
    <w:rsid w:val="547F7BC5"/>
    <w:rsid w:val="54856459"/>
    <w:rsid w:val="54870A48"/>
    <w:rsid w:val="549550C3"/>
    <w:rsid w:val="549E7609"/>
    <w:rsid w:val="54A24C47"/>
    <w:rsid w:val="54A45133"/>
    <w:rsid w:val="54A51135"/>
    <w:rsid w:val="54A665FF"/>
    <w:rsid w:val="54AE2A86"/>
    <w:rsid w:val="54BA3604"/>
    <w:rsid w:val="54BB6792"/>
    <w:rsid w:val="54BF6A18"/>
    <w:rsid w:val="54D01CDD"/>
    <w:rsid w:val="54E803A8"/>
    <w:rsid w:val="550D2C51"/>
    <w:rsid w:val="550F0D9A"/>
    <w:rsid w:val="55165C56"/>
    <w:rsid w:val="551744F1"/>
    <w:rsid w:val="551C7BC1"/>
    <w:rsid w:val="553A39AC"/>
    <w:rsid w:val="55477718"/>
    <w:rsid w:val="554800DF"/>
    <w:rsid w:val="554C7B08"/>
    <w:rsid w:val="559D6A81"/>
    <w:rsid w:val="55C66994"/>
    <w:rsid w:val="55DD5BC1"/>
    <w:rsid w:val="55E438AD"/>
    <w:rsid w:val="55EC17D1"/>
    <w:rsid w:val="55F052C1"/>
    <w:rsid w:val="55F54FCB"/>
    <w:rsid w:val="56247BA5"/>
    <w:rsid w:val="56251D8F"/>
    <w:rsid w:val="562E6CAA"/>
    <w:rsid w:val="566D31E1"/>
    <w:rsid w:val="56A5210C"/>
    <w:rsid w:val="56B46972"/>
    <w:rsid w:val="56B6267E"/>
    <w:rsid w:val="56B80B81"/>
    <w:rsid w:val="56C33DF1"/>
    <w:rsid w:val="56D05A14"/>
    <w:rsid w:val="56DC7BEF"/>
    <w:rsid w:val="56E76987"/>
    <w:rsid w:val="56FC7AC4"/>
    <w:rsid w:val="57254FEA"/>
    <w:rsid w:val="572616B5"/>
    <w:rsid w:val="573D3EE0"/>
    <w:rsid w:val="57420A31"/>
    <w:rsid w:val="575352BA"/>
    <w:rsid w:val="575B4201"/>
    <w:rsid w:val="575F0514"/>
    <w:rsid w:val="57845DB8"/>
    <w:rsid w:val="57860C7E"/>
    <w:rsid w:val="579C68FE"/>
    <w:rsid w:val="57A33754"/>
    <w:rsid w:val="57AF3198"/>
    <w:rsid w:val="57C62F94"/>
    <w:rsid w:val="57CA2F53"/>
    <w:rsid w:val="57D02755"/>
    <w:rsid w:val="57D62288"/>
    <w:rsid w:val="57FA1610"/>
    <w:rsid w:val="57FD67C9"/>
    <w:rsid w:val="580817AD"/>
    <w:rsid w:val="580A7707"/>
    <w:rsid w:val="581F7011"/>
    <w:rsid w:val="58221A27"/>
    <w:rsid w:val="58375695"/>
    <w:rsid w:val="583E17B7"/>
    <w:rsid w:val="585313A3"/>
    <w:rsid w:val="587A01BC"/>
    <w:rsid w:val="58822951"/>
    <w:rsid w:val="589051DF"/>
    <w:rsid w:val="58FA73FF"/>
    <w:rsid w:val="590D108E"/>
    <w:rsid w:val="591945A0"/>
    <w:rsid w:val="591A287A"/>
    <w:rsid w:val="59240D64"/>
    <w:rsid w:val="59517878"/>
    <w:rsid w:val="5957333C"/>
    <w:rsid w:val="595A06E4"/>
    <w:rsid w:val="595F4D30"/>
    <w:rsid w:val="596C6B5B"/>
    <w:rsid w:val="596D43DE"/>
    <w:rsid w:val="59732412"/>
    <w:rsid w:val="59831B59"/>
    <w:rsid w:val="59997A38"/>
    <w:rsid w:val="59B07E6B"/>
    <w:rsid w:val="59BB7E0C"/>
    <w:rsid w:val="59BC39D6"/>
    <w:rsid w:val="59E33161"/>
    <w:rsid w:val="59F2465F"/>
    <w:rsid w:val="59F768B4"/>
    <w:rsid w:val="5A084492"/>
    <w:rsid w:val="5A123754"/>
    <w:rsid w:val="5A182313"/>
    <w:rsid w:val="5A20628A"/>
    <w:rsid w:val="5A2757A3"/>
    <w:rsid w:val="5A5277C2"/>
    <w:rsid w:val="5A63104C"/>
    <w:rsid w:val="5A6970D2"/>
    <w:rsid w:val="5A6F6272"/>
    <w:rsid w:val="5A7229C1"/>
    <w:rsid w:val="5AAE0E58"/>
    <w:rsid w:val="5AAF0881"/>
    <w:rsid w:val="5AB03811"/>
    <w:rsid w:val="5AB15451"/>
    <w:rsid w:val="5ADD7F48"/>
    <w:rsid w:val="5AE06022"/>
    <w:rsid w:val="5AEF0365"/>
    <w:rsid w:val="5AFB23F8"/>
    <w:rsid w:val="5AFC05FD"/>
    <w:rsid w:val="5B0A1DF3"/>
    <w:rsid w:val="5B295C85"/>
    <w:rsid w:val="5B353A02"/>
    <w:rsid w:val="5B5532F8"/>
    <w:rsid w:val="5B626AAC"/>
    <w:rsid w:val="5B6A2896"/>
    <w:rsid w:val="5B7873A4"/>
    <w:rsid w:val="5B873B51"/>
    <w:rsid w:val="5B8B485D"/>
    <w:rsid w:val="5BA11C84"/>
    <w:rsid w:val="5BB53FBE"/>
    <w:rsid w:val="5C146CFB"/>
    <w:rsid w:val="5C335141"/>
    <w:rsid w:val="5C430431"/>
    <w:rsid w:val="5C5B64C4"/>
    <w:rsid w:val="5C6043B3"/>
    <w:rsid w:val="5C7A52D9"/>
    <w:rsid w:val="5C8257A5"/>
    <w:rsid w:val="5C964629"/>
    <w:rsid w:val="5CA8374C"/>
    <w:rsid w:val="5CB9558E"/>
    <w:rsid w:val="5CC17184"/>
    <w:rsid w:val="5CC17AC7"/>
    <w:rsid w:val="5CD674E9"/>
    <w:rsid w:val="5D26726A"/>
    <w:rsid w:val="5D2E180B"/>
    <w:rsid w:val="5D58232F"/>
    <w:rsid w:val="5D5C598B"/>
    <w:rsid w:val="5D5E0E71"/>
    <w:rsid w:val="5D602F48"/>
    <w:rsid w:val="5D6739C5"/>
    <w:rsid w:val="5D8746A5"/>
    <w:rsid w:val="5D8B113E"/>
    <w:rsid w:val="5D9202CB"/>
    <w:rsid w:val="5D9D504B"/>
    <w:rsid w:val="5D9F5B8B"/>
    <w:rsid w:val="5DA5656D"/>
    <w:rsid w:val="5DA9769B"/>
    <w:rsid w:val="5DD21A76"/>
    <w:rsid w:val="5DF41A5F"/>
    <w:rsid w:val="5DF46DE8"/>
    <w:rsid w:val="5DF71F0C"/>
    <w:rsid w:val="5E1002E8"/>
    <w:rsid w:val="5E172AFE"/>
    <w:rsid w:val="5E1A26D9"/>
    <w:rsid w:val="5E3D328A"/>
    <w:rsid w:val="5E6F7648"/>
    <w:rsid w:val="5E77517F"/>
    <w:rsid w:val="5E7756CF"/>
    <w:rsid w:val="5E8F597E"/>
    <w:rsid w:val="5E9364A8"/>
    <w:rsid w:val="5E9C160B"/>
    <w:rsid w:val="5EA73B6F"/>
    <w:rsid w:val="5EC80190"/>
    <w:rsid w:val="5ECC5224"/>
    <w:rsid w:val="5EE626BB"/>
    <w:rsid w:val="5EE8056A"/>
    <w:rsid w:val="5EF803AC"/>
    <w:rsid w:val="5F095E12"/>
    <w:rsid w:val="5F0F7504"/>
    <w:rsid w:val="5F1942D1"/>
    <w:rsid w:val="5F3F3031"/>
    <w:rsid w:val="5F3F6E86"/>
    <w:rsid w:val="5F520630"/>
    <w:rsid w:val="5F6A6D30"/>
    <w:rsid w:val="5F7B0DFE"/>
    <w:rsid w:val="5FA17B4F"/>
    <w:rsid w:val="5FA92CAD"/>
    <w:rsid w:val="5FAA7972"/>
    <w:rsid w:val="5FB140D9"/>
    <w:rsid w:val="5FC97594"/>
    <w:rsid w:val="5FD12B01"/>
    <w:rsid w:val="5FDB0281"/>
    <w:rsid w:val="5FE65CC1"/>
    <w:rsid w:val="5FE75C6C"/>
    <w:rsid w:val="5FEA2722"/>
    <w:rsid w:val="600457DF"/>
    <w:rsid w:val="60050E74"/>
    <w:rsid w:val="60551363"/>
    <w:rsid w:val="6069032A"/>
    <w:rsid w:val="60A267D4"/>
    <w:rsid w:val="60B8190B"/>
    <w:rsid w:val="60C43465"/>
    <w:rsid w:val="60C9094C"/>
    <w:rsid w:val="60EC274A"/>
    <w:rsid w:val="6103185C"/>
    <w:rsid w:val="61087D50"/>
    <w:rsid w:val="613652E4"/>
    <w:rsid w:val="613B478E"/>
    <w:rsid w:val="613D0FA4"/>
    <w:rsid w:val="615853A3"/>
    <w:rsid w:val="616A0586"/>
    <w:rsid w:val="618409A4"/>
    <w:rsid w:val="618B31FD"/>
    <w:rsid w:val="618C7FC9"/>
    <w:rsid w:val="61A641B7"/>
    <w:rsid w:val="61AB098E"/>
    <w:rsid w:val="61B12E46"/>
    <w:rsid w:val="61B62B7A"/>
    <w:rsid w:val="61C96382"/>
    <w:rsid w:val="61E46BA2"/>
    <w:rsid w:val="61EE3DCE"/>
    <w:rsid w:val="6220441C"/>
    <w:rsid w:val="62222166"/>
    <w:rsid w:val="62355D5A"/>
    <w:rsid w:val="62361D6E"/>
    <w:rsid w:val="62384B07"/>
    <w:rsid w:val="62403760"/>
    <w:rsid w:val="6247546F"/>
    <w:rsid w:val="624A184D"/>
    <w:rsid w:val="624F12BC"/>
    <w:rsid w:val="625A2C4E"/>
    <w:rsid w:val="626733C2"/>
    <w:rsid w:val="62675980"/>
    <w:rsid w:val="626D6F63"/>
    <w:rsid w:val="629528BF"/>
    <w:rsid w:val="62A0552A"/>
    <w:rsid w:val="62A745E7"/>
    <w:rsid w:val="62B41F38"/>
    <w:rsid w:val="62C26792"/>
    <w:rsid w:val="62C26DE9"/>
    <w:rsid w:val="62FA75D5"/>
    <w:rsid w:val="62FE7046"/>
    <w:rsid w:val="630516D0"/>
    <w:rsid w:val="630B69BB"/>
    <w:rsid w:val="634F32B0"/>
    <w:rsid w:val="63777448"/>
    <w:rsid w:val="637A4CCD"/>
    <w:rsid w:val="637B66F1"/>
    <w:rsid w:val="63915694"/>
    <w:rsid w:val="639348C6"/>
    <w:rsid w:val="639549FC"/>
    <w:rsid w:val="63A3598E"/>
    <w:rsid w:val="63AE2637"/>
    <w:rsid w:val="63BE3C2E"/>
    <w:rsid w:val="63C71C73"/>
    <w:rsid w:val="63D0040D"/>
    <w:rsid w:val="63D56431"/>
    <w:rsid w:val="63EF6839"/>
    <w:rsid w:val="63FC481F"/>
    <w:rsid w:val="640E559D"/>
    <w:rsid w:val="64130ED4"/>
    <w:rsid w:val="644371A4"/>
    <w:rsid w:val="645F3A3B"/>
    <w:rsid w:val="64686BE2"/>
    <w:rsid w:val="64757579"/>
    <w:rsid w:val="648B50C4"/>
    <w:rsid w:val="64950649"/>
    <w:rsid w:val="64973C6B"/>
    <w:rsid w:val="64974595"/>
    <w:rsid w:val="64A82C8B"/>
    <w:rsid w:val="64AB1854"/>
    <w:rsid w:val="64B95E5B"/>
    <w:rsid w:val="64CC3857"/>
    <w:rsid w:val="64DE1090"/>
    <w:rsid w:val="651602D6"/>
    <w:rsid w:val="651C70E9"/>
    <w:rsid w:val="653325F2"/>
    <w:rsid w:val="65424F1A"/>
    <w:rsid w:val="654F485D"/>
    <w:rsid w:val="65586524"/>
    <w:rsid w:val="656565E1"/>
    <w:rsid w:val="658E6568"/>
    <w:rsid w:val="65954755"/>
    <w:rsid w:val="65971CD7"/>
    <w:rsid w:val="65DB50C2"/>
    <w:rsid w:val="6610163B"/>
    <w:rsid w:val="66161F0A"/>
    <w:rsid w:val="661B093C"/>
    <w:rsid w:val="66261745"/>
    <w:rsid w:val="66292B4F"/>
    <w:rsid w:val="663B20EF"/>
    <w:rsid w:val="66416609"/>
    <w:rsid w:val="66592303"/>
    <w:rsid w:val="665A70AB"/>
    <w:rsid w:val="666B56E8"/>
    <w:rsid w:val="666F046C"/>
    <w:rsid w:val="667712C8"/>
    <w:rsid w:val="66832766"/>
    <w:rsid w:val="66862FAF"/>
    <w:rsid w:val="668A0F5B"/>
    <w:rsid w:val="66947D25"/>
    <w:rsid w:val="66A84CFD"/>
    <w:rsid w:val="66B35221"/>
    <w:rsid w:val="66B579CA"/>
    <w:rsid w:val="66B61CA3"/>
    <w:rsid w:val="66BE4DB1"/>
    <w:rsid w:val="66E73347"/>
    <w:rsid w:val="66E77503"/>
    <w:rsid w:val="66EE36C1"/>
    <w:rsid w:val="670B7CEB"/>
    <w:rsid w:val="672F0EA2"/>
    <w:rsid w:val="67366801"/>
    <w:rsid w:val="673806BA"/>
    <w:rsid w:val="673A18BE"/>
    <w:rsid w:val="673E02B4"/>
    <w:rsid w:val="67492F4E"/>
    <w:rsid w:val="674B335F"/>
    <w:rsid w:val="6753562A"/>
    <w:rsid w:val="676E3DC8"/>
    <w:rsid w:val="677D1FC2"/>
    <w:rsid w:val="678864F1"/>
    <w:rsid w:val="678E737E"/>
    <w:rsid w:val="679E68E9"/>
    <w:rsid w:val="67A2242C"/>
    <w:rsid w:val="67A5504E"/>
    <w:rsid w:val="67BE0CF2"/>
    <w:rsid w:val="67BF0B5B"/>
    <w:rsid w:val="67CD120A"/>
    <w:rsid w:val="67D303FB"/>
    <w:rsid w:val="67E0483D"/>
    <w:rsid w:val="67E53664"/>
    <w:rsid w:val="67E53ACA"/>
    <w:rsid w:val="67ED7A68"/>
    <w:rsid w:val="67FF024A"/>
    <w:rsid w:val="68001205"/>
    <w:rsid w:val="680E5A62"/>
    <w:rsid w:val="68185A59"/>
    <w:rsid w:val="683F5962"/>
    <w:rsid w:val="686B4FB0"/>
    <w:rsid w:val="68860051"/>
    <w:rsid w:val="689C5BE3"/>
    <w:rsid w:val="68A257EF"/>
    <w:rsid w:val="68D57F13"/>
    <w:rsid w:val="68DC10BE"/>
    <w:rsid w:val="68E35619"/>
    <w:rsid w:val="68E76A4E"/>
    <w:rsid w:val="68EE25CC"/>
    <w:rsid w:val="69091A8B"/>
    <w:rsid w:val="690A4669"/>
    <w:rsid w:val="690E36BF"/>
    <w:rsid w:val="69111E31"/>
    <w:rsid w:val="69246D0D"/>
    <w:rsid w:val="692D4206"/>
    <w:rsid w:val="692D628C"/>
    <w:rsid w:val="69342C9F"/>
    <w:rsid w:val="693A3632"/>
    <w:rsid w:val="694A5598"/>
    <w:rsid w:val="694F38A6"/>
    <w:rsid w:val="698C0C0A"/>
    <w:rsid w:val="698E790B"/>
    <w:rsid w:val="69953815"/>
    <w:rsid w:val="699A5E4B"/>
    <w:rsid w:val="69AE72CE"/>
    <w:rsid w:val="69DB58F5"/>
    <w:rsid w:val="69DE2B05"/>
    <w:rsid w:val="6A08145D"/>
    <w:rsid w:val="6A1A4226"/>
    <w:rsid w:val="6A1E4C59"/>
    <w:rsid w:val="6A48524D"/>
    <w:rsid w:val="6A525B97"/>
    <w:rsid w:val="6A5D0A8B"/>
    <w:rsid w:val="6A662A86"/>
    <w:rsid w:val="6A94082A"/>
    <w:rsid w:val="6A9F78D7"/>
    <w:rsid w:val="6AD2589A"/>
    <w:rsid w:val="6AE55602"/>
    <w:rsid w:val="6AEA431F"/>
    <w:rsid w:val="6AF81D2B"/>
    <w:rsid w:val="6B067DC0"/>
    <w:rsid w:val="6B0B6059"/>
    <w:rsid w:val="6B192F42"/>
    <w:rsid w:val="6B2745F1"/>
    <w:rsid w:val="6B2850EC"/>
    <w:rsid w:val="6B2F078B"/>
    <w:rsid w:val="6B354BAD"/>
    <w:rsid w:val="6B487CE0"/>
    <w:rsid w:val="6B617EF0"/>
    <w:rsid w:val="6B6F1278"/>
    <w:rsid w:val="6B7C61EF"/>
    <w:rsid w:val="6B81172C"/>
    <w:rsid w:val="6B8E65CE"/>
    <w:rsid w:val="6B9C1C14"/>
    <w:rsid w:val="6BAA34D4"/>
    <w:rsid w:val="6BB16629"/>
    <w:rsid w:val="6BC10802"/>
    <w:rsid w:val="6BC37C32"/>
    <w:rsid w:val="6BF35C7F"/>
    <w:rsid w:val="6BF54B38"/>
    <w:rsid w:val="6BF85D2C"/>
    <w:rsid w:val="6C0463C2"/>
    <w:rsid w:val="6C0C4488"/>
    <w:rsid w:val="6C0D77B0"/>
    <w:rsid w:val="6C117A6E"/>
    <w:rsid w:val="6C3C7C54"/>
    <w:rsid w:val="6C3E513E"/>
    <w:rsid w:val="6C504786"/>
    <w:rsid w:val="6C61045A"/>
    <w:rsid w:val="6CB1094D"/>
    <w:rsid w:val="6CB26ECF"/>
    <w:rsid w:val="6CBD53F0"/>
    <w:rsid w:val="6CC42874"/>
    <w:rsid w:val="6CE656F6"/>
    <w:rsid w:val="6CF43DDE"/>
    <w:rsid w:val="6D001596"/>
    <w:rsid w:val="6D0B4BB6"/>
    <w:rsid w:val="6D1E68C2"/>
    <w:rsid w:val="6D323636"/>
    <w:rsid w:val="6D513466"/>
    <w:rsid w:val="6D5227C1"/>
    <w:rsid w:val="6D827EB8"/>
    <w:rsid w:val="6D8B1651"/>
    <w:rsid w:val="6D900551"/>
    <w:rsid w:val="6D9508BE"/>
    <w:rsid w:val="6D9B6EC4"/>
    <w:rsid w:val="6DB724D5"/>
    <w:rsid w:val="6DB76800"/>
    <w:rsid w:val="6DC73991"/>
    <w:rsid w:val="6DD153A7"/>
    <w:rsid w:val="6DF71E7A"/>
    <w:rsid w:val="6E182680"/>
    <w:rsid w:val="6E1B7FA4"/>
    <w:rsid w:val="6E2208A6"/>
    <w:rsid w:val="6E3D4F84"/>
    <w:rsid w:val="6E486F41"/>
    <w:rsid w:val="6E6B6A66"/>
    <w:rsid w:val="6E7523A5"/>
    <w:rsid w:val="6E8F5C53"/>
    <w:rsid w:val="6E9C0A61"/>
    <w:rsid w:val="6EA0746C"/>
    <w:rsid w:val="6EAD6A78"/>
    <w:rsid w:val="6EB33FB3"/>
    <w:rsid w:val="6EB82A61"/>
    <w:rsid w:val="6EB92751"/>
    <w:rsid w:val="6ECD0603"/>
    <w:rsid w:val="6ED2499D"/>
    <w:rsid w:val="6EE457FB"/>
    <w:rsid w:val="6F110C0E"/>
    <w:rsid w:val="6F192768"/>
    <w:rsid w:val="6F1F0BDE"/>
    <w:rsid w:val="6F201ECF"/>
    <w:rsid w:val="6F2A4B2F"/>
    <w:rsid w:val="6F7E0F97"/>
    <w:rsid w:val="6F8C4A04"/>
    <w:rsid w:val="6FAE337C"/>
    <w:rsid w:val="6FD71954"/>
    <w:rsid w:val="6FDC3BD2"/>
    <w:rsid w:val="6FDE2F35"/>
    <w:rsid w:val="6FFA7E39"/>
    <w:rsid w:val="70057B16"/>
    <w:rsid w:val="70087614"/>
    <w:rsid w:val="702D73AB"/>
    <w:rsid w:val="70374E8F"/>
    <w:rsid w:val="7041732B"/>
    <w:rsid w:val="70514097"/>
    <w:rsid w:val="705147E6"/>
    <w:rsid w:val="705D37C7"/>
    <w:rsid w:val="7067365C"/>
    <w:rsid w:val="706946EB"/>
    <w:rsid w:val="706A7236"/>
    <w:rsid w:val="70951BFA"/>
    <w:rsid w:val="70AD606A"/>
    <w:rsid w:val="70B319F8"/>
    <w:rsid w:val="70BA0DA7"/>
    <w:rsid w:val="70BD242B"/>
    <w:rsid w:val="70C65B3A"/>
    <w:rsid w:val="70DC2ED8"/>
    <w:rsid w:val="70EE1DB6"/>
    <w:rsid w:val="70FD66A9"/>
    <w:rsid w:val="7102526D"/>
    <w:rsid w:val="71050DE0"/>
    <w:rsid w:val="712061CC"/>
    <w:rsid w:val="713F3DDC"/>
    <w:rsid w:val="714654EF"/>
    <w:rsid w:val="715F4884"/>
    <w:rsid w:val="718B6979"/>
    <w:rsid w:val="718F3DA6"/>
    <w:rsid w:val="71AA0E1C"/>
    <w:rsid w:val="71DD780E"/>
    <w:rsid w:val="71E6762B"/>
    <w:rsid w:val="71EC0CE7"/>
    <w:rsid w:val="72152481"/>
    <w:rsid w:val="72202CDF"/>
    <w:rsid w:val="72453919"/>
    <w:rsid w:val="724C0409"/>
    <w:rsid w:val="72595951"/>
    <w:rsid w:val="72801484"/>
    <w:rsid w:val="7282740A"/>
    <w:rsid w:val="72981C12"/>
    <w:rsid w:val="72A63592"/>
    <w:rsid w:val="72A768F6"/>
    <w:rsid w:val="72BA72E1"/>
    <w:rsid w:val="72D63154"/>
    <w:rsid w:val="72EE4DFB"/>
    <w:rsid w:val="73102BDB"/>
    <w:rsid w:val="731F1EEB"/>
    <w:rsid w:val="73291C42"/>
    <w:rsid w:val="734A29FF"/>
    <w:rsid w:val="736E30B7"/>
    <w:rsid w:val="736F5F38"/>
    <w:rsid w:val="737E0B58"/>
    <w:rsid w:val="738157BF"/>
    <w:rsid w:val="738D4A75"/>
    <w:rsid w:val="739A1FA1"/>
    <w:rsid w:val="739C030F"/>
    <w:rsid w:val="73A236DA"/>
    <w:rsid w:val="73B26F89"/>
    <w:rsid w:val="73B64EC1"/>
    <w:rsid w:val="73BE5134"/>
    <w:rsid w:val="73D13FC5"/>
    <w:rsid w:val="740B1EF3"/>
    <w:rsid w:val="742110F4"/>
    <w:rsid w:val="742B6D98"/>
    <w:rsid w:val="744B1BB7"/>
    <w:rsid w:val="74966CD6"/>
    <w:rsid w:val="749878E9"/>
    <w:rsid w:val="74A0156D"/>
    <w:rsid w:val="74C30258"/>
    <w:rsid w:val="74D35778"/>
    <w:rsid w:val="74D619D7"/>
    <w:rsid w:val="74DB1581"/>
    <w:rsid w:val="74E7348C"/>
    <w:rsid w:val="74F214F1"/>
    <w:rsid w:val="74FD064B"/>
    <w:rsid w:val="75271EF0"/>
    <w:rsid w:val="75346935"/>
    <w:rsid w:val="753E556C"/>
    <w:rsid w:val="754F0C42"/>
    <w:rsid w:val="754F5963"/>
    <w:rsid w:val="7579431E"/>
    <w:rsid w:val="75810007"/>
    <w:rsid w:val="75B04200"/>
    <w:rsid w:val="75B42BF8"/>
    <w:rsid w:val="75BC61B2"/>
    <w:rsid w:val="75BE53A0"/>
    <w:rsid w:val="75EA1562"/>
    <w:rsid w:val="75EC15D0"/>
    <w:rsid w:val="76212FA6"/>
    <w:rsid w:val="763A1C8B"/>
    <w:rsid w:val="764A3EA9"/>
    <w:rsid w:val="76664DB0"/>
    <w:rsid w:val="7679188C"/>
    <w:rsid w:val="768106B2"/>
    <w:rsid w:val="76814C38"/>
    <w:rsid w:val="768B2CBE"/>
    <w:rsid w:val="76974A8D"/>
    <w:rsid w:val="76C23FED"/>
    <w:rsid w:val="76C930A1"/>
    <w:rsid w:val="76D37FFE"/>
    <w:rsid w:val="76D91199"/>
    <w:rsid w:val="76DC03C3"/>
    <w:rsid w:val="76DF258F"/>
    <w:rsid w:val="76E04B7F"/>
    <w:rsid w:val="76EF4AA1"/>
    <w:rsid w:val="76F04C04"/>
    <w:rsid w:val="76F337B8"/>
    <w:rsid w:val="770050EC"/>
    <w:rsid w:val="770A48D2"/>
    <w:rsid w:val="770E4FFE"/>
    <w:rsid w:val="771255D4"/>
    <w:rsid w:val="77131F68"/>
    <w:rsid w:val="771466C3"/>
    <w:rsid w:val="771B3530"/>
    <w:rsid w:val="77272EE7"/>
    <w:rsid w:val="77471463"/>
    <w:rsid w:val="774F0FC2"/>
    <w:rsid w:val="7759009A"/>
    <w:rsid w:val="77687AB9"/>
    <w:rsid w:val="776E6615"/>
    <w:rsid w:val="777036F0"/>
    <w:rsid w:val="779D79EE"/>
    <w:rsid w:val="77C73CFA"/>
    <w:rsid w:val="77D30E98"/>
    <w:rsid w:val="77DE2052"/>
    <w:rsid w:val="77E1063C"/>
    <w:rsid w:val="77F57830"/>
    <w:rsid w:val="77FAB3E4"/>
    <w:rsid w:val="77FB24FF"/>
    <w:rsid w:val="77FC2984"/>
    <w:rsid w:val="77FF7A52"/>
    <w:rsid w:val="78150A2A"/>
    <w:rsid w:val="781531C3"/>
    <w:rsid w:val="78180195"/>
    <w:rsid w:val="781F0E45"/>
    <w:rsid w:val="782C247E"/>
    <w:rsid w:val="78404F59"/>
    <w:rsid w:val="78551B74"/>
    <w:rsid w:val="7874216D"/>
    <w:rsid w:val="788209C8"/>
    <w:rsid w:val="78997B86"/>
    <w:rsid w:val="789D5F3D"/>
    <w:rsid w:val="78BA3A51"/>
    <w:rsid w:val="78CC7FB0"/>
    <w:rsid w:val="78CF0CF2"/>
    <w:rsid w:val="78D81469"/>
    <w:rsid w:val="78E07BCC"/>
    <w:rsid w:val="78E15804"/>
    <w:rsid w:val="78E81018"/>
    <w:rsid w:val="78FD5A44"/>
    <w:rsid w:val="79095CD6"/>
    <w:rsid w:val="7909688E"/>
    <w:rsid w:val="790D37A5"/>
    <w:rsid w:val="790D43EA"/>
    <w:rsid w:val="791374C2"/>
    <w:rsid w:val="791830BB"/>
    <w:rsid w:val="792C297D"/>
    <w:rsid w:val="79337778"/>
    <w:rsid w:val="79766091"/>
    <w:rsid w:val="797F36CA"/>
    <w:rsid w:val="79830DDB"/>
    <w:rsid w:val="79870CB4"/>
    <w:rsid w:val="798C5E8A"/>
    <w:rsid w:val="79A86BB8"/>
    <w:rsid w:val="79B74CBD"/>
    <w:rsid w:val="79BC1F8E"/>
    <w:rsid w:val="79C040BF"/>
    <w:rsid w:val="79C3686C"/>
    <w:rsid w:val="79EB6CA4"/>
    <w:rsid w:val="79F41297"/>
    <w:rsid w:val="7A0205D4"/>
    <w:rsid w:val="7A0253A8"/>
    <w:rsid w:val="7A0F18AE"/>
    <w:rsid w:val="7A19388B"/>
    <w:rsid w:val="7A1F3CE6"/>
    <w:rsid w:val="7A230972"/>
    <w:rsid w:val="7A2412B1"/>
    <w:rsid w:val="7A3017B3"/>
    <w:rsid w:val="7A311BD3"/>
    <w:rsid w:val="7A3E3495"/>
    <w:rsid w:val="7A59073C"/>
    <w:rsid w:val="7A68693F"/>
    <w:rsid w:val="7A70362B"/>
    <w:rsid w:val="7A7059B7"/>
    <w:rsid w:val="7A747EEE"/>
    <w:rsid w:val="7A7745C9"/>
    <w:rsid w:val="7A797369"/>
    <w:rsid w:val="7A85325C"/>
    <w:rsid w:val="7AC30746"/>
    <w:rsid w:val="7AD54761"/>
    <w:rsid w:val="7AE97FDA"/>
    <w:rsid w:val="7AF366E7"/>
    <w:rsid w:val="7B0F6406"/>
    <w:rsid w:val="7B215942"/>
    <w:rsid w:val="7B324C1C"/>
    <w:rsid w:val="7B640FAA"/>
    <w:rsid w:val="7B701723"/>
    <w:rsid w:val="7B747E84"/>
    <w:rsid w:val="7B8643FD"/>
    <w:rsid w:val="7BA378CC"/>
    <w:rsid w:val="7BCC09BB"/>
    <w:rsid w:val="7BCE3382"/>
    <w:rsid w:val="7BF7435D"/>
    <w:rsid w:val="7C0769DB"/>
    <w:rsid w:val="7C1D3209"/>
    <w:rsid w:val="7C2032AB"/>
    <w:rsid w:val="7C2D517F"/>
    <w:rsid w:val="7C4F53C9"/>
    <w:rsid w:val="7C533942"/>
    <w:rsid w:val="7C5674E8"/>
    <w:rsid w:val="7C5B11EA"/>
    <w:rsid w:val="7C850483"/>
    <w:rsid w:val="7C857CCD"/>
    <w:rsid w:val="7C8848D9"/>
    <w:rsid w:val="7C92052A"/>
    <w:rsid w:val="7CB67962"/>
    <w:rsid w:val="7CCC08C3"/>
    <w:rsid w:val="7CE57D43"/>
    <w:rsid w:val="7CE9251D"/>
    <w:rsid w:val="7D1452FE"/>
    <w:rsid w:val="7D283AD5"/>
    <w:rsid w:val="7D312EE5"/>
    <w:rsid w:val="7D4341A2"/>
    <w:rsid w:val="7D4D58A4"/>
    <w:rsid w:val="7D645532"/>
    <w:rsid w:val="7DAC240B"/>
    <w:rsid w:val="7DAD71F5"/>
    <w:rsid w:val="7DAE5D55"/>
    <w:rsid w:val="7DF07B19"/>
    <w:rsid w:val="7E261BB0"/>
    <w:rsid w:val="7E2B1E5F"/>
    <w:rsid w:val="7E2F027B"/>
    <w:rsid w:val="7E583BAE"/>
    <w:rsid w:val="7E6105F9"/>
    <w:rsid w:val="7E863808"/>
    <w:rsid w:val="7E8E317F"/>
    <w:rsid w:val="7EA84AB4"/>
    <w:rsid w:val="7EB262E0"/>
    <w:rsid w:val="7ECA1B19"/>
    <w:rsid w:val="7ED351DD"/>
    <w:rsid w:val="7ED90EDD"/>
    <w:rsid w:val="7EE21D22"/>
    <w:rsid w:val="7EEE4CA4"/>
    <w:rsid w:val="7EF3309F"/>
    <w:rsid w:val="7EFD2953"/>
    <w:rsid w:val="7F15278B"/>
    <w:rsid w:val="7F1823B8"/>
    <w:rsid w:val="7F1A3520"/>
    <w:rsid w:val="7F28505F"/>
    <w:rsid w:val="7F406CB5"/>
    <w:rsid w:val="7F4D5B34"/>
    <w:rsid w:val="7F5D2893"/>
    <w:rsid w:val="7F6E2D8B"/>
    <w:rsid w:val="7F74471F"/>
    <w:rsid w:val="7F8827C5"/>
    <w:rsid w:val="7F8F2926"/>
    <w:rsid w:val="7F9C1000"/>
    <w:rsid w:val="7FCE639A"/>
    <w:rsid w:val="7FD178C3"/>
    <w:rsid w:val="7FD9426E"/>
    <w:rsid w:val="7FE176F9"/>
    <w:rsid w:val="7FEA6D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黑体"/>
      <w:kern w:val="2"/>
      <w:sz w:val="21"/>
      <w:szCs w:val="22"/>
      <w:lang w:val="en-US" w:eastAsia="zh-CN" w:bidi="ar-SA"/>
    </w:rPr>
  </w:style>
  <w:style w:type="paragraph" w:styleId="3">
    <w:name w:val="heading 1"/>
    <w:basedOn w:val="1"/>
    <w:next w:val="1"/>
    <w:qFormat/>
    <w:uiPriority w:val="0"/>
    <w:pPr>
      <w:adjustRightInd w:val="0"/>
      <w:snapToGrid w:val="0"/>
      <w:spacing w:line="560" w:lineRule="exact"/>
      <w:ind w:firstLine="640" w:firstLineChars="200"/>
      <w:outlineLvl w:val="0"/>
    </w:pPr>
    <w:rPr>
      <w:rFonts w:ascii="方正黑体_GBK" w:hAnsi="仿宋" w:eastAsia="方正黑体_GBK" w:cs="仿宋"/>
      <w:sz w:val="32"/>
      <w:szCs w:val="32"/>
    </w:rPr>
  </w:style>
  <w:style w:type="paragraph" w:styleId="4">
    <w:name w:val="heading 2"/>
    <w:basedOn w:val="1"/>
    <w:next w:val="1"/>
    <w:qFormat/>
    <w:uiPriority w:val="0"/>
    <w:pPr>
      <w:numPr>
        <w:ilvl w:val="0"/>
        <w:numId w:val="1"/>
      </w:numPr>
      <w:autoSpaceDE w:val="0"/>
      <w:autoSpaceDN w:val="0"/>
      <w:adjustRightInd w:val="0"/>
      <w:spacing w:line="360" w:lineRule="auto"/>
      <w:jc w:val="left"/>
      <w:outlineLvl w:val="1"/>
    </w:pPr>
    <w:rPr>
      <w:rFonts w:ascii="方正楷体_GBK" w:hAnsi="方正楷体_GBK" w:eastAsia="方正楷体_GBK" w:cs="仿宋"/>
      <w:bCs/>
      <w:iCs/>
      <w:sz w:val="32"/>
      <w:szCs w:val="32"/>
      <w:lang w:val="zh-CN"/>
    </w:rPr>
  </w:style>
  <w:style w:type="paragraph" w:styleId="5">
    <w:name w:val="heading 3"/>
    <w:basedOn w:val="6"/>
    <w:next w:val="1"/>
    <w:link w:val="18"/>
    <w:unhideWhenUsed/>
    <w:qFormat/>
    <w:uiPriority w:val="0"/>
    <w:pPr>
      <w:outlineLvl w:val="2"/>
    </w:pPr>
  </w:style>
  <w:style w:type="paragraph" w:styleId="7">
    <w:name w:val="heading 4"/>
    <w:basedOn w:val="1"/>
    <w:next w:val="1"/>
    <w:unhideWhenUsed/>
    <w:qFormat/>
    <w:uiPriority w:val="0"/>
    <w:pPr>
      <w:adjustRightInd w:val="0"/>
      <w:snapToGrid w:val="0"/>
      <w:spacing w:line="560" w:lineRule="exact"/>
      <w:ind w:firstLine="640" w:firstLineChars="200"/>
      <w:outlineLvl w:val="3"/>
    </w:pPr>
    <w:rPr>
      <w:rFonts w:ascii="仿宋" w:hAnsi="仿宋" w:eastAsia="仿宋" w:cs="仿宋"/>
      <w:sz w:val="32"/>
      <w:szCs w:val="32"/>
    </w:rPr>
  </w:style>
  <w:style w:type="paragraph" w:styleId="8">
    <w:name w:val="heading 5"/>
    <w:basedOn w:val="1"/>
    <w:next w:val="1"/>
    <w:unhideWhenUsed/>
    <w:qFormat/>
    <w:uiPriority w:val="0"/>
    <w:pPr>
      <w:keepNext/>
      <w:keepLines/>
      <w:spacing w:before="280" w:beforeLines="0" w:beforeAutospacing="0" w:after="290" w:afterLines="0" w:afterAutospacing="0" w:line="372" w:lineRule="auto"/>
      <w:outlineLvl w:val="4"/>
    </w:pPr>
    <w:rPr>
      <w:b/>
      <w:sz w:val="28"/>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ind w:left="100"/>
    </w:pPr>
    <w:rPr>
      <w:sz w:val="21"/>
      <w:szCs w:val="21"/>
    </w:rPr>
  </w:style>
  <w:style w:type="paragraph" w:customStyle="1" w:styleId="6">
    <w:name w:val="样式3"/>
    <w:basedOn w:val="1"/>
    <w:qFormat/>
    <w:uiPriority w:val="0"/>
    <w:pPr>
      <w:adjustRightInd w:val="0"/>
      <w:snapToGrid w:val="0"/>
      <w:spacing w:line="560" w:lineRule="exact"/>
      <w:ind w:firstLine="643" w:firstLineChars="200"/>
    </w:pPr>
    <w:rPr>
      <w:rFonts w:ascii="仿宋" w:hAnsi="仿宋" w:eastAsia="仿宋" w:cs="仿宋"/>
      <w:b/>
      <w:bCs/>
      <w:sz w:val="32"/>
      <w:szCs w:val="32"/>
    </w:rPr>
  </w:style>
  <w:style w:type="paragraph" w:styleId="9">
    <w:name w:val="Normal Indent"/>
    <w:basedOn w:val="1"/>
    <w:next w:val="1"/>
    <w:qFormat/>
    <w:uiPriority w:val="0"/>
    <w:pPr>
      <w:widowControl/>
      <w:ind w:firstLine="420" w:firstLineChars="200"/>
      <w:jc w:val="left"/>
    </w:pPr>
    <w:rPr>
      <w:kern w:val="0"/>
      <w:sz w:val="20"/>
      <w:szCs w:val="20"/>
    </w:rPr>
  </w:style>
  <w:style w:type="paragraph" w:styleId="10">
    <w:name w:val="footer"/>
    <w:basedOn w:val="1"/>
    <w:qFormat/>
    <w:uiPriority w:val="99"/>
    <w:pPr>
      <w:tabs>
        <w:tab w:val="center" w:pos="4153"/>
        <w:tab w:val="right" w:pos="8306"/>
      </w:tabs>
      <w:snapToGrid w:val="0"/>
      <w:jc w:val="left"/>
    </w:pPr>
    <w:rPr>
      <w:sz w:val="18"/>
    </w:rPr>
  </w:style>
  <w:style w:type="paragraph" w:styleId="11">
    <w:name w:val="header"/>
    <w:basedOn w:val="1"/>
    <w:unhideWhenUsed/>
    <w:qFormat/>
    <w:uiPriority w:val="99"/>
    <w:pPr>
      <w:pBdr>
        <w:bottom w:val="single" w:color="auto" w:sz="6" w:space="1"/>
      </w:pBdr>
      <w:tabs>
        <w:tab w:val="center" w:pos="4153"/>
        <w:tab w:val="right" w:pos="8306"/>
      </w:tabs>
      <w:adjustRightInd/>
      <w:snapToGrid w:val="0"/>
      <w:spacing w:line="240" w:lineRule="auto"/>
      <w:jc w:val="center"/>
      <w:textAlignment w:val="auto"/>
    </w:pPr>
    <w:rPr>
      <w:rFonts w:ascii="Calibri" w:hAnsi="Calibri" w:eastAsia="宋体" w:cs="Times New Roman"/>
      <w:kern w:val="2"/>
      <w:sz w:val="18"/>
      <w:szCs w:val="18"/>
    </w:rPr>
  </w:style>
  <w:style w:type="paragraph" w:styleId="12">
    <w:name w:val="toc 1"/>
    <w:basedOn w:val="1"/>
    <w:next w:val="1"/>
    <w:qFormat/>
    <w:uiPriority w:val="0"/>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6">
    <w:name w:val="a0"/>
    <w:basedOn w:val="1"/>
    <w:unhideWhenUsed/>
    <w:qFormat/>
    <w:uiPriority w:val="0"/>
    <w:pPr>
      <w:widowControl/>
      <w:spacing w:beforeLines="0" w:afterLines="0"/>
      <w:jc w:val="center"/>
    </w:pPr>
    <w:rPr>
      <w:rFonts w:hint="default"/>
      <w:kern w:val="0"/>
      <w:sz w:val="21"/>
    </w:rPr>
  </w:style>
  <w:style w:type="paragraph" w:customStyle="1" w:styleId="17">
    <w:name w:val="21"/>
    <w:basedOn w:val="1"/>
    <w:unhideWhenUsed/>
    <w:qFormat/>
    <w:uiPriority w:val="0"/>
    <w:pPr>
      <w:widowControl/>
      <w:snapToGrid w:val="0"/>
      <w:spacing w:beforeLines="0" w:afterLines="0"/>
      <w:jc w:val="center"/>
    </w:pPr>
    <w:rPr>
      <w:rFonts w:hint="default"/>
      <w:kern w:val="0"/>
      <w:sz w:val="18"/>
    </w:rPr>
  </w:style>
  <w:style w:type="character" w:customStyle="1" w:styleId="18">
    <w:name w:val="标题 3 字符"/>
    <w:link w:val="5"/>
    <w:qFormat/>
    <w:uiPriority w:val="0"/>
  </w:style>
  <w:style w:type="paragraph" w:customStyle="1" w:styleId="19">
    <w:name w:val="WPSOffice手动目录 1"/>
    <w:qFormat/>
    <w:uiPriority w:val="0"/>
    <w:pPr>
      <w:ind w:leftChars="0"/>
    </w:pPr>
    <w:rPr>
      <w:rFonts w:asciiTheme="minorHAnsi" w:hAnsiTheme="minorHAnsi" w:eastAsiaTheme="minorEastAsia" w:cstheme="minorBidi"/>
      <w:sz w:val="2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21</Pages>
  <Words>1462</Words>
  <Characters>1731</Characters>
  <Lines>0</Lines>
  <Paragraphs>0</Paragraphs>
  <TotalTime>16</TotalTime>
  <ScaleCrop>false</ScaleCrop>
  <LinksUpToDate>false</LinksUpToDate>
  <CharactersWithSpaces>1751</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2022-12-27T19:22:00Z</dcterms:created>
  <dc:creator>yndw</dc:creator>
  <cp:lastModifiedBy>赘</cp:lastModifiedBy>
  <cp:lastPrinted>2026-08-21T05:42:00Z</cp:lastPrinted>
  <dcterms:modified xsi:type="dcterms:W3CDTF">2026-09-18T08:34:33Z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2B8860F81FE94C90A22CD33DD892038A_13</vt:lpwstr>
  </property>
  <property fmtid="{D5CDD505-2E9C-101B-9397-08002B2CF9AE}" pid="4" name="KSOTemplateDocerSaveRecord">
    <vt:lpwstr>eyJoZGlkIjoiNDYyYTdhZjI1ZWRlYzVkM2I1ZDhiNGQ3ZjRiZWQyZjYiLCJ1c2VySWQiOiI0MDQ2OTcwODYifQ==</vt:lpwstr>
  </property>
  <property pid="5" fmtid="{D5CDD505-2E9C-101B-9397-08002B2CF9AE}" name="CWM0f2d80b817ad4ca8a849a5adbe796832">
    <vt:lpwstr>CWMozYfu3lJ+uQrlL5l4MJrIQ/EPwNNyYDzktbttLzSarxsbcIjaV0G7jo58pBZMZUb2tmtTYHMd6b+xsquidWLcg==</vt:lpwstr>
  </property>
</Properties>
</file>