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5.2.2</w:t>
      </w:r>
      <w:r>
        <w:rPr>
          <w:rFonts w:hint="eastAsia" w:asciiTheme="minorEastAsia" w:hAnsiTheme="minorEastAsia"/>
          <w:b/>
          <w:sz w:val="24"/>
          <w:szCs w:val="24"/>
        </w:rPr>
        <w:tab/>
      </w:r>
      <w:r>
        <w:rPr>
          <w:rFonts w:hint="eastAsia" w:asciiTheme="minorEastAsia" w:hAnsiTheme="minorEastAsia"/>
          <w:b/>
          <w:sz w:val="24"/>
          <w:szCs w:val="24"/>
        </w:rPr>
        <w:t>机房UPS电源系统主要材料设备要求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160KVA 模块化UPS主机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★3、在线插拔需要满足IEC TR 61641:2014中规定的电弧等级，用于定义针对电弧故障提供的不同形式保护的等级1级。需要提供第三方测试认证。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澄清：该要求具有排他性及指向性，限制了其他厂家投标。建议修改条款如下：</w:t>
      </w:r>
    </w:p>
    <w:p>
      <w:pPr>
        <w:pStyle w:val="10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3、UPS具有在线热拔插功能，需要提供第三方检测机构测试报告证明。</w:t>
      </w:r>
    </w:p>
    <w:p>
      <w:pPr>
        <w:spacing w:line="360" w:lineRule="auto"/>
        <w:rPr>
          <w:rFonts w:hint="default" w:asciiTheme="minorEastAsia" w:hAnsiTheme="minorEastAsia" w:eastAsiaTheme="minorEastAsia"/>
          <w:sz w:val="24"/>
          <w:szCs w:val="24"/>
          <w:highlight w:val="yellow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highlight w:val="yellow"/>
        </w:rPr>
        <w:t>回复：</w:t>
      </w:r>
      <w:bookmarkStart w:id="0" w:name="OLE_LINK2"/>
      <w:r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  <w:t>已在前文澄清答复</w:t>
      </w:r>
      <w:bookmarkEnd w:id="0"/>
    </w:p>
    <w:p/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★5、UPS操作显示面板配置彩色触摸液晶显示屏，屏幕尺寸不小于9英寸，方便操作维护。中文显示，具有事件记录，存储不少于5000条事件日志。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澄清：该要求具有排他性及指向性，限制了其他厂家投标。建议修改条款如下：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★5、UPS操作显示面板配置彩色触摸液晶显示屏，屏幕尺寸不小于7英寸，方便操作维护。中文显示，具有事件记录，存储不少于3000条事件日志。</w:t>
      </w:r>
    </w:p>
    <w:p>
      <w:pPr>
        <w:spacing w:line="360" w:lineRule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highlight w:val="yellow"/>
        </w:rPr>
        <w:t>回复</w:t>
      </w:r>
      <w:r>
        <w:rPr>
          <w:rFonts w:asciiTheme="minorEastAsia" w:hAnsiTheme="minorEastAsia"/>
          <w:sz w:val="24"/>
          <w:szCs w:val="24"/>
          <w:highlight w:val="yellow"/>
        </w:rPr>
        <w:t>：</w:t>
      </w:r>
      <w:bookmarkStart w:id="1" w:name="OLE_LINK3"/>
      <w:r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  <w:t>已在前文澄清答复</w:t>
      </w:r>
      <w:bookmarkEnd w:id="1"/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13、</w:t>
      </w:r>
      <w:bookmarkStart w:id="2" w:name="OLE_LINK1"/>
      <w:r>
        <w:rPr>
          <w:rFonts w:hint="eastAsia" w:asciiTheme="minorEastAsia" w:hAnsiTheme="minorEastAsia"/>
          <w:b/>
          <w:sz w:val="24"/>
          <w:szCs w:val="24"/>
        </w:rPr>
        <w:t>电池系统采用无中线设计，电池可调只数不低于8只。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澄清：该要求具有排他性及指向性，限制了其他厂家投标。建议修改条款如下：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13、UPS电池可调只数不低于8只。</w:t>
      </w:r>
    </w:p>
    <w:bookmarkEnd w:id="2"/>
    <w:p>
      <w:pPr>
        <w:spacing w:line="360" w:lineRule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highlight w:val="yellow"/>
        </w:rPr>
        <w:t>回复</w:t>
      </w:r>
      <w:r>
        <w:rPr>
          <w:rFonts w:hint="eastAsia" w:asciiTheme="minorEastAsia" w:hAnsiTheme="minorEastAsia"/>
          <w:sz w:val="24"/>
          <w:szCs w:val="24"/>
          <w:highlight w:val="yellow"/>
          <w:lang w:eastAsia="zh-CN"/>
        </w:rPr>
        <w:t>：</w:t>
      </w:r>
      <w:r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  <w:t>严格</w:t>
      </w:r>
      <w:r>
        <w:rPr>
          <w:rFonts w:hint="eastAsia" w:asciiTheme="minorEastAsia" w:hAnsiTheme="minorEastAsia"/>
          <w:sz w:val="24"/>
          <w:szCs w:val="24"/>
          <w:highlight w:val="yellow"/>
        </w:rPr>
        <w:t>按技术规范书要求响应。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18、UPS内置防止功率模块空缺时阻止异物进入空模块插槽的自动盖板，并且具有该技术专利。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澄清：该要求具有排他性及指向性，限制了其他厂家投标。建议修改条款如下：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18、UPS内置防止功率模块空缺时阻止异物进入空模块插槽的盖板。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highlight w:val="yellow"/>
        </w:rPr>
        <w:t>回复</w:t>
      </w:r>
      <w:r>
        <w:rPr>
          <w:rFonts w:asciiTheme="minorEastAsia" w:hAnsiTheme="minorEastAsia"/>
          <w:sz w:val="24"/>
          <w:szCs w:val="24"/>
          <w:highlight w:val="yellow"/>
        </w:rPr>
        <w:t>：</w:t>
      </w:r>
      <w:r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  <w:t>已在前文澄清答复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30KVA UPS主机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19. 具有旁路电流反馈保护干接点，可外接保护装置满足输入保护。提供相关系统连接示意图。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澄清：该要求具有排他性及指向性，限制了其他厂家投标，建议删除。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highlight w:val="yellow"/>
        </w:rPr>
        <w:t>回复</w:t>
      </w:r>
      <w:r>
        <w:rPr>
          <w:rFonts w:asciiTheme="minorEastAsia" w:hAnsiTheme="minorEastAsia"/>
          <w:sz w:val="24"/>
          <w:szCs w:val="24"/>
          <w:highlight w:val="yellow"/>
        </w:rPr>
        <w:t>：</w:t>
      </w:r>
      <w:bookmarkStart w:id="3" w:name="OLE_LINK4"/>
      <w:r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  <w:t>严格</w:t>
      </w:r>
      <w:r>
        <w:rPr>
          <w:rFonts w:hint="eastAsia" w:asciiTheme="minorEastAsia" w:hAnsiTheme="minorEastAsia"/>
          <w:sz w:val="24"/>
          <w:szCs w:val="24"/>
          <w:highlight w:val="yellow"/>
        </w:rPr>
        <w:t>按技术规范书要求响应。</w:t>
      </w:r>
      <w:bookmarkEnd w:id="3"/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23. 电池管理：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Ø 具有电池均充、浮充自动控制功能：UPS在停机放置一段时间后，以及在蓄电池放电结束恢复正常供电后，自动启动均充充电，均充电压及均充时间根据蓄电池性能要求设定好进行均充，均充完成能够自动转为浮充充电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Ø 具有电池充电温度补偿功能：能够根据电池环境温度，自动调整充电器输出电压，避免过充电和欠充电；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Ø 具有电池定期自动维护和测试功能：可以按客户要求设定蓄电池自动维护测试，到了设定的维护时间UPS自动转到电池供电，测试完成后自动恢复正常供电（测试到电池有问题时，即使没有完成电池测试，UPS都恢复正常供电，并报电池故障通知运维人员）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Ø 须采用带有通讯和监控功能的专用直流断路器，不采用普通交流断路器或交直流两用断路器，电池断路器具有防止误操作和深度放电保护的功能；UPS主机能检测电池断路器状态并可以远程监控。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Ø 在开关意外脱扣的情况下，系统能够提供报警。当整流器未建立直流母线电压时，电池断路器不能被闭合。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Ø 当电池放电终止时，断路器应能自动断开，以避免蓄电池组因过放电而损坏。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澄清：</w:t>
      </w:r>
      <w:r>
        <w:rPr>
          <w:rFonts w:hint="eastAsia" w:asciiTheme="minorEastAsia" w:hAnsiTheme="minorEastAsia"/>
          <w:sz w:val="24"/>
          <w:szCs w:val="24"/>
        </w:rPr>
        <w:t>该要求具有排他性及指向性，限制了其他厂家投标。建议修改条款如下：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23. 电池管理：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Ø 具有电池均充、浮充自动控制功能：UPS在停机放置一段时间后，以及在蓄电池放电结束恢复正常供电后，自动启动均充充电，均充电压及均充时间根据蓄电池性能要求设定好进行均充，均充完成能够自动转为浮充充电。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Ø 具有电池充电温度补偿功能：能够根据电池环境温度，自动调整充电器输出电压，避免过充电和欠充电；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Ø 具有电池定期自动维护和测试功能：可以按客户要求设定蓄电池自动维护测试，到了设定的维护时间UPS自动转到电池供电，测试完成后自动恢复正常供电（测试到电池有问题时，即使没有完成电池测试，UPS都恢复正常供电，并报电池故障通知运维人员）。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Ø 须采用专用直流断路器，不采用普通交流断路器或交直流两用断路器。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  <w:highlight w:val="yellow"/>
        </w:rPr>
        <w:t>回复</w:t>
      </w:r>
      <w:r>
        <w:rPr>
          <w:rFonts w:asciiTheme="minorEastAsia" w:hAnsiTheme="minorEastAsia"/>
          <w:sz w:val="24"/>
          <w:szCs w:val="24"/>
          <w:highlight w:val="yellow"/>
        </w:rPr>
        <w:t>：</w:t>
      </w:r>
      <w:r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  <w:t>严格</w:t>
      </w:r>
      <w:r>
        <w:rPr>
          <w:rFonts w:hint="eastAsia" w:asciiTheme="minorEastAsia" w:hAnsiTheme="minorEastAsia"/>
          <w:sz w:val="24"/>
          <w:szCs w:val="24"/>
          <w:highlight w:val="yellow"/>
        </w:rPr>
        <w:t>按技术规范书要求响应。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</w:p>
    <w:p>
      <w:pPr>
        <w:spacing w:line="360" w:lineRule="auto"/>
        <w:rPr>
          <w:rFonts w:hint="eastAsia" w:asciiTheme="minorEastAsia" w:hAnsiTheme="minorEastAsia"/>
          <w:sz w:val="24"/>
          <w:szCs w:val="24"/>
        </w:rPr>
      </w:pP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10KVA-UPS电源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 xml:space="preserve">5) </w:t>
      </w:r>
      <w:bookmarkStart w:id="4" w:name="OLE_LINK5"/>
      <w:r>
        <w:rPr>
          <w:rFonts w:hint="eastAsia" w:asciiTheme="minorEastAsia" w:hAnsiTheme="minorEastAsia"/>
          <w:b/>
          <w:sz w:val="24"/>
          <w:szCs w:val="24"/>
        </w:rPr>
        <w:t>输出稳压精度：0.16%</w:t>
      </w:r>
    </w:p>
    <w:bookmarkEnd w:id="4"/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澄清：该要求具有排他性及指向性，限制了其他厂家投标。建议修改条款如下：</w:t>
      </w:r>
    </w:p>
    <w:p>
      <w:pPr>
        <w:spacing w:line="360" w:lineRule="auto"/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</w:rPr>
        <w:t>5) 输出稳压精度：0.5%</w:t>
      </w:r>
    </w:p>
    <w:p>
      <w:pPr>
        <w:spacing w:line="360" w:lineRule="auto"/>
        <w:rPr>
          <w:rFonts w:hint="default" w:asciiTheme="minorEastAsia" w:hAnsiTheme="minorEastAsia" w:eastAsiaTheme="minorEastAsia"/>
          <w:b/>
          <w:sz w:val="24"/>
          <w:szCs w:val="24"/>
          <w:highlight w:val="yellow"/>
          <w:lang w:val="en-US" w:eastAsia="zh-CN"/>
        </w:rPr>
      </w:pPr>
      <w:bookmarkStart w:id="5" w:name="OLE_LINK7"/>
      <w:r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  <w:t>回复：已更新技术规范书，按最新技术规范书要求响应。该项技术参数要求不涉及否决项。</w:t>
      </w:r>
    </w:p>
    <w:bookmarkEnd w:id="5"/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 xml:space="preserve">8) </w:t>
      </w:r>
      <w:bookmarkStart w:id="6" w:name="OLE_LINK8"/>
      <w:r>
        <w:rPr>
          <w:rFonts w:hint="eastAsia" w:asciiTheme="minorEastAsia" w:hAnsiTheme="minorEastAsia"/>
          <w:b/>
          <w:sz w:val="24"/>
          <w:szCs w:val="24"/>
        </w:rPr>
        <w:t>输出电压波形失真度：≤0.6%（额定阻性负载），≤0.9%（额定非线性负载）</w:t>
      </w:r>
      <w:bookmarkEnd w:id="6"/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澄清：该要求具有排他性及指向性，限制了其他厂家投标。建议修改条款如下：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8)</w:t>
      </w:r>
      <w:bookmarkStart w:id="7" w:name="OLE_LINK10"/>
      <w:r>
        <w:rPr>
          <w:rFonts w:hint="eastAsia" w:asciiTheme="minorEastAsia" w:hAnsiTheme="minorEastAsia"/>
          <w:sz w:val="24"/>
          <w:szCs w:val="24"/>
        </w:rPr>
        <w:t xml:space="preserve"> 输出电压波形失真度：≤0.6%（额定阻性负载），≤1.5%（额定非线性负载）</w:t>
      </w:r>
      <w:bookmarkEnd w:id="7"/>
    </w:p>
    <w:p>
      <w:pPr>
        <w:spacing w:line="360" w:lineRule="auto"/>
        <w:rPr>
          <w:rFonts w:hint="eastAsia" w:asciiTheme="minorEastAsia" w:hAnsiTheme="minorEastAsia" w:eastAsiaTheme="minorEastAsia"/>
          <w:sz w:val="24"/>
          <w:szCs w:val="24"/>
          <w:highlight w:val="yellow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highlight w:val="yellow"/>
        </w:rPr>
        <w:t>回复</w:t>
      </w:r>
      <w:r>
        <w:rPr>
          <w:rFonts w:asciiTheme="minorEastAsia" w:hAnsiTheme="minorEastAsia"/>
          <w:sz w:val="24"/>
          <w:szCs w:val="24"/>
          <w:highlight w:val="yellow"/>
        </w:rPr>
        <w:t>：</w:t>
      </w:r>
      <w:r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  <w:t>已更新技术规范书，按最新技术规范书要求响应。该项技术参数要求不涉及否决项。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 xml:space="preserve">14) </w:t>
      </w:r>
      <w:bookmarkStart w:id="8" w:name="OLE_LINK11"/>
      <w:r>
        <w:rPr>
          <w:rFonts w:hint="eastAsia" w:asciiTheme="minorEastAsia" w:hAnsiTheme="minorEastAsia"/>
          <w:b/>
          <w:sz w:val="24"/>
          <w:szCs w:val="24"/>
        </w:rPr>
        <w:t>系统效率：&gt;96.1%（50%负载）</w:t>
      </w:r>
      <w:bookmarkEnd w:id="8"/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澄清：该要求具有排他性及指向性，限制了其他厂家投标。建议修改条款如下：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14) 系统效率：&gt;95%（50%负载）</w:t>
      </w:r>
    </w:p>
    <w:p>
      <w:pPr>
        <w:spacing w:line="360" w:lineRule="auto"/>
        <w:rPr>
          <w:rFonts w:hint="default" w:asciiTheme="minorEastAsia" w:hAnsiTheme="minorEastAsia"/>
          <w:sz w:val="24"/>
          <w:szCs w:val="24"/>
          <w:highlight w:val="yellow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highlight w:val="yellow"/>
        </w:rPr>
        <w:t>回复</w:t>
      </w:r>
      <w:r>
        <w:rPr>
          <w:rFonts w:asciiTheme="minorEastAsia" w:hAnsiTheme="minorEastAsia"/>
          <w:sz w:val="24"/>
          <w:szCs w:val="24"/>
          <w:highlight w:val="yellow"/>
        </w:rPr>
        <w:t>：</w:t>
      </w:r>
      <w:r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  <w:t>已更新技术规范书，按最新技术规范书要求响应。该项技术参数要求不涉及否决项。</w:t>
      </w:r>
      <w:bookmarkStart w:id="9" w:name="_GoBack"/>
      <w:bookmarkEnd w:id="9"/>
    </w:p>
    <w:p>
      <w:pPr>
        <w:spacing w:line="360" w:lineRule="auto"/>
        <w:rPr>
          <w:rFonts w:hint="eastAsia" w:asciiTheme="minorEastAsia" w:hAnsiTheme="minorEastAsia"/>
          <w:sz w:val="24"/>
          <w:szCs w:val="24"/>
          <w:highlight w:val="yellow"/>
          <w:lang w:val="en-US" w:eastAsia="zh-CN"/>
        </w:rPr>
      </w:pP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565602"/>
    <w:multiLevelType w:val="multilevel"/>
    <w:tmpl w:val="14565602"/>
    <w:lvl w:ilvl="0" w:tentative="0">
      <w:start w:val="5"/>
      <w:numFmt w:val="bullet"/>
      <w:lvlText w:val="★"/>
      <w:lvlJc w:val="left"/>
      <w:pPr>
        <w:ind w:left="828" w:hanging="360"/>
      </w:pPr>
      <w:rPr>
        <w:rFonts w:hint="eastAsia" w:ascii="宋体" w:hAnsi="宋体" w:eastAsia="宋体" w:cstheme="minorBidi"/>
      </w:rPr>
    </w:lvl>
    <w:lvl w:ilvl="1" w:tentative="0">
      <w:start w:val="1"/>
      <w:numFmt w:val="bullet"/>
      <w:lvlText w:val=""/>
      <w:lvlJc w:val="left"/>
      <w:pPr>
        <w:ind w:left="130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2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4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6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8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0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2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48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73C"/>
    <w:rsid w:val="00037BF5"/>
    <w:rsid w:val="000C167C"/>
    <w:rsid w:val="00177E58"/>
    <w:rsid w:val="001D0627"/>
    <w:rsid w:val="004F18D9"/>
    <w:rsid w:val="00552933"/>
    <w:rsid w:val="00596BC0"/>
    <w:rsid w:val="006E4878"/>
    <w:rsid w:val="007A104E"/>
    <w:rsid w:val="007D3D3B"/>
    <w:rsid w:val="0081273C"/>
    <w:rsid w:val="008C5EDE"/>
    <w:rsid w:val="008E7E82"/>
    <w:rsid w:val="00912E5E"/>
    <w:rsid w:val="00A82EFC"/>
    <w:rsid w:val="00B06D79"/>
    <w:rsid w:val="00B21442"/>
    <w:rsid w:val="00C732CB"/>
    <w:rsid w:val="00CC355C"/>
    <w:rsid w:val="00E22377"/>
    <w:rsid w:val="00F336E8"/>
    <w:rsid w:val="08AA6725"/>
    <w:rsid w:val="18E02A4C"/>
    <w:rsid w:val="1BF16713"/>
    <w:rsid w:val="1D7F4EFA"/>
    <w:rsid w:val="22E1668E"/>
    <w:rsid w:val="469F1230"/>
    <w:rsid w:val="78E73794"/>
    <w:rsid w:val="799A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文档结构图 Char"/>
    <w:basedOn w:val="6"/>
    <w:link w:val="2"/>
    <w:semiHidden/>
    <w:qFormat/>
    <w:uiPriority w:val="99"/>
    <w:rPr>
      <w:rFonts w:ascii="宋体" w:eastAsia="宋体"/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303</Words>
  <Characters>1732</Characters>
  <Lines>14</Lines>
  <Paragraphs>4</Paragraphs>
  <TotalTime>4</TotalTime>
  <ScaleCrop>false</ScaleCrop>
  <LinksUpToDate>false</LinksUpToDate>
  <CharactersWithSpaces>2031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2026-09-18T02:51:00Z</dcterms:created>
  <dc:creator>sll</dc:creator>
  <cp:lastModifiedBy>戴岸珏</cp:lastModifiedBy>
  <dcterms:modified xsi:type="dcterms:W3CDTF">2026-09-20T10:17:18Z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0227F438EC8E4DA1BA07D9C6E8FAC633</vt:lpwstr>
  </property>
</Properties>
</file>