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Times New Roman" w:hAnsi="Times New Roman" w:eastAsia="宋体" w:cs="Times New Roman"/>
          <w:b/>
          <w:bCs/>
          <w:snapToGrid/>
          <w:kern w:val="2"/>
          <w:sz w:val="28"/>
          <w:szCs w:val="24"/>
          <w:lang w:val="en-US" w:eastAsia="zh-CN"/>
        </w:rPr>
      </w:pPr>
      <w:r>
        <w:rPr>
          <w:rFonts w:hint="eastAsia"/>
          <w:b/>
          <w:bCs/>
          <w:sz w:val="28"/>
          <w:szCs w:val="24"/>
          <w:lang w:val="en-US" w:eastAsia="zh-CN"/>
        </w:rPr>
        <w:t>南网技术公司2026年电力在线监测产品</w:t>
      </w:r>
      <w:r>
        <w:rPr>
          <w:rFonts w:hint="eastAsia" w:ascii="Times New Roman" w:hAnsi="Times New Roman" w:eastAsia="宋体" w:cs="Times New Roman"/>
          <w:b/>
          <w:bCs/>
          <w:snapToGrid/>
          <w:kern w:val="2"/>
          <w:sz w:val="28"/>
          <w:szCs w:val="24"/>
          <w:lang w:val="en-US" w:eastAsia="zh-CN"/>
        </w:rPr>
        <w:t>型式试验零星采购技术附件</w:t>
      </w:r>
    </w:p>
    <w:p>
      <w:pPr>
        <w:spacing w:beforeLines="0" w:afterLines="0"/>
        <w:jc w:val="left"/>
        <w:rPr>
          <w:rFonts w:hint="eastAsia" w:ascii="宋体" w:hAnsi="宋体" w:eastAsia="宋体"/>
          <w:b/>
          <w:bCs/>
          <w:color w:val="000000"/>
          <w:sz w:val="28"/>
          <w:szCs w:val="36"/>
        </w:rPr>
      </w:pP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cs="宋体"/>
          <w:b/>
          <w:bCs/>
          <w:sz w:val="32"/>
          <w:szCs w:val="32"/>
        </w:rPr>
      </w:pPr>
      <w:r>
        <w:rPr>
          <w:rFonts w:hint="eastAsia" w:ascii="宋体" w:hAnsi="宋体" w:eastAsia="宋体"/>
          <w:b/>
          <w:bCs/>
          <w:color w:val="000000"/>
          <w:sz w:val="28"/>
          <w:szCs w:val="36"/>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_GB2312" w:hAnsi="仿宋_GB2312" w:eastAsia="仿宋_GB2312" w:cs="仿宋_GB2312"/>
          <w:snapToGrid/>
          <w:kern w:val="2"/>
          <w:sz w:val="24"/>
          <w:szCs w:val="32"/>
          <w:lang w:val="en-US" w:eastAsia="zh-CN"/>
        </w:rPr>
      </w:pPr>
      <w:r>
        <w:rPr>
          <w:rFonts w:hint="eastAsia" w:ascii="仿宋_GB2312" w:hAnsi="仿宋_GB2312" w:eastAsia="仿宋_GB2312" w:cs="仿宋_GB2312"/>
          <w:snapToGrid/>
          <w:kern w:val="2"/>
          <w:sz w:val="24"/>
          <w:szCs w:val="32"/>
          <w:lang w:val="en-US" w:eastAsia="zh-CN"/>
        </w:rPr>
        <w:t>为检测南网技术公司电力在线监测产品测量误差、功耗及电磁兼容性能等产品关键参数，验证是否满足相关技术标准与技术规范，拟开展电力在线监测产品型式试验，试验项目明细</w:t>
      </w:r>
      <w:r>
        <w:rPr>
          <w:rFonts w:hint="eastAsia" w:ascii="仿宋_GB2312" w:hAnsi="仿宋_GB2312" w:eastAsia="仿宋_GB2312" w:cs="仿宋_GB2312"/>
          <w:sz w:val="24"/>
          <w:szCs w:val="32"/>
          <w:lang w:val="en-US" w:eastAsia="zh-CN"/>
        </w:rPr>
        <w:t>详见表1</w:t>
      </w:r>
      <w:r>
        <w:rPr>
          <w:rFonts w:hint="eastAsia" w:ascii="仿宋_GB2312" w:hAnsi="仿宋_GB2312" w:eastAsia="仿宋_GB2312" w:cs="仿宋_GB2312"/>
          <w:snapToGrid/>
          <w:kern w:val="2"/>
          <w:sz w:val="24"/>
          <w:szCs w:val="32"/>
          <w:lang w:val="en-US" w:eastAsia="zh-CN"/>
        </w:rPr>
        <w:t>。</w:t>
      </w:r>
    </w:p>
    <w:p>
      <w:pPr>
        <w:kinsoku/>
        <w:autoSpaceDE/>
        <w:autoSpaceDN/>
        <w:adjustRightInd/>
        <w:snapToGrid/>
        <w:spacing w:line="240" w:lineRule="auto"/>
        <w:jc w:val="center"/>
        <w:textAlignment w:val="auto"/>
        <w:rPr>
          <w:rFonts w:hint="default" w:ascii="仿宋_GB2312" w:hAnsi="仿宋_GB2312" w:eastAsia="仿宋_GB2312" w:cs="仿宋_GB2312"/>
          <w:b/>
          <w:bCs/>
          <w:snapToGrid/>
          <w:kern w:val="2"/>
          <w:sz w:val="21"/>
          <w:szCs w:val="21"/>
          <w:lang w:val="en-US" w:eastAsia="zh-CN"/>
        </w:rPr>
      </w:pPr>
      <w:r>
        <w:rPr>
          <w:rFonts w:hint="eastAsia" w:ascii="仿宋_GB2312" w:hAnsi="仿宋_GB2312" w:eastAsia="仿宋_GB2312" w:cs="仿宋_GB2312"/>
          <w:b/>
          <w:bCs/>
          <w:snapToGrid/>
          <w:kern w:val="2"/>
          <w:sz w:val="21"/>
          <w:szCs w:val="21"/>
          <w:lang w:val="en-US" w:eastAsia="zh-CN"/>
        </w:rPr>
        <w:t>表1 试验项目明细表</w:t>
      </w:r>
    </w:p>
    <w:tbl>
      <w:tblPr>
        <w:tblStyle w:val="7"/>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925"/>
        <w:gridCol w:w="3983"/>
        <w:gridCol w:w="2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35" w:type="dxa"/>
            <w:noWrap w:val="0"/>
            <w:vAlign w:val="center"/>
          </w:tcPr>
          <w:p>
            <w:pPr>
              <w:pStyle w:val="13"/>
              <w:spacing w:line="360"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序号</w:t>
            </w:r>
          </w:p>
        </w:tc>
        <w:tc>
          <w:tcPr>
            <w:tcW w:w="1925" w:type="dxa"/>
            <w:noWrap w:val="0"/>
            <w:vAlign w:val="center"/>
          </w:tcPr>
          <w:p>
            <w:pPr>
              <w:pStyle w:val="13"/>
              <w:spacing w:line="360" w:lineRule="auto"/>
              <w:jc w:val="center"/>
              <w:rPr>
                <w:rFonts w:hint="eastAsia" w:ascii="仿宋_GB2312" w:hAnsi="仿宋_GB2312" w:eastAsia="仿宋_GB2312" w:cs="仿宋_GB2312"/>
                <w:b/>
                <w:sz w:val="21"/>
                <w:szCs w:val="21"/>
                <w:lang w:val="en-US"/>
              </w:rPr>
            </w:pPr>
            <w:r>
              <w:rPr>
                <w:rFonts w:hint="eastAsia" w:ascii="仿宋_GB2312" w:hAnsi="仿宋_GB2312" w:eastAsia="仿宋_GB2312" w:cs="仿宋_GB2312"/>
                <w:b/>
                <w:sz w:val="21"/>
                <w:szCs w:val="21"/>
                <w:lang w:val="en-US" w:eastAsia="zh-CN"/>
              </w:rPr>
              <w:t>检测项目类别</w:t>
            </w:r>
          </w:p>
        </w:tc>
        <w:tc>
          <w:tcPr>
            <w:tcW w:w="3983" w:type="dxa"/>
            <w:noWrap w:val="0"/>
            <w:vAlign w:val="center"/>
          </w:tcPr>
          <w:p>
            <w:pPr>
              <w:pStyle w:val="13"/>
              <w:spacing w:line="360"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lang w:val="en-US" w:eastAsia="zh-CN"/>
              </w:rPr>
              <w:t>测试内容</w:t>
            </w:r>
            <w:r>
              <w:rPr>
                <w:rFonts w:hint="eastAsia" w:ascii="仿宋_GB2312" w:hAnsi="仿宋_GB2312" w:eastAsia="仿宋_GB2312" w:cs="仿宋_GB2312"/>
                <w:b/>
                <w:sz w:val="21"/>
                <w:szCs w:val="21"/>
              </w:rPr>
              <w:t>要求</w:t>
            </w:r>
          </w:p>
        </w:tc>
        <w:tc>
          <w:tcPr>
            <w:tcW w:w="2416" w:type="dxa"/>
            <w:noWrap w:val="0"/>
            <w:vAlign w:val="center"/>
          </w:tcPr>
          <w:p>
            <w:pPr>
              <w:pStyle w:val="13"/>
              <w:spacing w:line="360" w:lineRule="auto"/>
              <w:jc w:val="center"/>
              <w:rPr>
                <w:rFonts w:hint="eastAsia" w:ascii="仿宋_GB2312" w:hAnsi="仿宋_GB2312" w:eastAsia="仿宋_GB2312" w:cs="仿宋_GB2312"/>
                <w:b/>
                <w:sz w:val="21"/>
                <w:szCs w:val="21"/>
                <w:lang w:val="en-US"/>
              </w:rPr>
            </w:pPr>
            <w:r>
              <w:rPr>
                <w:rFonts w:hint="eastAsia" w:ascii="仿宋_GB2312" w:hAnsi="仿宋_GB2312" w:eastAsia="仿宋_GB2312" w:cs="仿宋_GB2312"/>
                <w:b/>
                <w:sz w:val="21"/>
                <w:szCs w:val="21"/>
                <w:lang w:val="en-US" w:eastAsia="zh-CN"/>
              </w:rPr>
              <w:t>样品规格及数量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735" w:type="dxa"/>
            <w:noWrap w:val="0"/>
            <w:vAlign w:val="center"/>
          </w:tcPr>
          <w:p>
            <w:pPr>
              <w:pStyle w:val="13"/>
              <w:spacing w:line="360" w:lineRule="auto"/>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w:t>
            </w:r>
          </w:p>
        </w:tc>
        <w:tc>
          <w:tcPr>
            <w:tcW w:w="1925" w:type="dxa"/>
            <w:noWrap w:val="0"/>
            <w:vAlign w:val="center"/>
          </w:tcPr>
          <w:p>
            <w:pPr>
              <w:widowControl/>
              <w:jc w:val="center"/>
              <w:rPr>
                <w:rFonts w:hint="default"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性能</w:t>
            </w:r>
          </w:p>
        </w:tc>
        <w:tc>
          <w:tcPr>
            <w:tcW w:w="3983" w:type="dxa"/>
            <w:noWrap w:val="0"/>
            <w:vAlign w:val="center"/>
          </w:tcPr>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电压信号输入回路-功耗</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电压信号输入回路-过载能力</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电压信号输入回路-波峰系数</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电流信号输入回路-功耗</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电压信号输入回路-波峰系数</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电流信号输入回路-过载能力</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稳态电能质量指标测量误差-电压谐波</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稳态电能质量指标测量误差-电流谐波</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稳态电能质量指标测量误差-电压有效值</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稳态电能质量指标测量误差-电流有效值</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稳态电能质量指标测量误差-基波相位</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稳态电能质量指标测量误差-功率</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稳态电能质量指标测量误差-频率</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稳态电能质量指标测量误差-三相电压不平衡度</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稳态电能质量指标测量误差-三相电流不平衡度</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稳态电能质量指标测量误差-闪变</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暂态电能质量指标测量误差-电压暂降、电压暂升、电压短时中断</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时钟精度</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绝缘电阻试验</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介质强度试验（工频电压）</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冲击电压试验（冲击（耐受）电压）</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静电放电抗扰度试验</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射频电磁场辐射抗扰度试验</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电快速瞬变脉冲群抗扰度试验</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浪涌冲击抗扰度试验</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工频磁场抗扰度试验</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电压暂降和短时中断试验</w:t>
            </w:r>
          </w:p>
          <w:p>
            <w:pPr>
              <w:widowControl/>
              <w:numPr>
                <w:ilvl w:val="0"/>
                <w:numId w:val="1"/>
              </w:numPr>
              <w:ind w:left="0" w:leftChars="0" w:firstLine="0" w:firstLineChars="0"/>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阻尼振荡波抗扰度试验</w:t>
            </w:r>
          </w:p>
          <w:p>
            <w:pPr>
              <w:widowControl/>
              <w:numPr>
                <w:ilvl w:val="0"/>
                <w:numId w:val="1"/>
              </w:numPr>
              <w:ind w:left="0" w:leftChars="0" w:firstLine="0" w:firstLineChars="0"/>
              <w:jc w:val="both"/>
              <w:rPr>
                <w:rFonts w:hint="default" w:ascii="仿宋_GB2312" w:hAnsi="仿宋_GB2312" w:eastAsia="仿宋_GB2312" w:cs="仿宋_GB2312"/>
                <w:color w:val="000000"/>
                <w:sz w:val="21"/>
                <w:szCs w:val="21"/>
                <w:lang w:val="en-US" w:eastAsia="zh-CN"/>
              </w:rPr>
            </w:pPr>
            <w:r>
              <w:rPr>
                <w:rFonts w:hint="default" w:ascii="仿宋_GB2312" w:hAnsi="仿宋_GB2312" w:eastAsia="仿宋_GB2312" w:cs="仿宋_GB2312"/>
                <w:color w:val="000000"/>
                <w:kern w:val="0"/>
                <w:sz w:val="21"/>
                <w:szCs w:val="21"/>
                <w:lang w:val="en-US" w:eastAsia="zh-CN"/>
              </w:rPr>
              <w:t>射频场感应的传导骚扰抗扰度</w:t>
            </w:r>
          </w:p>
        </w:tc>
        <w:tc>
          <w:tcPr>
            <w:tcW w:w="2416" w:type="dxa"/>
            <w:noWrap w:val="0"/>
            <w:vAlign w:val="center"/>
          </w:tcPr>
          <w:p>
            <w:pPr>
              <w:widowControl/>
              <w:jc w:val="left"/>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1、尺寸：电力在线监测产品的外形尺寸不大于</w:t>
            </w:r>
            <w:r>
              <w:rPr>
                <w:rFonts w:hint="eastAsia" w:ascii="仿宋_GB2312" w:hAnsi="仿宋_GB2312" w:eastAsia="仿宋_GB2312" w:cs="仿宋_GB2312"/>
                <w:color w:val="000000"/>
                <w:kern w:val="0"/>
                <w:sz w:val="21"/>
                <w:szCs w:val="21"/>
                <w:highlight w:val="none"/>
                <w:lang w:val="en-US" w:eastAsia="zh-CN"/>
              </w:rPr>
              <w:t>245mm×266mm×218mm；</w:t>
            </w:r>
          </w:p>
          <w:p>
            <w:pPr>
              <w:widowControl/>
              <w:jc w:val="left"/>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2、数量：出具1份型式试验报告。</w:t>
            </w:r>
          </w:p>
        </w:tc>
      </w:tr>
    </w:tbl>
    <w:p>
      <w:pPr>
        <w:bidi w:val="0"/>
        <w:rPr>
          <w:rFonts w:hint="eastAsia"/>
        </w:rPr>
      </w:pPr>
    </w:p>
    <w:p>
      <w:pPr>
        <w:numPr>
          <w:ilvl w:val="0"/>
          <w:numId w:val="2"/>
        </w:numPr>
        <w:rPr>
          <w:rFonts w:hint="eastAsia" w:ascii="宋体" w:hAnsi="宋体" w:eastAsia="宋体"/>
          <w:b/>
          <w:bCs/>
          <w:color w:val="000000"/>
          <w:sz w:val="28"/>
          <w:szCs w:val="36"/>
        </w:rPr>
      </w:pPr>
      <w:r>
        <w:rPr>
          <w:rFonts w:hint="eastAsia" w:ascii="宋体" w:hAnsi="宋体" w:eastAsia="宋体"/>
          <w:b/>
          <w:bCs/>
          <w:color w:val="000000"/>
          <w:sz w:val="28"/>
          <w:szCs w:val="36"/>
        </w:rPr>
        <w:t>资格条件</w:t>
      </w:r>
    </w:p>
    <w:tbl>
      <w:tblPr>
        <w:tblStyle w:val="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7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序号</w:t>
            </w:r>
          </w:p>
        </w:tc>
        <w:tc>
          <w:tcPr>
            <w:tcW w:w="4582"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1</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2</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3</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报价单位没有被中国南方电网有限责任公司暂停或取消其投标资格的。</w:t>
            </w:r>
          </w:p>
        </w:tc>
      </w:tr>
    </w:tbl>
    <w:p>
      <w:pPr>
        <w:numPr>
          <w:ilvl w:val="0"/>
          <w:numId w:val="0"/>
        </w:numPr>
        <w:rPr>
          <w:rFonts w:hint="eastAsia" w:ascii="宋体" w:hAnsi="宋体" w:eastAsia="宋体"/>
          <w:b/>
          <w:bCs/>
          <w:color w:val="000000"/>
          <w:sz w:val="28"/>
          <w:szCs w:val="36"/>
        </w:rPr>
      </w:pPr>
    </w:p>
    <w:p>
      <w:pPr>
        <w:numPr>
          <w:ilvl w:val="0"/>
          <w:numId w:val="2"/>
        </w:numPr>
        <w:rPr>
          <w:rFonts w:hint="eastAsia" w:ascii="宋体" w:hAnsi="宋体" w:eastAsia="宋体" w:cs="Times New Roman"/>
          <w:b/>
          <w:bCs/>
          <w:color w:val="000000"/>
          <w:sz w:val="28"/>
          <w:szCs w:val="36"/>
        </w:rPr>
      </w:pPr>
      <w:r>
        <w:rPr>
          <w:rFonts w:hint="eastAsia" w:ascii="宋体" w:hAnsi="宋体" w:eastAsia="宋体" w:cs="Times New Roman"/>
          <w:b/>
          <w:bCs/>
          <w:color w:val="000000"/>
          <w:sz w:val="28"/>
          <w:szCs w:val="36"/>
        </w:rPr>
        <w:t>成交办法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_GB2312" w:hAnsi="仿宋_GB2312" w:eastAsia="仿宋_GB2312" w:cs="仿宋_GB2312"/>
          <w:snapToGrid/>
          <w:kern w:val="2"/>
          <w:sz w:val="24"/>
          <w:szCs w:val="32"/>
          <w:lang w:val="en-US" w:eastAsia="zh-CN"/>
        </w:rPr>
      </w:pPr>
      <w:bookmarkStart w:id="0" w:name="_GoBack"/>
      <w:r>
        <w:rPr>
          <w:rFonts w:hint="eastAsia" w:ascii="仿宋_GB2312" w:hAnsi="仿宋_GB2312" w:eastAsia="仿宋_GB2312" w:cs="仿宋_GB2312"/>
          <w:snapToGrid/>
          <w:kern w:val="2"/>
          <w:sz w:val="24"/>
          <w:szCs w:val="32"/>
          <w:lang w:val="en-US" w:eastAsia="zh-CN"/>
        </w:rPr>
        <w:t>在满足资格条件且提供齐全有效证明文件的各家单位中，选取报价最低者作为成交对象。</w:t>
      </w:r>
    </w:p>
    <w:bookmarkEnd w:id="0"/>
    <w:p>
      <w:pPr>
        <w:numPr>
          <w:ilvl w:val="0"/>
          <w:numId w:val="2"/>
        </w:numPr>
        <w:rPr>
          <w:rFonts w:hint="eastAsia" w:ascii="宋体" w:hAnsi="宋体" w:eastAsia="宋体" w:cs="Times New Roman"/>
          <w:b/>
          <w:bCs/>
          <w:color w:val="000000"/>
          <w:sz w:val="28"/>
          <w:szCs w:val="36"/>
          <w:lang w:val="en-US" w:eastAsia="zh-CN"/>
        </w:rPr>
      </w:pPr>
      <w:r>
        <w:rPr>
          <w:rFonts w:hint="eastAsia" w:ascii="宋体" w:hAnsi="宋体" w:eastAsia="宋体" w:cs="Times New Roman"/>
          <w:b/>
          <w:bCs/>
          <w:color w:val="000000"/>
          <w:sz w:val="28"/>
          <w:szCs w:val="36"/>
          <w:lang w:val="en-US" w:eastAsia="zh-CN"/>
        </w:rPr>
        <w:t>报价表</w:t>
      </w:r>
    </w:p>
    <w:p>
      <w:pPr>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表2 报价明细表</w:t>
      </w:r>
    </w:p>
    <w:tbl>
      <w:tblPr>
        <w:tblStyle w:val="7"/>
        <w:tblW w:w="5278" w:type="pct"/>
        <w:jc w:val="center"/>
        <w:tblLayout w:type="autofit"/>
        <w:tblCellMar>
          <w:top w:w="0" w:type="dxa"/>
          <w:left w:w="0" w:type="dxa"/>
          <w:bottom w:w="0" w:type="dxa"/>
          <w:right w:w="0" w:type="dxa"/>
        </w:tblCellMar>
      </w:tblPr>
      <w:tblGrid>
        <w:gridCol w:w="629"/>
        <w:gridCol w:w="3145"/>
        <w:gridCol w:w="631"/>
        <w:gridCol w:w="1493"/>
        <w:gridCol w:w="1029"/>
        <w:gridCol w:w="1855"/>
      </w:tblGrid>
      <w:tr>
        <w:tblPrEx>
          <w:tblCellMar>
            <w:top w:w="0" w:type="dxa"/>
            <w:left w:w="0" w:type="dxa"/>
            <w:bottom w:w="0" w:type="dxa"/>
            <w:right w:w="0" w:type="dxa"/>
          </w:tblCellMar>
        </w:tblPrEx>
        <w:trPr>
          <w:trHeight w:val="511" w:hRule="atLeast"/>
          <w:jc w:val="center"/>
        </w:trPr>
        <w:tc>
          <w:tcPr>
            <w:tcW w:w="35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bCs/>
                <w:color w:val="000000"/>
                <w:sz w:val="21"/>
                <w:szCs w:val="21"/>
              </w:rPr>
              <w:t>序号</w:t>
            </w:r>
          </w:p>
        </w:tc>
        <w:tc>
          <w:tcPr>
            <w:tcW w:w="1790" w:type="pct"/>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bCs/>
                <w:color w:val="000000"/>
                <w:sz w:val="21"/>
                <w:szCs w:val="21"/>
              </w:rPr>
              <w:t>报价项目</w:t>
            </w:r>
          </w:p>
        </w:tc>
        <w:tc>
          <w:tcPr>
            <w:tcW w:w="359"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rPr>
            </w:pPr>
            <w:r>
              <w:rPr>
                <w:rFonts w:hint="eastAsia" w:ascii="仿宋_GB2312" w:hAnsi="仿宋_GB2312" w:eastAsia="仿宋_GB2312" w:cs="仿宋_GB2312"/>
                <w:b/>
                <w:color w:val="000000"/>
                <w:sz w:val="21"/>
                <w:szCs w:val="21"/>
              </w:rPr>
              <w:t>数量</w:t>
            </w:r>
          </w:p>
        </w:tc>
        <w:tc>
          <w:tcPr>
            <w:tcW w:w="850"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b/>
                <w:color w:val="000000"/>
                <w:sz w:val="21"/>
                <w:szCs w:val="21"/>
                <w:lang w:val="en-US" w:eastAsia="zh-CN"/>
              </w:rPr>
              <w:t>含税</w:t>
            </w:r>
            <w:r>
              <w:rPr>
                <w:rFonts w:hint="eastAsia" w:ascii="仿宋_GB2312" w:hAnsi="仿宋_GB2312" w:eastAsia="仿宋_GB2312" w:cs="仿宋_GB2312"/>
                <w:b/>
                <w:color w:val="000000"/>
                <w:sz w:val="21"/>
                <w:szCs w:val="21"/>
              </w:rPr>
              <w:t>单价</w:t>
            </w:r>
            <w:r>
              <w:rPr>
                <w:rFonts w:hint="eastAsia" w:ascii="仿宋_GB2312" w:hAnsi="仿宋_GB2312" w:eastAsia="仿宋_GB2312" w:cs="仿宋_GB2312"/>
                <w:b/>
                <w:color w:val="000000"/>
                <w:sz w:val="21"/>
                <w:szCs w:val="21"/>
                <w:lang w:eastAsia="zh-CN"/>
              </w:rPr>
              <w:t>（元）</w:t>
            </w:r>
          </w:p>
        </w:tc>
        <w:tc>
          <w:tcPr>
            <w:tcW w:w="586"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bCs/>
                <w:color w:val="000000"/>
                <w:sz w:val="21"/>
                <w:szCs w:val="21"/>
                <w:lang w:val="en-US" w:eastAsia="zh-CN"/>
              </w:rPr>
            </w:pPr>
            <w:r>
              <w:rPr>
                <w:rFonts w:hint="eastAsia" w:ascii="仿宋_GB2312" w:hAnsi="仿宋_GB2312" w:eastAsia="仿宋_GB2312" w:cs="仿宋_GB2312"/>
                <w:b/>
                <w:bCs/>
                <w:color w:val="000000"/>
                <w:sz w:val="21"/>
                <w:szCs w:val="21"/>
                <w:lang w:val="en-US" w:eastAsia="zh-CN"/>
              </w:rPr>
              <w:t>税率</w:t>
            </w:r>
          </w:p>
        </w:tc>
        <w:tc>
          <w:tcPr>
            <w:tcW w:w="105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b/>
                <w:bCs/>
                <w:color w:val="000000"/>
                <w:sz w:val="21"/>
                <w:szCs w:val="21"/>
                <w:lang w:val="en-US" w:eastAsia="zh-CN"/>
              </w:rPr>
              <w:t>含税总</w:t>
            </w:r>
            <w:r>
              <w:rPr>
                <w:rFonts w:hint="eastAsia" w:ascii="仿宋_GB2312" w:hAnsi="仿宋_GB2312" w:eastAsia="仿宋_GB2312" w:cs="仿宋_GB2312"/>
                <w:b/>
                <w:bCs/>
                <w:color w:val="000000"/>
                <w:sz w:val="21"/>
                <w:szCs w:val="21"/>
              </w:rPr>
              <w:t>价</w:t>
            </w:r>
            <w:r>
              <w:rPr>
                <w:rFonts w:hint="eastAsia" w:ascii="仿宋_GB2312" w:hAnsi="仿宋_GB2312" w:eastAsia="仿宋_GB2312" w:cs="仿宋_GB2312"/>
                <w:b/>
                <w:bCs/>
                <w:color w:val="000000"/>
                <w:sz w:val="21"/>
                <w:szCs w:val="21"/>
                <w:lang w:eastAsia="zh-CN"/>
              </w:rPr>
              <w:t>（元）</w:t>
            </w:r>
          </w:p>
        </w:tc>
      </w:tr>
      <w:tr>
        <w:tblPrEx>
          <w:tblCellMar>
            <w:top w:w="0" w:type="dxa"/>
            <w:left w:w="0" w:type="dxa"/>
            <w:bottom w:w="0" w:type="dxa"/>
            <w:right w:w="0" w:type="dxa"/>
          </w:tblCellMar>
        </w:tblPrEx>
        <w:trPr>
          <w:trHeight w:val="1297" w:hRule="atLeast"/>
          <w:jc w:val="center"/>
        </w:trPr>
        <w:tc>
          <w:tcPr>
            <w:tcW w:w="35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contextualSpacing/>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w:t>
            </w:r>
          </w:p>
        </w:tc>
        <w:tc>
          <w:tcPr>
            <w:tcW w:w="1790" w:type="pct"/>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jc w:val="center"/>
              <w:rPr>
                <w:rFonts w:hint="default" w:ascii="仿宋_GB2312" w:hAnsi="仿宋_GB2312" w:eastAsia="仿宋_GB2312" w:cs="仿宋_GB2312"/>
                <w:sz w:val="21"/>
                <w:szCs w:val="21"/>
                <w:lang w:val="en-US"/>
              </w:rPr>
            </w:pPr>
            <w:r>
              <w:rPr>
                <w:rFonts w:hint="default" w:ascii="仿宋_GB2312" w:hAnsi="仿宋_GB2312" w:eastAsia="仿宋_GB2312" w:cs="仿宋_GB2312"/>
                <w:sz w:val="21"/>
                <w:szCs w:val="21"/>
                <w:lang w:val="en-US"/>
              </w:rPr>
              <w:t>南网技术公司2026年电力在线监测产品型式试验零星采购</w:t>
            </w:r>
          </w:p>
        </w:tc>
        <w:tc>
          <w:tcPr>
            <w:tcW w:w="359"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contextualSpacing/>
              <w:jc w:val="center"/>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1</w:t>
            </w:r>
          </w:p>
        </w:tc>
        <w:tc>
          <w:tcPr>
            <w:tcW w:w="850"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contextualSpacing/>
              <w:jc w:val="center"/>
              <w:rPr>
                <w:rFonts w:hint="eastAsia" w:ascii="仿宋_GB2312" w:hAnsi="仿宋_GB2312" w:eastAsia="仿宋_GB2312" w:cs="仿宋_GB2312"/>
                <w:color w:val="000000"/>
                <w:sz w:val="21"/>
                <w:szCs w:val="21"/>
              </w:rPr>
            </w:pPr>
          </w:p>
        </w:tc>
        <w:tc>
          <w:tcPr>
            <w:tcW w:w="586"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p>
        </w:tc>
        <w:tc>
          <w:tcPr>
            <w:tcW w:w="105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p>
        </w:tc>
      </w:tr>
      <w:tr>
        <w:tblPrEx>
          <w:tblCellMar>
            <w:top w:w="0" w:type="dxa"/>
            <w:left w:w="0" w:type="dxa"/>
            <w:bottom w:w="0" w:type="dxa"/>
            <w:right w:w="0" w:type="dxa"/>
          </w:tblCellMar>
        </w:tblPrEx>
        <w:trPr>
          <w:trHeight w:val="511" w:hRule="atLeast"/>
          <w:jc w:val="center"/>
        </w:trPr>
        <w:tc>
          <w:tcPr>
            <w:tcW w:w="35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合计</w:t>
            </w:r>
          </w:p>
        </w:tc>
        <w:tc>
          <w:tcPr>
            <w:tcW w:w="4641" w:type="pct"/>
            <w:gridSpan w:val="5"/>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jc w:val="center"/>
              <w:rPr>
                <w:rFonts w:hint="eastAsia" w:ascii="仿宋_GB2312" w:hAnsi="仿宋_GB2312" w:eastAsia="仿宋_GB2312" w:cs="仿宋_GB2312"/>
                <w:sz w:val="21"/>
                <w:szCs w:val="21"/>
                <w:u w:val="single"/>
                <w:lang w:val="en-US" w:eastAsia="zh-CN"/>
              </w:rPr>
            </w:pPr>
            <w:r>
              <w:rPr>
                <w:rFonts w:hint="eastAsia" w:ascii="仿宋_GB2312" w:hAnsi="仿宋_GB2312" w:eastAsia="仿宋_GB2312" w:cs="仿宋_GB2312"/>
                <w:sz w:val="21"/>
                <w:szCs w:val="21"/>
                <w:lang w:eastAsia="zh-CN"/>
              </w:rPr>
              <w:t>小写：￥</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none"/>
                <w:lang w:val="en-US" w:eastAsia="zh-CN"/>
              </w:rPr>
              <w:t>元，大写：人民币</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none"/>
                <w:lang w:val="en-US" w:eastAsia="zh-CN"/>
              </w:rPr>
              <w:t>元整</w:t>
            </w:r>
          </w:p>
        </w:tc>
      </w:tr>
    </w:tbl>
    <w:p>
      <w:pPr>
        <w:spacing w:line="360" w:lineRule="auto"/>
        <w:jc w:val="left"/>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备注：本报价应包括采购范围内的全部费用。</w:t>
      </w:r>
    </w:p>
    <w:p>
      <w:pPr>
        <w:spacing w:line="360" w:lineRule="auto"/>
        <w:jc w:val="left"/>
        <w:rPr>
          <w:rFonts w:hint="eastAsia" w:ascii="仿宋_GB2312" w:hAnsi="仿宋_GB2312" w:eastAsia="仿宋_GB2312" w:cs="仿宋_GB2312"/>
          <w:sz w:val="21"/>
          <w:szCs w:val="21"/>
          <w:lang w:eastAsia="zh-CN"/>
        </w:rPr>
      </w:pPr>
    </w:p>
    <w:p>
      <w:pPr>
        <w:spacing w:line="360" w:lineRule="auto"/>
        <w:ind w:left="5950" w:firstLine="425"/>
        <w:rPr>
          <w:rFonts w:hint="eastAsia" w:ascii="仿宋_GB2312" w:hAnsi="仿宋_GB2312" w:eastAsia="仿宋_GB2312" w:cs="仿宋_GB2312"/>
          <w:snapToGrid w:val="0"/>
          <w:kern w:val="24"/>
          <w:sz w:val="28"/>
          <w:szCs w:val="28"/>
        </w:rPr>
      </w:pPr>
      <w:r>
        <w:rPr>
          <w:rFonts w:hint="eastAsia" w:ascii="仿宋_GB2312" w:hAnsi="仿宋_GB2312" w:eastAsia="仿宋_GB2312" w:cs="仿宋_GB2312"/>
          <w:sz w:val="28"/>
          <w:szCs w:val="28"/>
          <w:lang w:eastAsia="zh-CN"/>
        </w:rPr>
        <w:t>报价</w:t>
      </w:r>
      <w:r>
        <w:rPr>
          <w:rFonts w:hint="eastAsia" w:ascii="仿宋_GB2312" w:hAnsi="仿宋_GB2312" w:eastAsia="仿宋_GB2312" w:cs="仿宋_GB2312"/>
          <w:sz w:val="28"/>
          <w:szCs w:val="28"/>
        </w:rPr>
        <w:t>人（盖章)</w:t>
      </w:r>
    </w:p>
    <w:p>
      <w:pPr>
        <w:numPr>
          <w:ilvl w:val="0"/>
          <w:numId w:val="0"/>
        </w:numPr>
        <w:ind w:leftChars="0"/>
        <w:jc w:val="right"/>
      </w:pPr>
      <w:r>
        <w:rPr>
          <w:rFonts w:hint="eastAsia" w:ascii="仿宋_GB2312" w:hAnsi="仿宋_GB2312" w:eastAsia="仿宋_GB2312" w:cs="仿宋_GB2312"/>
          <w:snapToGrid w:val="0"/>
          <w:kern w:val="24"/>
          <w:sz w:val="28"/>
          <w:szCs w:val="28"/>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0C58C2"/>
    <w:multiLevelType w:val="singleLevel"/>
    <w:tmpl w:val="DA0C58C2"/>
    <w:lvl w:ilvl="0" w:tentative="0">
      <w:start w:val="2"/>
      <w:numFmt w:val="chineseCounting"/>
      <w:suff w:val="nothing"/>
      <w:lvlText w:val="%1、"/>
      <w:lvlJc w:val="left"/>
      <w:rPr>
        <w:rFonts w:hint="eastAsia"/>
      </w:rPr>
    </w:lvl>
  </w:abstractNum>
  <w:abstractNum w:abstractNumId="1">
    <w:nsid w:val="2907F00F"/>
    <w:multiLevelType w:val="singleLevel"/>
    <w:tmpl w:val="2907F00F"/>
    <w:lvl w:ilvl="0" w:tentative="0">
      <w:start w:val="1"/>
      <w:numFmt w:val="decimal"/>
      <w:lvlText w:val="%1."/>
      <w:lvlJc w:val="left"/>
      <w:pPr>
        <w:tabs>
          <w:tab w:val="left" w:pos="312"/>
        </w:tabs>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100AC"/>
    <w:rsid w:val="00B16F31"/>
    <w:rsid w:val="00BC2D44"/>
    <w:rsid w:val="00E91852"/>
    <w:rsid w:val="01C81549"/>
    <w:rsid w:val="01DE3D95"/>
    <w:rsid w:val="02554FB2"/>
    <w:rsid w:val="02C84B2C"/>
    <w:rsid w:val="02D752EC"/>
    <w:rsid w:val="03D25C9B"/>
    <w:rsid w:val="05400BB0"/>
    <w:rsid w:val="055B3B66"/>
    <w:rsid w:val="06780FAB"/>
    <w:rsid w:val="06D41534"/>
    <w:rsid w:val="07195D48"/>
    <w:rsid w:val="071C7E5F"/>
    <w:rsid w:val="075F67D5"/>
    <w:rsid w:val="07905320"/>
    <w:rsid w:val="08433DC1"/>
    <w:rsid w:val="088074B9"/>
    <w:rsid w:val="08890B54"/>
    <w:rsid w:val="08D71D8F"/>
    <w:rsid w:val="09012BD3"/>
    <w:rsid w:val="09436EC0"/>
    <w:rsid w:val="0955751E"/>
    <w:rsid w:val="095E1B17"/>
    <w:rsid w:val="09BA4874"/>
    <w:rsid w:val="09C67EDE"/>
    <w:rsid w:val="0A3D6784"/>
    <w:rsid w:val="0B3E28FE"/>
    <w:rsid w:val="0C8B7A9C"/>
    <w:rsid w:val="0CDE5C52"/>
    <w:rsid w:val="0DC66D88"/>
    <w:rsid w:val="0DDB0848"/>
    <w:rsid w:val="0DEA2720"/>
    <w:rsid w:val="0F2F153E"/>
    <w:rsid w:val="108E4749"/>
    <w:rsid w:val="11136FDC"/>
    <w:rsid w:val="11F62C07"/>
    <w:rsid w:val="130E23CF"/>
    <w:rsid w:val="135375C3"/>
    <w:rsid w:val="137978B4"/>
    <w:rsid w:val="13814968"/>
    <w:rsid w:val="142E5E58"/>
    <w:rsid w:val="14830684"/>
    <w:rsid w:val="158156D6"/>
    <w:rsid w:val="15996E27"/>
    <w:rsid w:val="15F45D6C"/>
    <w:rsid w:val="16482398"/>
    <w:rsid w:val="176F4492"/>
    <w:rsid w:val="185E4599"/>
    <w:rsid w:val="18636A0E"/>
    <w:rsid w:val="1911682C"/>
    <w:rsid w:val="195A1F6E"/>
    <w:rsid w:val="19686453"/>
    <w:rsid w:val="19FC1357"/>
    <w:rsid w:val="1A087F78"/>
    <w:rsid w:val="1A186D43"/>
    <w:rsid w:val="1A240213"/>
    <w:rsid w:val="1B352F61"/>
    <w:rsid w:val="1B5473DD"/>
    <w:rsid w:val="1B762CF0"/>
    <w:rsid w:val="1B8B61A9"/>
    <w:rsid w:val="1C403981"/>
    <w:rsid w:val="1CD97047"/>
    <w:rsid w:val="1D1A496A"/>
    <w:rsid w:val="1D2A0BDE"/>
    <w:rsid w:val="1DA72513"/>
    <w:rsid w:val="1DDF07A3"/>
    <w:rsid w:val="1E1B6A69"/>
    <w:rsid w:val="1EA71815"/>
    <w:rsid w:val="1F3211FE"/>
    <w:rsid w:val="1FC475AA"/>
    <w:rsid w:val="201D2B69"/>
    <w:rsid w:val="213A0410"/>
    <w:rsid w:val="21505E37"/>
    <w:rsid w:val="228F6A51"/>
    <w:rsid w:val="22BA24C0"/>
    <w:rsid w:val="22D1722D"/>
    <w:rsid w:val="22F94B6E"/>
    <w:rsid w:val="2385386C"/>
    <w:rsid w:val="24215C55"/>
    <w:rsid w:val="24D2144A"/>
    <w:rsid w:val="24FB4266"/>
    <w:rsid w:val="25CC0A1E"/>
    <w:rsid w:val="25D72B4E"/>
    <w:rsid w:val="262C11AD"/>
    <w:rsid w:val="26F4001C"/>
    <w:rsid w:val="273D00F1"/>
    <w:rsid w:val="286C74DE"/>
    <w:rsid w:val="29B53FFD"/>
    <w:rsid w:val="2A15789A"/>
    <w:rsid w:val="2A19049E"/>
    <w:rsid w:val="2A230DAE"/>
    <w:rsid w:val="2AAC548F"/>
    <w:rsid w:val="2AF66B88"/>
    <w:rsid w:val="2B1A1346"/>
    <w:rsid w:val="2BC37160"/>
    <w:rsid w:val="2BD72DB1"/>
    <w:rsid w:val="2C5E380E"/>
    <w:rsid w:val="2D2E11B0"/>
    <w:rsid w:val="2D3C47AB"/>
    <w:rsid w:val="2D7F37CF"/>
    <w:rsid w:val="2E034121"/>
    <w:rsid w:val="2E97127C"/>
    <w:rsid w:val="2ECC04AD"/>
    <w:rsid w:val="2F0F5A43"/>
    <w:rsid w:val="2F712264"/>
    <w:rsid w:val="2F8463E4"/>
    <w:rsid w:val="30832044"/>
    <w:rsid w:val="310D1C85"/>
    <w:rsid w:val="31603C8E"/>
    <w:rsid w:val="318232C0"/>
    <w:rsid w:val="32DF1F4B"/>
    <w:rsid w:val="33521EC0"/>
    <w:rsid w:val="336E7B25"/>
    <w:rsid w:val="33A8380B"/>
    <w:rsid w:val="33D00590"/>
    <w:rsid w:val="3448372B"/>
    <w:rsid w:val="34F160E8"/>
    <w:rsid w:val="35410CCD"/>
    <w:rsid w:val="355E0C9B"/>
    <w:rsid w:val="35840EDB"/>
    <w:rsid w:val="35D74E22"/>
    <w:rsid w:val="367A5F70"/>
    <w:rsid w:val="36844301"/>
    <w:rsid w:val="36E175BE"/>
    <w:rsid w:val="378A05E2"/>
    <w:rsid w:val="37A11C94"/>
    <w:rsid w:val="37C13D08"/>
    <w:rsid w:val="39DE6BFE"/>
    <w:rsid w:val="3A323F34"/>
    <w:rsid w:val="3A717D6E"/>
    <w:rsid w:val="3B457E59"/>
    <w:rsid w:val="3BC57B8F"/>
    <w:rsid w:val="3BDE6B90"/>
    <w:rsid w:val="3BE802E5"/>
    <w:rsid w:val="3D080CA7"/>
    <w:rsid w:val="3D232B5B"/>
    <w:rsid w:val="3D690EA2"/>
    <w:rsid w:val="3E3816FC"/>
    <w:rsid w:val="3EE65CBF"/>
    <w:rsid w:val="3F251027"/>
    <w:rsid w:val="3F310B59"/>
    <w:rsid w:val="41566D3D"/>
    <w:rsid w:val="4269303F"/>
    <w:rsid w:val="42826579"/>
    <w:rsid w:val="431D1F2C"/>
    <w:rsid w:val="443E41B9"/>
    <w:rsid w:val="445960B0"/>
    <w:rsid w:val="4510752D"/>
    <w:rsid w:val="459D126B"/>
    <w:rsid w:val="462F2461"/>
    <w:rsid w:val="46BA0199"/>
    <w:rsid w:val="46F91E7C"/>
    <w:rsid w:val="475D6E1D"/>
    <w:rsid w:val="48553B9B"/>
    <w:rsid w:val="48690DD9"/>
    <w:rsid w:val="486C55E1"/>
    <w:rsid w:val="491633B3"/>
    <w:rsid w:val="49746212"/>
    <w:rsid w:val="4AD551CD"/>
    <w:rsid w:val="4AE039B5"/>
    <w:rsid w:val="4C741464"/>
    <w:rsid w:val="4CDF47AB"/>
    <w:rsid w:val="4D1625A3"/>
    <w:rsid w:val="4D1976C6"/>
    <w:rsid w:val="4D235FA3"/>
    <w:rsid w:val="4D583DE0"/>
    <w:rsid w:val="4EB64BD7"/>
    <w:rsid w:val="4EEF5810"/>
    <w:rsid w:val="4F586138"/>
    <w:rsid w:val="50116BEC"/>
    <w:rsid w:val="50641EBB"/>
    <w:rsid w:val="50780C10"/>
    <w:rsid w:val="50D5692A"/>
    <w:rsid w:val="50EE1A52"/>
    <w:rsid w:val="51935A63"/>
    <w:rsid w:val="527135D1"/>
    <w:rsid w:val="52C40EB5"/>
    <w:rsid w:val="53E772B7"/>
    <w:rsid w:val="55955967"/>
    <w:rsid w:val="56412C14"/>
    <w:rsid w:val="570A74B7"/>
    <w:rsid w:val="573726C7"/>
    <w:rsid w:val="57DC0F61"/>
    <w:rsid w:val="58620690"/>
    <w:rsid w:val="587D0EF4"/>
    <w:rsid w:val="58FE7E3B"/>
    <w:rsid w:val="592C0284"/>
    <w:rsid w:val="597B335B"/>
    <w:rsid w:val="597F0492"/>
    <w:rsid w:val="59FF13B5"/>
    <w:rsid w:val="5A0A4A18"/>
    <w:rsid w:val="5A0D4AE8"/>
    <w:rsid w:val="5A866D10"/>
    <w:rsid w:val="5ABE39D6"/>
    <w:rsid w:val="5B8075D9"/>
    <w:rsid w:val="5C1B076F"/>
    <w:rsid w:val="5CF4010E"/>
    <w:rsid w:val="5D6606C6"/>
    <w:rsid w:val="5DD04C7C"/>
    <w:rsid w:val="5E303744"/>
    <w:rsid w:val="5F40000A"/>
    <w:rsid w:val="5F5F2786"/>
    <w:rsid w:val="5F8B593B"/>
    <w:rsid w:val="5FD421CC"/>
    <w:rsid w:val="60864543"/>
    <w:rsid w:val="6105633A"/>
    <w:rsid w:val="610750C1"/>
    <w:rsid w:val="6143039D"/>
    <w:rsid w:val="61965C29"/>
    <w:rsid w:val="621A0401"/>
    <w:rsid w:val="62DF4795"/>
    <w:rsid w:val="62E87900"/>
    <w:rsid w:val="62F60B8B"/>
    <w:rsid w:val="630E25EC"/>
    <w:rsid w:val="63D964A6"/>
    <w:rsid w:val="649C269E"/>
    <w:rsid w:val="64D96C80"/>
    <w:rsid w:val="674528FE"/>
    <w:rsid w:val="677123B9"/>
    <w:rsid w:val="680A2557"/>
    <w:rsid w:val="68326D82"/>
    <w:rsid w:val="68525C1F"/>
    <w:rsid w:val="6861624C"/>
    <w:rsid w:val="68616311"/>
    <w:rsid w:val="69112B6D"/>
    <w:rsid w:val="693D362B"/>
    <w:rsid w:val="695C60D3"/>
    <w:rsid w:val="697B2CD9"/>
    <w:rsid w:val="69FB056C"/>
    <w:rsid w:val="6A5E6092"/>
    <w:rsid w:val="6A7875F5"/>
    <w:rsid w:val="6AB054A9"/>
    <w:rsid w:val="6B134F68"/>
    <w:rsid w:val="6B3A730C"/>
    <w:rsid w:val="6B697849"/>
    <w:rsid w:val="6BD33AB5"/>
    <w:rsid w:val="6C1E27F0"/>
    <w:rsid w:val="6CB3719E"/>
    <w:rsid w:val="6D463172"/>
    <w:rsid w:val="6D743A98"/>
    <w:rsid w:val="6D7F36B1"/>
    <w:rsid w:val="6DDD14CC"/>
    <w:rsid w:val="6E136122"/>
    <w:rsid w:val="6EAC4123"/>
    <w:rsid w:val="6F705600"/>
    <w:rsid w:val="6FEE6A5B"/>
    <w:rsid w:val="706C5454"/>
    <w:rsid w:val="70C87ECB"/>
    <w:rsid w:val="71170D19"/>
    <w:rsid w:val="715D5C0A"/>
    <w:rsid w:val="71F75E09"/>
    <w:rsid w:val="72414668"/>
    <w:rsid w:val="733F18F2"/>
    <w:rsid w:val="733F7E37"/>
    <w:rsid w:val="73804137"/>
    <w:rsid w:val="73B33B60"/>
    <w:rsid w:val="74EB70E0"/>
    <w:rsid w:val="756979AE"/>
    <w:rsid w:val="768F7791"/>
    <w:rsid w:val="772B3963"/>
    <w:rsid w:val="779A0F48"/>
    <w:rsid w:val="77CE4501"/>
    <w:rsid w:val="78283CF7"/>
    <w:rsid w:val="784142F4"/>
    <w:rsid w:val="78F20D72"/>
    <w:rsid w:val="794D2989"/>
    <w:rsid w:val="797152CB"/>
    <w:rsid w:val="79784C56"/>
    <w:rsid w:val="79804657"/>
    <w:rsid w:val="7A525252"/>
    <w:rsid w:val="7A57526B"/>
    <w:rsid w:val="7B203D0C"/>
    <w:rsid w:val="7BA7127F"/>
    <w:rsid w:val="7C1742A4"/>
    <w:rsid w:val="7C2B6B06"/>
    <w:rsid w:val="7C6D342B"/>
    <w:rsid w:val="7C7742F7"/>
    <w:rsid w:val="7D0A7D18"/>
    <w:rsid w:val="7DCE69B8"/>
    <w:rsid w:val="7DFF25D6"/>
    <w:rsid w:val="7EA448D3"/>
    <w:rsid w:val="7EC31904"/>
    <w:rsid w:val="7EE70AFA"/>
    <w:rsid w:val="7F6D2FF3"/>
    <w:rsid w:val="7F9D5CFB"/>
    <w:rsid w:val="7FB4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5"/>
    <w:basedOn w:val="1"/>
    <w:next w:val="1"/>
    <w:qFormat/>
    <w:uiPriority w:val="0"/>
    <w:pPr>
      <w:tabs>
        <w:tab w:val="left" w:pos="800"/>
      </w:tabs>
      <w:outlineLvl w:val="4"/>
    </w:p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annotation text"/>
    <w:basedOn w:val="1"/>
    <w:qFormat/>
    <w:uiPriority w:val="0"/>
    <w:pPr>
      <w:jc w:val="left"/>
    </w:pPr>
  </w:style>
  <w:style w:type="paragraph" w:styleId="5">
    <w:name w:val="Body Text"/>
    <w:basedOn w:val="1"/>
    <w:next w:val="6"/>
    <w:semiHidden/>
    <w:qFormat/>
    <w:uiPriority w:val="0"/>
    <w:rPr>
      <w:rFonts w:ascii="仿宋" w:hAnsi="仿宋" w:eastAsia="仿宋" w:cs="仿宋"/>
      <w:sz w:val="28"/>
      <w:szCs w:val="28"/>
      <w:lang w:val="en-US" w:eastAsia="en-US" w:bidi="ar-SA"/>
    </w:r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21"/>
    <w:basedOn w:val="9"/>
    <w:qFormat/>
    <w:uiPriority w:val="0"/>
    <w:rPr>
      <w:rFonts w:hint="eastAsia" w:ascii="宋体" w:hAnsi="宋体" w:eastAsia="宋体" w:cs="宋体"/>
      <w:color w:val="000000"/>
      <w:sz w:val="21"/>
      <w:szCs w:val="21"/>
      <w:u w:val="none"/>
    </w:rPr>
  </w:style>
  <w:style w:type="character" w:customStyle="1" w:styleId="11">
    <w:name w:val="font31"/>
    <w:basedOn w:val="9"/>
    <w:qFormat/>
    <w:uiPriority w:val="0"/>
    <w:rPr>
      <w:rFonts w:hint="default" w:ascii="Arial" w:hAnsi="Arial" w:cs="Arial"/>
      <w:color w:val="000000"/>
      <w:sz w:val="21"/>
      <w:szCs w:val="21"/>
      <w:u w:val="none"/>
    </w:rPr>
  </w:style>
  <w:style w:type="character" w:customStyle="1" w:styleId="12">
    <w:name w:val="font61"/>
    <w:basedOn w:val="9"/>
    <w:qFormat/>
    <w:uiPriority w:val="0"/>
    <w:rPr>
      <w:rFonts w:ascii="Arial" w:hAnsi="Arial" w:cs="Arial"/>
      <w:color w:val="000000"/>
      <w:sz w:val="21"/>
      <w:szCs w:val="21"/>
      <w:u w:val="none"/>
    </w:rPr>
  </w:style>
  <w:style w:type="paragraph" w:customStyle="1" w:styleId="13">
    <w:name w:val="中等深浅网格 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
    <w:name w:val="font01"/>
    <w:basedOn w:val="9"/>
    <w:qFormat/>
    <w:uiPriority w:val="0"/>
    <w:rPr>
      <w:rFonts w:hint="eastAsia" w:ascii="宋体" w:hAnsi="宋体" w:eastAsia="宋体" w:cs="宋体"/>
      <w:color w:val="000000"/>
      <w:sz w:val="20"/>
      <w:szCs w:val="20"/>
      <w:u w:val="none"/>
    </w:rPr>
  </w:style>
  <w:style w:type="character" w:customStyle="1" w:styleId="15">
    <w:name w:val="font101"/>
    <w:basedOn w:val="9"/>
    <w:qFormat/>
    <w:uiPriority w:val="0"/>
    <w:rPr>
      <w:rFonts w:ascii="仿宋" w:hAnsi="仿宋" w:eastAsia="仿宋" w:cs="仿宋"/>
      <w:color w:val="000000"/>
      <w:sz w:val="20"/>
      <w:szCs w:val="20"/>
      <w:u w:val="none"/>
    </w:rPr>
  </w:style>
  <w:style w:type="character" w:customStyle="1" w:styleId="16">
    <w:name w:val="font71"/>
    <w:basedOn w:val="9"/>
    <w:qFormat/>
    <w:uiPriority w:val="0"/>
    <w:rPr>
      <w:rFonts w:hint="default" w:ascii="Times New Roman" w:hAnsi="Times New Roman" w:cs="Times New Roman"/>
      <w:color w:val="000000"/>
      <w:sz w:val="20"/>
      <w:szCs w:val="20"/>
      <w:u w:val="none"/>
    </w:rPr>
  </w:style>
  <w:style w:type="character" w:customStyle="1" w:styleId="17">
    <w:name w:val="font51"/>
    <w:basedOn w:val="9"/>
    <w:qFormat/>
    <w:uiPriority w:val="0"/>
    <w:rPr>
      <w:rFonts w:hint="eastAsia" w:ascii="宋体" w:hAnsi="宋体" w:eastAsia="宋体" w:cs="宋体"/>
      <w:color w:val="FF0000"/>
      <w:sz w:val="20"/>
      <w:szCs w:val="20"/>
      <w:u w:val="none"/>
    </w:rPr>
  </w:style>
  <w:style w:type="character" w:customStyle="1" w:styleId="18">
    <w:name w:val="font112"/>
    <w:basedOn w:val="9"/>
    <w:qFormat/>
    <w:uiPriority w:val="0"/>
    <w:rPr>
      <w:rFonts w:ascii="Calibri" w:hAnsi="Calibri" w:cs="Calibri"/>
      <w:color w:val="000000"/>
      <w:sz w:val="20"/>
      <w:szCs w:val="20"/>
      <w:u w:val="none"/>
    </w:rPr>
  </w:style>
  <w:style w:type="character" w:customStyle="1" w:styleId="19">
    <w:name w:val="font121"/>
    <w:basedOn w:val="9"/>
    <w:qFormat/>
    <w:uiPriority w:val="0"/>
    <w:rPr>
      <w:rFonts w:hint="default" w:ascii="Calibri" w:hAnsi="Calibri" w:cs="Calibri"/>
      <w:color w:val="FF0000"/>
      <w:sz w:val="20"/>
      <w:szCs w:val="20"/>
      <w:u w:val="none"/>
    </w:rPr>
  </w:style>
  <w:style w:type="character" w:customStyle="1" w:styleId="20">
    <w:name w:val="font131"/>
    <w:basedOn w:val="9"/>
    <w:qFormat/>
    <w:uiPriority w:val="0"/>
    <w:rPr>
      <w:rFonts w:hint="default" w:ascii="Calibri" w:hAnsi="Calibri" w:cs="Calibri"/>
      <w:color w:val="000000"/>
      <w:sz w:val="20"/>
      <w:szCs w:val="20"/>
      <w:u w:val="none"/>
    </w:rPr>
  </w:style>
  <w:style w:type="character" w:customStyle="1" w:styleId="21">
    <w:name w:val="font11"/>
    <w:basedOn w:val="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2023-11-08T00:53:00Z</dcterms:created>
  <dc:creator>syb05</dc:creator>
  <cp:lastModifiedBy>1</cp:lastModifiedBy>
  <cp:lastPrinted>2026-04-16T01:57:00Z</cp:lastPrinted>
  <dcterms:modified xsi:type="dcterms:W3CDTF">2026-09-24T09:13:14Z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855D0D3A2A0D404AA3C6BFC442ED42D7</vt:lpwstr>
  </property>
</Properties>
</file>