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6FD9192C">
      <w:pPr>
        <w:spacing w:line="360" w:lineRule="auto"/>
        <w:ind w:right="989"/>
        <w:jc w:val="both"/>
        <w:rPr>
          <w:rFonts w:ascii="黑体" w:hAnsi="宋体" w:eastAsia="黑体"/>
          <w:b/>
          <w:bCs/>
          <w:spacing w:val="-10"/>
          <w:sz w:val="52"/>
          <w:szCs w:val="52"/>
          <w:highlight w:val="none"/>
        </w:rPr>
      </w:pPr>
      <w:r>
        <w:rPr>
          <w:rFonts w:hint="eastAsia" w:ascii="宋体" w:hAnsi="Calibri"/>
          <w:spacing w:val="10"/>
          <w:kern w:val="0"/>
          <w:sz w:val="44"/>
          <w:szCs w:val="44"/>
          <w:highlight w:val="none"/>
          <w:lang w:bidi="ar"/>
        </w:rPr>
        <w:drawing>
          <wp:anchor distT="0" distB="0" distL="114935" distR="114935" simplePos="0" relativeHeight="251659264" behindDoc="1" locked="0" layoutInCell="1" allowOverlap="1">
            <wp:simplePos x="0" y="0"/>
            <wp:positionH relativeFrom="column">
              <wp:posOffset>-1149985</wp:posOffset>
            </wp:positionH>
            <wp:positionV relativeFrom="paragraph">
              <wp:posOffset>-907415</wp:posOffset>
            </wp:positionV>
            <wp:extent cx="7567930" cy="2731135"/>
            <wp:effectExtent l="0" t="0" r="0" b="12065"/>
            <wp:wrapThrough wrapText="bothSides">
              <wp:wrapPolygon>
                <wp:start x="0" y="0"/>
                <wp:lineTo x="0" y="21495"/>
                <wp:lineTo x="21567" y="21495"/>
                <wp:lineTo x="21567" y="0"/>
                <wp:lineTo x="0" y="0"/>
              </wp:wrapPolygon>
            </wp:wrapThrough>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pic:cNvPicPr>
                  </pic:nvPicPr>
                  <pic:blipFill>
                    <a:blip r:embed="rId8"/>
                    <a:stretch>
                      <a:fillRect/>
                    </a:stretch>
                  </pic:blipFill>
                  <pic:spPr>
                    <a:xfrm>
                      <a:off x="0" y="0"/>
                      <a:ext cx="7567930" cy="2731135"/>
                    </a:xfrm>
                    <a:prstGeom prst="rect">
                      <a:avLst/>
                    </a:prstGeom>
                    <a:noFill/>
                    <a:ln>
                      <a:noFill/>
                    </a:ln>
                  </pic:spPr>
                </pic:pic>
              </a:graphicData>
            </a:graphic>
          </wp:anchor>
        </w:drawing>
      </w:r>
    </w:p>
    <w:p w14:paraId="3A48D951">
      <w:pPr>
        <w:keepNext w:val="0"/>
        <w:keepLines w:val="0"/>
        <w:widowControl/>
        <w:suppressLineNumbers w:val="0"/>
        <w:jc w:val="center"/>
        <w:rPr>
          <w:rFonts w:hint="default" w:ascii="黑体" w:hAnsi="黑体" w:eastAsia="黑体" w:cs="黑体"/>
          <w:b/>
          <w:spacing w:val="10"/>
          <w:kern w:val="0"/>
          <w:sz w:val="44"/>
          <w:szCs w:val="44"/>
          <w:highlight w:val="none"/>
          <w:lang w:val="en-US" w:eastAsia="zh-CN" w:bidi="ar"/>
        </w:rPr>
      </w:pPr>
      <w:r>
        <w:rPr>
          <w:rFonts w:hint="eastAsia" w:ascii="黑体" w:hAnsi="黑体" w:eastAsia="黑体" w:cs="黑体"/>
          <w:b/>
          <w:spacing w:val="10"/>
          <w:kern w:val="0"/>
          <w:sz w:val="44"/>
          <w:szCs w:val="44"/>
          <w:highlight w:val="none"/>
          <w:lang w:val="en-US" w:eastAsia="zh-CN" w:bidi="ar"/>
        </w:rPr>
        <w:t>贵州送变电有限责任公司</w:t>
      </w:r>
      <w:r>
        <w:rPr>
          <w:rFonts w:hint="default" w:ascii="黑体" w:hAnsi="黑体" w:eastAsia="黑体" w:cs="黑体"/>
          <w:b/>
          <w:spacing w:val="10"/>
          <w:kern w:val="0"/>
          <w:sz w:val="44"/>
          <w:szCs w:val="44"/>
          <w:highlight w:val="none"/>
          <w:lang w:val="en-US" w:eastAsia="zh-CN" w:bidi="ar"/>
        </w:rPr>
        <w:t>甘肃～浙江±800千伏特高压直流输电工程线路工程(包7)</w:t>
      </w:r>
    </w:p>
    <w:p w14:paraId="7689EF20">
      <w:pPr>
        <w:keepNext w:val="0"/>
        <w:keepLines w:val="0"/>
        <w:widowControl/>
        <w:suppressLineNumbers w:val="0"/>
        <w:jc w:val="center"/>
        <w:rPr>
          <w:rFonts w:hint="eastAsia" w:ascii="黑体" w:hAnsi="黑体" w:eastAsia="黑体" w:cs="黑体"/>
          <w:b/>
          <w:sz w:val="44"/>
          <w:szCs w:val="44"/>
          <w:highlight w:val="none"/>
        </w:rPr>
      </w:pPr>
      <w:r>
        <w:rPr>
          <w:rFonts w:hint="default" w:ascii="黑体" w:hAnsi="黑体" w:eastAsia="黑体" w:cs="黑体"/>
          <w:b/>
          <w:spacing w:val="10"/>
          <w:kern w:val="0"/>
          <w:sz w:val="44"/>
          <w:szCs w:val="44"/>
          <w:highlight w:val="none"/>
          <w:lang w:val="en-US" w:eastAsia="zh-CN" w:bidi="ar"/>
        </w:rPr>
        <w:t>导地线全线贯通仪式服务</w:t>
      </w:r>
      <w:r>
        <w:rPr>
          <w:rFonts w:hint="eastAsia" w:ascii="黑体" w:hAnsi="黑体" w:eastAsia="黑体" w:cs="黑体"/>
          <w:b/>
          <w:spacing w:val="10"/>
          <w:kern w:val="0"/>
          <w:sz w:val="44"/>
          <w:szCs w:val="44"/>
          <w:highlight w:val="none"/>
          <w:lang w:bidi="ar"/>
        </w:rPr>
        <w:t>技术规范书</w:t>
      </w:r>
    </w:p>
    <w:p w14:paraId="33AF2A6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Calibri" w:eastAsia="黑体" w:cs="黑体"/>
          <w:b/>
          <w:spacing w:val="10"/>
          <w:kern w:val="0"/>
          <w:sz w:val="36"/>
          <w:szCs w:val="20"/>
          <w:highlight w:val="none"/>
          <w:lang w:bidi="ar"/>
        </w:rPr>
      </w:pPr>
    </w:p>
    <w:p w14:paraId="447F17AB">
      <w:pPr>
        <w:spacing w:before="624" w:beforeLines="200" w:line="360" w:lineRule="auto"/>
        <w:jc w:val="both"/>
        <w:rPr>
          <w:rFonts w:eastAsia="黑体"/>
          <w:b/>
          <w:sz w:val="36"/>
          <w:szCs w:val="20"/>
          <w:highlight w:val="none"/>
        </w:rPr>
      </w:pPr>
    </w:p>
    <w:p w14:paraId="477F811A">
      <w:pPr>
        <w:spacing w:before="624" w:beforeLines="200" w:line="360" w:lineRule="auto"/>
        <w:jc w:val="both"/>
        <w:rPr>
          <w:rFonts w:eastAsia="黑体"/>
          <w:b/>
          <w:sz w:val="36"/>
          <w:szCs w:val="20"/>
          <w:highlight w:val="none"/>
        </w:rPr>
      </w:pPr>
    </w:p>
    <w:p w14:paraId="3070B8B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spacing w:val="10"/>
          <w:kern w:val="0"/>
          <w:sz w:val="32"/>
          <w:szCs w:val="32"/>
          <w:highlight w:val="none"/>
          <w:lang w:bidi="ar"/>
        </w:rPr>
      </w:pPr>
    </w:p>
    <w:p w14:paraId="386B095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spacing w:val="10"/>
          <w:kern w:val="0"/>
          <w:sz w:val="32"/>
          <w:szCs w:val="32"/>
          <w:highlight w:val="none"/>
          <w:lang w:bidi="ar"/>
        </w:rPr>
      </w:pPr>
    </w:p>
    <w:p w14:paraId="1317089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spacing w:val="10"/>
          <w:kern w:val="0"/>
          <w:sz w:val="32"/>
          <w:szCs w:val="32"/>
          <w:highlight w:val="none"/>
          <w:lang w:bidi="ar"/>
        </w:rPr>
      </w:pPr>
      <w:r>
        <w:rPr>
          <w:rFonts w:hint="eastAsia" w:ascii="黑体" w:hAnsi="黑体" w:eastAsia="黑体" w:cs="黑体"/>
          <w:b/>
          <w:bCs w:val="0"/>
          <w:spacing w:val="10"/>
          <w:kern w:val="0"/>
          <w:sz w:val="32"/>
          <w:szCs w:val="32"/>
          <w:highlight w:val="none"/>
          <w:lang w:bidi="ar"/>
        </w:rPr>
        <w:t>贵州送变电有限责任公司</w:t>
      </w:r>
    </w:p>
    <w:p w14:paraId="199BAB5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color w:val="auto"/>
          <w:spacing w:val="10"/>
          <w:kern w:val="0"/>
          <w:sz w:val="32"/>
          <w:szCs w:val="32"/>
          <w:highlight w:val="none"/>
          <w:lang w:val="en-US" w:eastAsia="zh-CN" w:bidi="ar"/>
        </w:rPr>
      </w:pPr>
      <w:r>
        <w:rPr>
          <w:rFonts w:hint="eastAsia" w:ascii="黑体" w:hAnsi="黑体" w:eastAsia="黑体" w:cs="黑体"/>
          <w:b/>
          <w:bCs w:val="0"/>
          <w:color w:val="auto"/>
          <w:spacing w:val="10"/>
          <w:kern w:val="0"/>
          <w:sz w:val="32"/>
          <w:szCs w:val="32"/>
          <w:highlight w:val="none"/>
          <w:lang w:val="en-US" w:eastAsia="zh-CN" w:bidi="ar"/>
        </w:rPr>
        <w:t>2026</w:t>
      </w:r>
      <w:r>
        <w:rPr>
          <w:rFonts w:hint="eastAsia" w:ascii="黑体" w:hAnsi="黑体" w:eastAsia="黑体" w:cs="黑体"/>
          <w:b/>
          <w:bCs w:val="0"/>
          <w:color w:val="auto"/>
          <w:spacing w:val="10"/>
          <w:kern w:val="0"/>
          <w:sz w:val="32"/>
          <w:szCs w:val="32"/>
          <w:highlight w:val="none"/>
          <w:lang w:bidi="ar"/>
        </w:rPr>
        <w:t>年</w:t>
      </w:r>
      <w:r>
        <w:rPr>
          <w:rFonts w:hint="eastAsia" w:ascii="黑体" w:hAnsi="黑体" w:eastAsia="黑体" w:cs="黑体"/>
          <w:b/>
          <w:bCs w:val="0"/>
          <w:color w:val="auto"/>
          <w:spacing w:val="10"/>
          <w:kern w:val="0"/>
          <w:sz w:val="32"/>
          <w:szCs w:val="32"/>
          <w:highlight w:val="none"/>
          <w:lang w:val="en-US" w:eastAsia="zh-CN" w:bidi="ar"/>
        </w:rPr>
        <w:t>9月</w:t>
      </w:r>
    </w:p>
    <w:p w14:paraId="0565A97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color w:val="auto"/>
          <w:spacing w:val="10"/>
          <w:kern w:val="0"/>
          <w:sz w:val="32"/>
          <w:szCs w:val="32"/>
          <w:highlight w:val="none"/>
          <w:lang w:val="en-US" w:eastAsia="zh-CN" w:bidi="ar"/>
        </w:rPr>
      </w:pPr>
    </w:p>
    <w:p w14:paraId="41BF4A84">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bCs w:val="0"/>
          <w:color w:val="auto"/>
          <w:spacing w:val="10"/>
          <w:kern w:val="0"/>
          <w:sz w:val="32"/>
          <w:szCs w:val="32"/>
          <w:highlight w:val="none"/>
          <w:lang w:val="en-US" w:eastAsia="zh-CN" w:bidi="ar"/>
        </w:rPr>
      </w:pPr>
    </w:p>
    <w:p w14:paraId="0B0D8E1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t>技术规范书审批表</w:t>
      </w:r>
    </w:p>
    <w:p w14:paraId="06C0DC69">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需求部门：（盖章）</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369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trPr>
        <w:tc>
          <w:tcPr>
            <w:tcW w:w="8522" w:type="dxa"/>
            <w:noWrap w:val="0"/>
            <w:vAlign w:val="center"/>
          </w:tcPr>
          <w:p w14:paraId="6FC0EEDC">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方正仿宋_GB2312" w:hAnsi="方正仿宋_GB2312" w:eastAsia="方正仿宋_GB2312" w:cs="方正仿宋_GB2312"/>
                <w:sz w:val="32"/>
                <w:szCs w:val="32"/>
                <w:highlight w:val="none"/>
                <w:lang w:val="en-US"/>
              </w:rPr>
            </w:pPr>
            <w:r>
              <w:rPr>
                <w:rFonts w:hint="eastAsia" w:ascii="方正仿宋_GB2312" w:hAnsi="方正仿宋_GB2312" w:eastAsia="方正仿宋_GB2312" w:cs="方正仿宋_GB2312"/>
                <w:sz w:val="32"/>
                <w:szCs w:val="32"/>
                <w:highlight w:val="none"/>
              </w:rPr>
              <w:t>采购项目名称：</w:t>
            </w:r>
            <w:r>
              <w:rPr>
                <w:rFonts w:hint="eastAsia" w:ascii="方正仿宋_GB2312" w:hAnsi="方正仿宋_GB2312" w:cs="方正仿宋_GB2312"/>
                <w:sz w:val="32"/>
                <w:szCs w:val="32"/>
                <w:highlight w:val="none"/>
                <w:lang w:val="en-US" w:eastAsia="zh-CN"/>
              </w:rPr>
              <w:t>贵州送变电有限责任公司</w:t>
            </w:r>
            <w:r>
              <w:rPr>
                <w:rFonts w:hint="default" w:ascii="方正仿宋_GB2312" w:hAnsi="方正仿宋_GB2312" w:cs="方正仿宋_GB2312"/>
                <w:sz w:val="32"/>
                <w:szCs w:val="32"/>
                <w:highlight w:val="none"/>
                <w:lang w:val="en-US" w:eastAsia="zh-CN"/>
              </w:rPr>
              <w:t>甘肃～浙江±800千伏特高压直流输电工程线路工程(包7)导地线全线贯通仪式服务</w:t>
            </w:r>
          </w:p>
        </w:tc>
      </w:tr>
      <w:tr w14:paraId="6E9D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522" w:type="dxa"/>
            <w:noWrap w:val="0"/>
            <w:vAlign w:val="center"/>
          </w:tcPr>
          <w:p w14:paraId="09A93F5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采购类别：工程</w:t>
            </w:r>
            <w:r>
              <w:rPr>
                <w:rFonts w:hint="eastAsia" w:ascii="方正仿宋_GB2312" w:hAnsi="方正仿宋_GB2312" w:eastAsia="方正仿宋_GB2312" w:cs="方正仿宋_GB2312"/>
                <w:sz w:val="32"/>
                <w:szCs w:val="32"/>
                <w:highlight w:val="none"/>
              </w:rPr>
              <w:sym w:font="Wingdings" w:char="00A8"/>
            </w:r>
            <w:r>
              <w:rPr>
                <w:rFonts w:hint="eastAsia" w:ascii="方正仿宋_GB2312" w:hAnsi="方正仿宋_GB2312" w:eastAsia="方正仿宋_GB2312" w:cs="方正仿宋_GB2312"/>
                <w:b/>
                <w:sz w:val="32"/>
                <w:szCs w:val="32"/>
                <w:highlight w:val="none"/>
              </w:rPr>
              <w:t xml:space="preserve"> </w:t>
            </w:r>
            <w:r>
              <w:rPr>
                <w:rFonts w:hint="eastAsia" w:ascii="方正仿宋_GB2312" w:hAnsi="方正仿宋_GB2312" w:eastAsia="方正仿宋_GB2312" w:cs="方正仿宋_GB2312"/>
                <w:sz w:val="32"/>
                <w:szCs w:val="32"/>
                <w:highlight w:val="none"/>
              </w:rPr>
              <w:t>服务</w:t>
            </w:r>
            <w:r>
              <w:rPr>
                <w:rFonts w:hint="eastAsia" w:ascii="方正仿宋_GB2312" w:hAnsi="方正仿宋_GB2312" w:eastAsia="方正仿宋_GB2312" w:cs="方正仿宋_GB2312"/>
                <w:sz w:val="32"/>
                <w:szCs w:val="32"/>
                <w:highlight w:val="none"/>
              </w:rPr>
              <w:sym w:font="Wingdings" w:char="00FE"/>
            </w:r>
            <w:r>
              <w:rPr>
                <w:rFonts w:hint="eastAsia" w:ascii="方正仿宋_GB2312" w:hAnsi="方正仿宋_GB2312" w:eastAsia="方正仿宋_GB2312" w:cs="方正仿宋_GB2312"/>
                <w:sz w:val="32"/>
                <w:szCs w:val="32"/>
                <w:highlight w:val="none"/>
              </w:rPr>
              <w:t xml:space="preserve"> 物资</w:t>
            </w:r>
            <w:r>
              <w:rPr>
                <w:rFonts w:hint="eastAsia" w:ascii="方正仿宋_GB2312" w:hAnsi="方正仿宋_GB2312" w:eastAsia="方正仿宋_GB2312" w:cs="方正仿宋_GB2312"/>
                <w:sz w:val="32"/>
                <w:szCs w:val="32"/>
                <w:highlight w:val="none"/>
              </w:rPr>
              <w:sym w:font="Wingdings" w:char="00A8"/>
            </w:r>
          </w:p>
        </w:tc>
      </w:tr>
      <w:tr w14:paraId="362C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8522" w:type="dxa"/>
            <w:noWrap w:val="0"/>
            <w:vAlign w:val="top"/>
          </w:tcPr>
          <w:p w14:paraId="6A1DDA9B">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采购项目概况：</w:t>
            </w:r>
            <w:r>
              <w:rPr>
                <w:rFonts w:hint="eastAsia" w:ascii="方正仿宋_GB2312" w:hAnsi="方正仿宋_GB2312" w:cs="方正仿宋_GB2312"/>
                <w:sz w:val="32"/>
                <w:szCs w:val="32"/>
                <w:highlight w:val="none"/>
                <w:lang w:val="en-US" w:eastAsia="zh-CN"/>
              </w:rPr>
              <w:t>贵州送变电有限责任公司</w:t>
            </w:r>
            <w:r>
              <w:rPr>
                <w:rFonts w:hint="default" w:ascii="方正仿宋_GB2312" w:hAnsi="方正仿宋_GB2312" w:cs="方正仿宋_GB2312"/>
                <w:sz w:val="32"/>
                <w:szCs w:val="32"/>
                <w:highlight w:val="none"/>
                <w:lang w:val="en-US" w:eastAsia="zh-CN"/>
              </w:rPr>
              <w:t>甘肃～浙江±800千伏特高压直流输电工程线路工程(包7)导地线全线贯通仪式服务</w:t>
            </w:r>
          </w:p>
        </w:tc>
      </w:tr>
      <w:tr w14:paraId="25BFE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1188E92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编制人员意见</w:t>
            </w:r>
            <w:r>
              <w:rPr>
                <w:rFonts w:hint="eastAsia" w:ascii="方正仿宋_GB2312" w:hAnsi="方正仿宋_GB2312" w:eastAsia="方正仿宋_GB2312" w:cs="方正仿宋_GB2312"/>
                <w:sz w:val="32"/>
                <w:szCs w:val="32"/>
                <w:highlight w:val="none"/>
                <w:lang w:eastAsia="zh-CN"/>
              </w:rPr>
              <w:t>：</w:t>
            </w:r>
          </w:p>
          <w:p w14:paraId="165EB5FA">
            <w:pPr>
              <w:keepNext w:val="0"/>
              <w:keepLines w:val="0"/>
              <w:pageBreakBefore w:val="0"/>
              <w:widowControl w:val="0"/>
              <w:kinsoku/>
              <w:wordWrap/>
              <w:overflowPunct/>
              <w:topLinePunct w:val="0"/>
              <w:autoSpaceDE/>
              <w:autoSpaceDN/>
              <w:bidi w:val="0"/>
              <w:adjustRightInd/>
              <w:snapToGrid/>
              <w:spacing w:line="360" w:lineRule="auto"/>
              <w:ind w:firstLine="5760" w:firstLineChars="1800"/>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签字：</w:t>
            </w:r>
          </w:p>
          <w:p w14:paraId="1F0CC3D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年   月   日</w:t>
            </w:r>
          </w:p>
        </w:tc>
      </w:tr>
      <w:tr w14:paraId="037A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35DED1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lang w:eastAsia="zh-CN"/>
              </w:rPr>
              <w:t>需求部门主要负责人审核</w:t>
            </w:r>
            <w:r>
              <w:rPr>
                <w:rFonts w:hint="eastAsia" w:ascii="方正仿宋_GB2312" w:hAnsi="方正仿宋_GB2312" w:eastAsia="方正仿宋_GB2312" w:cs="方正仿宋_GB2312"/>
                <w:sz w:val="32"/>
                <w:szCs w:val="32"/>
                <w:highlight w:val="none"/>
              </w:rPr>
              <w:t>意见</w:t>
            </w:r>
            <w:r>
              <w:rPr>
                <w:rFonts w:hint="eastAsia" w:ascii="方正仿宋_GB2312" w:hAnsi="方正仿宋_GB2312" w:eastAsia="方正仿宋_GB2312" w:cs="方正仿宋_GB2312"/>
                <w:sz w:val="32"/>
                <w:szCs w:val="32"/>
                <w:highlight w:val="none"/>
                <w:lang w:eastAsia="zh-CN"/>
              </w:rPr>
              <w:t>：</w:t>
            </w:r>
          </w:p>
          <w:p w14:paraId="6A35ABBA">
            <w:pPr>
              <w:keepNext w:val="0"/>
              <w:keepLines w:val="0"/>
              <w:pageBreakBefore w:val="0"/>
              <w:widowControl w:val="0"/>
              <w:kinsoku/>
              <w:wordWrap/>
              <w:overflowPunct/>
              <w:topLinePunct w:val="0"/>
              <w:autoSpaceDE/>
              <w:autoSpaceDN/>
              <w:bidi w:val="0"/>
              <w:adjustRightInd/>
              <w:snapToGrid/>
              <w:spacing w:line="360" w:lineRule="auto"/>
              <w:ind w:firstLine="5760" w:firstLineChars="1800"/>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签字：</w:t>
            </w:r>
          </w:p>
          <w:p w14:paraId="6A373F5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年   月   日</w:t>
            </w:r>
          </w:p>
        </w:tc>
      </w:tr>
      <w:tr w14:paraId="3F101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7508DD9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公司分管领导批准</w:t>
            </w:r>
            <w:r>
              <w:rPr>
                <w:rFonts w:hint="eastAsia" w:ascii="方正仿宋_GB2312" w:hAnsi="方正仿宋_GB2312" w:eastAsia="方正仿宋_GB2312" w:cs="方正仿宋_GB2312"/>
                <w:sz w:val="32"/>
                <w:szCs w:val="32"/>
                <w:highlight w:val="none"/>
              </w:rPr>
              <w:t>意见：</w:t>
            </w:r>
          </w:p>
          <w:p w14:paraId="0CD3CD5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方正仿宋_GB2312" w:hAnsi="方正仿宋_GB2312" w:eastAsia="方正仿宋_GB2312" w:cs="方正仿宋_GB2312"/>
                <w:sz w:val="32"/>
                <w:szCs w:val="32"/>
                <w:highlight w:val="none"/>
              </w:rPr>
            </w:pPr>
          </w:p>
          <w:p w14:paraId="1CD1700A">
            <w:pPr>
              <w:keepNext w:val="0"/>
              <w:keepLines w:val="0"/>
              <w:pageBreakBefore w:val="0"/>
              <w:widowControl w:val="0"/>
              <w:kinsoku/>
              <w:wordWrap/>
              <w:overflowPunct/>
              <w:topLinePunct w:val="0"/>
              <w:autoSpaceDE/>
              <w:autoSpaceDN/>
              <w:bidi w:val="0"/>
              <w:adjustRightInd/>
              <w:snapToGrid/>
              <w:spacing w:line="360" w:lineRule="auto"/>
              <w:ind w:firstLine="5760" w:firstLineChars="1800"/>
              <w:jc w:val="both"/>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签字：</w:t>
            </w:r>
          </w:p>
          <w:p w14:paraId="577A11C2">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年   月   日</w:t>
            </w:r>
          </w:p>
        </w:tc>
      </w:tr>
    </w:tbl>
    <w:p w14:paraId="0824E2D8">
      <w:pPr>
        <w:spacing w:line="360" w:lineRule="auto"/>
        <w:jc w:val="both"/>
        <w:rPr>
          <w:rFonts w:hint="eastAsia"/>
          <w:b/>
          <w:sz w:val="28"/>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0"/>
          <w:cols w:space="720" w:num="1"/>
          <w:titlePg/>
          <w:docGrid w:type="lines" w:linePitch="312" w:charSpace="0"/>
        </w:sectPr>
      </w:pPr>
    </w:p>
    <w:p w14:paraId="578356D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bCs w:val="0"/>
          <w:sz w:val="44"/>
          <w:szCs w:val="44"/>
          <w:highlight w:val="none"/>
        </w:rPr>
      </w:pPr>
      <w:r>
        <w:rPr>
          <w:rFonts w:hint="eastAsia" w:ascii="黑体" w:hAnsi="黑体" w:eastAsia="黑体" w:cs="黑体"/>
          <w:b/>
          <w:bCs w:val="0"/>
          <w:sz w:val="44"/>
          <w:szCs w:val="44"/>
          <w:highlight w:val="none"/>
        </w:rPr>
        <w:t>目</w:t>
      </w:r>
      <w:r>
        <w:rPr>
          <w:rFonts w:hint="eastAsia" w:ascii="黑体" w:hAnsi="黑体" w:eastAsia="黑体" w:cs="黑体"/>
          <w:b/>
          <w:bCs w:val="0"/>
          <w:sz w:val="44"/>
          <w:szCs w:val="44"/>
          <w:highlight w:val="none"/>
          <w:lang w:val="en-US" w:eastAsia="zh-CN"/>
        </w:rPr>
        <w:t xml:space="preserve">  </w:t>
      </w:r>
      <w:r>
        <w:rPr>
          <w:rFonts w:hint="eastAsia" w:ascii="黑体" w:hAnsi="黑体" w:eastAsia="黑体" w:cs="黑体"/>
          <w:b/>
          <w:bCs w:val="0"/>
          <w:sz w:val="44"/>
          <w:szCs w:val="44"/>
          <w:highlight w:val="none"/>
        </w:rPr>
        <w:t>录</w:t>
      </w:r>
    </w:p>
    <w:p w14:paraId="18901CA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宋体" w:hAnsi="宋体" w:eastAsia="宋体" w:cs="宋体"/>
          <w:b/>
          <w:sz w:val="28"/>
          <w:szCs w:val="28"/>
          <w:highlight w:val="none"/>
        </w:rPr>
      </w:pPr>
    </w:p>
    <w:sdt>
      <w:sdtPr>
        <w:rPr>
          <w:rFonts w:ascii="宋体" w:hAnsi="宋体" w:eastAsia="宋体" w:cs="Times New Roman"/>
          <w:kern w:val="2"/>
          <w:sz w:val="21"/>
          <w:szCs w:val="21"/>
          <w:lang w:val="en-US" w:eastAsia="zh-CN" w:bidi="ar-SA"/>
        </w:rPr>
        <w:id w:val="147457140"/>
        <w15:color w:val="DBDBDB"/>
        <w:docPartObj>
          <w:docPartGallery w:val="Table of Contents"/>
          <w:docPartUnique/>
        </w:docPartObj>
      </w:sdtPr>
      <w:sdtEndPr>
        <w:rPr>
          <w:rFonts w:ascii="宋体" w:hAnsi="宋体" w:eastAsia="宋体" w:cs="Times New Roman"/>
          <w:kern w:val="2"/>
          <w:sz w:val="21"/>
          <w:szCs w:val="21"/>
          <w:lang w:val="en-US" w:eastAsia="zh-CN" w:bidi="ar-SA"/>
        </w:rPr>
      </w:sdtEndPr>
      <w:sdtContent>
        <w:p w14:paraId="643688CC">
          <w:pPr>
            <w:spacing w:before="0" w:beforeLines="0" w:after="0" w:afterLines="0" w:line="240" w:lineRule="auto"/>
            <w:ind w:left="0" w:leftChars="0" w:right="0" w:rightChars="0" w:firstLine="0" w:firstLineChars="0"/>
            <w:jc w:val="center"/>
          </w:pPr>
        </w:p>
        <w:p w14:paraId="3168D3FF">
          <w:pPr>
            <w:pStyle w:val="10"/>
            <w:tabs>
              <w:tab w:val="right" w:leader="dot" w:pos="8306"/>
              <w:tab w:val="clear" w:pos="8280"/>
            </w:tabs>
          </w:pPr>
          <w:r>
            <w:fldChar w:fldCharType="begin"/>
          </w:r>
          <w:r>
            <w:instrText xml:space="preserve">TOC \o "1-1" \h \u </w:instrText>
          </w:r>
          <w:r>
            <w:fldChar w:fldCharType="separate"/>
          </w:r>
          <w:r>
            <w:fldChar w:fldCharType="begin"/>
          </w:r>
          <w:r>
            <w:instrText xml:space="preserve"> HYPERLINK \l _Toc13467 </w:instrText>
          </w:r>
          <w:r>
            <w:fldChar w:fldCharType="separate"/>
          </w:r>
          <w:r>
            <w:rPr>
              <w:rFonts w:hint="eastAsia"/>
              <w:lang w:val="en-US" w:eastAsia="zh-CN"/>
            </w:rPr>
            <w:t>一、总则</w:t>
          </w:r>
          <w:r>
            <w:tab/>
          </w:r>
          <w:r>
            <w:fldChar w:fldCharType="begin"/>
          </w:r>
          <w:r>
            <w:instrText xml:space="preserve"> PAGEREF _Toc13467 \h </w:instrText>
          </w:r>
          <w:r>
            <w:fldChar w:fldCharType="separate"/>
          </w:r>
          <w:r>
            <w:t>2</w:t>
          </w:r>
          <w:r>
            <w:fldChar w:fldCharType="end"/>
          </w:r>
          <w:r>
            <w:fldChar w:fldCharType="end"/>
          </w:r>
        </w:p>
        <w:p w14:paraId="1310B77F">
          <w:pPr>
            <w:pStyle w:val="10"/>
            <w:tabs>
              <w:tab w:val="right" w:leader="dot" w:pos="8306"/>
              <w:tab w:val="clear" w:pos="8280"/>
            </w:tabs>
          </w:pPr>
          <w:r>
            <w:fldChar w:fldCharType="begin"/>
          </w:r>
          <w:r>
            <w:instrText xml:space="preserve"> HYPERLINK \l _Toc9263 </w:instrText>
          </w:r>
          <w:r>
            <w:fldChar w:fldCharType="separate"/>
          </w:r>
          <w:r>
            <w:rPr>
              <w:rFonts w:hint="eastAsia"/>
              <w:lang w:val="en-US" w:eastAsia="zh-CN"/>
            </w:rPr>
            <w:t>二、项目的背景、服务范围和工作内容</w:t>
          </w:r>
          <w:r>
            <w:tab/>
          </w:r>
          <w:r>
            <w:fldChar w:fldCharType="begin"/>
          </w:r>
          <w:r>
            <w:instrText xml:space="preserve"> PAGEREF _Toc9263 \h </w:instrText>
          </w:r>
          <w:r>
            <w:fldChar w:fldCharType="separate"/>
          </w:r>
          <w:r>
            <w:t>4</w:t>
          </w:r>
          <w:r>
            <w:fldChar w:fldCharType="end"/>
          </w:r>
          <w:r>
            <w:fldChar w:fldCharType="end"/>
          </w:r>
        </w:p>
        <w:p w14:paraId="75F82A44">
          <w:pPr>
            <w:pStyle w:val="10"/>
            <w:tabs>
              <w:tab w:val="right" w:leader="dot" w:pos="8306"/>
              <w:tab w:val="clear" w:pos="8280"/>
            </w:tabs>
          </w:pPr>
          <w:r>
            <w:fldChar w:fldCharType="begin"/>
          </w:r>
          <w:r>
            <w:instrText xml:space="preserve"> HYPERLINK \l _Toc24974 </w:instrText>
          </w:r>
          <w:r>
            <w:fldChar w:fldCharType="separate"/>
          </w:r>
          <w:r>
            <w:rPr>
              <w:rFonts w:hint="eastAsia"/>
              <w:lang w:val="en-US" w:eastAsia="zh-CN"/>
            </w:rPr>
            <w:t>三、贯通仪式物资要求</w:t>
          </w:r>
          <w:r>
            <w:tab/>
          </w:r>
          <w:r>
            <w:fldChar w:fldCharType="begin"/>
          </w:r>
          <w:r>
            <w:instrText xml:space="preserve"> PAGEREF _Toc24974 \h </w:instrText>
          </w:r>
          <w:r>
            <w:fldChar w:fldCharType="separate"/>
          </w:r>
          <w:r>
            <w:t>5</w:t>
          </w:r>
          <w:r>
            <w:fldChar w:fldCharType="end"/>
          </w:r>
          <w:r>
            <w:fldChar w:fldCharType="end"/>
          </w:r>
        </w:p>
        <w:p w14:paraId="039C132C">
          <w:pPr>
            <w:pStyle w:val="10"/>
            <w:tabs>
              <w:tab w:val="right" w:leader="dot" w:pos="8306"/>
              <w:tab w:val="clear" w:pos="8280"/>
            </w:tabs>
          </w:pPr>
          <w:r>
            <w:fldChar w:fldCharType="begin"/>
          </w:r>
          <w:r>
            <w:instrText xml:space="preserve"> HYPERLINK \l _Toc23307 </w:instrText>
          </w:r>
          <w:r>
            <w:fldChar w:fldCharType="separate"/>
          </w:r>
          <w:r>
            <w:rPr>
              <w:rFonts w:hint="eastAsia"/>
              <w:lang w:val="en-US" w:eastAsia="zh-CN"/>
            </w:rPr>
            <w:t>四、技术及质量要求</w:t>
          </w:r>
          <w:r>
            <w:tab/>
          </w:r>
          <w:r>
            <w:fldChar w:fldCharType="begin"/>
          </w:r>
          <w:r>
            <w:instrText xml:space="preserve"> PAGEREF _Toc23307 \h </w:instrText>
          </w:r>
          <w:r>
            <w:fldChar w:fldCharType="separate"/>
          </w:r>
          <w:r>
            <w:t>5</w:t>
          </w:r>
          <w:r>
            <w:fldChar w:fldCharType="end"/>
          </w:r>
          <w:r>
            <w:fldChar w:fldCharType="end"/>
          </w:r>
        </w:p>
        <w:p w14:paraId="1AF743E9">
          <w:pPr>
            <w:pStyle w:val="10"/>
            <w:tabs>
              <w:tab w:val="right" w:leader="dot" w:pos="8306"/>
              <w:tab w:val="clear" w:pos="8280"/>
            </w:tabs>
          </w:pPr>
          <w:r>
            <w:fldChar w:fldCharType="begin"/>
          </w:r>
          <w:r>
            <w:instrText xml:space="preserve"> HYPERLINK \l _Toc6136 </w:instrText>
          </w:r>
          <w:r>
            <w:fldChar w:fldCharType="separate"/>
          </w:r>
          <w:r>
            <w:rPr>
              <w:rFonts w:hint="eastAsia"/>
              <w:lang w:val="en-US" w:eastAsia="zh-CN"/>
            </w:rPr>
            <w:t>五、现场安全、文明及环水保要求</w:t>
          </w:r>
          <w:r>
            <w:tab/>
          </w:r>
          <w:r>
            <w:fldChar w:fldCharType="begin"/>
          </w:r>
          <w:r>
            <w:instrText xml:space="preserve"> PAGEREF _Toc6136 \h </w:instrText>
          </w:r>
          <w:r>
            <w:fldChar w:fldCharType="separate"/>
          </w:r>
          <w:r>
            <w:t>6</w:t>
          </w:r>
          <w:r>
            <w:fldChar w:fldCharType="end"/>
          </w:r>
          <w:r>
            <w:fldChar w:fldCharType="end"/>
          </w:r>
        </w:p>
        <w:p w14:paraId="5AAE14A2">
          <w:pPr>
            <w:pStyle w:val="10"/>
            <w:tabs>
              <w:tab w:val="right" w:leader="dot" w:pos="8306"/>
              <w:tab w:val="clear" w:pos="8280"/>
            </w:tabs>
          </w:pPr>
          <w:r>
            <w:fldChar w:fldCharType="begin"/>
          </w:r>
          <w:r>
            <w:instrText xml:space="preserve"> HYPERLINK \l _Toc27256 </w:instrText>
          </w:r>
          <w:r>
            <w:fldChar w:fldCharType="separate"/>
          </w:r>
          <w:r>
            <w:rPr>
              <w:rFonts w:hint="eastAsia"/>
              <w:lang w:val="en-US" w:eastAsia="zh-CN"/>
            </w:rPr>
            <w:t>六、其他要求</w:t>
          </w:r>
          <w:r>
            <w:tab/>
          </w:r>
          <w:r>
            <w:fldChar w:fldCharType="begin"/>
          </w:r>
          <w:r>
            <w:instrText xml:space="preserve"> PAGEREF _Toc27256 \h </w:instrText>
          </w:r>
          <w:r>
            <w:fldChar w:fldCharType="separate"/>
          </w:r>
          <w:r>
            <w:t>6</w:t>
          </w:r>
          <w:r>
            <w:fldChar w:fldCharType="end"/>
          </w:r>
          <w:r>
            <w:fldChar w:fldCharType="end"/>
          </w:r>
        </w:p>
        <w:p w14:paraId="47140153">
          <w:r>
            <w:fldChar w:fldCharType="end"/>
          </w:r>
        </w:p>
      </w:sdtContent>
    </w:sdt>
    <w:p w14:paraId="4F92BCA5"/>
    <w:p w14:paraId="2650C0E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fldChar w:fldCharType="begin"/>
      </w:r>
      <w:r>
        <w:rPr>
          <w:rFonts w:hint="eastAsia" w:ascii="方正仿宋_GB2312" w:hAnsi="方正仿宋_GB2312" w:eastAsia="方正仿宋_GB2312" w:cs="方正仿宋_GB2312"/>
          <w:sz w:val="32"/>
          <w:szCs w:val="32"/>
          <w:highlight w:val="none"/>
          <w:shd w:val="clear" w:color="auto" w:fill="auto"/>
          <w:lang w:val="en-US" w:eastAsia="zh-CN"/>
        </w:rPr>
        <w:instrText xml:space="preserve">TOC \o "1-1" \h \u </w:instrText>
      </w:r>
      <w:r>
        <w:rPr>
          <w:rFonts w:hint="eastAsia" w:ascii="方正仿宋_GB2312" w:hAnsi="方正仿宋_GB2312" w:eastAsia="方正仿宋_GB2312" w:cs="方正仿宋_GB2312"/>
          <w:sz w:val="32"/>
          <w:szCs w:val="32"/>
          <w:highlight w:val="none"/>
          <w:shd w:val="clear" w:color="auto" w:fill="auto"/>
          <w:lang w:val="en-US" w:eastAsia="zh-CN"/>
        </w:rPr>
        <w:fldChar w:fldCharType="separate"/>
      </w:r>
    </w:p>
    <w:p w14:paraId="32402A1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bookmarkStart w:id="43" w:name="_GoBack"/>
      <w:bookmarkEnd w:id="43"/>
    </w:p>
    <w:p w14:paraId="70B37D6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p>
    <w:p w14:paraId="467B771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p>
    <w:p w14:paraId="75093F9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p>
    <w:p w14:paraId="0806B0A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sectPr>
          <w:footerReference r:id="rId4" w:type="first"/>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355ED1EB">
      <w:pPr>
        <w:pStyle w:val="2"/>
        <w:numPr>
          <w:ilvl w:val="0"/>
          <w:numId w:val="0"/>
        </w:numPr>
        <w:bidi w:val="0"/>
        <w:ind w:leftChars="0"/>
        <w:rPr>
          <w:rFonts w:hint="default"/>
          <w:lang w:val="en-US" w:eastAsia="zh-CN"/>
        </w:rPr>
      </w:pPr>
      <w:bookmarkStart w:id="0" w:name="_Toc7561"/>
      <w:bookmarkStart w:id="1" w:name="_Toc437"/>
      <w:bookmarkStart w:id="2" w:name="_Toc39063949"/>
      <w:bookmarkStart w:id="3" w:name="_Toc10449"/>
      <w:bookmarkStart w:id="4" w:name="_Toc16312"/>
      <w:bookmarkStart w:id="5" w:name="_Toc17924"/>
      <w:bookmarkStart w:id="6" w:name="_Toc13837"/>
      <w:bookmarkStart w:id="7" w:name="_Toc10036"/>
      <w:bookmarkStart w:id="8" w:name="_Toc13467"/>
      <w:bookmarkStart w:id="9" w:name="_Toc1817"/>
      <w:r>
        <w:rPr>
          <w:rFonts w:hint="eastAsia"/>
          <w:lang w:val="en-US" w:eastAsia="zh-CN"/>
        </w:rPr>
        <w:t>一、</w:t>
      </w:r>
      <w:bookmarkEnd w:id="0"/>
      <w:bookmarkEnd w:id="1"/>
      <w:bookmarkEnd w:id="2"/>
      <w:bookmarkEnd w:id="3"/>
      <w:bookmarkEnd w:id="4"/>
      <w:bookmarkEnd w:id="5"/>
      <w:bookmarkEnd w:id="6"/>
      <w:bookmarkEnd w:id="7"/>
      <w:bookmarkStart w:id="10" w:name="_Toc4310"/>
      <w:r>
        <w:rPr>
          <w:rFonts w:hint="eastAsia"/>
          <w:lang w:val="en-US" w:eastAsia="zh-CN"/>
        </w:rPr>
        <w:t>总则</w:t>
      </w:r>
      <w:bookmarkEnd w:id="8"/>
      <w:bookmarkEnd w:id="9"/>
    </w:p>
    <w:bookmarkEnd w:id="10"/>
    <w:p w14:paraId="06F86E9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bookmarkStart w:id="11" w:name="_Toc8429"/>
      <w:bookmarkStart w:id="12" w:name="_Toc39063953"/>
      <w:bookmarkStart w:id="13" w:name="_Toc18852"/>
      <w:bookmarkStart w:id="14" w:name="_Toc1596"/>
      <w:bookmarkStart w:id="15" w:name="_Toc28958"/>
      <w:bookmarkStart w:id="16" w:name="_Toc9764"/>
      <w:bookmarkStart w:id="17" w:name="_Toc16536"/>
      <w:bookmarkStart w:id="18" w:name="_Toc32101"/>
      <w:r>
        <w:rPr>
          <w:rFonts w:hint="eastAsia" w:ascii="方正仿宋_GB2312" w:hAnsi="方正仿宋_GB2312" w:eastAsia="方正仿宋_GB2312" w:cs="方正仿宋_GB2312"/>
          <w:sz w:val="32"/>
          <w:szCs w:val="32"/>
          <w:highlight w:val="none"/>
          <w:shd w:val="clear" w:color="auto" w:fill="auto"/>
          <w:lang w:val="en-US" w:eastAsia="zh-CN"/>
        </w:rPr>
        <w:t>本技术规范书适用于贵州送变电有限责任公司</w:t>
      </w:r>
      <w:r>
        <w:rPr>
          <w:rFonts w:hint="default" w:ascii="方正仿宋_GB2312" w:hAnsi="方正仿宋_GB2312" w:cs="方正仿宋_GB2312"/>
          <w:sz w:val="32"/>
          <w:szCs w:val="32"/>
          <w:highlight w:val="none"/>
          <w:lang w:val="en-US" w:eastAsia="zh-CN"/>
        </w:rPr>
        <w:t>甘肃～浙江±800千伏特高压直流输电工程线路工程(包7)导地线全线贯通仪式服务</w:t>
      </w:r>
      <w:r>
        <w:rPr>
          <w:rFonts w:hint="eastAsia" w:ascii="方正仿宋_GB2312" w:hAnsi="方正仿宋_GB2312" w:eastAsia="方正仿宋_GB2312" w:cs="方正仿宋_GB2312"/>
          <w:sz w:val="32"/>
          <w:szCs w:val="32"/>
          <w:highlight w:val="none"/>
          <w:shd w:val="clear" w:color="auto" w:fill="auto"/>
          <w:lang w:val="en-US" w:eastAsia="zh-CN"/>
        </w:rPr>
        <w:t>技术规范书。</w:t>
      </w:r>
    </w:p>
    <w:p w14:paraId="3845063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招标方：贵州电网有限责任公司贵州送变电有限责任公司。</w:t>
      </w:r>
    </w:p>
    <w:p w14:paraId="7E80BAA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合同签订方：贵州电网有限责任公司贵州送变电有限责任公司。</w:t>
      </w:r>
    </w:p>
    <w:p w14:paraId="283C077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投标方：参加本次投标竞争，向招标方/招标代理提交投标文件的单位。</w:t>
      </w:r>
    </w:p>
    <w:p w14:paraId="563D2E7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 xml:space="preserve">中标方：最终被授予合同的投标方。 </w:t>
      </w:r>
    </w:p>
    <w:p w14:paraId="6808B3E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1.投标要求</w:t>
      </w:r>
    </w:p>
    <w:p w14:paraId="6BF6CA1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 xml:space="preserve">本规范书提出的是最低限度的技术要求。凡本招标技术规范书中未规定，但在相关的行业标准、国家标准或 IEC 标准中有规定的规范条文，服务方应按相应标准的条文执行。对国家有关安全、环保等强制性标准，必须满足其要求。 </w:t>
      </w:r>
    </w:p>
    <w:p w14:paraId="683905B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如果投标方没有以书面形式对本技术规范书的条文提出异议，则意味着投标方提供的服务完全符合本技术规范书的要求。如有异议，应以“对技术规范书的意见和同技术规范书的差异”为标题的专门章节中加以详细描述。</w:t>
      </w:r>
    </w:p>
    <w:p w14:paraId="35B05EB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本技术规范书所使用的标准如遇与投标方所执行的标准不一致时，按较高标准执行。</w:t>
      </w:r>
    </w:p>
    <w:p w14:paraId="6C9C37F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本技术规范书经双方确认后作为贵州送变电有限责任公司甘肃～浙江±800千伏特高压直流输电工程线路工程(包7)导地线全线贯通仪式服务合同的技术附件，与合同正文具有同等的法律效力。</w:t>
      </w:r>
    </w:p>
    <w:p w14:paraId="728893E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2.投标须知</w:t>
      </w:r>
    </w:p>
    <w:p w14:paraId="7C637B3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a)</w:t>
      </w:r>
      <w:r>
        <w:rPr>
          <w:rFonts w:hint="eastAsia" w:ascii="方正仿宋_GB2312" w:hAnsi="方正仿宋_GB2312" w:eastAsia="方正仿宋_GB2312" w:cs="方正仿宋_GB2312"/>
          <w:sz w:val="32"/>
          <w:szCs w:val="32"/>
          <w:highlight w:val="none"/>
          <w:shd w:val="clear" w:color="auto" w:fill="auto"/>
          <w:lang w:val="en-US" w:eastAsia="zh-CN"/>
        </w:rPr>
        <w:t>本招标文件仅适用于贵州送变电有限责任公司甘肃～浙江±800千伏特高压直流输电工程线路工程(包7)导地线全线贯通仪式采购技术服务，本招标文件的最终解释权归贵州电网有限责任公司贵州送变电有限责任公司。</w:t>
      </w:r>
    </w:p>
    <w:p w14:paraId="16E96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b)</w:t>
      </w:r>
      <w:r>
        <w:rPr>
          <w:rFonts w:hint="eastAsia" w:ascii="方正仿宋_GB2312" w:hAnsi="方正仿宋_GB2312" w:eastAsia="方正仿宋_GB2312" w:cs="方正仿宋_GB2312"/>
          <w:sz w:val="32"/>
          <w:szCs w:val="32"/>
          <w:highlight w:val="none"/>
          <w:shd w:val="clear" w:color="auto" w:fill="auto"/>
          <w:lang w:val="en-US" w:eastAsia="zh-CN"/>
        </w:rPr>
        <w:t>本招标文件描述了“贵州送变电有限责任公司甘肃～浙江±800千伏特高压直流输电工程线路工程(包7)导地线全线贯通仪式采购技术服务”（简称本项目）工作目标、内容和要求，可供投标方编写投标文件之用。</w:t>
      </w:r>
    </w:p>
    <w:p w14:paraId="6D90AB3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c)</w:t>
      </w:r>
      <w:r>
        <w:rPr>
          <w:rFonts w:hint="eastAsia" w:ascii="方正仿宋_GB2312" w:hAnsi="方正仿宋_GB2312" w:eastAsia="方正仿宋_GB2312" w:cs="方正仿宋_GB2312"/>
          <w:sz w:val="32"/>
          <w:szCs w:val="32"/>
          <w:highlight w:val="none"/>
          <w:shd w:val="clear" w:color="auto" w:fill="auto"/>
          <w:lang w:val="en-US" w:eastAsia="zh-CN"/>
        </w:rPr>
        <w:t>本项目由贵州电网有限责任公司组织招标，贵州送变电有限责任公司完成合同签订。</w:t>
      </w:r>
    </w:p>
    <w:p w14:paraId="622B183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d)</w:t>
      </w:r>
      <w:r>
        <w:rPr>
          <w:rFonts w:hint="eastAsia" w:ascii="方正仿宋_GB2312" w:hAnsi="方正仿宋_GB2312" w:eastAsia="方正仿宋_GB2312" w:cs="方正仿宋_GB2312"/>
          <w:sz w:val="32"/>
          <w:szCs w:val="32"/>
          <w:highlight w:val="none"/>
          <w:shd w:val="clear" w:color="auto" w:fill="auto"/>
          <w:lang w:val="en-US" w:eastAsia="zh-CN"/>
        </w:rPr>
        <w:t xml:space="preserve">投标方应按照本招标文件的要求提供详细、完整的解决方案。该方案应完全满足或高于本招标文件要求，对于本招标文件中的某些部分，投标方如不能满足要求，或有其它替代方案，或有其它修改建议，应在方案中指出其必须进行修改的理由以及与原要求的差别，否则，招标方即认为投标方可以满足本招标文件的要求。 </w:t>
      </w:r>
    </w:p>
    <w:p w14:paraId="0C1FF60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e)</w:t>
      </w:r>
      <w:r>
        <w:rPr>
          <w:rFonts w:hint="eastAsia" w:ascii="方正仿宋_GB2312" w:hAnsi="方正仿宋_GB2312" w:eastAsia="方正仿宋_GB2312" w:cs="方正仿宋_GB2312"/>
          <w:sz w:val="32"/>
          <w:szCs w:val="32"/>
          <w:highlight w:val="none"/>
          <w:shd w:val="clear" w:color="auto" w:fill="auto"/>
          <w:lang w:val="en-US" w:eastAsia="zh-CN"/>
        </w:rPr>
        <w:t>所有招标方认为是本招标文件范围所要求而被遗漏的项目，都被认为是包含在本次招标范围内，投标方的报价被视为包含此遗漏项目的报价。投标方可以就投标方认为的遗漏项目提请招标方注意，并详细说明理由，招标方将就此进行澄清。</w:t>
      </w:r>
    </w:p>
    <w:p w14:paraId="10A3DAF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f)</w:t>
      </w:r>
      <w:r>
        <w:rPr>
          <w:rFonts w:hint="eastAsia" w:ascii="方正仿宋_GB2312" w:hAnsi="方正仿宋_GB2312" w:eastAsia="方正仿宋_GB2312" w:cs="方正仿宋_GB2312"/>
          <w:sz w:val="32"/>
          <w:szCs w:val="32"/>
          <w:highlight w:val="none"/>
          <w:shd w:val="clear" w:color="auto" w:fill="auto"/>
          <w:lang w:val="en-US" w:eastAsia="zh-CN"/>
        </w:rPr>
        <w:t>投标方应保证所提供的所有资料真实、完整、准确无误，否则招标方将有权取消投标方的中标资格，由此产生的一切后果由投标方承担。</w:t>
      </w:r>
    </w:p>
    <w:p w14:paraId="73F675D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p>
    <w:p w14:paraId="005DE720">
      <w:pPr>
        <w:pStyle w:val="2"/>
        <w:numPr>
          <w:ilvl w:val="0"/>
          <w:numId w:val="0"/>
        </w:numPr>
        <w:bidi w:val="0"/>
        <w:ind w:leftChars="0"/>
        <w:rPr>
          <w:rFonts w:hint="eastAsia" w:ascii="方正仿宋_GB2312" w:hAnsi="方正仿宋_GB2312" w:eastAsia="方正仿宋_GB2312" w:cs="方正仿宋_GB2312"/>
          <w:b/>
          <w:bCs/>
          <w:szCs w:val="44"/>
          <w:highlight w:val="none"/>
          <w:shd w:val="clear" w:color="auto" w:fill="auto"/>
          <w:lang w:val="en-US" w:eastAsia="zh-CN"/>
        </w:rPr>
      </w:pPr>
      <w:bookmarkStart w:id="19" w:name="_Toc332"/>
      <w:bookmarkStart w:id="20" w:name="_Toc9263"/>
      <w:r>
        <w:rPr>
          <w:rFonts w:hint="eastAsia"/>
          <w:lang w:val="en-US" w:eastAsia="zh-CN"/>
        </w:rPr>
        <w:t>二</w:t>
      </w:r>
      <w:bookmarkEnd w:id="11"/>
      <w:bookmarkEnd w:id="12"/>
      <w:bookmarkEnd w:id="13"/>
      <w:bookmarkEnd w:id="14"/>
      <w:bookmarkEnd w:id="15"/>
      <w:bookmarkEnd w:id="16"/>
      <w:bookmarkEnd w:id="17"/>
      <w:bookmarkEnd w:id="18"/>
      <w:bookmarkEnd w:id="19"/>
      <w:bookmarkStart w:id="21" w:name="_Toc18089"/>
      <w:bookmarkStart w:id="22" w:name="_Toc21045"/>
      <w:bookmarkStart w:id="23" w:name="_Toc15403"/>
      <w:bookmarkStart w:id="24" w:name="_Toc39063959"/>
      <w:bookmarkStart w:id="25" w:name="_Toc11702"/>
      <w:bookmarkStart w:id="26" w:name="_Toc30855"/>
      <w:bookmarkStart w:id="27" w:name="_Toc2815"/>
      <w:bookmarkStart w:id="28" w:name="_Toc5654"/>
      <w:bookmarkStart w:id="29" w:name="_Toc28134"/>
      <w:r>
        <w:rPr>
          <w:rFonts w:hint="eastAsia"/>
          <w:lang w:val="en-US" w:eastAsia="zh-CN"/>
        </w:rPr>
        <w:t>、项目的背景、服务范围和工作内容</w:t>
      </w:r>
      <w:bookmarkEnd w:id="20"/>
      <w:bookmarkEnd w:id="21"/>
    </w:p>
    <w:p w14:paraId="4036CE1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1.项目背景：根据贵州送变电有限责任公司甘肃～浙江±800千伏特高压直流输电工程线路工程(包7)导地线全线贯通仪式服务报价使用需求，拟招采以技术力量雄厚、设备充足、工作态度严谨、售后服务好为原则的生产厂家作为本项目服务单位。</w:t>
      </w:r>
    </w:p>
    <w:p w14:paraId="65C6528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2.项目</w:t>
      </w:r>
      <w:r>
        <w:rPr>
          <w:rFonts w:hint="eastAsia" w:ascii="方正仿宋_GB2312" w:hAnsi="方正仿宋_GB2312" w:cs="方正仿宋_GB2312"/>
          <w:sz w:val="32"/>
          <w:szCs w:val="32"/>
          <w:highlight w:val="none"/>
          <w:shd w:val="clear" w:color="auto" w:fill="auto"/>
          <w:lang w:val="en-US" w:eastAsia="zh-CN"/>
        </w:rPr>
        <w:t>范围和内容及环节</w:t>
      </w:r>
      <w:r>
        <w:rPr>
          <w:rFonts w:hint="eastAsia" w:ascii="方正仿宋_GB2312" w:hAnsi="方正仿宋_GB2312" w:eastAsia="方正仿宋_GB2312" w:cs="方正仿宋_GB2312"/>
          <w:sz w:val="32"/>
          <w:szCs w:val="32"/>
          <w:highlight w:val="none"/>
          <w:shd w:val="clear" w:color="auto" w:fill="auto"/>
          <w:lang w:val="en-US" w:eastAsia="zh-CN"/>
        </w:rPr>
        <w:t>：本技术规范书</w:t>
      </w:r>
      <w:r>
        <w:rPr>
          <w:rFonts w:hint="eastAsia" w:ascii="方正仿宋_GB2312" w:hAnsi="方正仿宋_GB2312" w:cs="方正仿宋_GB2312"/>
          <w:sz w:val="32"/>
          <w:szCs w:val="32"/>
          <w:highlight w:val="none"/>
          <w:shd w:val="clear" w:color="auto" w:fill="auto"/>
          <w:lang w:val="en-US" w:eastAsia="zh-CN"/>
        </w:rPr>
        <w:t>规定</w:t>
      </w:r>
      <w:r>
        <w:rPr>
          <w:rFonts w:hint="eastAsia" w:ascii="方正仿宋_GB2312" w:hAnsi="方正仿宋_GB2312" w:eastAsia="方正仿宋_GB2312" w:cs="方正仿宋_GB2312"/>
          <w:sz w:val="32"/>
          <w:szCs w:val="32"/>
          <w:highlight w:val="none"/>
          <w:shd w:val="clear" w:color="auto" w:fill="auto"/>
          <w:lang w:val="en-US" w:eastAsia="zh-CN"/>
        </w:rPr>
        <w:t>贯通仪式服务的工作范围、技术标准、人员配置、质量要求、安全文明、验收及交付要求，适用于本项目贯通仪式全部会务服务工作</w:t>
      </w:r>
    </w:p>
    <w:p w14:paraId="73BECA3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3.</w:t>
      </w:r>
      <w:r>
        <w:rPr>
          <w:rFonts w:hint="eastAsia" w:ascii="方正仿宋_GB2312" w:hAnsi="方正仿宋_GB2312" w:cs="方正仿宋_GB2312"/>
          <w:sz w:val="32"/>
          <w:szCs w:val="32"/>
          <w:highlight w:val="none"/>
          <w:shd w:val="clear" w:color="auto" w:fill="auto"/>
          <w:lang w:val="en-US" w:eastAsia="zh-CN"/>
        </w:rPr>
        <w:t>服务范围及工作内容</w:t>
      </w:r>
      <w:r>
        <w:rPr>
          <w:rFonts w:hint="eastAsia" w:ascii="方正仿宋_GB2312" w:hAnsi="方正仿宋_GB2312" w:eastAsia="方正仿宋_GB2312" w:cs="方正仿宋_GB2312"/>
          <w:sz w:val="32"/>
          <w:szCs w:val="32"/>
          <w:highlight w:val="none"/>
          <w:shd w:val="clear" w:color="auto" w:fill="auto"/>
          <w:lang w:val="en-US" w:eastAsia="zh-CN"/>
        </w:rPr>
        <w:t>：</w:t>
      </w:r>
    </w:p>
    <w:p w14:paraId="25A90B5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a）方案策划：编制仪式总体实施方案、流程脚本、现场平面布置图、人员站位图、应急预案；完成主持词、背景文案、宣传物料设计，报业主审核确认后方可实施。</w:t>
      </w:r>
    </w:p>
    <w:p w14:paraId="404C04E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default" w:ascii="方正仿宋_GB2312" w:hAnsi="方正仿宋_GB2312" w:eastAsia="方正仿宋_GB2312" w:cs="方正仿宋_GB2312"/>
          <w:sz w:val="32"/>
          <w:szCs w:val="32"/>
          <w:highlight w:val="none"/>
          <w:shd w:val="clear" w:color="auto" w:fill="auto"/>
          <w:lang w:val="en-US" w:eastAsia="zh-CN"/>
        </w:rPr>
        <w:t>b</w:t>
      </w:r>
      <w:r>
        <w:rPr>
          <w:rFonts w:hint="eastAsia" w:ascii="方正仿宋_GB2312" w:hAnsi="方正仿宋_GB2312" w:eastAsia="方正仿宋_GB2312" w:cs="方正仿宋_GB2312"/>
          <w:sz w:val="32"/>
          <w:szCs w:val="32"/>
          <w:highlight w:val="none"/>
          <w:shd w:val="clear" w:color="auto" w:fill="auto"/>
          <w:lang w:val="en-US" w:eastAsia="zh-CN"/>
        </w:rPr>
        <w:t>）场地工程布置：仪式主背景板、主席台、观众席、引导标识、道旗、签到区、合影区搭建；地面硬化/防护、围挡，现场清理，仪式结束后场地恢复。所有物料采用国网标准VI视觉体系。</w:t>
      </w:r>
    </w:p>
    <w:p w14:paraId="33A0D06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c</w:t>
      </w:r>
      <w:r>
        <w:rPr>
          <w:rFonts w:hint="eastAsia" w:ascii="方正仿宋_GB2312" w:hAnsi="方正仿宋_GB2312" w:eastAsia="方正仿宋_GB2312" w:cs="方正仿宋_GB2312"/>
          <w:sz w:val="32"/>
          <w:szCs w:val="32"/>
          <w:highlight w:val="none"/>
          <w:shd w:val="clear" w:color="auto" w:fill="auto"/>
          <w:lang w:val="en-US" w:eastAsia="zh-CN"/>
        </w:rPr>
        <w:t>）音视频系统：主备双套音响、无线话筒（手持+领夹）、调音台、视频播放主机、配备备用电源，保障仪式不间断。提前联调，消除电流杂音。</w:t>
      </w:r>
    </w:p>
    <w:p w14:paraId="338AD12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d）会务接待：签到薄、胸花、会议资料、矿泉水、迎宾引导礼仪；车辆导引、分区引导。</w:t>
      </w:r>
    </w:p>
    <w:p w14:paraId="5DBEF18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方正仿宋_GB2312" w:hAnsi="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e）</w:t>
      </w:r>
      <w:r>
        <w:rPr>
          <w:rFonts w:hint="default" w:ascii="方正仿宋_GB2312" w:hAnsi="方正仿宋_GB2312" w:cs="方正仿宋_GB2312"/>
          <w:sz w:val="32"/>
          <w:szCs w:val="32"/>
          <w:highlight w:val="none"/>
          <w:shd w:val="clear" w:color="auto" w:fill="auto"/>
          <w:lang w:val="en-US" w:eastAsia="zh-CN"/>
        </w:rPr>
        <w:t>现场安全保障：现场围挡隔离、人流管控、消防器材配置；电力接线安全检查，落实临时用电规范；设置应急通道，配备应急人员。</w:t>
      </w:r>
    </w:p>
    <w:p w14:paraId="485BEA1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f）应急保障：制定极端天气、设备故障、人员突发状况应急预案；配备备用音响、话筒、发电机、急救物资。</w:t>
      </w:r>
    </w:p>
    <w:p w14:paraId="2CB66F9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方正仿宋_GB2312" w:hAnsi="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g）会后拆除与场地复原：仪式结束后全部物料拆除清运，恢复现场原貌，做到工完场清。</w:t>
      </w:r>
    </w:p>
    <w:p w14:paraId="688E737C">
      <w:pPr>
        <w:pStyle w:val="2"/>
        <w:numPr>
          <w:ilvl w:val="0"/>
          <w:numId w:val="0"/>
        </w:numPr>
        <w:bidi w:val="0"/>
        <w:ind w:leftChars="0"/>
        <w:rPr>
          <w:rFonts w:hint="eastAsia"/>
          <w:lang w:val="en-US" w:eastAsia="zh-CN"/>
        </w:rPr>
      </w:pPr>
      <w:bookmarkStart w:id="30" w:name="_Toc24974"/>
      <w:r>
        <w:rPr>
          <w:rFonts w:hint="eastAsia"/>
          <w:lang w:val="en-US" w:eastAsia="zh-CN"/>
        </w:rPr>
        <w:t>三、贯通仪式物资要求</w:t>
      </w:r>
      <w:bookmarkEnd w:id="30"/>
    </w:p>
    <w:bookmarkEnd w:id="22"/>
    <w:bookmarkEnd w:id="23"/>
    <w:bookmarkEnd w:id="24"/>
    <w:bookmarkEnd w:id="25"/>
    <w:bookmarkEnd w:id="26"/>
    <w:bookmarkEnd w:id="27"/>
    <w:bookmarkEnd w:id="28"/>
    <w:bookmarkEnd w:id="29"/>
    <w:tbl>
      <w:tblPr>
        <w:tblStyle w:val="13"/>
        <w:tblpPr w:leftFromText="180" w:rightFromText="180" w:vertAnchor="text" w:horzAnchor="page" w:tblpX="1796" w:tblpY="360"/>
        <w:tblOverlap w:val="never"/>
        <w:tblW w:w="8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3"/>
        <w:gridCol w:w="1694"/>
        <w:gridCol w:w="733"/>
        <w:gridCol w:w="621"/>
        <w:gridCol w:w="1718"/>
        <w:gridCol w:w="2706"/>
      </w:tblGrid>
      <w:tr w14:paraId="3A553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8FC9">
            <w:pPr>
              <w:keepNext w:val="0"/>
              <w:keepLines w:val="0"/>
              <w:widowControl/>
              <w:suppressLineNumbers w:val="0"/>
              <w:jc w:val="both"/>
              <w:textAlignment w:val="center"/>
              <w:rPr>
                <w:rFonts w:ascii="宋体" w:hAnsi="宋体" w:eastAsia="宋体" w:cs="宋体"/>
                <w:i w:val="0"/>
                <w:iCs w:val="0"/>
                <w:color w:val="000000"/>
                <w:sz w:val="20"/>
                <w:szCs w:val="20"/>
                <w:u w:val="none"/>
              </w:rPr>
            </w:pPr>
            <w:bookmarkStart w:id="31" w:name="_Toc27386"/>
            <w:bookmarkStart w:id="32" w:name="_Toc7616"/>
            <w:bookmarkStart w:id="33" w:name="_Toc25164"/>
            <w:bookmarkStart w:id="34" w:name="_Toc4015"/>
            <w:bookmarkStart w:id="35" w:name="_Toc29682"/>
            <w:bookmarkStart w:id="36" w:name="_Toc13412"/>
            <w:bookmarkStart w:id="37" w:name="_Toc28046"/>
            <w:bookmarkStart w:id="38" w:name="_Toc39063963"/>
            <w:bookmarkStart w:id="39" w:name="_Toc26086"/>
            <w:r>
              <w:rPr>
                <w:rFonts w:ascii="宋体" w:hAnsi="宋体" w:eastAsia="宋体" w:cs="宋体"/>
                <w:i w:val="0"/>
                <w:iCs w:val="0"/>
                <w:color w:val="000000"/>
                <w:kern w:val="0"/>
                <w:sz w:val="20"/>
                <w:szCs w:val="20"/>
                <w:u w:val="none"/>
                <w:lang w:val="en-US" w:eastAsia="zh-CN" w:bidi="ar"/>
              </w:rPr>
              <w:t>序号</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B983">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项目名称</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F295">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单位</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00FAE">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数量</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E53C">
            <w:pPr>
              <w:keepNext w:val="0"/>
              <w:keepLines w:val="0"/>
              <w:widowControl/>
              <w:suppressLineNumbers w:val="0"/>
              <w:ind w:firstLineChars="10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规    格</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0348C">
            <w:pPr>
              <w:keepNext w:val="0"/>
              <w:keepLines w:val="0"/>
              <w:widowControl/>
              <w:suppressLineNumbers w:val="0"/>
              <w:tabs>
                <w:tab w:val="center" w:pos="1245"/>
              </w:tabs>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材质工艺</w:t>
            </w:r>
          </w:p>
        </w:tc>
      </w:tr>
      <w:tr w14:paraId="3A473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7168">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E810">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背景墙桁架</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7D1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平米</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47D31">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40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95D3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4m*10m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07F7">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镀锌方管桁架，含</w:t>
            </w:r>
            <w:r>
              <w:rPr>
                <w:rFonts w:hint="eastAsia" w:ascii="宋体" w:hAnsi="宋体" w:eastAsia="宋体" w:cs="宋体"/>
                <w:i w:val="0"/>
                <w:iCs w:val="0"/>
                <w:color w:val="000000"/>
                <w:kern w:val="0"/>
                <w:sz w:val="20"/>
                <w:szCs w:val="20"/>
                <w:u w:val="none"/>
                <w:lang w:val="en-US" w:eastAsia="zh-CN" w:bidi="ar"/>
              </w:rPr>
              <w:t>场地平整、</w:t>
            </w:r>
            <w:r>
              <w:rPr>
                <w:rFonts w:ascii="宋体" w:hAnsi="宋体" w:eastAsia="宋体" w:cs="宋体"/>
                <w:i w:val="0"/>
                <w:iCs w:val="0"/>
                <w:color w:val="000000"/>
                <w:kern w:val="0"/>
                <w:sz w:val="20"/>
                <w:szCs w:val="20"/>
                <w:u w:val="none"/>
                <w:lang w:val="en-US" w:eastAsia="zh-CN" w:bidi="ar"/>
              </w:rPr>
              <w:t>安装、运输、</w:t>
            </w:r>
            <w:r>
              <w:rPr>
                <w:rFonts w:hint="eastAsia" w:ascii="宋体" w:hAnsi="宋体" w:eastAsia="宋体" w:cs="宋体"/>
                <w:i w:val="0"/>
                <w:iCs w:val="0"/>
                <w:color w:val="000000"/>
                <w:kern w:val="0"/>
                <w:sz w:val="20"/>
                <w:szCs w:val="20"/>
                <w:u w:val="none"/>
                <w:lang w:val="en-US" w:eastAsia="zh-CN" w:bidi="ar"/>
              </w:rPr>
              <w:t>材料多次</w:t>
            </w:r>
            <w:r>
              <w:rPr>
                <w:rFonts w:ascii="宋体" w:hAnsi="宋体" w:eastAsia="宋体" w:cs="宋体"/>
                <w:i w:val="0"/>
                <w:iCs w:val="0"/>
                <w:color w:val="000000"/>
                <w:kern w:val="0"/>
                <w:sz w:val="20"/>
                <w:szCs w:val="20"/>
                <w:u w:val="none"/>
                <w:lang w:val="en-US" w:eastAsia="zh-CN" w:bidi="ar"/>
              </w:rPr>
              <w:t>倒运</w:t>
            </w:r>
            <w:r>
              <w:rPr>
                <w:rFonts w:hint="eastAsia" w:ascii="宋体" w:hAnsi="宋体" w:eastAsia="宋体" w:cs="宋体"/>
                <w:i w:val="0"/>
                <w:iCs w:val="0"/>
                <w:color w:val="000000"/>
                <w:kern w:val="0"/>
                <w:sz w:val="20"/>
                <w:szCs w:val="20"/>
                <w:u w:val="none"/>
                <w:lang w:val="en-US" w:eastAsia="zh-CN" w:bidi="ar"/>
              </w:rPr>
              <w:t>及</w:t>
            </w:r>
            <w:r>
              <w:rPr>
                <w:rFonts w:ascii="宋体" w:hAnsi="宋体" w:eastAsia="宋体" w:cs="宋体"/>
                <w:i w:val="0"/>
                <w:iCs w:val="0"/>
                <w:color w:val="000000"/>
                <w:kern w:val="0"/>
                <w:sz w:val="20"/>
                <w:szCs w:val="20"/>
                <w:u w:val="none"/>
                <w:lang w:val="en-US" w:eastAsia="zh-CN" w:bidi="ar"/>
              </w:rPr>
              <w:t>拆除</w:t>
            </w:r>
          </w:p>
        </w:tc>
      </w:tr>
      <w:tr w14:paraId="538C5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DCEF">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2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A806">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背景墙画面</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B97F">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平米</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ECE3">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40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56FC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4m*10m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9B7D">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加厚黑白喷绘布，四周穿绳</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打孔，含安装、拆除</w:t>
            </w:r>
          </w:p>
        </w:tc>
      </w:tr>
      <w:tr w14:paraId="1F2C7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7C0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3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A63D0">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舞台</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E26C2">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平米</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A319">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40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C08B">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4m*10m*0.6m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1796">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舞台搭设、拆除，运输及</w:t>
            </w:r>
            <w:r>
              <w:rPr>
                <w:rFonts w:hint="eastAsia" w:ascii="宋体" w:hAnsi="宋体" w:eastAsia="宋体" w:cs="宋体"/>
                <w:i w:val="0"/>
                <w:iCs w:val="0"/>
                <w:color w:val="000000"/>
                <w:kern w:val="0"/>
                <w:sz w:val="20"/>
                <w:szCs w:val="20"/>
                <w:u w:val="none"/>
                <w:lang w:val="en-US" w:eastAsia="zh-CN" w:bidi="ar"/>
              </w:rPr>
              <w:t>材料多次</w:t>
            </w:r>
            <w:r>
              <w:rPr>
                <w:rFonts w:ascii="宋体" w:hAnsi="宋体" w:eastAsia="宋体" w:cs="宋体"/>
                <w:i w:val="0"/>
                <w:iCs w:val="0"/>
                <w:color w:val="000000"/>
                <w:kern w:val="0"/>
                <w:sz w:val="20"/>
                <w:szCs w:val="20"/>
                <w:u w:val="none"/>
                <w:lang w:val="en-US" w:eastAsia="zh-CN" w:bidi="ar"/>
              </w:rPr>
              <w:t>倒运，两层台阶搭设</w:t>
            </w:r>
          </w:p>
        </w:tc>
      </w:tr>
      <w:tr w14:paraId="3E2DD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E9CC5">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4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F30F">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红地毯</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2764">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平米</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AD54">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72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603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12m*6m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047E">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红毯铺设</w:t>
            </w:r>
          </w:p>
        </w:tc>
      </w:tr>
      <w:tr w14:paraId="2B9C1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81865">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5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1D37">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音响、话筒及扩音设备</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6FC5">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套</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DC5D">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B3C4E">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双十五/一套，话筒一对</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868C">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设备调试，运输、倒运</w:t>
            </w:r>
          </w:p>
        </w:tc>
      </w:tr>
      <w:tr w14:paraId="4DEE2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78CE">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6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6675">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场地仿真草皮</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9F4B9">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平米</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3A3B">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150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0137">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15m*10m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14821">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铺设安装、拆除，运输、</w:t>
            </w:r>
            <w:r>
              <w:rPr>
                <w:rFonts w:hint="eastAsia" w:ascii="宋体" w:hAnsi="宋体" w:eastAsia="宋体" w:cs="宋体"/>
                <w:i w:val="0"/>
                <w:iCs w:val="0"/>
                <w:color w:val="000000"/>
                <w:kern w:val="0"/>
                <w:sz w:val="20"/>
                <w:szCs w:val="20"/>
                <w:u w:val="none"/>
                <w:lang w:val="en-US" w:eastAsia="zh-CN" w:bidi="ar"/>
              </w:rPr>
              <w:t>材料多次</w:t>
            </w:r>
            <w:r>
              <w:rPr>
                <w:rFonts w:ascii="宋体" w:hAnsi="宋体" w:eastAsia="宋体" w:cs="宋体"/>
                <w:i w:val="0"/>
                <w:iCs w:val="0"/>
                <w:color w:val="000000"/>
                <w:kern w:val="0"/>
                <w:sz w:val="20"/>
                <w:szCs w:val="20"/>
                <w:u w:val="none"/>
                <w:lang w:val="en-US" w:eastAsia="zh-CN" w:bidi="ar"/>
              </w:rPr>
              <w:t>倒运</w:t>
            </w:r>
          </w:p>
        </w:tc>
      </w:tr>
      <w:tr w14:paraId="6BEF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9C99">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7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0C2C">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项目宜传牌</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34DC8">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个</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9AE4">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14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7919">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1400mm×900mm×</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2000mm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D0CD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25mm方管</w:t>
            </w:r>
            <w:r>
              <w:rPr>
                <w:rFonts w:hint="eastAsia" w:ascii="宋体" w:hAnsi="宋体" w:eastAsia="宋体" w:cs="宋体"/>
                <w:i w:val="0"/>
                <w:iCs w:val="0"/>
                <w:color w:val="000000"/>
                <w:kern w:val="0"/>
                <w:sz w:val="20"/>
                <w:szCs w:val="20"/>
                <w:u w:val="none"/>
                <w:lang w:val="en-US" w:eastAsia="zh-CN" w:bidi="ar"/>
              </w:rPr>
              <w:t>（3mm厚）</w:t>
            </w:r>
            <w:r>
              <w:rPr>
                <w:rFonts w:ascii="宋体" w:hAnsi="宋体" w:eastAsia="宋体" w:cs="宋体"/>
                <w:i w:val="0"/>
                <w:iCs w:val="0"/>
                <w:color w:val="000000"/>
                <w:kern w:val="0"/>
                <w:sz w:val="20"/>
                <w:szCs w:val="20"/>
                <w:u w:val="none"/>
                <w:lang w:val="en-US" w:eastAsia="zh-CN" w:bidi="ar"/>
              </w:rPr>
              <w:t>焊接架子(双腿2米高+画面140cm*90cm),3mm铁皮+户外车贴画面</w:t>
            </w:r>
          </w:p>
        </w:tc>
      </w:tr>
      <w:tr w14:paraId="3644C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2521">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8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7F2C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全线贯通横幅(加宽 )</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EEE89">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条</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40F8">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2F6F">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10000mm×1000mm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65F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加宽横幅布，丝网印</w:t>
            </w:r>
          </w:p>
        </w:tc>
      </w:tr>
      <w:tr w14:paraId="6DBA1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3" w:hRule="atLeast"/>
          <w:jc w:val="center"/>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A66F4">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10 </w:t>
            </w:r>
          </w:p>
        </w:tc>
        <w:tc>
          <w:tcPr>
            <w:tcW w:w="1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D3DB">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宜传标语横幅(安</w:t>
            </w:r>
            <w:r>
              <w:rPr>
                <w:rFonts w:ascii="宋体" w:hAnsi="宋体" w:eastAsia="宋体" w:cs="宋体"/>
                <w:i w:val="0"/>
                <w:iCs w:val="0"/>
                <w:color w:val="000000"/>
                <w:kern w:val="0"/>
                <w:sz w:val="20"/>
                <w:szCs w:val="20"/>
                <w:u w:val="none"/>
                <w:lang w:val="en-US" w:eastAsia="zh-CN" w:bidi="ar"/>
              </w:rPr>
              <w:br w:type="textWrapping"/>
            </w:r>
            <w:r>
              <w:rPr>
                <w:rFonts w:ascii="宋体" w:hAnsi="宋体" w:eastAsia="宋体" w:cs="宋体"/>
                <w:i w:val="0"/>
                <w:iCs w:val="0"/>
                <w:color w:val="000000"/>
                <w:kern w:val="0"/>
                <w:sz w:val="20"/>
                <w:szCs w:val="20"/>
                <w:u w:val="none"/>
                <w:lang w:val="en-US" w:eastAsia="zh-CN" w:bidi="ar"/>
              </w:rPr>
              <w:t>全、防火)</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D2E3">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条</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B37A">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 xml:space="preserve">3 </w:t>
            </w:r>
          </w:p>
        </w:tc>
        <w:tc>
          <w:tcPr>
            <w:tcW w:w="1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1375">
            <w:pPr>
              <w:keepNext w:val="0"/>
              <w:keepLines w:val="0"/>
              <w:widowControl/>
              <w:suppressLineNumbers w:val="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6000mm×700mm</w:t>
            </w:r>
          </w:p>
        </w:tc>
        <w:tc>
          <w:tcPr>
            <w:tcW w:w="2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2624">
            <w:pPr>
              <w:keepNext w:val="0"/>
              <w:keepLines w:val="0"/>
              <w:widowControl/>
              <w:suppressLineNumbers w:val="0"/>
              <w:jc w:val="both"/>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横幅布，丝网印</w:t>
            </w:r>
          </w:p>
        </w:tc>
      </w:tr>
    </w:tbl>
    <w:p w14:paraId="096E1EC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292AC061">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5172C71B">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3E4FC506">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71E40F3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3569C5A1">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2FCCCF96">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1FCF7118">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44E3E907">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791B3543">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2F6DDB5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25F5121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5243BA6C">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06A50582">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仿宋_GB2312" w:hAnsi="方正仿宋_GB2312" w:eastAsia="方正仿宋_GB2312" w:cs="方正仿宋_GB2312"/>
          <w:b/>
          <w:bCs/>
          <w:sz w:val="44"/>
          <w:szCs w:val="44"/>
          <w:highlight w:val="none"/>
          <w:shd w:val="clear" w:color="auto" w:fill="auto"/>
          <w:lang w:val="en-US" w:eastAsia="zh-CN"/>
        </w:rPr>
      </w:pPr>
    </w:p>
    <w:p w14:paraId="4D9595D2">
      <w:pPr>
        <w:pStyle w:val="2"/>
        <w:numPr>
          <w:ilvl w:val="0"/>
          <w:numId w:val="0"/>
        </w:numPr>
        <w:bidi w:val="0"/>
        <w:ind w:leftChars="0"/>
        <w:rPr>
          <w:rFonts w:hint="eastAsia"/>
          <w:lang w:val="en-US" w:eastAsia="zh-CN"/>
        </w:rPr>
      </w:pPr>
      <w:bookmarkStart w:id="40" w:name="_Toc23307"/>
      <w:r>
        <w:rPr>
          <w:rFonts w:hint="eastAsia"/>
          <w:lang w:val="en-US" w:eastAsia="zh-CN"/>
        </w:rPr>
        <w:t>四、</w:t>
      </w:r>
      <w:bookmarkEnd w:id="31"/>
      <w:bookmarkEnd w:id="32"/>
      <w:bookmarkEnd w:id="33"/>
      <w:bookmarkEnd w:id="34"/>
      <w:bookmarkEnd w:id="35"/>
      <w:bookmarkEnd w:id="36"/>
      <w:bookmarkEnd w:id="37"/>
      <w:bookmarkEnd w:id="38"/>
      <w:bookmarkEnd w:id="39"/>
      <w:r>
        <w:rPr>
          <w:rFonts w:hint="eastAsia"/>
          <w:lang w:val="en-US" w:eastAsia="zh-CN"/>
        </w:rPr>
        <w:t>技术及质量要求</w:t>
      </w:r>
      <w:bookmarkEnd w:id="40"/>
    </w:p>
    <w:p w14:paraId="0B24176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（1）</w:t>
      </w:r>
      <w:r>
        <w:rPr>
          <w:rFonts w:hint="eastAsia" w:ascii="方正仿宋_GB2312" w:hAnsi="方正仿宋_GB2312" w:eastAsia="方正仿宋_GB2312" w:cs="方正仿宋_GB2312"/>
          <w:sz w:val="32"/>
          <w:szCs w:val="32"/>
          <w:highlight w:val="none"/>
          <w:shd w:val="clear" w:color="auto" w:fill="auto"/>
          <w:lang w:val="en-US" w:eastAsia="zh-CN"/>
        </w:rPr>
        <w:t>所有物料、搭建结构牢固可靠，抗风、防雨，满足户外现场使用；钢结构、桁架承载力须满足人员荷载，防止倾覆。</w:t>
      </w:r>
    </w:p>
    <w:p w14:paraId="001CE68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（2）</w:t>
      </w:r>
      <w:r>
        <w:rPr>
          <w:rFonts w:hint="eastAsia" w:ascii="方正仿宋_GB2312" w:hAnsi="方正仿宋_GB2312" w:eastAsia="方正仿宋_GB2312" w:cs="方正仿宋_GB2312"/>
          <w:sz w:val="32"/>
          <w:szCs w:val="32"/>
          <w:highlight w:val="none"/>
          <w:shd w:val="clear" w:color="auto" w:fill="auto"/>
          <w:lang w:val="en-US" w:eastAsia="zh-CN"/>
        </w:rPr>
        <w:t>音频系统必须一主一备，仪式前不少于2次全流程联调；仪式全程安排专职音频值守人员。</w:t>
      </w:r>
    </w:p>
    <w:p w14:paraId="1B89ECC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（3）</w:t>
      </w:r>
      <w:r>
        <w:rPr>
          <w:rFonts w:hint="eastAsia" w:ascii="方正仿宋_GB2312" w:hAnsi="方正仿宋_GB2312" w:eastAsia="方正仿宋_GB2312" w:cs="方正仿宋_GB2312"/>
          <w:sz w:val="32"/>
          <w:szCs w:val="32"/>
          <w:highlight w:val="none"/>
          <w:shd w:val="clear" w:color="auto" w:fill="auto"/>
          <w:lang w:val="en-US" w:eastAsia="zh-CN"/>
        </w:rPr>
        <w:t>宣传版式严格执行国家电网VI视觉规范，文字内容须经业主审定，不得出现错字、错标工程名称。</w:t>
      </w:r>
    </w:p>
    <w:p w14:paraId="13FDBA3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（4）</w:t>
      </w:r>
      <w:r>
        <w:rPr>
          <w:rFonts w:hint="eastAsia" w:ascii="方正仿宋_GB2312" w:hAnsi="方正仿宋_GB2312" w:eastAsia="方正仿宋_GB2312" w:cs="方正仿宋_GB2312"/>
          <w:sz w:val="32"/>
          <w:szCs w:val="32"/>
          <w:highlight w:val="none"/>
          <w:shd w:val="clear" w:color="auto" w:fill="auto"/>
          <w:lang w:val="en-US" w:eastAsia="zh-CN"/>
        </w:rPr>
        <w:t>服务人员：项目经理1名全程总协调；音响、摄像、礼仪、安保、电工均持证</w:t>
      </w:r>
      <w:r>
        <w:rPr>
          <w:rFonts w:hint="eastAsia" w:ascii="方正仿宋_GB2312" w:hAnsi="方正仿宋_GB2312" w:cs="方正仿宋_GB2312"/>
          <w:sz w:val="32"/>
          <w:szCs w:val="32"/>
          <w:highlight w:val="none"/>
          <w:shd w:val="clear" w:color="auto" w:fill="auto"/>
          <w:lang w:val="en-US" w:eastAsia="zh-CN"/>
        </w:rPr>
        <w:t>，</w:t>
      </w:r>
      <w:r>
        <w:rPr>
          <w:rFonts w:hint="eastAsia" w:ascii="方正仿宋_GB2312" w:hAnsi="方正仿宋_GB2312" w:eastAsia="方正仿宋_GB2312" w:cs="方正仿宋_GB2312"/>
          <w:sz w:val="32"/>
          <w:szCs w:val="32"/>
          <w:highlight w:val="none"/>
          <w:shd w:val="clear" w:color="auto" w:fill="auto"/>
          <w:lang w:val="en-US" w:eastAsia="zh-CN"/>
        </w:rPr>
        <w:t>具备会务经验；着装统一，言行规范。</w:t>
      </w:r>
    </w:p>
    <w:p w14:paraId="0E4442D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（5）</w:t>
      </w:r>
      <w:r>
        <w:rPr>
          <w:rFonts w:hint="eastAsia" w:ascii="方正仿宋_GB2312" w:hAnsi="方正仿宋_GB2312" w:eastAsia="方正仿宋_GB2312" w:cs="方正仿宋_GB2312"/>
          <w:sz w:val="32"/>
          <w:szCs w:val="32"/>
          <w:highlight w:val="none"/>
          <w:shd w:val="clear" w:color="auto" w:fill="auto"/>
          <w:lang w:val="en-US" w:eastAsia="zh-CN"/>
        </w:rPr>
        <w:t>工期节点：</w:t>
      </w:r>
      <w:r>
        <w:rPr>
          <w:rFonts w:hint="eastAsia" w:ascii="方正仿宋_GB2312" w:hAnsi="方正仿宋_GB2312" w:cs="方正仿宋_GB2312"/>
          <w:sz w:val="32"/>
          <w:szCs w:val="32"/>
          <w:highlight w:val="none"/>
          <w:shd w:val="clear" w:color="auto" w:fill="auto"/>
          <w:lang w:val="en-US" w:eastAsia="zh-CN"/>
        </w:rPr>
        <w:t>2026年9月28日举办贯通仪式</w:t>
      </w:r>
      <w:r>
        <w:rPr>
          <w:rFonts w:hint="eastAsia" w:ascii="方正仿宋_GB2312" w:hAnsi="方正仿宋_GB2312" w:eastAsia="方正仿宋_GB2312" w:cs="方正仿宋_GB2312"/>
          <w:sz w:val="32"/>
          <w:szCs w:val="32"/>
          <w:highlight w:val="none"/>
          <w:shd w:val="clear" w:color="auto" w:fill="auto"/>
          <w:lang w:val="en-US" w:eastAsia="zh-CN"/>
        </w:rPr>
        <w:t>；仪式前1天完成全部搭建、设备进场及全流程彩排；仪式当日按既定时间完成保障；仪式结束24小时内完成场地拆除复原。</w:t>
      </w:r>
    </w:p>
    <w:p w14:paraId="7894BFB5">
      <w:pPr>
        <w:pStyle w:val="2"/>
        <w:numPr>
          <w:ilvl w:val="0"/>
          <w:numId w:val="0"/>
        </w:numPr>
        <w:bidi w:val="0"/>
        <w:ind w:leftChars="0"/>
        <w:rPr>
          <w:rFonts w:hint="eastAsia"/>
          <w:lang w:val="en-US" w:eastAsia="zh-CN"/>
        </w:rPr>
      </w:pPr>
      <w:bookmarkStart w:id="41" w:name="_Toc6136"/>
      <w:r>
        <w:rPr>
          <w:rFonts w:hint="eastAsia"/>
          <w:lang w:val="en-US" w:eastAsia="zh-CN"/>
        </w:rPr>
        <w:t>五、现场安全、文明及环水保要求</w:t>
      </w:r>
      <w:bookmarkEnd w:id="41"/>
    </w:p>
    <w:p w14:paraId="6057C82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（1）</w:t>
      </w:r>
      <w:r>
        <w:rPr>
          <w:rFonts w:hint="eastAsia" w:ascii="方正仿宋_GB2312" w:hAnsi="方正仿宋_GB2312" w:eastAsia="方正仿宋_GB2312" w:cs="方正仿宋_GB2312"/>
          <w:sz w:val="32"/>
          <w:szCs w:val="32"/>
          <w:highlight w:val="none"/>
          <w:shd w:val="clear" w:color="auto" w:fill="auto"/>
          <w:lang w:val="en-US" w:eastAsia="zh-CN"/>
        </w:rPr>
        <w:t>服务单位为本次活动安全第一责任人，进场人员须完成工程现场安全教育，佩戴安全帽，遵守线路施工现场管理规定，严禁触碰电力设施。</w:t>
      </w:r>
    </w:p>
    <w:p w14:paraId="2894582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（2）</w:t>
      </w:r>
      <w:r>
        <w:rPr>
          <w:rFonts w:hint="eastAsia" w:ascii="方正仿宋_GB2312" w:hAnsi="方正仿宋_GB2312" w:eastAsia="方正仿宋_GB2312" w:cs="方正仿宋_GB2312"/>
          <w:sz w:val="32"/>
          <w:szCs w:val="32"/>
          <w:highlight w:val="none"/>
          <w:shd w:val="clear" w:color="auto" w:fill="auto"/>
          <w:lang w:val="en-US" w:eastAsia="zh-CN"/>
        </w:rPr>
        <w:t>临时用电由持证电工敷设，线缆做好防护，严禁私拉乱接。</w:t>
      </w:r>
    </w:p>
    <w:p w14:paraId="4307BC5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（3）</w:t>
      </w:r>
      <w:r>
        <w:rPr>
          <w:rFonts w:hint="eastAsia" w:ascii="方正仿宋_GB2312" w:hAnsi="方正仿宋_GB2312" w:eastAsia="方正仿宋_GB2312" w:cs="方正仿宋_GB2312"/>
          <w:sz w:val="32"/>
          <w:szCs w:val="32"/>
          <w:highlight w:val="none"/>
          <w:shd w:val="clear" w:color="auto" w:fill="auto"/>
          <w:lang w:val="en-US" w:eastAsia="zh-CN"/>
        </w:rPr>
        <w:t>现场垃圾分类收集，不得随意丢弃垃圾；不得破坏植被、扰动原有地表，落实环水保要求。</w:t>
      </w:r>
    </w:p>
    <w:p w14:paraId="6AB284BA">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（4）</w:t>
      </w:r>
      <w:r>
        <w:rPr>
          <w:rFonts w:hint="eastAsia" w:ascii="方正仿宋_GB2312" w:hAnsi="方正仿宋_GB2312" w:eastAsia="方正仿宋_GB2312" w:cs="方正仿宋_GB2312"/>
          <w:sz w:val="32"/>
          <w:szCs w:val="32"/>
          <w:highlight w:val="none"/>
          <w:shd w:val="clear" w:color="auto" w:fill="auto"/>
          <w:lang w:val="en-US" w:eastAsia="zh-CN"/>
        </w:rPr>
        <w:t>现场划定警戒区域，与带电线路保持足够安全距离；严禁无关人员进入施工危险区域。</w:t>
      </w:r>
    </w:p>
    <w:p w14:paraId="3427C7C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（5）</w:t>
      </w:r>
      <w:r>
        <w:rPr>
          <w:rFonts w:hint="eastAsia" w:ascii="方正仿宋_GB2312" w:hAnsi="方正仿宋_GB2312" w:eastAsia="方正仿宋_GB2312" w:cs="方正仿宋_GB2312"/>
          <w:sz w:val="32"/>
          <w:szCs w:val="32"/>
          <w:highlight w:val="none"/>
          <w:shd w:val="clear" w:color="auto" w:fill="auto"/>
          <w:lang w:val="en-US" w:eastAsia="zh-CN"/>
        </w:rPr>
        <w:t>落实活动消防管理，严禁明火；配备灭火器。</w:t>
      </w:r>
    </w:p>
    <w:p w14:paraId="0A81D64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（6）仪式结束后，做到工完料尽场地清。</w:t>
      </w:r>
    </w:p>
    <w:p w14:paraId="407E2579">
      <w:pPr>
        <w:pStyle w:val="2"/>
        <w:numPr>
          <w:ilvl w:val="0"/>
          <w:numId w:val="0"/>
        </w:numPr>
        <w:bidi w:val="0"/>
        <w:ind w:leftChars="0"/>
        <w:rPr>
          <w:rFonts w:hint="default"/>
          <w:lang w:val="en-US" w:eastAsia="zh-CN"/>
        </w:rPr>
      </w:pPr>
      <w:bookmarkStart w:id="42" w:name="_Toc27256"/>
      <w:r>
        <w:rPr>
          <w:rFonts w:hint="eastAsia"/>
          <w:lang w:val="en-US" w:eastAsia="zh-CN"/>
        </w:rPr>
        <w:t>六、其他要求</w:t>
      </w:r>
      <w:bookmarkEnd w:id="42"/>
    </w:p>
    <w:p w14:paraId="1AFC12D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1.中标方应独立完成本项目规定的所有项目，不得进行转包或分包，如发现中标人有转包或分包的行为，招标人有权终止合同。</w:t>
      </w:r>
    </w:p>
    <w:p w14:paraId="543B0F4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fldChar w:fldCharType="end"/>
      </w:r>
      <w:r>
        <w:rPr>
          <w:rFonts w:hint="eastAsia" w:ascii="方正仿宋_GB2312" w:hAnsi="方正仿宋_GB2312" w:eastAsia="方正仿宋_GB2312" w:cs="方正仿宋_GB2312"/>
          <w:sz w:val="32"/>
          <w:szCs w:val="32"/>
          <w:highlight w:val="none"/>
          <w:shd w:val="clear" w:color="auto" w:fill="auto"/>
          <w:lang w:val="en-US" w:eastAsia="zh-CN"/>
        </w:rPr>
        <w:t>2.本技术规范书未尽事宜，按国家现行相关标准执行。</w:t>
      </w:r>
    </w:p>
    <w:p w14:paraId="12249526">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eastAsia="方正仿宋_GB2312" w:cs="方正仿宋_GB2312"/>
          <w:sz w:val="32"/>
          <w:szCs w:val="32"/>
          <w:highlight w:val="none"/>
          <w:shd w:val="clear" w:color="auto" w:fill="auto"/>
          <w:lang w:val="en-US" w:eastAsia="zh-CN"/>
        </w:rPr>
        <w:t>3.投标人可在投标时提出合理化建议，经招标人认可后可调整相应条款。</w:t>
      </w:r>
    </w:p>
    <w:p w14:paraId="0E8E55F4">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方正仿宋_GB2312" w:hAnsi="方正仿宋_GB2312" w:eastAsia="方正仿宋_GB2312" w:cs="方正仿宋_GB2312"/>
          <w:sz w:val="32"/>
          <w:szCs w:val="32"/>
          <w:highlight w:val="none"/>
          <w:shd w:val="clear" w:color="auto" w:fill="auto"/>
          <w:lang w:val="en-US" w:eastAsia="zh-CN"/>
        </w:rPr>
      </w:pPr>
      <w:r>
        <w:rPr>
          <w:rFonts w:hint="eastAsia" w:ascii="方正仿宋_GB2312" w:hAnsi="方正仿宋_GB2312" w:cs="方正仿宋_GB2312"/>
          <w:sz w:val="32"/>
          <w:szCs w:val="32"/>
          <w:highlight w:val="none"/>
          <w:shd w:val="clear" w:color="auto" w:fill="auto"/>
          <w:lang w:val="en-US" w:eastAsia="zh-CN"/>
        </w:rPr>
        <w:t>4.</w:t>
      </w:r>
      <w:r>
        <w:rPr>
          <w:rFonts w:hint="eastAsia" w:ascii="方正仿宋_GB2312" w:hAnsi="方正仿宋_GB2312" w:eastAsia="方正仿宋_GB2312" w:cs="方正仿宋_GB2312"/>
          <w:sz w:val="32"/>
          <w:szCs w:val="32"/>
          <w:highlight w:val="none"/>
          <w:shd w:val="clear" w:color="auto" w:fill="auto"/>
          <w:lang w:val="en-US" w:eastAsia="zh-CN"/>
        </w:rPr>
        <w:t>本技术规范书解释权归招标人所有。</w:t>
      </w:r>
    </w:p>
    <w:p w14:paraId="18DA077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pPr>
    </w:p>
    <w:sectPr>
      <w:footerReference r:id="rId6" w:type="first"/>
      <w:footerReference r:id="rId5" w:type="default"/>
      <w:pgSz w:w="11906" w:h="16838"/>
      <w:pgMar w:top="1440" w:right="1146" w:bottom="1440" w:left="1480" w:header="851" w:footer="1134"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0D28E8E-F016-4A13-90B9-EAB14AF6E96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FF776C9-90EB-428E-AA5E-B03888A71B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_GB2312"/>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方正粗黑宋简体">
    <w:altName w:val="方正粗黑宋简体"/>
    <w:panose1 w:val="02000000000000000000"/>
    <w:charset w:val="86"/>
    <w:family w:val="auto"/>
    <w:pitch w:val="default"/>
    <w:sig w:usb0="A00002BF" w:usb1="184F6CFA" w:usb2="00000012"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方正仿宋_GB2312">
    <w:panose1 w:val="02000000000000000000"/>
    <w:charset w:val="86"/>
    <w:family w:val="auto"/>
    <w:pitch w:val="default"/>
    <w:sig w:usb0="A00002BF" w:usb1="184F6CFA" w:usb2="00000012" w:usb3="00000000" w:csb0="00040001" w:csb1="00000000"/>
    <w:embedRegular r:id="rId3" w:fontKey="{2D93ADD1-4916-4470-8786-C17C167C7C1F}"/>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33D69">
    <w:pPr>
      <w:pStyle w:val="8"/>
      <w:jc w:val="center"/>
    </w:pPr>
  </w:p>
  <w:p w14:paraId="72CC25DD">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B0530">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D656">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D2F2A7">
                          <w:pPr>
                            <w:pStyle w:val="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ED2F2A7">
                    <w:pPr>
                      <w:pStyle w:val="8"/>
                    </w:pPr>
                    <w:r>
                      <w:fldChar w:fldCharType="begin"/>
                    </w:r>
                    <w:r>
                      <w:instrText xml:space="preserve"> PAGE  \* MERGEFORMAT </w:instrText>
                    </w:r>
                    <w:r>
                      <w:fldChar w:fldCharType="separate"/>
                    </w:r>
                    <w:r>
                      <w:t>0</w:t>
                    </w:r>
                    <w:r>
                      <w:fldChar w:fldCharType="end"/>
                    </w:r>
                  </w:p>
                </w:txbxContent>
              </v:textbox>
            </v:shape>
          </w:pict>
        </mc:Fallback>
      </mc:AlternateContent>
    </w:r>
  </w:p>
  <w:p w14:paraId="4840900D">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263C6">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6B3A5">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A06B3A5">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2"/>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3AA0C1F"/>
    <w:multiLevelType w:val="multilevel"/>
    <w:tmpl w:val="73AA0C1F"/>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936"/>
        </w:tabs>
        <w:ind w:left="936" w:hanging="576"/>
      </w:pPr>
    </w:lvl>
    <w:lvl w:ilvl="2" w:tentative="0">
      <w:start w:val="1"/>
      <w:numFmt w:val="decimal"/>
      <w:pStyle w:val="4"/>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49673346"/>
    <w:rsid w:val="02291C66"/>
    <w:rsid w:val="025F0B06"/>
    <w:rsid w:val="03C43E2A"/>
    <w:rsid w:val="0AF97CF6"/>
    <w:rsid w:val="0BC5416A"/>
    <w:rsid w:val="0CB7380F"/>
    <w:rsid w:val="0CBF0B1F"/>
    <w:rsid w:val="0E9C2B7E"/>
    <w:rsid w:val="0EAF2BD2"/>
    <w:rsid w:val="0EB12329"/>
    <w:rsid w:val="0FC95E75"/>
    <w:rsid w:val="0FF10D25"/>
    <w:rsid w:val="10497925"/>
    <w:rsid w:val="1221495F"/>
    <w:rsid w:val="15342D78"/>
    <w:rsid w:val="15AB1248"/>
    <w:rsid w:val="17B555EA"/>
    <w:rsid w:val="19E00326"/>
    <w:rsid w:val="1D5461B1"/>
    <w:rsid w:val="1E580D5E"/>
    <w:rsid w:val="1E6A42D5"/>
    <w:rsid w:val="1E6F14F2"/>
    <w:rsid w:val="1F8958E8"/>
    <w:rsid w:val="20717F2A"/>
    <w:rsid w:val="22E04EF3"/>
    <w:rsid w:val="236218A8"/>
    <w:rsid w:val="23FF3457"/>
    <w:rsid w:val="25D35993"/>
    <w:rsid w:val="26E81C41"/>
    <w:rsid w:val="270D49B0"/>
    <w:rsid w:val="27B95FD3"/>
    <w:rsid w:val="29366AD2"/>
    <w:rsid w:val="2A9D6717"/>
    <w:rsid w:val="2C15003E"/>
    <w:rsid w:val="2CAA35E8"/>
    <w:rsid w:val="2D150FC5"/>
    <w:rsid w:val="2DD82143"/>
    <w:rsid w:val="2EA95B2B"/>
    <w:rsid w:val="2EF03E21"/>
    <w:rsid w:val="2F0F0A47"/>
    <w:rsid w:val="2F4F76A6"/>
    <w:rsid w:val="32C15BBA"/>
    <w:rsid w:val="335B2CF6"/>
    <w:rsid w:val="37A90347"/>
    <w:rsid w:val="389C3213"/>
    <w:rsid w:val="3AD83170"/>
    <w:rsid w:val="3B72650D"/>
    <w:rsid w:val="3C552056"/>
    <w:rsid w:val="3DD5527F"/>
    <w:rsid w:val="426A79D2"/>
    <w:rsid w:val="43597BB1"/>
    <w:rsid w:val="485A523A"/>
    <w:rsid w:val="49233333"/>
    <w:rsid w:val="49673346"/>
    <w:rsid w:val="4B2B3E60"/>
    <w:rsid w:val="4B9D3C82"/>
    <w:rsid w:val="4BF256C6"/>
    <w:rsid w:val="4C451738"/>
    <w:rsid w:val="4CDD5E7C"/>
    <w:rsid w:val="4D7F399C"/>
    <w:rsid w:val="4E2A3343"/>
    <w:rsid w:val="4EC30033"/>
    <w:rsid w:val="4F242600"/>
    <w:rsid w:val="506B35AC"/>
    <w:rsid w:val="506C7DBD"/>
    <w:rsid w:val="50B65254"/>
    <w:rsid w:val="5144296E"/>
    <w:rsid w:val="522F3C51"/>
    <w:rsid w:val="523D0FB8"/>
    <w:rsid w:val="525E7A5F"/>
    <w:rsid w:val="52CF270B"/>
    <w:rsid w:val="537D395D"/>
    <w:rsid w:val="54095FC3"/>
    <w:rsid w:val="554929C1"/>
    <w:rsid w:val="59C60BA9"/>
    <w:rsid w:val="5B4669BF"/>
    <w:rsid w:val="5BCF7F89"/>
    <w:rsid w:val="5C3010AA"/>
    <w:rsid w:val="5C466E0C"/>
    <w:rsid w:val="5C8D5A6D"/>
    <w:rsid w:val="5D096C81"/>
    <w:rsid w:val="5D5F0276"/>
    <w:rsid w:val="5DA84AAB"/>
    <w:rsid w:val="6008315A"/>
    <w:rsid w:val="621D1A49"/>
    <w:rsid w:val="65F60A6A"/>
    <w:rsid w:val="69021B09"/>
    <w:rsid w:val="690A4825"/>
    <w:rsid w:val="69CA186E"/>
    <w:rsid w:val="69D67CFB"/>
    <w:rsid w:val="6A527A52"/>
    <w:rsid w:val="6BDE0B95"/>
    <w:rsid w:val="6C14106A"/>
    <w:rsid w:val="6CDD5BDE"/>
    <w:rsid w:val="6EAD3A0A"/>
    <w:rsid w:val="6F0C3C60"/>
    <w:rsid w:val="6F48266A"/>
    <w:rsid w:val="70244CDE"/>
    <w:rsid w:val="71F80EDE"/>
    <w:rsid w:val="72110D6C"/>
    <w:rsid w:val="73374159"/>
    <w:rsid w:val="764C37F3"/>
    <w:rsid w:val="78AD5F00"/>
    <w:rsid w:val="78FC0F91"/>
    <w:rsid w:val="79241169"/>
    <w:rsid w:val="7B5973AA"/>
    <w:rsid w:val="7C4222CD"/>
    <w:rsid w:val="7C923F68"/>
    <w:rsid w:val="7CBE5932"/>
    <w:rsid w:val="7CDD6A2D"/>
    <w:rsid w:val="7D4D5E56"/>
    <w:rsid w:val="7E6C7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2312" w:cs="Times New Roman"/>
      <w:kern w:val="2"/>
      <w:sz w:val="32"/>
      <w:szCs w:val="21"/>
      <w:lang w:val="en-US" w:eastAsia="zh-CN" w:bidi="ar-SA"/>
    </w:rPr>
  </w:style>
  <w:style w:type="paragraph" w:styleId="2">
    <w:name w:val="heading 1"/>
    <w:basedOn w:val="1"/>
    <w:next w:val="1"/>
    <w:qFormat/>
    <w:uiPriority w:val="0"/>
    <w:pPr>
      <w:keepNext/>
      <w:keepLines/>
      <w:numPr>
        <w:ilvl w:val="0"/>
        <w:numId w:val="1"/>
      </w:numPr>
      <w:topLinePunct/>
      <w:spacing w:line="600" w:lineRule="exact"/>
      <w:jc w:val="left"/>
      <w:textAlignment w:val="baseline"/>
      <w:outlineLvl w:val="0"/>
    </w:pPr>
    <w:rPr>
      <w:rFonts w:eastAsia="黑体"/>
      <w:kern w:val="44"/>
      <w:sz w:val="44"/>
    </w:rPr>
  </w:style>
  <w:style w:type="paragraph" w:styleId="3">
    <w:name w:val="heading 2"/>
    <w:basedOn w:val="1"/>
    <w:next w:val="1"/>
    <w:qFormat/>
    <w:uiPriority w:val="99"/>
    <w:pPr>
      <w:keepNext/>
      <w:keepLines/>
      <w:spacing w:before="260" w:after="260" w:line="416" w:lineRule="auto"/>
      <w:outlineLvl w:val="1"/>
    </w:pPr>
    <w:rPr>
      <w:rFonts w:ascii="Cambria" w:hAnsi="Cambria"/>
      <w:b/>
      <w:bCs/>
      <w:kern w:val="0"/>
      <w:szCs w:val="32"/>
    </w:rPr>
  </w:style>
  <w:style w:type="paragraph" w:styleId="4">
    <w:name w:val="heading 3"/>
    <w:basedOn w:val="1"/>
    <w:next w:val="1"/>
    <w:qFormat/>
    <w:uiPriority w:val="0"/>
    <w:pPr>
      <w:numPr>
        <w:ilvl w:val="2"/>
        <w:numId w:val="2"/>
      </w:numPr>
      <w:spacing w:before="120" w:line="360" w:lineRule="auto"/>
      <w:outlineLvl w:val="2"/>
    </w:pPr>
    <w:rPr>
      <w:bCs/>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ind w:firstLine="420"/>
    </w:pPr>
  </w:style>
  <w:style w:type="paragraph" w:styleId="6">
    <w:name w:val="Body Text"/>
    <w:basedOn w:val="1"/>
    <w:next w:val="1"/>
    <w:qFormat/>
    <w:uiPriority w:val="0"/>
    <w:pPr>
      <w:spacing w:after="120" w:afterLines="0" w:afterAutospacing="0"/>
    </w:pPr>
    <w:rPr>
      <w:kern w:val="2"/>
      <w:sz w:val="21"/>
    </w:rPr>
  </w:style>
  <w:style w:type="paragraph" w:styleId="7">
    <w:name w:val="Body Text Indent"/>
    <w:basedOn w:val="1"/>
    <w:qFormat/>
    <w:uiPriority w:val="0"/>
    <w:pPr>
      <w:spacing w:after="120"/>
      <w:ind w:left="420" w:leftChars="200"/>
    </w:pPr>
    <w:rPr>
      <w:rFonts w:ascii="Times New Roman" w:hAnsi="Times New Roman" w:eastAsia="宋体" w:cs="Times New Roman"/>
    </w:rPr>
  </w:style>
  <w:style w:type="paragraph" w:styleId="8">
    <w:name w:val="footer"/>
    <w:basedOn w:val="1"/>
    <w:qFormat/>
    <w:uiPriority w:val="99"/>
    <w:pPr>
      <w:tabs>
        <w:tab w:val="center" w:pos="4153"/>
        <w:tab w:val="right" w:pos="8306"/>
      </w:tabs>
      <w:snapToGrid w:val="0"/>
      <w:jc w:val="left"/>
    </w:pPr>
    <w:rPr>
      <w:kern w:val="0"/>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39"/>
    <w:pPr>
      <w:tabs>
        <w:tab w:val="right" w:leader="dot" w:pos="8280"/>
      </w:tabs>
      <w:spacing w:line="360" w:lineRule="auto"/>
      <w:ind w:left="-2" w:leftChars="-1"/>
    </w:pPr>
    <w:rPr>
      <w:szCs w:val="20"/>
    </w:rPr>
  </w:style>
  <w:style w:type="paragraph" w:styleId="11">
    <w:name w:val="Body Text First Indent 2"/>
    <w:basedOn w:val="7"/>
    <w:next w:val="12"/>
    <w:unhideWhenUsed/>
    <w:qFormat/>
    <w:uiPriority w:val="99"/>
    <w:pPr>
      <w:autoSpaceDE/>
      <w:autoSpaceDN/>
      <w:spacing w:after="120" w:line="520" w:lineRule="exact"/>
      <w:ind w:firstLine="210" w:firstLineChars="0"/>
    </w:pPr>
    <w:rPr>
      <w:rFonts w:ascii="黑体" w:hAnsi="Arial" w:eastAsia="黑体" w:cs="Arial"/>
      <w:sz w:val="24"/>
    </w:rPr>
  </w:style>
  <w:style w:type="paragraph" w:customStyle="1" w:styleId="12">
    <w:name w:val="Default"/>
    <w:qFormat/>
    <w:uiPriority w:val="0"/>
    <w:pPr>
      <w:widowControl w:val="0"/>
      <w:autoSpaceDE w:val="0"/>
      <w:autoSpaceDN w:val="0"/>
      <w:adjustRightInd w:val="0"/>
    </w:pPr>
    <w:rPr>
      <w:rFonts w:ascii="宋体" w:hAnsi="Calibri" w:eastAsia="宋体" w:cs="Times New Roman"/>
      <w:color w:val="000000"/>
      <w:sz w:val="24"/>
      <w:szCs w:val="22"/>
      <w:lang w:val="en-US" w:eastAsia="zh-CN" w:bidi="ar-SA"/>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0"/>
    <w:rPr>
      <w:b/>
    </w:rPr>
  </w:style>
  <w:style w:type="paragraph" w:customStyle="1" w:styleId="17">
    <w:name w:val="_Style 13"/>
    <w:qFormat/>
    <w:uiPriority w:val="0"/>
    <w:pPr>
      <w:spacing w:before="120" w:after="120" w:line="288" w:lineRule="auto"/>
      <w:ind w:left="0"/>
      <w:jc w:val="left"/>
    </w:pPr>
    <w:rPr>
      <w:rFonts w:ascii="Arial" w:hAnsi="Arial" w:eastAsia="等线" w:cs="Arial"/>
      <w:sz w:val="22"/>
      <w:szCs w:val="22"/>
    </w:rPr>
  </w:style>
  <w:style w:type="character" w:customStyle="1" w:styleId="18">
    <w:name w:val="font91"/>
    <w:qFormat/>
    <w:uiPriority w:val="0"/>
    <w:rPr>
      <w:rFonts w:hint="default" w:ascii="方正粗黑宋简体" w:hAnsi="方正粗黑宋简体" w:eastAsia="方正粗黑宋简体" w:cs="方正粗黑宋简体"/>
      <w:color w:val="60497A"/>
      <w:sz w:val="22"/>
      <w:szCs w:val="22"/>
      <w:u w:val="none"/>
    </w:rPr>
  </w:style>
  <w:style w:type="paragraph" w:customStyle="1" w:styleId="19">
    <w:name w:val="Table Text"/>
    <w:basedOn w:val="1"/>
    <w:semiHidden/>
    <w:qFormat/>
    <w:uiPriority w:val="0"/>
    <w:rPr>
      <w:rFonts w:ascii="宋体" w:hAnsi="宋体" w:eastAsia="宋体" w:cs="宋体"/>
      <w:sz w:val="20"/>
      <w:szCs w:val="20"/>
      <w:lang w:val="en-US" w:eastAsia="en-US" w:bidi="ar-SA"/>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font11"/>
    <w:basedOn w:val="15"/>
    <w:qFormat/>
    <w:uiPriority w:val="0"/>
    <w:rPr>
      <w:rFonts w:hint="eastAsia" w:ascii="宋体" w:hAnsi="宋体" w:eastAsia="宋体" w:cs="宋体"/>
      <w:color w:val="000000"/>
      <w:sz w:val="20"/>
      <w:szCs w:val="20"/>
      <w:u w:val="none"/>
    </w:rPr>
  </w:style>
  <w:style w:type="character" w:customStyle="1" w:styleId="22">
    <w:name w:val="font31"/>
    <w:basedOn w:val="15"/>
    <w:qFormat/>
    <w:uiPriority w:val="0"/>
    <w:rPr>
      <w:rFonts w:hint="eastAsia" w:ascii="宋体" w:hAnsi="宋体" w:eastAsia="宋体" w:cs="宋体"/>
      <w:color w:val="FF0000"/>
      <w:sz w:val="20"/>
      <w:szCs w:val="20"/>
      <w:u w:val="none"/>
    </w:rPr>
  </w:style>
  <w:style w:type="character" w:customStyle="1" w:styleId="23">
    <w:name w:val="font21"/>
    <w:basedOn w:val="15"/>
    <w:qFormat/>
    <w:uiPriority w:val="0"/>
    <w:rPr>
      <w:rFonts w:hint="default" w:ascii="Times New Roman" w:hAnsi="Times New Roman" w:cs="Times New Roman"/>
      <w:color w:val="000000"/>
      <w:sz w:val="24"/>
      <w:szCs w:val="24"/>
      <w:u w:val="none"/>
    </w:rPr>
  </w:style>
  <w:style w:type="character" w:customStyle="1" w:styleId="24">
    <w:name w:val="font51"/>
    <w:basedOn w:val="15"/>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2933</Words>
  <Characters>3076</Characters>
  <Lines>0</Lines>
  <Paragraphs>0</Paragraphs>
  <TotalTime>12</TotalTime>
  <ScaleCrop>false</ScaleCrop>
  <LinksUpToDate>false</LinksUpToDate>
  <CharactersWithSpaces>3132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2023-08-30T08:41:00Z</dcterms:created>
  <dc:creator>wy</dc:creator>
  <cp:lastModifiedBy>张琪</cp:lastModifiedBy>
  <cp:lastPrinted>2026-09-08T07:34:00Z</cp:lastPrinted>
  <dcterms:modified xsi:type="dcterms:W3CDTF">2026-09-23T13:04:58Z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6F20DCB8C4024E56BAB9A3ECCC6AA7C6_13</vt:lpwstr>
  </property>
  <property fmtid="{D5CDD505-2E9C-101B-9397-08002B2CF9AE}" pid="4" name="KSOTemplateDocerSaveRecord">
    <vt:lpwstr>eyJoZGlkIjoiODY1YzUwMGI0NDdiYjlhMGI1ZDc4M2ZiNmU3MTA5ODMiLCJ1c2VySWQiOiIzNTgwODA0NzYifQ==</vt:lpwstr>
  </property>
</Properties>
</file>