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DFBD79">
      <w:pPr>
        <w:pStyle w:val="6"/>
        <w:ind w:firstLine="1120"/>
        <w:jc w:val="center"/>
        <w:rPr>
          <w:rFonts w:ascii="隶书" w:eastAsia="隶书"/>
          <w:sz w:val="56"/>
          <w:szCs w:val="56"/>
        </w:rPr>
      </w:pPr>
      <w:bookmarkStart w:id="0" w:name="_Toc1572"/>
      <w:bookmarkStart w:id="1" w:name="_Toc6059"/>
    </w:p>
    <w:p w14:paraId="2174948A">
      <w:pPr>
        <w:pStyle w:val="6"/>
        <w:ind w:firstLine="1120"/>
        <w:jc w:val="center"/>
        <w:rPr>
          <w:rFonts w:ascii="隶书" w:eastAsia="隶书"/>
          <w:sz w:val="56"/>
          <w:szCs w:val="56"/>
        </w:rPr>
      </w:pPr>
    </w:p>
    <w:p w14:paraId="107333D9">
      <w:pPr>
        <w:spacing w:before="156" w:beforeLines="50" w:line="240" w:lineRule="auto"/>
        <w:ind w:firstLine="0" w:firstLineChars="0"/>
        <w:jc w:val="center"/>
        <w:rPr>
          <w:rFonts w:hint="eastAsia" w:ascii="宋体" w:hAnsi="宋体" w:cs="宋体"/>
          <w:b/>
          <w:sz w:val="44"/>
          <w:szCs w:val="21"/>
        </w:rPr>
      </w:pPr>
      <w:r>
        <w:rPr>
          <w:rFonts w:hint="eastAsia" w:ascii="宋体" w:hAnsi="宋体" w:cs="宋体"/>
          <w:b/>
          <w:sz w:val="44"/>
          <w:szCs w:val="21"/>
        </w:rPr>
        <w:t>《</w:t>
      </w:r>
      <w:r>
        <w:rPr>
          <w:rFonts w:ascii="宋体" w:hAnsi="宋体" w:cs="宋体"/>
          <w:b/>
          <w:sz w:val="44"/>
          <w:szCs w:val="21"/>
        </w:rPr>
        <w:t>磁吸式通用型屏柜位置指示灯发光模块化更换研发</w:t>
      </w:r>
      <w:r>
        <w:rPr>
          <w:rFonts w:hint="eastAsia" w:ascii="宋体" w:hAnsi="宋体" w:cs="宋体"/>
          <w:b/>
          <w:sz w:val="44"/>
          <w:szCs w:val="21"/>
        </w:rPr>
        <w:t>》</w:t>
      </w:r>
    </w:p>
    <w:p w14:paraId="2E98CAC6">
      <w:pPr>
        <w:spacing w:before="156" w:beforeLines="50" w:line="240" w:lineRule="auto"/>
        <w:ind w:firstLine="0" w:firstLineChars="0"/>
        <w:jc w:val="center"/>
        <w:rPr>
          <w:rFonts w:hint="eastAsia" w:ascii="宋体" w:hAnsi="宋体" w:cs="宋体"/>
          <w:b/>
          <w:sz w:val="44"/>
          <w:szCs w:val="21"/>
        </w:rPr>
      </w:pPr>
      <w:r>
        <w:rPr>
          <w:rFonts w:hint="eastAsia" w:ascii="宋体" w:hAnsi="宋体" w:cs="宋体"/>
          <w:b/>
          <w:sz w:val="44"/>
          <w:szCs w:val="21"/>
        </w:rPr>
        <w:t>职工创新项目测试加工部分</w:t>
      </w:r>
    </w:p>
    <w:p w14:paraId="36A7D796">
      <w:pPr>
        <w:spacing w:before="156" w:beforeLines="50" w:line="240" w:lineRule="auto"/>
        <w:ind w:firstLine="0" w:firstLineChars="0"/>
        <w:jc w:val="center"/>
        <w:rPr>
          <w:rFonts w:hint="eastAsia" w:ascii="宋体" w:hAnsi="宋体" w:cs="宋体"/>
          <w:b/>
          <w:sz w:val="44"/>
          <w:szCs w:val="21"/>
        </w:rPr>
      </w:pPr>
      <w:r>
        <w:rPr>
          <w:rFonts w:hint="eastAsia" w:ascii="宋体" w:hAnsi="宋体" w:cs="宋体"/>
          <w:b/>
          <w:sz w:val="44"/>
          <w:szCs w:val="21"/>
        </w:rPr>
        <w:t>零星采购</w:t>
      </w:r>
    </w:p>
    <w:p w14:paraId="60065E2C">
      <w:pPr>
        <w:pStyle w:val="6"/>
        <w:ind w:firstLine="960"/>
        <w:jc w:val="center"/>
        <w:rPr>
          <w:rFonts w:ascii="隶书" w:eastAsia="隶书"/>
          <w:sz w:val="48"/>
          <w:szCs w:val="48"/>
        </w:rPr>
      </w:pPr>
    </w:p>
    <w:p w14:paraId="6F579F2A">
      <w:pPr>
        <w:pStyle w:val="6"/>
        <w:ind w:firstLine="720"/>
        <w:jc w:val="center"/>
        <w:rPr>
          <w:rFonts w:hint="eastAsia" w:ascii="黑体" w:hAnsi="黑体" w:eastAsia="黑体" w:cs="黑体"/>
          <w:color w:val="C00000"/>
          <w:sz w:val="36"/>
          <w:szCs w:val="36"/>
        </w:rPr>
      </w:pPr>
    </w:p>
    <w:p w14:paraId="0F81FEA7">
      <w:pPr>
        <w:pStyle w:val="6"/>
        <w:ind w:firstLine="960"/>
        <w:jc w:val="center"/>
        <w:rPr>
          <w:rFonts w:ascii="隶书" w:eastAsia="隶书"/>
          <w:sz w:val="48"/>
          <w:szCs w:val="48"/>
        </w:rPr>
      </w:pPr>
    </w:p>
    <w:p w14:paraId="091311D5">
      <w:pPr>
        <w:pStyle w:val="6"/>
        <w:ind w:firstLine="960"/>
        <w:jc w:val="center"/>
        <w:rPr>
          <w:rFonts w:ascii="隶书" w:eastAsia="隶书"/>
          <w:sz w:val="48"/>
          <w:szCs w:val="48"/>
        </w:rPr>
      </w:pPr>
    </w:p>
    <w:p w14:paraId="3B9FBE98">
      <w:pPr>
        <w:pStyle w:val="6"/>
        <w:ind w:firstLine="960"/>
        <w:jc w:val="center"/>
        <w:rPr>
          <w:rFonts w:ascii="隶书" w:eastAsia="隶书"/>
          <w:sz w:val="48"/>
          <w:szCs w:val="48"/>
        </w:rPr>
      </w:pPr>
    </w:p>
    <w:p w14:paraId="7A5F991E">
      <w:pPr>
        <w:pStyle w:val="6"/>
        <w:ind w:firstLine="0" w:firstLineChars="0"/>
        <w:jc w:val="center"/>
        <w:rPr>
          <w:rFonts w:hint="eastAsia" w:ascii="黑体" w:hAnsi="黑体" w:eastAsia="黑体" w:cs="黑体"/>
          <w:sz w:val="52"/>
          <w:szCs w:val="52"/>
        </w:rPr>
      </w:pPr>
      <w:r>
        <w:rPr>
          <w:rFonts w:hint="eastAsia" w:ascii="黑体" w:hAnsi="黑体" w:eastAsia="黑体" w:cs="黑体"/>
          <w:sz w:val="52"/>
          <w:szCs w:val="52"/>
        </w:rPr>
        <w:t>技术条件书</w:t>
      </w:r>
    </w:p>
    <w:p w14:paraId="4082142D">
      <w:pPr>
        <w:spacing w:before="156" w:beforeLines="50"/>
        <w:ind w:firstLine="640"/>
        <w:rPr>
          <w:rFonts w:hint="eastAsia" w:ascii="楷体_GB2312" w:hAnsi="宋体" w:eastAsia="楷体_GB2312"/>
          <w:sz w:val="32"/>
          <w:szCs w:val="32"/>
        </w:rPr>
      </w:pPr>
    </w:p>
    <w:p w14:paraId="594CDAFD">
      <w:pPr>
        <w:spacing w:before="156" w:beforeLines="50"/>
        <w:ind w:firstLine="640"/>
        <w:jc w:val="center"/>
        <w:rPr>
          <w:rFonts w:hint="eastAsia" w:ascii="楷体_GB2312" w:hAnsi="宋体" w:eastAsia="楷体_GB2312"/>
          <w:sz w:val="32"/>
          <w:szCs w:val="32"/>
        </w:rPr>
      </w:pPr>
    </w:p>
    <w:p w14:paraId="7479F12D">
      <w:pPr>
        <w:pStyle w:val="19"/>
        <w:ind w:firstLine="640"/>
        <w:jc w:val="both"/>
        <w:rPr>
          <w:rStyle w:val="21"/>
          <w:rFonts w:hint="eastAsia" w:ascii="黑体" w:hAnsi="黑体" w:eastAsia="黑体" w:cs="黑体"/>
          <w:highlight w:val="yellow"/>
        </w:rPr>
      </w:pPr>
    </w:p>
    <w:p w14:paraId="05264051">
      <w:pPr>
        <w:pStyle w:val="19"/>
        <w:ind w:firstLine="0" w:firstLineChars="0"/>
        <w:rPr>
          <w:rStyle w:val="21"/>
          <w:rFonts w:hint="eastAsia" w:ascii="黑体" w:hAnsi="黑体" w:eastAsia="黑体" w:cs="黑体"/>
        </w:rPr>
      </w:pPr>
      <w:r>
        <w:rPr>
          <w:rStyle w:val="21"/>
          <w:rFonts w:hint="eastAsia" w:ascii="黑体" w:hAnsi="黑体" w:eastAsia="黑体" w:cs="黑体"/>
        </w:rPr>
        <w:t>珠海供电局</w:t>
      </w:r>
    </w:p>
    <w:p w14:paraId="277E055F">
      <w:pPr>
        <w:pStyle w:val="19"/>
        <w:ind w:firstLine="0" w:firstLineChars="0"/>
        <w:rPr>
          <w:rFonts w:hint="eastAsia" w:ascii="黑体" w:hAnsi="黑体" w:eastAsia="黑体" w:cs="黑体"/>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pPr>
      <w:r>
        <w:rPr>
          <w:rStyle w:val="21"/>
          <w:rFonts w:hint="eastAsia" w:ascii="黑体" w:hAnsi="黑体" w:eastAsia="黑体" w:cs="黑体"/>
        </w:rPr>
        <w:t>2026年8月</w:t>
      </w:r>
    </w:p>
    <w:bookmarkEnd w:id="0"/>
    <w:bookmarkEnd w:id="1"/>
    <w:p w14:paraId="28A0CBDB">
      <w:pPr>
        <w:pStyle w:val="2"/>
      </w:pPr>
      <w:bookmarkStart w:id="2" w:name="_Toc2334"/>
      <w:r>
        <w:rPr>
          <w:rFonts w:hint="eastAsia"/>
        </w:rPr>
        <w:t>1  项目概况</w:t>
      </w:r>
      <w:bookmarkEnd w:id="2"/>
    </w:p>
    <w:p w14:paraId="3BB948D5">
      <w:pPr>
        <w:pStyle w:val="25"/>
        <w:ind w:firstLine="420"/>
        <w:rPr>
          <w:rFonts w:hint="eastAsia" w:ascii="宋体" w:hAnsi="宋体" w:eastAsia="宋体" w:cs="宋体"/>
          <w:kern w:val="2"/>
          <w:sz w:val="24"/>
          <w:szCs w:val="24"/>
        </w:rPr>
      </w:pPr>
      <w:r>
        <w:rPr>
          <w:rFonts w:hint="eastAsia" w:ascii="宋体" w:hAnsi="宋体" w:eastAsia="宋体" w:cs="宋体"/>
          <w:kern w:val="2"/>
          <w:sz w:val="24"/>
          <w:szCs w:val="24"/>
        </w:rPr>
        <w:t>项目名称：《</w:t>
      </w:r>
      <w:r>
        <w:rPr>
          <w:rFonts w:ascii="宋体" w:hAnsi="宋体" w:eastAsia="宋体" w:cs="宋体"/>
          <w:kern w:val="2"/>
          <w:sz w:val="24"/>
          <w:szCs w:val="24"/>
        </w:rPr>
        <w:t>磁吸式通用型屏柜位置指示灯发光模块化更换研发</w:t>
      </w:r>
      <w:r>
        <w:rPr>
          <w:rFonts w:hint="eastAsia" w:ascii="宋体" w:hAnsi="宋体" w:eastAsia="宋体" w:cs="宋体"/>
          <w:kern w:val="2"/>
          <w:sz w:val="24"/>
          <w:szCs w:val="24"/>
        </w:rPr>
        <w:t>》</w:t>
      </w:r>
    </w:p>
    <w:p w14:paraId="4E2BD6AA">
      <w:pPr>
        <w:pStyle w:val="25"/>
        <w:ind w:firstLine="420"/>
        <w:rPr>
          <w:rFonts w:hint="eastAsia" w:ascii="宋体" w:hAnsi="宋体" w:eastAsia="宋体" w:cs="宋体"/>
          <w:kern w:val="2"/>
          <w:sz w:val="24"/>
          <w:szCs w:val="24"/>
        </w:rPr>
      </w:pPr>
      <w:bookmarkStart w:id="3" w:name="_Toc30787"/>
      <w:bookmarkStart w:id="4" w:name="_Toc22746"/>
      <w:r>
        <w:rPr>
          <w:rFonts w:hint="eastAsia" w:ascii="宋体" w:hAnsi="宋体" w:eastAsia="宋体" w:cs="宋体"/>
          <w:kern w:val="2"/>
          <w:sz w:val="24"/>
          <w:szCs w:val="24"/>
        </w:rPr>
        <w:t>类型：</w:t>
      </w:r>
      <w:bookmarkEnd w:id="3"/>
      <w:bookmarkEnd w:id="4"/>
      <w:r>
        <w:rPr>
          <w:rFonts w:hint="eastAsia" w:ascii="宋体" w:hAnsi="宋体" w:eastAsia="宋体" w:cs="宋体"/>
          <w:kern w:val="2"/>
          <w:sz w:val="24"/>
          <w:szCs w:val="24"/>
        </w:rPr>
        <w:t>服务类-测试加工</w:t>
      </w:r>
    </w:p>
    <w:p w14:paraId="02D715F2">
      <w:pPr>
        <w:pStyle w:val="3"/>
      </w:pPr>
      <w:r>
        <w:rPr>
          <w:rFonts w:hint="eastAsia"/>
        </w:rPr>
        <w:t>1.1项目整体要求</w:t>
      </w:r>
    </w:p>
    <w:p w14:paraId="1B59A27F">
      <w:pPr>
        <w:ind w:firstLine="480"/>
      </w:pPr>
    </w:p>
    <w:p w14:paraId="3295C9CE">
      <w:pPr>
        <w:pStyle w:val="29"/>
        <w:spacing w:line="360" w:lineRule="auto"/>
        <w:ind w:firstLine="420"/>
        <w:rPr>
          <w:kern w:val="2"/>
          <w:szCs w:val="24"/>
        </w:rPr>
      </w:pPr>
      <w:r>
        <w:rPr>
          <w:kern w:val="2"/>
          <w:szCs w:val="24"/>
        </w:rPr>
        <w:t>屏柜位置指示灯作为电气屏柜的必备配套元器件，核心作用是实时显示断路器、隔离开关、柜门、操作机构等部件的分闸、合闸、开闭、运行、待机等工作位置状态，是运维人员直观判断设备运行工况、排查电气故障、保障设备安全稳定运行的关键可视化部件，直接关系到电气设备运维效率与工业用电安全。</w:t>
      </w:r>
    </w:p>
    <w:p w14:paraId="06D03125">
      <w:pPr>
        <w:pStyle w:val="29"/>
        <w:spacing w:line="360" w:lineRule="auto"/>
        <w:ind w:firstLine="420"/>
        <w:rPr>
          <w:kern w:val="2"/>
          <w:szCs w:val="24"/>
        </w:rPr>
      </w:pPr>
      <w:r>
        <w:rPr>
          <w:kern w:val="2"/>
          <w:szCs w:val="24"/>
        </w:rPr>
        <w:t>目前行业内主流屏柜位置指示灯均为固定式一体化结构指示灯，其中AD系列指示灯是国内电气屏柜应用最广泛的标准化指示灯产品，凭借体积小、功耗低、适配电压广、通用性强的特点，成为工业屏柜的标配元器件，占据市场主流地位。随着工业自动化水平不断提升，电气屏柜长期处于连续带电运行、频繁启停、电磁干扰复杂、温湿度多变的工况环境，对指示灯的稳定性、使用寿命、运维便捷性提出了更高要求。</w:t>
      </w:r>
    </w:p>
    <w:p w14:paraId="4C2A5339">
      <w:pPr>
        <w:pStyle w:val="29"/>
        <w:spacing w:line="360" w:lineRule="auto"/>
        <w:ind w:firstLine="420"/>
      </w:pPr>
      <w:r>
        <w:rPr>
          <w:kern w:val="2"/>
          <w:szCs w:val="24"/>
        </w:rPr>
        <w:t>现有传统固定式指示灯在长期实际应用中，逐步暴露出核心部件易损坏、故障率高、更换运维繁琐、适配性差等行业共性问题，已无法适配现代化工业屏柜高效运维、低故障率、快速检修的使用需求。尤其是指示灯核心的LED灯珠、限流电阻为易损核心元件，在复杂工业工况下极易烧毁老化，且传统螺丝紧固、卡扣固定式安装结构，存在拆装繁琐、耗时费力、停机检修成本高的缺陷，严重影响电气设备的运维效率，增加设备停运风险与人工维护成本，因此研发一款可拆卸、易更换、高稳定性、通用适配的新型屏柜位置指示灯具有极高的行业应用价值。</w:t>
      </w:r>
    </w:p>
    <w:p w14:paraId="68C204B5">
      <w:pPr>
        <w:ind w:firstLine="360" w:firstLineChars="0"/>
      </w:pPr>
      <w:r>
        <w:t>为解决这一问题，本项目拟研制一款磁吸式通用型屏柜位置指示灯发光模块化更换指示灯，分为底座模块与可插拔灯罩模块两大部件，两者之间通过磁吸连接器完成机械吸附固定与电气导通。底座模块固定安装在屏柜面板上，仅负责引入外部屏柜输入电压，底座内部设置AC</w:t>
      </w:r>
      <w:r>
        <w:noBreakHyphen/>
      </w:r>
      <w:r>
        <w:t>DC隔离电源模块，灯罩内部设置LED发光模块，二者通过磁吸连接器的导电触点进行连接。本次测试加工采购需要完成的工作内容如下：</w:t>
      </w:r>
    </w:p>
    <w:p w14:paraId="26E61A89">
      <w:pPr>
        <w:ind w:firstLine="360" w:firstLineChars="0"/>
        <w:rPr>
          <w:rFonts w:hint="eastAsia" w:ascii="宋体" w:hAnsi="宋体"/>
        </w:rPr>
      </w:pPr>
      <w:r>
        <w:rPr>
          <w:rFonts w:hint="eastAsia" w:ascii="宋体" w:hAnsi="宋体"/>
          <w:b/>
          <w:bCs/>
        </w:rPr>
        <w:t>1.</w:t>
      </w:r>
      <w:r>
        <w:rPr>
          <w:rFonts w:ascii="宋体" w:hAnsi="宋体"/>
          <w:b/>
          <w:bCs/>
        </w:rPr>
        <w:t>整机结构加工与样机装配</w:t>
      </w:r>
    </w:p>
    <w:p w14:paraId="763B8B69">
      <w:pPr>
        <w:ind w:firstLine="360" w:firstLineChars="0"/>
        <w:rPr>
          <w:rFonts w:hint="eastAsia" w:ascii="宋体" w:hAnsi="宋体"/>
        </w:rPr>
      </w:pPr>
      <w:r>
        <w:rPr>
          <w:rFonts w:ascii="宋体" w:hAnsi="宋体"/>
        </w:rPr>
        <w:t>完成底座</w:t>
      </w:r>
      <w:r>
        <w:rPr>
          <w:rFonts w:ascii="宋体" w:hAnsi="宋体"/>
        </w:rPr>
        <w:noBreakHyphen/>
      </w:r>
      <w:r>
        <w:rPr>
          <w:rFonts w:ascii="宋体" w:hAnsi="宋体"/>
        </w:rPr>
        <w:t>可插拔灯罩分体式整机结构加工，底座模块安装开孔尺寸与现有AD16</w:t>
      </w:r>
      <w:r>
        <w:rPr>
          <w:rFonts w:ascii="宋体" w:hAnsi="宋体"/>
        </w:rPr>
        <w:noBreakHyphen/>
      </w:r>
      <w:r>
        <w:rPr>
          <w:rFonts w:ascii="宋体" w:hAnsi="宋体"/>
        </w:rPr>
        <w:t>22屏柜指示灯开孔保持一致，实现对存量屏柜指示灯原位直接替换；完成磁吸连接器、外灯罩、柔光罩的零部件加工与结构装配，配套防反插定位结构，实现灯罩模块免工具徒手热插拔；按项目要求完成全套样机组装调试，保障灯光指示效果与机械插拔性能。</w:t>
      </w:r>
    </w:p>
    <w:p w14:paraId="5B8D3064">
      <w:pPr>
        <w:ind w:firstLine="360" w:firstLineChars="0"/>
        <w:rPr>
          <w:rFonts w:hint="eastAsia" w:ascii="宋体" w:hAnsi="宋体"/>
          <w:b/>
          <w:bCs/>
        </w:rPr>
      </w:pPr>
      <w:r>
        <w:rPr>
          <w:rFonts w:hint="eastAsia" w:ascii="宋体" w:hAnsi="宋体"/>
          <w:b/>
          <w:bCs/>
        </w:rPr>
        <w:t>2.</w:t>
      </w:r>
      <w:r>
        <w:rPr>
          <w:rFonts w:ascii="宋体" w:hAnsi="宋体"/>
          <w:b/>
          <w:bCs/>
        </w:rPr>
        <w:t>底座AC</w:t>
      </w:r>
      <w:r>
        <w:rPr>
          <w:rFonts w:ascii="宋体" w:hAnsi="宋体"/>
          <w:b/>
          <w:bCs/>
        </w:rPr>
        <w:noBreakHyphen/>
      </w:r>
      <w:r>
        <w:rPr>
          <w:rFonts w:ascii="宋体" w:hAnsi="宋体"/>
          <w:b/>
          <w:bCs/>
        </w:rPr>
        <w:t>DC隔离电源模块集成装配与调试</w:t>
      </w:r>
    </w:p>
    <w:p w14:paraId="65603E6B">
      <w:pPr>
        <w:ind w:firstLine="360" w:firstLineChars="0"/>
        <w:rPr>
          <w:rFonts w:hint="eastAsia" w:ascii="宋体" w:hAnsi="宋体"/>
        </w:rPr>
      </w:pPr>
      <w:r>
        <w:rPr>
          <w:rFonts w:ascii="宋体" w:hAnsi="宋体"/>
        </w:rPr>
        <w:t>在底座模块内部完成AC</w:t>
      </w:r>
      <w:r>
        <w:rPr>
          <w:rFonts w:ascii="宋体" w:hAnsi="宋体"/>
        </w:rPr>
        <w:noBreakHyphen/>
      </w:r>
      <w:r>
        <w:rPr>
          <w:rFonts w:ascii="宋体" w:hAnsi="宋体"/>
        </w:rPr>
        <w:t>DC隔离电源模块集成，电源适配配电柜常用AC70～270V、DC</w:t>
      </w:r>
      <w:r>
        <w:rPr>
          <w:rFonts w:hint="eastAsia" w:ascii="宋体" w:hAnsi="宋体"/>
        </w:rPr>
        <w:t>100~37</w:t>
      </w:r>
      <w:r>
        <w:rPr>
          <w:rFonts w:ascii="宋体" w:hAnsi="宋体"/>
        </w:rPr>
        <w:t>0V交直流输入，通过隔离电源完成高压到DC5V低压的电气变换，输出侧通过磁吸连接器对外供电，使磁吸连接器所有电气触点仅承载DC5V低压，插拔、意外触碰、触点短路均为低压回路，消除高压安全风险；完成电源保护功能调试，具备过压、过流、短路、过温保护及故障自恢复功能，满足屏柜复杂电磁环境下EMC电磁兼容要求，保证电源长期稳定工作。</w:t>
      </w:r>
    </w:p>
    <w:p w14:paraId="18ACB0D2">
      <w:pPr>
        <w:ind w:firstLine="360" w:firstLineChars="0"/>
        <w:rPr>
          <w:rFonts w:hint="eastAsia" w:ascii="宋体" w:hAnsi="宋体"/>
          <w:b/>
          <w:bCs/>
        </w:rPr>
      </w:pPr>
      <w:r>
        <w:rPr>
          <w:rFonts w:hint="eastAsia" w:ascii="宋体" w:hAnsi="宋体"/>
          <w:b/>
          <w:bCs/>
        </w:rPr>
        <w:t>3.</w:t>
      </w:r>
      <w:r>
        <w:rPr>
          <w:rFonts w:ascii="宋体" w:hAnsi="宋体"/>
          <w:b/>
          <w:bCs/>
        </w:rPr>
        <w:t>磁吸连接器组装、性能调试与寿命验证</w:t>
      </w:r>
    </w:p>
    <w:p w14:paraId="384771B4">
      <w:pPr>
        <w:ind w:firstLine="360" w:firstLineChars="0"/>
        <w:rPr>
          <w:rFonts w:hint="eastAsia" w:ascii="宋体" w:hAnsi="宋体"/>
        </w:rPr>
      </w:pPr>
      <w:r>
        <w:rPr>
          <w:rFonts w:ascii="宋体" w:hAnsi="宋体"/>
        </w:rPr>
        <w:t>完成磁吸连接器一体化装配，集成永磁吸附机构、镀金弹性导电触点、绝缘基座；调整磁体吸附力，兼顾拆装手感与运行振动工况下接触可靠性；优化弹性触点压力与接触电阻参数，保证反复插拔之后导电接触稳定，不出现灯光闪烁、接触不良问题；开展连接器插拔寿命试验验证，满足大于10000次插拔使用要求；利用防反插物理限位结构，避免灯罩模块反装造成电路异常。</w:t>
      </w:r>
    </w:p>
    <w:p w14:paraId="6D55CFBD">
      <w:pPr>
        <w:ind w:firstLine="360" w:firstLineChars="0"/>
        <w:rPr>
          <w:rFonts w:hint="eastAsia" w:ascii="宋体" w:hAnsi="宋体"/>
          <w:b/>
          <w:bCs/>
        </w:rPr>
      </w:pPr>
      <w:r>
        <w:rPr>
          <w:rFonts w:hint="eastAsia" w:ascii="宋体" w:hAnsi="宋体"/>
          <w:b/>
          <w:bCs/>
        </w:rPr>
        <w:t>4.</w:t>
      </w:r>
      <w:r>
        <w:rPr>
          <w:rFonts w:ascii="宋体" w:hAnsi="宋体"/>
          <w:b/>
          <w:bCs/>
        </w:rPr>
        <w:t>可插拔灯罩LED发光模块装配、光学调试与整机可靠性试验</w:t>
      </w:r>
    </w:p>
    <w:p w14:paraId="27E1D046">
      <w:pPr>
        <w:ind w:firstLine="360" w:firstLineChars="0"/>
        <w:rPr>
          <w:rFonts w:hint="eastAsia" w:ascii="宋体" w:hAnsi="宋体"/>
        </w:rPr>
      </w:pPr>
      <w:r>
        <w:rPr>
          <w:rFonts w:ascii="宋体" w:hAnsi="宋体"/>
        </w:rPr>
        <w:t>在灯罩模块内部完成LED发光模块装配，落实LED器件BIN档位、亮度、光衰寿命指标管控；结合柔光罩光学特性，优化LED排布方式，消除LED颗粒光斑，实现面板出光均匀、无肉眼可见频闪；完成LED模块PCB安装调试；依据电力行业相关标准开展样机整机试验，包括高低温循环、湿热老化、插拔寿命、绝缘性能、电磁兼容等项目，验证整机功能、安全及寿命指标；形成样机装配工艺、现场更换操作指导文件，满足现场运维使用要求。</w:t>
      </w:r>
    </w:p>
    <w:p w14:paraId="25C7EB55">
      <w:pPr>
        <w:ind w:firstLine="0" w:firstLineChars="0"/>
      </w:pPr>
    </w:p>
    <w:p w14:paraId="4C187157">
      <w:pPr>
        <w:pStyle w:val="3"/>
      </w:pPr>
      <w:bookmarkStart w:id="5" w:name="_Toc10925"/>
      <w:r>
        <w:rPr>
          <w:rFonts w:hint="eastAsia"/>
        </w:rPr>
        <w:t>1.2整机技术参数</w:t>
      </w:r>
    </w:p>
    <w:p w14:paraId="7C6D69BD">
      <w:pPr>
        <w:ind w:firstLine="0" w:firstLineChars="0"/>
      </w:pPr>
    </w:p>
    <w:tbl>
      <w:tblPr>
        <w:tblStyle w:val="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017"/>
        <w:gridCol w:w="1754"/>
        <w:gridCol w:w="5775"/>
      </w:tblGrid>
      <w:tr w14:paraId="1877B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595" w:type="pct"/>
            <w:tcMar>
              <w:top w:w="120" w:type="dxa"/>
              <w:left w:w="120" w:type="dxa"/>
              <w:bottom w:w="120" w:type="dxa"/>
              <w:right w:w="120" w:type="dxa"/>
            </w:tcMar>
            <w:vAlign w:val="center"/>
          </w:tcPr>
          <w:p w14:paraId="2B92B300">
            <w:pPr>
              <w:ind w:firstLine="0" w:firstLineChars="0"/>
              <w:jc w:val="center"/>
              <w:rPr>
                <w:b/>
                <w:bCs/>
              </w:rPr>
            </w:pPr>
            <w:r>
              <w:rPr>
                <w:b/>
                <w:bCs/>
              </w:rPr>
              <w:t>序号</w:t>
            </w:r>
          </w:p>
        </w:tc>
        <w:tc>
          <w:tcPr>
            <w:tcW w:w="1026" w:type="pct"/>
            <w:tcMar>
              <w:top w:w="120" w:type="dxa"/>
              <w:left w:w="120" w:type="dxa"/>
              <w:bottom w:w="120" w:type="dxa"/>
              <w:right w:w="120" w:type="dxa"/>
            </w:tcMar>
            <w:vAlign w:val="center"/>
          </w:tcPr>
          <w:p w14:paraId="35E9BF7F">
            <w:pPr>
              <w:ind w:firstLine="0" w:firstLineChars="0"/>
              <w:jc w:val="center"/>
              <w:rPr>
                <w:b/>
                <w:bCs/>
              </w:rPr>
            </w:pPr>
            <w:r>
              <w:rPr>
                <w:b/>
                <w:bCs/>
              </w:rPr>
              <w:t>项目类别</w:t>
            </w:r>
          </w:p>
        </w:tc>
        <w:tc>
          <w:tcPr>
            <w:tcW w:w="3379" w:type="pct"/>
            <w:tcMar>
              <w:top w:w="120" w:type="dxa"/>
              <w:left w:w="120" w:type="dxa"/>
              <w:bottom w:w="120" w:type="dxa"/>
              <w:right w:w="120" w:type="dxa"/>
            </w:tcMar>
            <w:vAlign w:val="center"/>
          </w:tcPr>
          <w:p w14:paraId="63644353">
            <w:pPr>
              <w:ind w:firstLine="0" w:firstLineChars="0"/>
              <w:jc w:val="center"/>
              <w:rPr>
                <w:b/>
                <w:bCs/>
              </w:rPr>
            </w:pPr>
            <w:r>
              <w:rPr>
                <w:rFonts w:hint="eastAsia"/>
                <w:b/>
                <w:bCs/>
              </w:rPr>
              <w:t>加工测试</w:t>
            </w:r>
            <w:r>
              <w:rPr>
                <w:b/>
                <w:bCs/>
              </w:rPr>
              <w:t>要求</w:t>
            </w:r>
          </w:p>
        </w:tc>
      </w:tr>
      <w:tr w14:paraId="0662E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95" w:type="pct"/>
            <w:tcMar>
              <w:top w:w="120" w:type="dxa"/>
              <w:left w:w="120" w:type="dxa"/>
              <w:bottom w:w="120" w:type="dxa"/>
              <w:right w:w="120" w:type="dxa"/>
            </w:tcMar>
            <w:vAlign w:val="center"/>
          </w:tcPr>
          <w:p w14:paraId="52C26143">
            <w:pPr>
              <w:ind w:firstLine="0" w:firstLineChars="0"/>
            </w:pPr>
            <w:r>
              <w:rPr>
                <w:rFonts w:hint="eastAsia"/>
              </w:rPr>
              <w:t>1</w:t>
            </w:r>
          </w:p>
        </w:tc>
        <w:tc>
          <w:tcPr>
            <w:tcW w:w="1026" w:type="pct"/>
            <w:tcMar>
              <w:top w:w="120" w:type="dxa"/>
              <w:left w:w="120" w:type="dxa"/>
              <w:bottom w:w="120" w:type="dxa"/>
              <w:right w:w="120" w:type="dxa"/>
            </w:tcMar>
            <w:vAlign w:val="center"/>
          </w:tcPr>
          <w:p w14:paraId="061A1F9C">
            <w:pPr>
              <w:ind w:firstLine="0" w:firstLineChars="0"/>
            </w:pPr>
            <w:r>
              <w:t>结构加工装配</w:t>
            </w:r>
          </w:p>
        </w:tc>
        <w:tc>
          <w:tcPr>
            <w:tcW w:w="3379" w:type="pct"/>
            <w:tcMar>
              <w:top w:w="120" w:type="dxa"/>
              <w:left w:w="120" w:type="dxa"/>
              <w:bottom w:w="120" w:type="dxa"/>
              <w:right w:w="120" w:type="dxa"/>
            </w:tcMar>
            <w:vAlign w:val="center"/>
          </w:tcPr>
          <w:p w14:paraId="333B561A">
            <w:pPr>
              <w:ind w:firstLine="0" w:firstLineChars="0"/>
            </w:pPr>
            <w:r>
              <w:t>底座开孔兼容AD16</w:t>
            </w:r>
            <w:r>
              <w:noBreakHyphen/>
            </w:r>
            <w:r>
              <w:t>22标准开孔，可原位替换；配置防反插限位结构；各零部件装配到位，无毛刺、变形、开裂</w:t>
            </w:r>
          </w:p>
        </w:tc>
      </w:tr>
      <w:tr w14:paraId="4B87E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95" w:type="pct"/>
            <w:tcMar>
              <w:top w:w="120" w:type="dxa"/>
              <w:left w:w="120" w:type="dxa"/>
              <w:bottom w:w="120" w:type="dxa"/>
              <w:right w:w="120" w:type="dxa"/>
            </w:tcMar>
            <w:vAlign w:val="center"/>
          </w:tcPr>
          <w:p w14:paraId="1A433D3E">
            <w:pPr>
              <w:ind w:firstLine="0" w:firstLineChars="0"/>
            </w:pPr>
            <w:r>
              <w:rPr>
                <w:rFonts w:hint="eastAsia"/>
              </w:rPr>
              <w:t>2</w:t>
            </w:r>
          </w:p>
        </w:tc>
        <w:tc>
          <w:tcPr>
            <w:tcW w:w="1026" w:type="pct"/>
            <w:tcMar>
              <w:top w:w="120" w:type="dxa"/>
              <w:left w:w="120" w:type="dxa"/>
              <w:bottom w:w="120" w:type="dxa"/>
              <w:right w:w="120" w:type="dxa"/>
            </w:tcMar>
            <w:vAlign w:val="center"/>
          </w:tcPr>
          <w:p w14:paraId="20913C81">
            <w:pPr>
              <w:ind w:firstLine="0" w:firstLineChars="0"/>
            </w:pPr>
            <w:r>
              <w:t>输入电气性能测试</w:t>
            </w:r>
          </w:p>
        </w:tc>
        <w:tc>
          <w:tcPr>
            <w:tcW w:w="3379" w:type="pct"/>
            <w:tcMar>
              <w:top w:w="120" w:type="dxa"/>
              <w:left w:w="120" w:type="dxa"/>
              <w:bottom w:w="120" w:type="dxa"/>
              <w:right w:w="120" w:type="dxa"/>
            </w:tcMar>
            <w:vAlign w:val="center"/>
          </w:tcPr>
          <w:p w14:paraId="7ECAF78D">
            <w:pPr>
              <w:ind w:firstLine="0" w:firstLineChars="0"/>
            </w:pPr>
            <w:r>
              <w:t>支持AC70V～270V/DC</w:t>
            </w:r>
            <w:r>
              <w:rPr>
                <w:rFonts w:hint="eastAsia"/>
              </w:rPr>
              <w:t>100</w:t>
            </w:r>
            <w:r>
              <w:t>V～</w:t>
            </w:r>
            <w:r>
              <w:rPr>
                <w:rFonts w:hint="eastAsia"/>
              </w:rPr>
              <w:t>37</w:t>
            </w:r>
            <w:r>
              <w:t>0V交直流输入；全电压区间通电2h，无闪烁、误亮、熄灭异常</w:t>
            </w:r>
          </w:p>
        </w:tc>
      </w:tr>
      <w:tr w14:paraId="08F34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95" w:type="pct"/>
            <w:tcMar>
              <w:top w:w="120" w:type="dxa"/>
              <w:left w:w="120" w:type="dxa"/>
              <w:bottom w:w="120" w:type="dxa"/>
              <w:right w:w="120" w:type="dxa"/>
            </w:tcMar>
            <w:vAlign w:val="center"/>
          </w:tcPr>
          <w:p w14:paraId="3708E8CC">
            <w:pPr>
              <w:ind w:firstLine="0" w:firstLineChars="0"/>
            </w:pPr>
            <w:r>
              <w:rPr>
                <w:rFonts w:hint="eastAsia"/>
              </w:rPr>
              <w:t>3</w:t>
            </w:r>
          </w:p>
        </w:tc>
        <w:tc>
          <w:tcPr>
            <w:tcW w:w="1026" w:type="pct"/>
            <w:tcMar>
              <w:top w:w="120" w:type="dxa"/>
              <w:left w:w="120" w:type="dxa"/>
              <w:bottom w:w="120" w:type="dxa"/>
              <w:right w:w="120" w:type="dxa"/>
            </w:tcMar>
            <w:vAlign w:val="center"/>
          </w:tcPr>
          <w:p w14:paraId="6BD79899">
            <w:pPr>
              <w:ind w:firstLine="0" w:firstLineChars="0"/>
            </w:pPr>
            <w:r>
              <w:t>底座电源加工测试</w:t>
            </w:r>
          </w:p>
        </w:tc>
        <w:tc>
          <w:tcPr>
            <w:tcW w:w="3379" w:type="pct"/>
            <w:tcMar>
              <w:top w:w="120" w:type="dxa"/>
              <w:left w:w="120" w:type="dxa"/>
              <w:bottom w:w="120" w:type="dxa"/>
              <w:right w:w="120" w:type="dxa"/>
            </w:tcMar>
            <w:vAlign w:val="center"/>
          </w:tcPr>
          <w:p w14:paraId="49061227">
            <w:pPr>
              <w:ind w:firstLine="0" w:firstLineChars="0"/>
            </w:pPr>
            <w:r>
              <w:t>内置隔离AC</w:t>
            </w:r>
            <w:r>
              <w:noBreakHyphen/>
            </w:r>
            <w:r>
              <w:t>DC电源，隔离输出DC5V；输出电压波动≤±5%；短路、过载、过压、过温保护功能正常，故障可自恢复</w:t>
            </w:r>
          </w:p>
        </w:tc>
      </w:tr>
      <w:tr w14:paraId="2165C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95" w:type="pct"/>
            <w:tcMar>
              <w:top w:w="120" w:type="dxa"/>
              <w:left w:w="120" w:type="dxa"/>
              <w:bottom w:w="120" w:type="dxa"/>
              <w:right w:w="120" w:type="dxa"/>
            </w:tcMar>
            <w:vAlign w:val="center"/>
          </w:tcPr>
          <w:p w14:paraId="77771D34">
            <w:pPr>
              <w:ind w:firstLine="0" w:firstLineChars="0"/>
            </w:pPr>
            <w:r>
              <w:rPr>
                <w:rFonts w:hint="eastAsia"/>
              </w:rPr>
              <w:t>4</w:t>
            </w:r>
          </w:p>
        </w:tc>
        <w:tc>
          <w:tcPr>
            <w:tcW w:w="1026" w:type="pct"/>
            <w:tcMar>
              <w:top w:w="120" w:type="dxa"/>
              <w:left w:w="120" w:type="dxa"/>
              <w:bottom w:w="120" w:type="dxa"/>
              <w:right w:w="120" w:type="dxa"/>
            </w:tcMar>
            <w:vAlign w:val="center"/>
          </w:tcPr>
          <w:p w14:paraId="2FA8554B">
            <w:pPr>
              <w:ind w:firstLine="0" w:firstLineChars="0"/>
            </w:pPr>
            <w:r>
              <w:t>磁吸连接器装配及插拔测试</w:t>
            </w:r>
          </w:p>
        </w:tc>
        <w:tc>
          <w:tcPr>
            <w:tcW w:w="3379" w:type="pct"/>
            <w:tcMar>
              <w:top w:w="120" w:type="dxa"/>
              <w:left w:w="120" w:type="dxa"/>
              <w:bottom w:w="120" w:type="dxa"/>
              <w:right w:w="120" w:type="dxa"/>
            </w:tcMar>
            <w:vAlign w:val="center"/>
          </w:tcPr>
          <w:p w14:paraId="67DCEC65">
            <w:pPr>
              <w:ind w:firstLine="0" w:firstLineChars="0"/>
            </w:pPr>
            <w:r>
              <w:t>DC5V低压回路；完成10000次插拔试验，接触可靠无闪烁；插拔无拉弧，振动条件下不脱落</w:t>
            </w:r>
          </w:p>
        </w:tc>
      </w:tr>
      <w:tr w14:paraId="61C10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95" w:type="pct"/>
            <w:tcMar>
              <w:top w:w="120" w:type="dxa"/>
              <w:left w:w="120" w:type="dxa"/>
              <w:bottom w:w="120" w:type="dxa"/>
              <w:right w:w="120" w:type="dxa"/>
            </w:tcMar>
            <w:vAlign w:val="center"/>
          </w:tcPr>
          <w:p w14:paraId="58FD0D34">
            <w:pPr>
              <w:ind w:firstLine="0" w:firstLineChars="0"/>
            </w:pPr>
            <w:r>
              <w:rPr>
                <w:rFonts w:hint="eastAsia"/>
              </w:rPr>
              <w:t>5</w:t>
            </w:r>
          </w:p>
        </w:tc>
        <w:tc>
          <w:tcPr>
            <w:tcW w:w="1026" w:type="pct"/>
            <w:tcMar>
              <w:top w:w="120" w:type="dxa"/>
              <w:left w:w="120" w:type="dxa"/>
              <w:bottom w:w="120" w:type="dxa"/>
              <w:right w:w="120" w:type="dxa"/>
            </w:tcMar>
            <w:vAlign w:val="center"/>
          </w:tcPr>
          <w:p w14:paraId="7EF06465">
            <w:pPr>
              <w:ind w:firstLine="0" w:firstLineChars="0"/>
            </w:pPr>
            <w:r>
              <w:t>LED模块及光学测试</w:t>
            </w:r>
          </w:p>
        </w:tc>
        <w:tc>
          <w:tcPr>
            <w:tcW w:w="3379" w:type="pct"/>
            <w:tcMar>
              <w:top w:w="120" w:type="dxa"/>
              <w:left w:w="120" w:type="dxa"/>
              <w:bottom w:w="120" w:type="dxa"/>
              <w:right w:w="120" w:type="dxa"/>
            </w:tcMar>
            <w:vAlign w:val="center"/>
          </w:tcPr>
          <w:p w14:paraId="67487518">
            <w:pPr>
              <w:ind w:firstLine="0" w:firstLineChars="0"/>
            </w:pPr>
            <w:r>
              <w:t>1206贴片LED</w:t>
            </w:r>
            <w:r>
              <w:rPr>
                <w:rFonts w:hint="eastAsia"/>
              </w:rPr>
              <w:t>*4</w:t>
            </w:r>
            <w:r>
              <w:t>，同模块同一BIN档位；出光均匀，消除LED颗粒光斑，无肉眼可见频闪，120°视角亮度差异≤15%</w:t>
            </w:r>
          </w:p>
        </w:tc>
      </w:tr>
      <w:tr w14:paraId="6472C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95" w:type="pct"/>
            <w:tcMar>
              <w:top w:w="120" w:type="dxa"/>
              <w:left w:w="120" w:type="dxa"/>
              <w:bottom w:w="120" w:type="dxa"/>
              <w:right w:w="120" w:type="dxa"/>
            </w:tcMar>
            <w:vAlign w:val="center"/>
          </w:tcPr>
          <w:p w14:paraId="44C4EA2B">
            <w:pPr>
              <w:ind w:firstLine="0" w:firstLineChars="0"/>
            </w:pPr>
            <w:r>
              <w:rPr>
                <w:rFonts w:hint="eastAsia"/>
              </w:rPr>
              <w:t>6</w:t>
            </w:r>
          </w:p>
        </w:tc>
        <w:tc>
          <w:tcPr>
            <w:tcW w:w="1026" w:type="pct"/>
            <w:tcMar>
              <w:top w:w="120" w:type="dxa"/>
              <w:left w:w="120" w:type="dxa"/>
              <w:bottom w:w="120" w:type="dxa"/>
              <w:right w:w="120" w:type="dxa"/>
            </w:tcMar>
            <w:vAlign w:val="center"/>
          </w:tcPr>
          <w:p w14:paraId="51585B19">
            <w:pPr>
              <w:ind w:firstLine="0" w:firstLineChars="0"/>
            </w:pPr>
            <w:r>
              <w:t>环境试验</w:t>
            </w:r>
          </w:p>
        </w:tc>
        <w:tc>
          <w:tcPr>
            <w:tcW w:w="3379" w:type="pct"/>
            <w:tcMar>
              <w:top w:w="120" w:type="dxa"/>
              <w:left w:w="120" w:type="dxa"/>
              <w:bottom w:w="120" w:type="dxa"/>
              <w:right w:w="120" w:type="dxa"/>
            </w:tcMar>
            <w:vAlign w:val="center"/>
          </w:tcPr>
          <w:p w14:paraId="45ABA200">
            <w:pPr>
              <w:ind w:firstLine="0" w:firstLineChars="0"/>
            </w:pPr>
            <w:r>
              <w:noBreakHyphen/>
            </w:r>
            <w:r>
              <w:t>20℃～+60℃高低温通电72h、湿热条件通电72h，整机功能正常</w:t>
            </w:r>
          </w:p>
        </w:tc>
      </w:tr>
      <w:tr w14:paraId="23711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95" w:type="pct"/>
            <w:tcMar>
              <w:top w:w="120" w:type="dxa"/>
              <w:left w:w="120" w:type="dxa"/>
              <w:bottom w:w="120" w:type="dxa"/>
              <w:right w:w="120" w:type="dxa"/>
            </w:tcMar>
            <w:vAlign w:val="center"/>
          </w:tcPr>
          <w:p w14:paraId="21EDF3CF">
            <w:pPr>
              <w:ind w:firstLine="0" w:firstLineChars="0"/>
            </w:pPr>
            <w:r>
              <w:rPr>
                <w:rFonts w:hint="eastAsia"/>
              </w:rPr>
              <w:t>7</w:t>
            </w:r>
          </w:p>
        </w:tc>
        <w:tc>
          <w:tcPr>
            <w:tcW w:w="1026" w:type="pct"/>
            <w:tcMar>
              <w:top w:w="120" w:type="dxa"/>
              <w:left w:w="120" w:type="dxa"/>
              <w:bottom w:w="120" w:type="dxa"/>
              <w:right w:w="120" w:type="dxa"/>
            </w:tcMar>
            <w:vAlign w:val="center"/>
          </w:tcPr>
          <w:p w14:paraId="40AF2331">
            <w:pPr>
              <w:ind w:firstLine="0" w:firstLineChars="0"/>
            </w:pPr>
            <w:r>
              <w:t>绝缘耐压测试</w:t>
            </w:r>
          </w:p>
        </w:tc>
        <w:tc>
          <w:tcPr>
            <w:tcW w:w="3379" w:type="pct"/>
            <w:tcMar>
              <w:top w:w="120" w:type="dxa"/>
              <w:left w:w="120" w:type="dxa"/>
              <w:bottom w:w="120" w:type="dxa"/>
              <w:right w:w="120" w:type="dxa"/>
            </w:tcMar>
            <w:vAlign w:val="center"/>
          </w:tcPr>
          <w:p w14:paraId="19E5E439">
            <w:pPr>
              <w:ind w:firstLine="0" w:firstLineChars="0"/>
            </w:pPr>
            <w:r>
              <w:t>工频耐压2.5kV/1min不击穿，绝缘电阻≥100MΩ</w:t>
            </w:r>
          </w:p>
        </w:tc>
      </w:tr>
      <w:tr w14:paraId="41F35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95" w:type="pct"/>
            <w:tcMar>
              <w:top w:w="120" w:type="dxa"/>
              <w:left w:w="120" w:type="dxa"/>
              <w:bottom w:w="120" w:type="dxa"/>
              <w:right w:w="120" w:type="dxa"/>
            </w:tcMar>
            <w:vAlign w:val="center"/>
          </w:tcPr>
          <w:p w14:paraId="443AE217">
            <w:pPr>
              <w:ind w:firstLine="0" w:firstLineChars="0"/>
            </w:pPr>
            <w:r>
              <w:rPr>
                <w:rFonts w:hint="eastAsia"/>
              </w:rPr>
              <w:t>8</w:t>
            </w:r>
          </w:p>
        </w:tc>
        <w:tc>
          <w:tcPr>
            <w:tcW w:w="1026" w:type="pct"/>
            <w:tcMar>
              <w:top w:w="120" w:type="dxa"/>
              <w:left w:w="120" w:type="dxa"/>
              <w:bottom w:w="120" w:type="dxa"/>
              <w:right w:w="120" w:type="dxa"/>
            </w:tcMar>
            <w:vAlign w:val="center"/>
          </w:tcPr>
          <w:p w14:paraId="22006AD8">
            <w:pPr>
              <w:ind w:firstLine="0" w:firstLineChars="0"/>
            </w:pPr>
            <w:r>
              <w:t>电磁兼容测试</w:t>
            </w:r>
          </w:p>
        </w:tc>
        <w:tc>
          <w:tcPr>
            <w:tcW w:w="3379" w:type="pct"/>
            <w:tcMar>
              <w:top w:w="120" w:type="dxa"/>
              <w:left w:w="120" w:type="dxa"/>
              <w:bottom w:w="120" w:type="dxa"/>
              <w:right w:w="120" w:type="dxa"/>
            </w:tcMar>
            <w:vAlign w:val="center"/>
          </w:tcPr>
          <w:p w14:paraId="050F95D2">
            <w:pPr>
              <w:ind w:firstLine="0" w:firstLineChars="0"/>
            </w:pPr>
            <w:r>
              <w:t>满足GB/T17626系列标准，无闪烁、误亮现象</w:t>
            </w:r>
          </w:p>
        </w:tc>
      </w:tr>
      <w:tr w14:paraId="0FE62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95" w:type="pct"/>
            <w:tcMar>
              <w:top w:w="120" w:type="dxa"/>
              <w:left w:w="120" w:type="dxa"/>
              <w:bottom w:w="120" w:type="dxa"/>
              <w:right w:w="120" w:type="dxa"/>
            </w:tcMar>
            <w:vAlign w:val="center"/>
          </w:tcPr>
          <w:p w14:paraId="2FB7B726">
            <w:pPr>
              <w:ind w:firstLine="0" w:firstLineChars="0"/>
            </w:pPr>
            <w:r>
              <w:rPr>
                <w:rFonts w:hint="eastAsia"/>
              </w:rPr>
              <w:t>9</w:t>
            </w:r>
          </w:p>
        </w:tc>
        <w:tc>
          <w:tcPr>
            <w:tcW w:w="1026" w:type="pct"/>
            <w:tcMar>
              <w:top w:w="120" w:type="dxa"/>
              <w:left w:w="120" w:type="dxa"/>
              <w:bottom w:w="120" w:type="dxa"/>
              <w:right w:w="120" w:type="dxa"/>
            </w:tcMar>
            <w:vAlign w:val="center"/>
          </w:tcPr>
          <w:p w14:paraId="35FA0466">
            <w:pPr>
              <w:ind w:firstLine="0" w:firstLineChars="0"/>
            </w:pPr>
            <w:r>
              <w:t>工作模式验证</w:t>
            </w:r>
          </w:p>
        </w:tc>
        <w:tc>
          <w:tcPr>
            <w:tcW w:w="3379" w:type="pct"/>
            <w:tcMar>
              <w:top w:w="120" w:type="dxa"/>
              <w:left w:w="120" w:type="dxa"/>
              <w:bottom w:w="120" w:type="dxa"/>
              <w:right w:w="120" w:type="dxa"/>
            </w:tcMar>
            <w:vAlign w:val="center"/>
          </w:tcPr>
          <w:p w14:paraId="53877D7E">
            <w:pPr>
              <w:ind w:firstLine="0" w:firstLineChars="0"/>
            </w:pPr>
            <w:r>
              <w:t>底座可长期带电；灯罩模块实现免工具热插拔，磁吸触点仅为DC5V低压，无高压外露风险</w:t>
            </w:r>
          </w:p>
        </w:tc>
      </w:tr>
    </w:tbl>
    <w:p w14:paraId="7E131159">
      <w:pPr>
        <w:ind w:firstLine="0" w:firstLineChars="0"/>
      </w:pPr>
    </w:p>
    <w:p w14:paraId="1CBC87EE">
      <w:pPr>
        <w:ind w:firstLine="0" w:firstLineChars="0"/>
      </w:pPr>
    </w:p>
    <w:p w14:paraId="0C7E6CED">
      <w:pPr>
        <w:pStyle w:val="2"/>
      </w:pPr>
      <w:r>
        <w:rPr>
          <w:rFonts w:hint="eastAsia"/>
        </w:rPr>
        <w:t xml:space="preserve">2  </w:t>
      </w:r>
      <w:bookmarkEnd w:id="5"/>
      <w:r>
        <w:rPr>
          <w:rFonts w:hint="eastAsia"/>
        </w:rPr>
        <w:t>实施期限</w:t>
      </w:r>
    </w:p>
    <w:p w14:paraId="69257DE9">
      <w:pPr>
        <w:pStyle w:val="26"/>
        <w:numPr>
          <w:ilvl w:val="0"/>
          <w:numId w:val="2"/>
        </w:numPr>
        <w:ind w:firstLineChars="0"/>
      </w:pPr>
      <w:bookmarkStart w:id="6" w:name="_Toc15129"/>
      <w:r>
        <w:rPr>
          <w:rFonts w:hint="eastAsia"/>
        </w:rPr>
        <w:t>服务期限自成交通知书发出之日起</w:t>
      </w:r>
      <w:r>
        <w:rPr>
          <w:rFonts w:hint="eastAsia"/>
          <w:lang w:val="en-US" w:eastAsia="zh-CN"/>
        </w:rPr>
        <w:t>30</w:t>
      </w:r>
      <w:r>
        <w:rPr>
          <w:rFonts w:hint="eastAsia"/>
        </w:rPr>
        <w:t>天。</w:t>
      </w:r>
    </w:p>
    <w:p w14:paraId="5E5C4E3A">
      <w:pPr>
        <w:pStyle w:val="26"/>
        <w:numPr>
          <w:ilvl w:val="0"/>
          <w:numId w:val="2"/>
        </w:numPr>
        <w:ind w:firstLineChars="0"/>
      </w:pPr>
      <w:r>
        <w:rPr>
          <w:rFonts w:hint="eastAsia"/>
        </w:rPr>
        <w:t>期间需完成以下工作：</w:t>
      </w:r>
      <w:r>
        <w:t>磁吸式通用型屏柜位置指示灯发光模块化</w:t>
      </w:r>
      <w:r>
        <w:rPr>
          <w:rFonts w:hint="eastAsia"/>
        </w:rPr>
        <w:t>样机加工制作、集成装配、第三方测试、性能调试、技术鉴定等；配合</w:t>
      </w:r>
      <w:r>
        <w:t>甲</w:t>
      </w:r>
      <w:r>
        <w:rPr>
          <w:rFonts w:hint="eastAsia"/>
        </w:rPr>
        <w:t>方进行阶段性检查与现场安装调试，及时反馈进展情况。</w:t>
      </w:r>
    </w:p>
    <w:p w14:paraId="1631E735">
      <w:pPr>
        <w:pStyle w:val="26"/>
        <w:numPr>
          <w:ilvl w:val="0"/>
          <w:numId w:val="2"/>
        </w:numPr>
        <w:ind w:firstLineChars="0"/>
      </w:pPr>
      <w:r>
        <w:rPr>
          <w:rFonts w:hint="eastAsia"/>
        </w:rPr>
        <w:t>本项目无人员派驻要求，</w:t>
      </w:r>
      <w:r>
        <w:t>乙</w:t>
      </w:r>
      <w:r>
        <w:rPr>
          <w:rFonts w:hint="eastAsia"/>
        </w:rPr>
        <w:t>方需按进度要求完成各项工作并保持与</w:t>
      </w:r>
      <w:r>
        <w:t>甲</w:t>
      </w:r>
      <w:r>
        <w:rPr>
          <w:rFonts w:hint="eastAsia"/>
        </w:rPr>
        <w:t>方的沟通协调。</w:t>
      </w:r>
    </w:p>
    <w:p w14:paraId="137F9175">
      <w:pPr>
        <w:pStyle w:val="2"/>
      </w:pPr>
      <w:r>
        <w:rPr>
          <w:rFonts w:hint="eastAsia"/>
        </w:rPr>
        <w:t>3  成果交付与验收</w:t>
      </w:r>
      <w:bookmarkEnd w:id="6"/>
    </w:p>
    <w:p w14:paraId="1FFBE7A2">
      <w:pPr>
        <w:pStyle w:val="3"/>
      </w:pPr>
      <w:bookmarkStart w:id="7" w:name="_Toc6742"/>
      <w:r>
        <w:rPr>
          <w:rFonts w:hint="eastAsia"/>
        </w:rPr>
        <w:t>3.1 成果形式及数量要求</w:t>
      </w:r>
      <w:bookmarkEnd w:id="7"/>
    </w:p>
    <w:p w14:paraId="1DF1F930">
      <w:pPr>
        <w:pStyle w:val="26"/>
        <w:numPr>
          <w:ilvl w:val="0"/>
          <w:numId w:val="3"/>
        </w:numPr>
        <w:ind w:firstLineChars="0"/>
        <w:rPr>
          <w:rFonts w:hint="eastAsia" w:ascii="宋体" w:hAnsi="宋体" w:cs="宋体"/>
        </w:rPr>
      </w:pPr>
      <w:r>
        <w:rPr>
          <w:rFonts w:ascii="宋体" w:hAnsi="宋体" w:cs="宋体"/>
        </w:rPr>
        <w:t>磁吸式通用型屏柜位置指示灯发光模块化</w:t>
      </w:r>
      <w:r>
        <w:rPr>
          <w:rFonts w:hint="eastAsia" w:ascii="宋体" w:hAnsi="宋体" w:cs="宋体"/>
        </w:rPr>
        <w:t xml:space="preserve"> 15 台，需满足本条件书所述功能及技术参数要求； </w:t>
      </w:r>
    </w:p>
    <w:p w14:paraId="66F156EA">
      <w:pPr>
        <w:pStyle w:val="26"/>
        <w:numPr>
          <w:ilvl w:val="0"/>
          <w:numId w:val="3"/>
        </w:numPr>
        <w:ind w:firstLineChars="0"/>
        <w:rPr>
          <w:rFonts w:hint="eastAsia" w:ascii="宋体" w:hAnsi="宋体" w:cs="宋体"/>
        </w:rPr>
      </w:pPr>
      <w:r>
        <w:rPr>
          <w:rFonts w:hint="eastAsia" w:ascii="宋体" w:hAnsi="宋体" w:cs="宋体"/>
        </w:rPr>
        <w:t>发明专利1项，验收时受理；</w:t>
      </w:r>
    </w:p>
    <w:p w14:paraId="53A03CDA">
      <w:pPr>
        <w:pStyle w:val="26"/>
        <w:numPr>
          <w:ilvl w:val="0"/>
          <w:numId w:val="3"/>
        </w:numPr>
        <w:ind w:firstLineChars="0"/>
        <w:rPr>
          <w:rFonts w:hint="eastAsia" w:ascii="宋体" w:hAnsi="宋体" w:cs="宋体"/>
        </w:rPr>
      </w:pPr>
      <w:r>
        <w:rPr>
          <w:rFonts w:hint="eastAsia" w:ascii="宋体" w:hAnsi="宋体" w:cs="宋体"/>
        </w:rPr>
        <w:t>第三方检测报告1份（检测</w:t>
      </w:r>
      <w:bookmarkStart w:id="9" w:name="_GoBack"/>
      <w:bookmarkEnd w:id="9"/>
      <w:r>
        <w:rPr>
          <w:rFonts w:hint="eastAsia" w:ascii="宋体" w:hAnsi="宋体" w:cs="宋体"/>
        </w:rPr>
        <w:t>机构具备CNAS资质）；</w:t>
      </w:r>
    </w:p>
    <w:p w14:paraId="454B5BF9">
      <w:pPr>
        <w:pStyle w:val="26"/>
        <w:numPr>
          <w:ilvl w:val="0"/>
          <w:numId w:val="3"/>
        </w:numPr>
        <w:ind w:firstLineChars="0"/>
        <w:rPr>
          <w:rFonts w:hint="eastAsia" w:ascii="宋体" w:hAnsi="宋体" w:cs="宋体"/>
        </w:rPr>
      </w:pPr>
      <w:r>
        <w:rPr>
          <w:rFonts w:hint="eastAsia" w:ascii="宋体" w:hAnsi="宋体" w:cs="宋体"/>
        </w:rPr>
        <w:t>技术鉴定证书1份。</w:t>
      </w:r>
    </w:p>
    <w:p w14:paraId="7714450F">
      <w:pPr>
        <w:pStyle w:val="3"/>
      </w:pPr>
      <w:bookmarkStart w:id="8" w:name="_Toc2654"/>
      <w:r>
        <w:rPr>
          <w:rFonts w:hint="eastAsia"/>
        </w:rPr>
        <w:t>3.2 成果验收</w:t>
      </w:r>
      <w:bookmarkEnd w:id="8"/>
    </w:p>
    <w:p w14:paraId="5FAA35FA">
      <w:pPr>
        <w:ind w:firstLine="480"/>
        <w:rPr>
          <w:rFonts w:hint="eastAsia" w:ascii="宋体" w:hAnsi="宋体" w:cs="宋体"/>
        </w:rPr>
      </w:pPr>
      <w:r>
        <w:rPr>
          <w:rFonts w:hint="eastAsia" w:ascii="宋体" w:hAnsi="宋体" w:cs="宋体"/>
        </w:rPr>
        <w:t>项目完成后，由甲方组织专家组对项目的主要技术指标、成果形式及数量、成果质量等进行验收。验收通过标准为各项指标符合本规范书要求及国家相关标准。</w:t>
      </w:r>
    </w:p>
    <w:sectPr>
      <w:pgSz w:w="11906" w:h="16838"/>
      <w:pgMar w:top="1440" w:right="1800" w:bottom="1440" w:left="1800"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Arial">
    <w:altName w:val="DejaVu Sans"/>
    <w:panose1 w:val="020B0604020202020204"/>
    <w:charset w:val="00"/>
    <w:family w:val="swiss"/>
    <w:pitch w:val="default"/>
    <w:sig w:usb0="00000000" w:usb1="00000000" w:usb2="00000009" w:usb3="00000000" w:csb0="000001FF" w:csb1="00000000"/>
  </w:font>
  <w:font w:name="Courier New">
    <w:altName w:val="DejaVu Sans"/>
    <w:panose1 w:val="02070309020205020404"/>
    <w:charset w:val="00"/>
    <w:family w:val="modern"/>
    <w:pitch w:val="default"/>
    <w:sig w:usb0="00000000" w:usb1="00000000" w:usb2="00000009" w:usb3="00000000" w:csb0="000001FF" w:csb1="00000000"/>
  </w:font>
  <w:font w:name="隶书">
    <w:altName w:val="方正隶书_GBK"/>
    <w:panose1 w:val="02010509060101010101"/>
    <w:charset w:val="86"/>
    <w:family w:val="modern"/>
    <w:pitch w:val="default"/>
    <w:sig w:usb0="00000000" w:usb1="00000000" w:usb2="00000010" w:usb3="00000000" w:csb0="00040000" w:csb1="00000000"/>
  </w:font>
  <w:font w:name="方正隶书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等线">
    <w:altName w:val="汉仪中宋简"/>
    <w:panose1 w:val="02010600030101010101"/>
    <w:charset w:val="86"/>
    <w:family w:val="auto"/>
    <w:pitch w:val="default"/>
    <w:sig w:usb0="00000000" w:usb1="00000000" w:usb2="00000016" w:usb3="00000000" w:csb0="0004000F" w:csb1="00000000"/>
  </w:font>
  <w:font w:name="汉仪中宋简">
    <w:panose1 w:val="02010600000101010101"/>
    <w:charset w:val="86"/>
    <w:family w:val="auto"/>
    <w:pitch w:val="default"/>
    <w:sig w:usb0="00000001" w:usb1="080E0800" w:usb2="00000002" w:usb3="00000000" w:csb0="00040000" w:csb1="00000000"/>
  </w:font>
  <w:font w:name="楷体_GB2312">
    <w:altName w:val="方正楷体_GBK"/>
    <w:panose1 w:val="02010609030101010101"/>
    <w:charset w:val="86"/>
    <w:family w:val="modern"/>
    <w:pitch w:val="default"/>
    <w:sig w:usb0="00000000" w:usb1="00000000" w:usb2="00000010" w:usb3="00000000" w:csb0="00040000" w:csb1="00000000"/>
  </w:font>
  <w:font w:name="Noto Sans Symbols2">
    <w:panose1 w:val="020B0502040504020204"/>
    <w:charset w:val="00"/>
    <w:family w:val="auto"/>
    <w:pitch w:val="default"/>
    <w:sig w:usb0="80000003" w:usb1="0200E3E4" w:usb2="00040020" w:usb3="0580A048"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A99B1E">
    <w:pPr>
      <w:pStyle w:val="7"/>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73146">
    <w:pPr>
      <w:pStyle w:val="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C4288F">
    <w:pPr>
      <w:pStyle w:val="7"/>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8816B">
    <w:pPr>
      <w:pStyle w:val="8"/>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77C18C">
    <w:pPr>
      <w:pStyle w:val="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64DAC">
    <w:pPr>
      <w:pStyle w:val="8"/>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2C290B"/>
    <w:multiLevelType w:val="singleLevel"/>
    <w:tmpl w:val="D12C290B"/>
    <w:lvl w:ilvl="0" w:tentative="0">
      <w:start w:val="1"/>
      <w:numFmt w:val="decimal"/>
      <w:pStyle w:val="17"/>
      <w:lvlText w:val="%1."/>
      <w:lvlJc w:val="left"/>
      <w:pPr>
        <w:ind w:left="425" w:hanging="425"/>
      </w:pPr>
      <w:rPr>
        <w:rFonts w:hint="default"/>
      </w:rPr>
    </w:lvl>
  </w:abstractNum>
  <w:abstractNum w:abstractNumId="1">
    <w:nsid w:val="377F44B9"/>
    <w:multiLevelType w:val="multilevel"/>
    <w:tmpl w:val="377F44B9"/>
    <w:lvl w:ilvl="0" w:tentative="0">
      <w:start w:val="1"/>
      <w:numFmt w:val="decimal"/>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2">
    <w:nsid w:val="433D2D72"/>
    <w:multiLevelType w:val="multilevel"/>
    <w:tmpl w:val="433D2D72"/>
    <w:lvl w:ilvl="0" w:tentative="0">
      <w:start w:val="1"/>
      <w:numFmt w:val="decimal"/>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112EA9"/>
    <w:rsid w:val="0000270B"/>
    <w:rsid w:val="0007225B"/>
    <w:rsid w:val="000B6D9D"/>
    <w:rsid w:val="000F1673"/>
    <w:rsid w:val="00113C97"/>
    <w:rsid w:val="00127F54"/>
    <w:rsid w:val="001773F9"/>
    <w:rsid w:val="0018497B"/>
    <w:rsid w:val="002A736C"/>
    <w:rsid w:val="002B7449"/>
    <w:rsid w:val="00315C3F"/>
    <w:rsid w:val="00321B6D"/>
    <w:rsid w:val="003B5187"/>
    <w:rsid w:val="0043052C"/>
    <w:rsid w:val="0044335E"/>
    <w:rsid w:val="004735E2"/>
    <w:rsid w:val="004D1040"/>
    <w:rsid w:val="005126D8"/>
    <w:rsid w:val="00542AF5"/>
    <w:rsid w:val="005B5015"/>
    <w:rsid w:val="005E5447"/>
    <w:rsid w:val="006B4336"/>
    <w:rsid w:val="006D2F3B"/>
    <w:rsid w:val="007F60EB"/>
    <w:rsid w:val="00851EF0"/>
    <w:rsid w:val="008A1187"/>
    <w:rsid w:val="0090083F"/>
    <w:rsid w:val="00980965"/>
    <w:rsid w:val="00A05B86"/>
    <w:rsid w:val="00A20B78"/>
    <w:rsid w:val="00B35CFA"/>
    <w:rsid w:val="00C36BE1"/>
    <w:rsid w:val="00C761A1"/>
    <w:rsid w:val="00CB2A28"/>
    <w:rsid w:val="00CE171F"/>
    <w:rsid w:val="00CE1B02"/>
    <w:rsid w:val="00CF2F8C"/>
    <w:rsid w:val="00D7179A"/>
    <w:rsid w:val="00DE0A48"/>
    <w:rsid w:val="00E736D8"/>
    <w:rsid w:val="00EB3FE4"/>
    <w:rsid w:val="00F40348"/>
    <w:rsid w:val="00F471FD"/>
    <w:rsid w:val="00FA2304"/>
    <w:rsid w:val="00FC504B"/>
    <w:rsid w:val="027C11FC"/>
    <w:rsid w:val="0295401A"/>
    <w:rsid w:val="029E162E"/>
    <w:rsid w:val="0303051E"/>
    <w:rsid w:val="047B7BC4"/>
    <w:rsid w:val="04BF0B83"/>
    <w:rsid w:val="04FE4EAD"/>
    <w:rsid w:val="05312146"/>
    <w:rsid w:val="056D4E14"/>
    <w:rsid w:val="05FD7391"/>
    <w:rsid w:val="07DC3C63"/>
    <w:rsid w:val="08A17118"/>
    <w:rsid w:val="0900633E"/>
    <w:rsid w:val="09F078C2"/>
    <w:rsid w:val="0A9773AF"/>
    <w:rsid w:val="0B1E52D8"/>
    <w:rsid w:val="0B715FA9"/>
    <w:rsid w:val="0BD1033B"/>
    <w:rsid w:val="0BFD7548"/>
    <w:rsid w:val="0C8C1EEF"/>
    <w:rsid w:val="0D0C14ED"/>
    <w:rsid w:val="0D6039E5"/>
    <w:rsid w:val="0DDE0C6E"/>
    <w:rsid w:val="0E72571D"/>
    <w:rsid w:val="0F573D98"/>
    <w:rsid w:val="0FBF064C"/>
    <w:rsid w:val="10011F66"/>
    <w:rsid w:val="10972384"/>
    <w:rsid w:val="110F2EEB"/>
    <w:rsid w:val="11402C86"/>
    <w:rsid w:val="12182B67"/>
    <w:rsid w:val="13566E57"/>
    <w:rsid w:val="14421D4B"/>
    <w:rsid w:val="147F0C66"/>
    <w:rsid w:val="1558413F"/>
    <w:rsid w:val="155E4129"/>
    <w:rsid w:val="15B259A5"/>
    <w:rsid w:val="160351CB"/>
    <w:rsid w:val="16F77748"/>
    <w:rsid w:val="17610576"/>
    <w:rsid w:val="1A316175"/>
    <w:rsid w:val="1A830B36"/>
    <w:rsid w:val="1ADD4B0E"/>
    <w:rsid w:val="1BF021DF"/>
    <w:rsid w:val="1BFA3C82"/>
    <w:rsid w:val="1C3B44CE"/>
    <w:rsid w:val="1C672B50"/>
    <w:rsid w:val="1CCE54EB"/>
    <w:rsid w:val="1D7B5A38"/>
    <w:rsid w:val="1DA01B05"/>
    <w:rsid w:val="1DFC3E5E"/>
    <w:rsid w:val="1EA43205"/>
    <w:rsid w:val="1FBD1E67"/>
    <w:rsid w:val="20D855DF"/>
    <w:rsid w:val="21A44504"/>
    <w:rsid w:val="22015C0D"/>
    <w:rsid w:val="234277A0"/>
    <w:rsid w:val="234B187D"/>
    <w:rsid w:val="237E578A"/>
    <w:rsid w:val="23817433"/>
    <w:rsid w:val="23FC7BFC"/>
    <w:rsid w:val="24EA7C79"/>
    <w:rsid w:val="250F564D"/>
    <w:rsid w:val="252B1EB7"/>
    <w:rsid w:val="256870E0"/>
    <w:rsid w:val="25E42BF8"/>
    <w:rsid w:val="265249D6"/>
    <w:rsid w:val="275D5D26"/>
    <w:rsid w:val="275F7D29"/>
    <w:rsid w:val="28403FE5"/>
    <w:rsid w:val="28BE48E2"/>
    <w:rsid w:val="2A441357"/>
    <w:rsid w:val="2AFA0631"/>
    <w:rsid w:val="2B6721B0"/>
    <w:rsid w:val="2C191EA0"/>
    <w:rsid w:val="2C2440A3"/>
    <w:rsid w:val="2CA3124A"/>
    <w:rsid w:val="2CE51BB8"/>
    <w:rsid w:val="2D8B5047"/>
    <w:rsid w:val="2D8F39A1"/>
    <w:rsid w:val="2DAC4578"/>
    <w:rsid w:val="2DB36870"/>
    <w:rsid w:val="2DEA6350"/>
    <w:rsid w:val="2E260032"/>
    <w:rsid w:val="2E380045"/>
    <w:rsid w:val="2E5F3EC9"/>
    <w:rsid w:val="2EFA1D2E"/>
    <w:rsid w:val="2F2E6BFF"/>
    <w:rsid w:val="2FC241F2"/>
    <w:rsid w:val="2FDB2775"/>
    <w:rsid w:val="2FEF2882"/>
    <w:rsid w:val="30045C2F"/>
    <w:rsid w:val="30DF2B6C"/>
    <w:rsid w:val="313E1E7A"/>
    <w:rsid w:val="330E4E8B"/>
    <w:rsid w:val="33161353"/>
    <w:rsid w:val="333077D1"/>
    <w:rsid w:val="334E3954"/>
    <w:rsid w:val="335E270E"/>
    <w:rsid w:val="34255CC8"/>
    <w:rsid w:val="358A1AD4"/>
    <w:rsid w:val="358B06A1"/>
    <w:rsid w:val="35E41FA9"/>
    <w:rsid w:val="360B40D3"/>
    <w:rsid w:val="3661221B"/>
    <w:rsid w:val="36B57940"/>
    <w:rsid w:val="37A433E0"/>
    <w:rsid w:val="37AE0477"/>
    <w:rsid w:val="38004B22"/>
    <w:rsid w:val="39140E3A"/>
    <w:rsid w:val="398C2739"/>
    <w:rsid w:val="39E974DB"/>
    <w:rsid w:val="3C4C5078"/>
    <w:rsid w:val="3DC862F7"/>
    <w:rsid w:val="3DDE3626"/>
    <w:rsid w:val="401C5798"/>
    <w:rsid w:val="40794199"/>
    <w:rsid w:val="408A19B3"/>
    <w:rsid w:val="40F0643B"/>
    <w:rsid w:val="41414714"/>
    <w:rsid w:val="419C13AE"/>
    <w:rsid w:val="41A73FEA"/>
    <w:rsid w:val="41B40E40"/>
    <w:rsid w:val="41EB78A8"/>
    <w:rsid w:val="42DF02D2"/>
    <w:rsid w:val="44C917FC"/>
    <w:rsid w:val="45AD67D6"/>
    <w:rsid w:val="45CF1EF0"/>
    <w:rsid w:val="45E20A8C"/>
    <w:rsid w:val="47097B32"/>
    <w:rsid w:val="47382C50"/>
    <w:rsid w:val="473A0E5B"/>
    <w:rsid w:val="476617B8"/>
    <w:rsid w:val="48205CF0"/>
    <w:rsid w:val="48525F0F"/>
    <w:rsid w:val="48AE5D4E"/>
    <w:rsid w:val="4A4B4604"/>
    <w:rsid w:val="4A566A25"/>
    <w:rsid w:val="4A7A1254"/>
    <w:rsid w:val="4B18258B"/>
    <w:rsid w:val="4B2A3103"/>
    <w:rsid w:val="4B3522B4"/>
    <w:rsid w:val="4B5E6BA8"/>
    <w:rsid w:val="4C3F54C3"/>
    <w:rsid w:val="4CE147A6"/>
    <w:rsid w:val="4DBF3FC8"/>
    <w:rsid w:val="4E287A4C"/>
    <w:rsid w:val="4F300456"/>
    <w:rsid w:val="50E83C80"/>
    <w:rsid w:val="50E84976"/>
    <w:rsid w:val="52400ADE"/>
    <w:rsid w:val="52944E66"/>
    <w:rsid w:val="52AB3BAD"/>
    <w:rsid w:val="52D27864"/>
    <w:rsid w:val="536B3F5C"/>
    <w:rsid w:val="53CD308F"/>
    <w:rsid w:val="54C17E31"/>
    <w:rsid w:val="54E75E4E"/>
    <w:rsid w:val="54EC5F00"/>
    <w:rsid w:val="55BB08CE"/>
    <w:rsid w:val="56112EA9"/>
    <w:rsid w:val="56634F6B"/>
    <w:rsid w:val="56794219"/>
    <w:rsid w:val="56FE5647"/>
    <w:rsid w:val="572004CE"/>
    <w:rsid w:val="576E3E36"/>
    <w:rsid w:val="57BC5768"/>
    <w:rsid w:val="57D62605"/>
    <w:rsid w:val="59BD7DED"/>
    <w:rsid w:val="5AE252E1"/>
    <w:rsid w:val="5B6534AE"/>
    <w:rsid w:val="5CBC1717"/>
    <w:rsid w:val="5D196F37"/>
    <w:rsid w:val="5E0B23A4"/>
    <w:rsid w:val="5E311346"/>
    <w:rsid w:val="5E7F2B1D"/>
    <w:rsid w:val="5E9479C8"/>
    <w:rsid w:val="5EFF55AD"/>
    <w:rsid w:val="60446F8A"/>
    <w:rsid w:val="60A8111F"/>
    <w:rsid w:val="60B802FB"/>
    <w:rsid w:val="61633BDA"/>
    <w:rsid w:val="61B23647"/>
    <w:rsid w:val="61E33B45"/>
    <w:rsid w:val="6211064A"/>
    <w:rsid w:val="62BF3D77"/>
    <w:rsid w:val="63FE5340"/>
    <w:rsid w:val="64132F2C"/>
    <w:rsid w:val="64F92069"/>
    <w:rsid w:val="650664D0"/>
    <w:rsid w:val="652A6814"/>
    <w:rsid w:val="65355760"/>
    <w:rsid w:val="673113AB"/>
    <w:rsid w:val="67593ED7"/>
    <w:rsid w:val="678C7059"/>
    <w:rsid w:val="68AC152E"/>
    <w:rsid w:val="68B664B3"/>
    <w:rsid w:val="695323C7"/>
    <w:rsid w:val="69EA7D86"/>
    <w:rsid w:val="6B023115"/>
    <w:rsid w:val="6D401C96"/>
    <w:rsid w:val="6E06100F"/>
    <w:rsid w:val="6E5B1FD7"/>
    <w:rsid w:val="708F1B04"/>
    <w:rsid w:val="70E237AF"/>
    <w:rsid w:val="710C1A65"/>
    <w:rsid w:val="71434E50"/>
    <w:rsid w:val="71FF19B7"/>
    <w:rsid w:val="720A713E"/>
    <w:rsid w:val="73FA6E86"/>
    <w:rsid w:val="74572EAA"/>
    <w:rsid w:val="74E106B7"/>
    <w:rsid w:val="75700D85"/>
    <w:rsid w:val="75715F41"/>
    <w:rsid w:val="76497732"/>
    <w:rsid w:val="76890F73"/>
    <w:rsid w:val="770F4753"/>
    <w:rsid w:val="795E2CE3"/>
    <w:rsid w:val="7A126AE1"/>
    <w:rsid w:val="7ABE2378"/>
    <w:rsid w:val="7AFB3926"/>
    <w:rsid w:val="7BA41111"/>
    <w:rsid w:val="7BFC3589"/>
    <w:rsid w:val="7C185614"/>
    <w:rsid w:val="7CD02D3B"/>
    <w:rsid w:val="7D2B397D"/>
    <w:rsid w:val="7E352FE9"/>
    <w:rsid w:val="7EB61EE5"/>
    <w:rsid w:val="7FCE0606"/>
    <w:rsid w:val="7FF13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paragraph" w:styleId="2">
    <w:name w:val="heading 1"/>
    <w:basedOn w:val="1"/>
    <w:next w:val="1"/>
    <w:qFormat/>
    <w:uiPriority w:val="0"/>
    <w:pPr>
      <w:keepNext/>
      <w:keepLines/>
      <w:spacing w:before="120" w:after="120"/>
      <w:ind w:firstLine="0" w:firstLineChars="0"/>
      <w:outlineLvl w:val="0"/>
    </w:pPr>
    <w:rPr>
      <w:rFonts w:eastAsia="黑体"/>
      <w:b/>
      <w:kern w:val="44"/>
      <w:sz w:val="28"/>
    </w:rPr>
  </w:style>
  <w:style w:type="paragraph" w:styleId="3">
    <w:name w:val="heading 2"/>
    <w:basedOn w:val="1"/>
    <w:next w:val="1"/>
    <w:unhideWhenUsed/>
    <w:qFormat/>
    <w:uiPriority w:val="0"/>
    <w:pPr>
      <w:keepNext/>
      <w:keepLines/>
      <w:tabs>
        <w:tab w:val="left" w:pos="720"/>
      </w:tabs>
      <w:adjustRightInd w:val="0"/>
      <w:spacing w:line="320" w:lineRule="atLeast"/>
      <w:ind w:firstLine="0" w:firstLineChars="0"/>
      <w:outlineLvl w:val="1"/>
    </w:pPr>
    <w:rPr>
      <w:rFonts w:ascii="黑体" w:hAnsi="Arial" w:eastAsia="黑体" w:cs="宋体"/>
      <w:kern w:val="0"/>
      <w:sz w:val="28"/>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Plain Text"/>
    <w:basedOn w:val="1"/>
    <w:qFormat/>
    <w:uiPriority w:val="0"/>
    <w:rPr>
      <w:rFonts w:ascii="宋体" w:hAnsi="Courier New" w:cs="Courier New"/>
      <w:szCs w:val="21"/>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toc 1"/>
    <w:basedOn w:val="1"/>
    <w:next w:val="1"/>
    <w:qFormat/>
    <w:uiPriority w:val="0"/>
  </w:style>
  <w:style w:type="paragraph" w:styleId="10">
    <w:name w:val="toc 2"/>
    <w:basedOn w:val="1"/>
    <w:next w:val="1"/>
    <w:qFormat/>
    <w:uiPriority w:val="0"/>
    <w:pPr>
      <w:tabs>
        <w:tab w:val="right" w:leader="dot" w:pos="8302"/>
      </w:tabs>
      <w:snapToGrid w:val="0"/>
      <w:ind w:left="525" w:hanging="4"/>
    </w:pPr>
    <w:rPr>
      <w:szCs w:val="20"/>
    </w:rPr>
  </w:style>
  <w:style w:type="paragraph" w:styleId="11">
    <w:name w:val="Normal (Web)"/>
    <w:basedOn w:val="1"/>
    <w:unhideWhenUsed/>
    <w:qFormat/>
    <w:uiPriority w:val="99"/>
    <w:pPr>
      <w:widowControl/>
      <w:spacing w:before="100" w:beforeAutospacing="1" w:after="100" w:afterAutospacing="1"/>
      <w:jc w:val="left"/>
    </w:pPr>
    <w:rPr>
      <w:rFonts w:ascii="宋体" w:hAnsi="宋体" w:cs="宋体"/>
      <w:kern w:val="0"/>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Hyperlink"/>
    <w:basedOn w:val="14"/>
    <w:qFormat/>
    <w:uiPriority w:val="0"/>
  </w:style>
  <w:style w:type="character" w:styleId="16">
    <w:name w:val="annotation reference"/>
    <w:basedOn w:val="14"/>
    <w:qFormat/>
    <w:uiPriority w:val="0"/>
    <w:rPr>
      <w:sz w:val="21"/>
      <w:szCs w:val="21"/>
    </w:rPr>
  </w:style>
  <w:style w:type="paragraph" w:customStyle="1" w:styleId="17">
    <w:name w:val="标题1"/>
    <w:basedOn w:val="3"/>
    <w:next w:val="1"/>
    <w:qFormat/>
    <w:uiPriority w:val="0"/>
    <w:pPr>
      <w:numPr>
        <w:ilvl w:val="0"/>
        <w:numId w:val="1"/>
      </w:numPr>
    </w:pPr>
    <w:rPr>
      <w:rFonts w:hAnsi="黑体"/>
    </w:rPr>
  </w:style>
  <w:style w:type="paragraph" w:customStyle="1" w:styleId="18">
    <w:name w:val="首页项目名称"/>
    <w:link w:val="20"/>
    <w:qFormat/>
    <w:uiPriority w:val="0"/>
    <w:pPr>
      <w:jc w:val="center"/>
    </w:pPr>
    <w:rPr>
      <w:rFonts w:ascii="Times New Roman" w:hAnsi="Times New Roman" w:eastAsia="隶书" w:cs="Times New Roman"/>
      <w:sz w:val="52"/>
      <w:lang w:val="en-US" w:eastAsia="zh-CN" w:bidi="ar-SA"/>
    </w:rPr>
  </w:style>
  <w:style w:type="paragraph" w:customStyle="1" w:styleId="19">
    <w:name w:val="首页日期"/>
    <w:basedOn w:val="1"/>
    <w:link w:val="21"/>
    <w:qFormat/>
    <w:uiPriority w:val="0"/>
    <w:pPr>
      <w:jc w:val="center"/>
    </w:pPr>
    <w:rPr>
      <w:rFonts w:eastAsia="楷体"/>
      <w:sz w:val="32"/>
    </w:rPr>
  </w:style>
  <w:style w:type="character" w:customStyle="1" w:styleId="20">
    <w:name w:val="首页项目名称 Char"/>
    <w:link w:val="18"/>
    <w:qFormat/>
    <w:uiPriority w:val="0"/>
    <w:rPr>
      <w:rFonts w:ascii="Times New Roman" w:hAnsi="Times New Roman" w:eastAsia="隶书"/>
      <w:sz w:val="52"/>
    </w:rPr>
  </w:style>
  <w:style w:type="character" w:customStyle="1" w:styleId="21">
    <w:name w:val="首页日期 Char"/>
    <w:link w:val="19"/>
    <w:qFormat/>
    <w:uiPriority w:val="0"/>
    <w:rPr>
      <w:rFonts w:ascii="Times New Roman" w:hAnsi="Times New Roman" w:eastAsia="楷体"/>
      <w:sz w:val="32"/>
    </w:rPr>
  </w:style>
  <w:style w:type="paragraph" w:customStyle="1" w:styleId="22">
    <w:name w:val="一标题"/>
    <w:link w:val="23"/>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3">
    <w:name w:val="一标题 Char"/>
    <w:link w:val="22"/>
    <w:qFormat/>
    <w:uiPriority w:val="0"/>
    <w:rPr>
      <w:rFonts w:ascii="宋体" w:hAnsi="宋体" w:eastAsia="宋体" w:cs="Times New Roman"/>
      <w:b/>
      <w:sz w:val="24"/>
    </w:rPr>
  </w:style>
  <w:style w:type="paragraph" w:customStyle="1" w:styleId="24">
    <w:name w:val="_Style 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
    <w:name w:val="_Style 13"/>
    <w:qFormat/>
    <w:uiPriority w:val="0"/>
    <w:pPr>
      <w:spacing w:before="120" w:after="120" w:line="288" w:lineRule="auto"/>
    </w:pPr>
    <w:rPr>
      <w:rFonts w:ascii="Arial" w:hAnsi="Arial" w:eastAsia="等线" w:cs="Arial"/>
      <w:sz w:val="22"/>
      <w:szCs w:val="22"/>
      <w:lang w:val="en-US" w:eastAsia="zh-CN" w:bidi="ar-SA"/>
    </w:rPr>
  </w:style>
  <w:style w:type="paragraph" w:styleId="26">
    <w:name w:val="List Paragraph"/>
    <w:basedOn w:val="1"/>
    <w:unhideWhenUsed/>
    <w:qFormat/>
    <w:uiPriority w:val="99"/>
    <w:pPr>
      <w:ind w:firstLine="420"/>
    </w:pPr>
  </w:style>
  <w:style w:type="paragraph" w:customStyle="1" w:styleId="27">
    <w:name w:val="修订1"/>
    <w:hidden/>
    <w:unhideWhenUsed/>
    <w:qFormat/>
    <w:uiPriority w:val="99"/>
    <w:rPr>
      <w:rFonts w:ascii="Times New Roman" w:hAnsi="Times New Roman" w:eastAsia="宋体" w:cs="Times New Roman"/>
      <w:kern w:val="2"/>
      <w:sz w:val="24"/>
      <w:szCs w:val="24"/>
      <w:lang w:val="en-US" w:eastAsia="zh-CN" w:bidi="ar-SA"/>
    </w:rPr>
  </w:style>
  <w:style w:type="paragraph" w:customStyle="1" w:styleId="28">
    <w:name w:val="修订2"/>
    <w:hidden/>
    <w:unhideWhenUsed/>
    <w:qFormat/>
    <w:uiPriority w:val="99"/>
    <w:rPr>
      <w:rFonts w:ascii="Times New Roman" w:hAnsi="Times New Roman" w:eastAsia="宋体" w:cs="Times New Roman"/>
      <w:kern w:val="2"/>
      <w:sz w:val="24"/>
      <w:szCs w:val="24"/>
      <w:lang w:val="en-US" w:eastAsia="zh-CN" w:bidi="ar-SA"/>
    </w:rPr>
  </w:style>
  <w:style w:type="paragraph" w:customStyle="1" w:styleId="29">
    <w:name w:val="1"/>
    <w:basedOn w:val="1"/>
    <w:qFormat/>
    <w:uiPriority w:val="0"/>
    <w:pPr>
      <w:widowControl/>
      <w:overflowPunct w:val="0"/>
      <w:autoSpaceDE w:val="0"/>
      <w:autoSpaceDN w:val="0"/>
      <w:adjustRightInd w:val="0"/>
      <w:spacing w:line="240" w:lineRule="auto"/>
      <w:ind w:firstLine="0" w:firstLineChars="0"/>
      <w:jc w:val="left"/>
      <w:textAlignment w:val="baseline"/>
    </w:pPr>
    <w:rPr>
      <w:kern w:val="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387</Words>
  <Characters>2210</Characters>
  <Lines>18</Lines>
  <Paragraphs>5</Paragraphs>
  <TotalTime>219</TotalTime>
  <ScaleCrop>false</ScaleCrop>
  <LinksUpToDate>false</LinksUpToDate>
  <CharactersWithSpaces>2592</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2026-08-21T17:11:00Z</dcterms:created>
  <dc:creator>shenpeiyi</dc:creator>
  <cp:lastModifiedBy>yumingge</cp:lastModifiedBy>
  <dcterms:modified xsi:type="dcterms:W3CDTF">2026-09-03T14:13:31Z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BDD9A32092F14016926A92311F0C14B6_13</vt:lpwstr>
  </property>
  <property fmtid="{D5CDD505-2E9C-101B-9397-08002B2CF9AE}" pid="4" name="KSOTemplateDocerSaveRecord">
    <vt:lpwstr>eyJoZGlkIjoiNTBkOTAwOTFmMjIyNDkwNDU2MDZmNzEyODkyZDU1YWIiLCJ1c2VySWQiOiIyNjA5MTc4NzUifQ==</vt:lpwstr>
  </property>
</Properties>
</file>