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2026年南方电网电算科技数字工程（广东）有限公司贵阳办公场所搬运服务</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val="en-US" w:eastAsia="zh-CN"/>
        </w:rPr>
        <w:t>零星采购项目</w:t>
      </w:r>
      <w:r>
        <w:rPr>
          <w:rFonts w:hint="eastAsia" w:ascii="方正小标宋_GBK" w:hAnsi="方正小标宋_GBK" w:eastAsia="方正小标宋_GBK" w:cs="方正小标宋_GBK"/>
          <w:sz w:val="44"/>
          <w:szCs w:val="44"/>
          <w:lang w:eastAsia="zh-CN"/>
        </w:rPr>
        <w:t>技术条件书</w:t>
      </w:r>
      <w:bookmarkStart w:id="0" w:name="_GoBack"/>
      <w:bookmarkEnd w:id="0"/>
    </w:p>
    <w:p>
      <w:pPr>
        <w:pStyle w:val="2"/>
        <w:jc w:val="both"/>
        <w:rPr>
          <w:rFonts w:hint="eastAsia"/>
          <w:lang w:val="en-US" w:eastAsia="zh-CN"/>
        </w:rPr>
      </w:pPr>
    </w:p>
    <w:p>
      <w:pPr>
        <w:numPr>
          <w:ilvl w:val="0"/>
          <w:numId w:val="1"/>
        </w:num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1"/>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为电算工程公司贵阳富中国际至贵安数据中心办公场所搬迁零星采购服务，搬迁内容包括办公家具、办公设备、档案资料及杂项物品等，要求供应商提供拆卸、包装防护、搬运装卸、运输到安装复原、现场清理的全流程搬迁服务。具体搬迁规模以现场踏勘及实际需求为准，采用总价包干形式采购，成交方不得另行收取任何费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服务内容及要求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报价人需提供以下全流程服务：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（一）拆卸服务：</w:t>
      </w:r>
      <w:r>
        <w:rPr>
          <w:rFonts w:hint="eastAsia" w:ascii="仿宋_GB2312" w:hAnsi="仿宋_GB2312" w:eastAsia="仿宋_GB2312" w:cs="仿宋_GB2312"/>
          <w:sz w:val="32"/>
          <w:szCs w:val="32"/>
          <w:highlight w:val="none"/>
          <w:lang w:val="en-US" w:eastAsia="zh-CN"/>
        </w:rPr>
        <w:t>对需拆装家具专业化拆卸，确保配件齐全、分类包装；</w:t>
      </w:r>
    </w:p>
    <w:p>
      <w:pPr>
        <w:pStyle w:val="2"/>
        <w:keepNext w:val="0"/>
        <w:keepLines w:val="0"/>
        <w:pageBreakBefore w:val="0"/>
        <w:widowControl w:val="0"/>
        <w:kinsoku/>
        <w:wordWrap/>
        <w:overflowPunct/>
        <w:topLinePunct w:val="0"/>
        <w:autoSpaceDE/>
        <w:autoSpaceDN/>
        <w:bidi w:val="0"/>
        <w:adjustRightInd/>
        <w:snapToGrid/>
        <w:spacing w:before="120" w:after="12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（二）</w:t>
      </w:r>
      <w:r>
        <w:rPr>
          <w:rFonts w:hint="eastAsia" w:ascii="楷体_GB2312" w:hAnsi="楷体_GB2312" w:eastAsia="楷体_GB2312" w:cs="楷体_GB2312"/>
          <w:color w:val="auto"/>
          <w:kern w:val="2"/>
          <w:sz w:val="32"/>
          <w:szCs w:val="32"/>
          <w:highlight w:val="none"/>
          <w:lang w:val="en-US" w:eastAsia="zh-CN" w:bidi="ar-SA"/>
        </w:rPr>
        <w:t>包装防护服务：</w:t>
      </w:r>
      <w:r>
        <w:rPr>
          <w:rFonts w:hint="eastAsia" w:ascii="仿宋_GB2312" w:hAnsi="仿宋_GB2312" w:eastAsia="仿宋_GB2312" w:cs="仿宋_GB2312"/>
          <w:color w:val="auto"/>
          <w:kern w:val="2"/>
          <w:sz w:val="32"/>
          <w:szCs w:val="32"/>
          <w:highlight w:val="none"/>
          <w:lang w:val="en-US" w:eastAsia="zh-CN" w:bidi="ar-SA"/>
        </w:rPr>
        <w:t>提供纸箱、气泡膜等耗材，对所有物品规范包装；</w:t>
      </w:r>
    </w:p>
    <w:p>
      <w:pPr>
        <w:pStyle w:val="2"/>
        <w:keepNext w:val="0"/>
        <w:keepLines w:val="0"/>
        <w:pageBreakBefore w:val="0"/>
        <w:widowControl w:val="0"/>
        <w:kinsoku/>
        <w:wordWrap/>
        <w:overflowPunct/>
        <w:topLinePunct w:val="0"/>
        <w:autoSpaceDE/>
        <w:autoSpaceDN/>
        <w:bidi w:val="0"/>
        <w:adjustRightInd/>
        <w:snapToGrid/>
        <w:spacing w:before="120" w:after="120" w:line="560" w:lineRule="exact"/>
        <w:ind w:firstLine="640" w:firstLineChars="200"/>
        <w:textAlignment w:val="auto"/>
      </w:pPr>
      <w:r>
        <w:rPr>
          <w:rFonts w:hint="eastAsia" w:ascii="楷体_GB2312" w:hAnsi="楷体_GB2312" w:eastAsia="楷体_GB2312" w:cs="楷体_GB2312"/>
          <w:sz w:val="32"/>
          <w:szCs w:val="32"/>
          <w:highlight w:val="none"/>
          <w:lang w:val="en-US" w:eastAsia="zh-CN"/>
        </w:rPr>
        <w:t>（三）搬运</w:t>
      </w:r>
      <w:r>
        <w:rPr>
          <w:rFonts w:hint="eastAsia" w:ascii="楷体_GB2312" w:hAnsi="楷体_GB2312" w:eastAsia="楷体_GB2312" w:cs="楷体_GB2312"/>
          <w:color w:val="auto"/>
          <w:kern w:val="2"/>
          <w:sz w:val="32"/>
          <w:szCs w:val="32"/>
          <w:highlight w:val="none"/>
          <w:lang w:val="en-US" w:eastAsia="zh-CN" w:bidi="ar-SA"/>
        </w:rPr>
        <w:t>服务：</w:t>
      </w:r>
      <w:r>
        <w:rPr>
          <w:rFonts w:hint="eastAsia" w:ascii="仿宋_GB2312" w:hAnsi="仿宋_GB2312" w:eastAsia="仿宋_GB2312" w:cs="仿宋_GB2312"/>
          <w:color w:val="auto"/>
          <w:kern w:val="2"/>
          <w:sz w:val="32"/>
          <w:szCs w:val="32"/>
          <w:highlight w:val="none"/>
          <w:lang w:val="en-US" w:eastAsia="zh-CN" w:bidi="ar-SA"/>
        </w:rPr>
        <w:t>安全搬运至车辆，码放固定牢靠；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1"/>
        <w:jc w:val="both"/>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（四）运输服务：</w:t>
      </w:r>
      <w:r>
        <w:rPr>
          <w:rFonts w:hint="eastAsia" w:ascii="仿宋_GB2312" w:hAnsi="仿宋_GB2312" w:eastAsia="仿宋_GB2312" w:cs="仿宋_GB2312"/>
          <w:color w:val="auto"/>
          <w:kern w:val="2"/>
          <w:sz w:val="32"/>
          <w:szCs w:val="32"/>
          <w:highlight w:val="none"/>
          <w:lang w:val="en-US" w:eastAsia="zh-CN" w:bidi="ar-SA"/>
        </w:rPr>
        <w:t>使用封闭式厢式货车，做好防尘、防雨、防撞措施；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1"/>
        <w:jc w:val="both"/>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（五）安装复原服务：</w:t>
      </w:r>
      <w:r>
        <w:rPr>
          <w:rFonts w:hint="eastAsia" w:ascii="仿宋_GB2312" w:hAnsi="仿宋_GB2312" w:eastAsia="仿宋_GB2312" w:cs="仿宋_GB2312"/>
          <w:color w:val="auto"/>
          <w:kern w:val="2"/>
          <w:sz w:val="32"/>
          <w:szCs w:val="32"/>
          <w:highlight w:val="none"/>
          <w:lang w:val="en-US" w:eastAsia="zh-CN" w:bidi="ar-SA"/>
        </w:rPr>
        <w:t>新址按原貌组装复原，确保牢固、平整；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1"/>
        <w:jc w:val="both"/>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（六）现场清理服务：</w:t>
      </w:r>
      <w:r>
        <w:rPr>
          <w:rFonts w:hint="eastAsia" w:ascii="仿宋_GB2312" w:hAnsi="仿宋_GB2312" w:eastAsia="仿宋_GB2312" w:cs="仿宋_GB2312"/>
          <w:color w:val="auto"/>
          <w:kern w:val="2"/>
          <w:sz w:val="32"/>
          <w:szCs w:val="32"/>
          <w:highlight w:val="none"/>
          <w:lang w:val="en-US" w:eastAsia="zh-CN" w:bidi="ar-SA"/>
        </w:rPr>
        <w:t>施工后清理现场，工完场清。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1"/>
        <w:jc w:val="both"/>
        <w:textAlignment w:val="auto"/>
        <w:rPr>
          <w:rFonts w:hint="eastAsia" w:ascii="仿宋_GB2312" w:hAnsi="仿宋_GB2312" w:eastAsia="仿宋_GB2312" w:cs="仿宋_GB2312"/>
          <w:sz w:val="32"/>
          <w:szCs w:val="32"/>
          <w:highlight w:val="none"/>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具体服务项目及要求如下表：</w:t>
      </w:r>
    </w:p>
    <w:tbl>
      <w:tblPr>
        <w:tblStyle w:val="6"/>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
        <w:gridCol w:w="1558"/>
        <w:gridCol w:w="2805"/>
        <w:gridCol w:w="810"/>
        <w:gridCol w:w="675"/>
        <w:gridCol w:w="1860"/>
        <w:gridCol w:w="1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eastAsia" w:ascii="仿宋_GB2312" w:hAnsi="仿宋_GB2312" w:eastAsia="仿宋_GB2312" w:cs="仿宋_GB2312"/>
                <w:b w:val="0"/>
                <w:bCs w:val="0"/>
                <w:sz w:val="22"/>
                <w:szCs w:val="22"/>
                <w:highlight w:val="none"/>
                <w:vertAlign w:val="baseline"/>
                <w:lang w:val="en-US" w:eastAsia="zh-CN"/>
              </w:rPr>
              <w:t>序号</w:t>
            </w:r>
          </w:p>
        </w:tc>
        <w:tc>
          <w:tcPr>
            <w:tcW w:w="1558" w:type="dxa"/>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default" w:ascii="仿宋_GB2312" w:hAnsi="仿宋_GB2312" w:eastAsia="仿宋_GB2312" w:cs="仿宋_GB2312"/>
                <w:b w:val="0"/>
                <w:bCs w:val="0"/>
                <w:sz w:val="22"/>
                <w:szCs w:val="22"/>
                <w:highlight w:val="none"/>
                <w:vertAlign w:val="baseline"/>
                <w:lang w:val="en-US" w:eastAsia="zh-CN"/>
              </w:rPr>
              <w:t>服务项目</w:t>
            </w:r>
          </w:p>
        </w:tc>
        <w:tc>
          <w:tcPr>
            <w:tcW w:w="2805" w:type="dxa"/>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default" w:ascii="仿宋_GB2312" w:hAnsi="仿宋_GB2312" w:eastAsia="仿宋_GB2312" w:cs="仿宋_GB2312"/>
                <w:b w:val="0"/>
                <w:bCs w:val="0"/>
                <w:sz w:val="22"/>
                <w:szCs w:val="22"/>
                <w:highlight w:val="none"/>
                <w:vertAlign w:val="baseline"/>
                <w:lang w:val="en-US" w:eastAsia="zh-CN"/>
              </w:rPr>
              <w:t>服务内容要求</w:t>
            </w:r>
          </w:p>
        </w:tc>
        <w:tc>
          <w:tcPr>
            <w:tcW w:w="810" w:type="dxa"/>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default" w:ascii="仿宋_GB2312" w:hAnsi="仿宋_GB2312" w:eastAsia="仿宋_GB2312" w:cs="仿宋_GB2312"/>
                <w:b w:val="0"/>
                <w:bCs w:val="0"/>
                <w:sz w:val="22"/>
                <w:szCs w:val="22"/>
                <w:highlight w:val="none"/>
                <w:vertAlign w:val="baseline"/>
                <w:lang w:val="en-US" w:eastAsia="zh-CN"/>
              </w:rPr>
              <w:t>单位</w:t>
            </w:r>
          </w:p>
        </w:tc>
        <w:tc>
          <w:tcPr>
            <w:tcW w:w="675" w:type="dxa"/>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default" w:ascii="仿宋_GB2312" w:hAnsi="仿宋_GB2312" w:eastAsia="仿宋_GB2312" w:cs="仿宋_GB2312"/>
                <w:b w:val="0"/>
                <w:bCs w:val="0"/>
                <w:sz w:val="22"/>
                <w:szCs w:val="22"/>
                <w:highlight w:val="none"/>
                <w:vertAlign w:val="baseline"/>
                <w:lang w:val="en-US" w:eastAsia="zh-CN"/>
              </w:rPr>
              <w:t>预估数量</w:t>
            </w:r>
          </w:p>
        </w:tc>
        <w:tc>
          <w:tcPr>
            <w:tcW w:w="1860" w:type="dxa"/>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default" w:ascii="仿宋_GB2312" w:hAnsi="仿宋_GB2312" w:eastAsia="仿宋_GB2312" w:cs="仿宋_GB2312"/>
                <w:b w:val="0"/>
                <w:bCs w:val="0"/>
                <w:sz w:val="22"/>
                <w:szCs w:val="22"/>
                <w:highlight w:val="none"/>
                <w:vertAlign w:val="baseline"/>
                <w:lang w:val="en-US" w:eastAsia="zh-CN"/>
              </w:rPr>
              <w:t>服务要求说明</w:t>
            </w:r>
          </w:p>
        </w:tc>
        <w:tc>
          <w:tcPr>
            <w:tcW w:w="1025" w:type="dxa"/>
            <w:vAlign w:val="center"/>
          </w:tcPr>
          <w:p>
            <w:pPr>
              <w:numPr>
                <w:ilvl w:val="0"/>
                <w:numId w:val="0"/>
              </w:numPr>
              <w:jc w:val="center"/>
              <w:rPr>
                <w:rFonts w:hint="default" w:ascii="仿宋_GB2312" w:hAnsi="仿宋_GB2312" w:eastAsia="仿宋_GB2312" w:cs="仿宋_GB2312"/>
                <w:b w:val="0"/>
                <w:bCs w:val="0"/>
                <w:sz w:val="22"/>
                <w:szCs w:val="22"/>
                <w:highlight w:val="none"/>
                <w:vertAlign w:val="baseline"/>
                <w:lang w:val="en-US" w:eastAsia="zh-CN"/>
              </w:rPr>
            </w:pPr>
            <w:r>
              <w:rPr>
                <w:rFonts w:hint="eastAsia" w:ascii="仿宋_GB2312" w:hAnsi="仿宋_GB2312" w:eastAsia="仿宋_GB2312" w:cs="仿宋_GB2312"/>
                <w:b w:val="0"/>
                <w:bCs w:val="0"/>
                <w:sz w:val="22"/>
                <w:szCs w:val="22"/>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0" w:type="auto"/>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1</w:t>
            </w:r>
          </w:p>
        </w:tc>
        <w:tc>
          <w:tcPr>
            <w:tcW w:w="1558"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办公家具搬运</w:t>
            </w:r>
          </w:p>
        </w:tc>
        <w:tc>
          <w:tcPr>
            <w:tcW w:w="2805" w:type="dxa"/>
            <w:vAlign w:val="center"/>
          </w:tcPr>
          <w:p>
            <w:pPr>
              <w:numPr>
                <w:ilvl w:val="0"/>
                <w:numId w:val="0"/>
              </w:numPr>
              <w:jc w:val="left"/>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办公桌椅、文件柜等包装、运输、安装复位</w:t>
            </w:r>
          </w:p>
        </w:tc>
        <w:tc>
          <w:tcPr>
            <w:tcW w:w="810"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项</w:t>
            </w:r>
          </w:p>
        </w:tc>
        <w:tc>
          <w:tcPr>
            <w:tcW w:w="675"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若干</w:t>
            </w:r>
          </w:p>
        </w:tc>
        <w:tc>
          <w:tcPr>
            <w:tcW w:w="1860" w:type="dxa"/>
            <w:vAlign w:val="center"/>
          </w:tcPr>
          <w:p>
            <w:pPr>
              <w:numPr>
                <w:ilvl w:val="0"/>
                <w:numId w:val="0"/>
              </w:numPr>
              <w:jc w:val="left"/>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提供打包耗材</w:t>
            </w:r>
          </w:p>
        </w:tc>
        <w:tc>
          <w:tcPr>
            <w:tcW w:w="1025" w:type="dxa"/>
            <w:vMerge w:val="restart"/>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搬家公司需提供打包纸箱、气泡膜、封箱胶等材料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2</w:t>
            </w:r>
          </w:p>
        </w:tc>
        <w:tc>
          <w:tcPr>
            <w:tcW w:w="1558"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设备搬运</w:t>
            </w:r>
          </w:p>
        </w:tc>
        <w:tc>
          <w:tcPr>
            <w:tcW w:w="2805" w:type="dxa"/>
            <w:vAlign w:val="center"/>
          </w:tcPr>
          <w:p>
            <w:pPr>
              <w:numPr>
                <w:ilvl w:val="0"/>
                <w:numId w:val="0"/>
              </w:numPr>
              <w:jc w:val="left"/>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电脑、打印机等电子设备打包、搬运、安装</w:t>
            </w:r>
          </w:p>
        </w:tc>
        <w:tc>
          <w:tcPr>
            <w:tcW w:w="810"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项</w:t>
            </w:r>
          </w:p>
        </w:tc>
        <w:tc>
          <w:tcPr>
            <w:tcW w:w="675"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若干</w:t>
            </w:r>
          </w:p>
        </w:tc>
        <w:tc>
          <w:tcPr>
            <w:tcW w:w="1860" w:type="dxa"/>
            <w:vAlign w:val="center"/>
          </w:tcPr>
          <w:p>
            <w:pPr>
              <w:numPr>
                <w:ilvl w:val="0"/>
                <w:numId w:val="0"/>
              </w:numPr>
              <w:jc w:val="left"/>
              <w:rPr>
                <w:rFonts w:hint="eastAsia"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防震防撞，专业操作。</w:t>
            </w:r>
          </w:p>
        </w:tc>
        <w:tc>
          <w:tcPr>
            <w:tcW w:w="1025" w:type="dxa"/>
            <w:vMerge w:val="continue"/>
            <w:vAlign w:val="center"/>
          </w:tcPr>
          <w:p>
            <w:pPr>
              <w:numPr>
                <w:ilvl w:val="0"/>
                <w:numId w:val="0"/>
              </w:numPr>
              <w:jc w:val="center"/>
              <w:rPr>
                <w:rFonts w:hint="eastAsia" w:ascii="仿宋_GB2312" w:hAnsi="仿宋_GB2312" w:eastAsia="仿宋_GB2312" w:cs="仿宋_GB2312"/>
                <w:sz w:val="22"/>
                <w:szCs w:val="22"/>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0" w:type="auto"/>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3</w:t>
            </w:r>
          </w:p>
        </w:tc>
        <w:tc>
          <w:tcPr>
            <w:tcW w:w="1558"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文件资料搬运</w:t>
            </w:r>
          </w:p>
        </w:tc>
        <w:tc>
          <w:tcPr>
            <w:tcW w:w="2805" w:type="dxa"/>
            <w:vAlign w:val="center"/>
          </w:tcPr>
          <w:p>
            <w:pPr>
              <w:numPr>
                <w:ilvl w:val="0"/>
                <w:numId w:val="0"/>
              </w:numPr>
              <w:jc w:val="left"/>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档案、文件、书籍等打包、运输</w:t>
            </w:r>
          </w:p>
        </w:tc>
        <w:tc>
          <w:tcPr>
            <w:tcW w:w="810"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项</w:t>
            </w:r>
          </w:p>
        </w:tc>
        <w:tc>
          <w:tcPr>
            <w:tcW w:w="675"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若干</w:t>
            </w:r>
          </w:p>
        </w:tc>
        <w:tc>
          <w:tcPr>
            <w:tcW w:w="1860" w:type="dxa"/>
            <w:vAlign w:val="center"/>
          </w:tcPr>
          <w:p>
            <w:pPr>
              <w:numPr>
                <w:ilvl w:val="0"/>
                <w:numId w:val="0"/>
              </w:numPr>
              <w:jc w:val="left"/>
              <w:rPr>
                <w:rFonts w:hint="eastAsia"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不丢失、不混淆</w:t>
            </w:r>
          </w:p>
        </w:tc>
        <w:tc>
          <w:tcPr>
            <w:tcW w:w="1025" w:type="dxa"/>
            <w:vMerge w:val="continue"/>
            <w:vAlign w:val="center"/>
          </w:tcPr>
          <w:p>
            <w:pPr>
              <w:numPr>
                <w:ilvl w:val="0"/>
                <w:numId w:val="0"/>
              </w:numPr>
              <w:jc w:val="center"/>
              <w:rPr>
                <w:rFonts w:hint="eastAsia" w:ascii="仿宋_GB2312" w:hAnsi="仿宋_GB2312" w:eastAsia="仿宋_GB2312" w:cs="仿宋_GB2312"/>
                <w:sz w:val="22"/>
                <w:szCs w:val="22"/>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4</w:t>
            </w:r>
          </w:p>
        </w:tc>
        <w:tc>
          <w:tcPr>
            <w:tcW w:w="1558"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杂项物品搬运</w:t>
            </w:r>
          </w:p>
        </w:tc>
        <w:tc>
          <w:tcPr>
            <w:tcW w:w="2805" w:type="dxa"/>
            <w:vAlign w:val="center"/>
          </w:tcPr>
          <w:p>
            <w:pPr>
              <w:numPr>
                <w:ilvl w:val="0"/>
                <w:numId w:val="0"/>
              </w:numPr>
              <w:jc w:val="left"/>
              <w:rPr>
                <w:rFonts w:hint="eastAsia"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办公用品、低值易耗品等</w:t>
            </w:r>
          </w:p>
        </w:tc>
        <w:tc>
          <w:tcPr>
            <w:tcW w:w="810" w:type="dxa"/>
            <w:vAlign w:val="center"/>
          </w:tcPr>
          <w:p>
            <w:pPr>
              <w:numPr>
                <w:ilvl w:val="0"/>
                <w:numId w:val="0"/>
              </w:numPr>
              <w:jc w:val="center"/>
              <w:rPr>
                <w:rFonts w:hint="eastAsia" w:ascii="仿宋_GB2312" w:hAnsi="仿宋_GB2312" w:eastAsia="仿宋_GB2312" w:cs="仿宋_GB2312"/>
                <w:sz w:val="22"/>
                <w:szCs w:val="22"/>
                <w:highlight w:val="none"/>
                <w:vertAlign w:val="baseline"/>
                <w:lang w:val="en-US" w:eastAsia="zh-CN"/>
              </w:rPr>
            </w:pPr>
            <w:r>
              <w:rPr>
                <w:rFonts w:hint="default" w:ascii="仿宋_GB2312" w:hAnsi="仿宋_GB2312" w:eastAsia="仿宋_GB2312" w:cs="仿宋_GB2312"/>
                <w:sz w:val="22"/>
                <w:szCs w:val="22"/>
                <w:highlight w:val="none"/>
                <w:vertAlign w:val="baseline"/>
                <w:lang w:val="en-US" w:eastAsia="zh-CN"/>
              </w:rPr>
              <w:t>项</w:t>
            </w:r>
          </w:p>
        </w:tc>
        <w:tc>
          <w:tcPr>
            <w:tcW w:w="675" w:type="dxa"/>
            <w:vAlign w:val="center"/>
          </w:tcPr>
          <w:p>
            <w:pPr>
              <w:numPr>
                <w:ilvl w:val="0"/>
                <w:numId w:val="0"/>
              </w:numPr>
              <w:jc w:val="center"/>
              <w:rPr>
                <w:rFonts w:hint="default"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若干</w:t>
            </w:r>
          </w:p>
        </w:tc>
        <w:tc>
          <w:tcPr>
            <w:tcW w:w="1860" w:type="dxa"/>
            <w:vAlign w:val="center"/>
          </w:tcPr>
          <w:p>
            <w:pPr>
              <w:numPr>
                <w:ilvl w:val="0"/>
                <w:numId w:val="0"/>
              </w:numPr>
              <w:jc w:val="left"/>
              <w:rPr>
                <w:rFonts w:hint="eastAsia" w:ascii="仿宋_GB2312" w:hAnsi="仿宋_GB2312" w:eastAsia="仿宋_GB2312" w:cs="仿宋_GB2312"/>
                <w:sz w:val="22"/>
                <w:szCs w:val="22"/>
                <w:highlight w:val="none"/>
                <w:vertAlign w:val="baseline"/>
                <w:lang w:val="en-US" w:eastAsia="zh-CN"/>
              </w:rPr>
            </w:pPr>
            <w:r>
              <w:rPr>
                <w:rFonts w:hint="eastAsia" w:ascii="仿宋_GB2312" w:hAnsi="仿宋_GB2312" w:eastAsia="仿宋_GB2312" w:cs="仿宋_GB2312"/>
                <w:sz w:val="22"/>
                <w:szCs w:val="22"/>
                <w:highlight w:val="none"/>
                <w:vertAlign w:val="baseline"/>
                <w:lang w:val="en-US" w:eastAsia="zh-CN"/>
              </w:rPr>
              <w:t>分类包装，轻拿轻放</w:t>
            </w:r>
          </w:p>
        </w:tc>
        <w:tc>
          <w:tcPr>
            <w:tcW w:w="1025" w:type="dxa"/>
            <w:vMerge w:val="continue"/>
            <w:vAlign w:val="center"/>
          </w:tcPr>
          <w:p>
            <w:pPr>
              <w:numPr>
                <w:ilvl w:val="0"/>
                <w:numId w:val="0"/>
              </w:numPr>
              <w:jc w:val="center"/>
              <w:rPr>
                <w:rFonts w:hint="eastAsia" w:ascii="仿宋_GB2312" w:hAnsi="仿宋_GB2312" w:eastAsia="仿宋_GB2312" w:cs="仿宋_GB2312"/>
                <w:sz w:val="22"/>
                <w:szCs w:val="22"/>
                <w:highlight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color w:val="0000FF"/>
          <w:sz w:val="32"/>
          <w:szCs w:val="32"/>
          <w:highlight w:val="none"/>
          <w:lang w:val="en-US" w:eastAsia="zh-CN"/>
        </w:rPr>
      </w:pPr>
      <w:r>
        <w:rPr>
          <w:rFonts w:hint="eastAsia" w:ascii="仿宋_GB2312" w:hAnsi="仿宋_GB2312" w:eastAsia="仿宋_GB2312" w:cs="仿宋_GB2312"/>
          <w:color w:val="0000FF"/>
          <w:sz w:val="32"/>
          <w:szCs w:val="32"/>
          <w:highlight w:val="none"/>
          <w:lang w:val="en-US" w:eastAsia="zh-CN"/>
        </w:rPr>
        <w:t>备注：详见附件《贵阳办公点搬迁物品清单》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资质要求</w:t>
      </w:r>
    </w:p>
    <w:p>
      <w:pPr>
        <w:pStyle w:val="10"/>
        <w:keepNext w:val="0"/>
        <w:keepLines w:val="0"/>
        <w:pageBreakBefore w:val="0"/>
        <w:widowControl w:val="0"/>
        <w:kinsoku/>
        <w:wordWrap/>
        <w:overflowPunct/>
        <w:topLinePunct w:val="0"/>
        <w:autoSpaceDE/>
        <w:autoSpaceDN/>
        <w:bidi w:val="0"/>
        <w:adjustRightInd/>
        <w:snapToGrid/>
        <w:spacing w:before="0" w:after="120" w:line="560" w:lineRule="exact"/>
        <w:ind w:firstLine="640" w:firstLineChars="200"/>
        <w:textAlignment w:val="auto"/>
        <w:rPr>
          <w:rFonts w:hint="default" w:ascii="仿宋_GB2312" w:hAnsi="仿宋_GB2312" w:eastAsia="仿宋_GB2312" w:cs="仿宋_GB2312"/>
          <w:kern w:val="2"/>
          <w:sz w:val="32"/>
          <w:szCs w:val="32"/>
          <w:highlight w:val="none"/>
          <w:lang w:val="en-US" w:eastAsia="zh-CN" w:bidi="ar-SA"/>
        </w:rPr>
      </w:pPr>
      <w:r>
        <w:rPr>
          <w:rFonts w:hint="default" w:ascii="仿宋_GB2312" w:hAnsi="仿宋_GB2312" w:eastAsia="仿宋_GB2312" w:cs="仿宋_GB2312"/>
          <w:color w:val="auto"/>
          <w:kern w:val="2"/>
          <w:sz w:val="32"/>
          <w:szCs w:val="32"/>
          <w:highlight w:val="none"/>
          <w:lang w:val="en-US" w:eastAsia="zh-CN" w:bidi="ar-SA"/>
        </w:rPr>
        <w:t>报价</w:t>
      </w:r>
      <w:r>
        <w:rPr>
          <w:rFonts w:hint="eastAsia" w:ascii="仿宋_GB2312" w:hAnsi="仿宋_GB2312" w:eastAsia="仿宋_GB2312" w:cs="仿宋_GB2312"/>
          <w:color w:val="auto"/>
          <w:kern w:val="2"/>
          <w:sz w:val="32"/>
          <w:szCs w:val="32"/>
          <w:highlight w:val="none"/>
          <w:lang w:val="en-US" w:eastAsia="zh-CN" w:bidi="ar-SA"/>
        </w:rPr>
        <w:t>人</w:t>
      </w:r>
      <w:r>
        <w:rPr>
          <w:rFonts w:hint="default" w:ascii="仿宋_GB2312" w:hAnsi="仿宋_GB2312" w:eastAsia="仿宋_GB2312" w:cs="仿宋_GB2312"/>
          <w:color w:val="auto"/>
          <w:kern w:val="2"/>
          <w:sz w:val="32"/>
          <w:szCs w:val="32"/>
          <w:highlight w:val="none"/>
          <w:lang w:val="en-US" w:eastAsia="zh-CN" w:bidi="ar-SA"/>
        </w:rPr>
        <w:t>需提供有效的营业执照、道路运输经营许可证</w:t>
      </w:r>
      <w:r>
        <w:rPr>
          <w:rFonts w:hint="default" w:ascii="仿宋_GB2312" w:hAnsi="仿宋_GB2312" w:eastAsia="仿宋_GB2312" w:cs="仿宋_GB2312"/>
          <w:kern w:val="2"/>
          <w:sz w:val="32"/>
          <w:szCs w:val="32"/>
          <w:highlight w:val="none"/>
          <w:lang w:val="en-US" w:eastAsia="zh-CN" w:bidi="ar-SA"/>
        </w:rPr>
        <w:t>。</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color w:val="auto"/>
          <w:kern w:val="2"/>
          <w:sz w:val="32"/>
          <w:szCs w:val="32"/>
          <w:highlight w:val="none"/>
          <w:lang w:val="en-US" w:eastAsia="zh-CN" w:bidi="ar-SA"/>
        </w:rPr>
      </w:pPr>
      <w:r>
        <w:rPr>
          <w:rFonts w:hint="default" w:ascii="黑体" w:hAnsi="黑体" w:eastAsia="黑体" w:cs="黑体"/>
          <w:sz w:val="32"/>
          <w:szCs w:val="32"/>
          <w:highlight w:val="none"/>
          <w:lang w:val="en-US" w:eastAsia="zh-CN"/>
        </w:rPr>
        <w:t>服务质量要求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sz w:val="32"/>
          <w:szCs w:val="32"/>
          <w:highlight w:val="none"/>
          <w:lang w:val="en-US" w:eastAsia="zh-CN"/>
        </w:rPr>
        <w:t>（一）人员要求：</w:t>
      </w:r>
      <w:r>
        <w:rPr>
          <w:rFonts w:hint="eastAsia" w:ascii="仿宋_GB2312" w:hAnsi="仿宋_GB2312" w:eastAsia="仿宋_GB2312" w:cs="仿宋_GB2312"/>
          <w:color w:val="auto"/>
          <w:kern w:val="2"/>
          <w:sz w:val="32"/>
          <w:szCs w:val="32"/>
          <w:highlight w:val="none"/>
          <w:lang w:val="en-US" w:eastAsia="zh-CN" w:bidi="ar-SA"/>
        </w:rPr>
        <w:t>安排专业人员作业，现场配备1名指挥人员，工作人员不少于10人，统一着装、佩戴工牌，遵守采购方纪律；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default" w:ascii="楷体_GB2312" w:hAnsi="楷体_GB2312" w:eastAsia="楷体_GB2312" w:cs="楷体_GB2312"/>
          <w:sz w:val="32"/>
          <w:szCs w:val="32"/>
          <w:highlight w:val="none"/>
          <w:lang w:val="en-US" w:eastAsia="zh-CN"/>
        </w:rPr>
        <w:t>（二）安全与文明施工要求</w:t>
      </w:r>
      <w:r>
        <w:rPr>
          <w:rFonts w:hint="eastAsia" w:ascii="楷体_GB2312" w:hAnsi="楷体_GB2312" w:eastAsia="楷体_GB2312" w:cs="楷体_GB2312"/>
          <w:sz w:val="32"/>
          <w:szCs w:val="32"/>
          <w:highlight w:val="none"/>
          <w:lang w:val="en-US" w:eastAsia="zh-CN"/>
        </w:rPr>
        <w:t>：</w:t>
      </w:r>
      <w:r>
        <w:rPr>
          <w:rFonts w:hint="eastAsia" w:ascii="仿宋_GB2312" w:hAnsi="仿宋_GB2312" w:eastAsia="仿宋_GB2312" w:cs="仿宋_GB2312"/>
          <w:color w:val="auto"/>
          <w:kern w:val="2"/>
          <w:sz w:val="32"/>
          <w:szCs w:val="32"/>
          <w:highlight w:val="none"/>
          <w:lang w:val="en-US" w:eastAsia="zh-CN" w:bidi="ar-SA"/>
        </w:rPr>
        <w:t>乙方承担搬运全过程安全责任，做好现场成品保护，施工全程整洁有序，禁止带电作业，工完场清；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kern w:val="2"/>
          <w:sz w:val="32"/>
          <w:szCs w:val="32"/>
          <w:highlight w:val="none"/>
          <w:lang w:val="en-US" w:eastAsia="zh-CN" w:bidi="ar-SA"/>
        </w:rPr>
      </w:pPr>
      <w:r>
        <w:rPr>
          <w:rFonts w:hint="default" w:ascii="楷体_GB2312" w:hAnsi="楷体_GB2312" w:eastAsia="楷体_GB2312" w:cs="楷体_GB2312"/>
          <w:sz w:val="32"/>
          <w:szCs w:val="32"/>
          <w:highlight w:val="none"/>
          <w:lang w:val="en-US" w:eastAsia="zh-CN"/>
        </w:rPr>
        <w:t>（三）验收标准</w:t>
      </w:r>
      <w:r>
        <w:rPr>
          <w:rFonts w:hint="eastAsia" w:ascii="楷体_GB2312" w:hAnsi="楷体_GB2312" w:eastAsia="楷体_GB2312" w:cs="楷体_GB2312"/>
          <w:sz w:val="32"/>
          <w:szCs w:val="32"/>
          <w:highlight w:val="none"/>
          <w:lang w:val="en-US" w:eastAsia="zh-CN"/>
        </w:rPr>
        <w:t>：</w:t>
      </w:r>
      <w:r>
        <w:rPr>
          <w:rFonts w:hint="eastAsia" w:ascii="仿宋_GB2312" w:hAnsi="仿宋_GB2312" w:eastAsia="仿宋_GB2312" w:cs="仿宋_GB2312"/>
          <w:color w:val="auto"/>
          <w:kern w:val="2"/>
          <w:sz w:val="32"/>
          <w:szCs w:val="32"/>
          <w:highlight w:val="none"/>
          <w:lang w:val="en-US" w:eastAsia="zh-CN" w:bidi="ar-SA"/>
        </w:rPr>
        <w:t>物品按甲方要求摆放到位并调试完毕，无损坏、无丢失，物品完好率≥99.5%，甲方签字确认后结算。</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default" w:ascii="楷体_GB2312" w:hAnsi="楷体_GB2312" w:eastAsia="楷体_GB2312" w:cs="楷体_GB2312"/>
          <w:sz w:val="32"/>
          <w:szCs w:val="32"/>
          <w:highlight w:val="none"/>
          <w:lang w:val="en-US" w:eastAsia="zh-CN"/>
        </w:rPr>
        <w:t>（一）安全责任</w:t>
      </w:r>
      <w:r>
        <w:rPr>
          <w:rFonts w:hint="eastAsia" w:ascii="楷体_GB2312" w:hAnsi="楷体_GB2312" w:eastAsia="楷体_GB2312" w:cs="楷体_GB2312"/>
          <w:sz w:val="32"/>
          <w:szCs w:val="32"/>
          <w:highlight w:val="none"/>
          <w:lang w:val="en-US" w:eastAsia="zh-CN"/>
        </w:rPr>
        <w:t>：</w:t>
      </w:r>
      <w:r>
        <w:rPr>
          <w:rFonts w:hint="eastAsia" w:ascii="仿宋_GB2312" w:hAnsi="仿宋_GB2312" w:eastAsia="仿宋_GB2312" w:cs="仿宋_GB2312"/>
          <w:color w:val="auto"/>
          <w:kern w:val="2"/>
          <w:sz w:val="32"/>
          <w:szCs w:val="32"/>
          <w:highlight w:val="none"/>
          <w:lang w:val="en-US" w:eastAsia="zh-CN" w:bidi="ar-SA"/>
        </w:rPr>
        <w:t>成交人承担施工人员交通、人身安全责任，操作不当造成的损失由乙方赔偿；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default" w:ascii="楷体_GB2312" w:hAnsi="楷体_GB2312" w:eastAsia="楷体_GB2312" w:cs="楷体_GB2312"/>
          <w:sz w:val="32"/>
          <w:szCs w:val="32"/>
          <w:highlight w:val="none"/>
          <w:lang w:val="en-US" w:eastAsia="zh-CN"/>
        </w:rPr>
        <w:t>（二）保密义务</w:t>
      </w:r>
      <w:r>
        <w:rPr>
          <w:rFonts w:hint="eastAsia" w:ascii="楷体_GB2312" w:hAnsi="楷体_GB2312" w:eastAsia="楷体_GB2312" w:cs="楷体_GB2312"/>
          <w:sz w:val="32"/>
          <w:szCs w:val="32"/>
          <w:highlight w:val="none"/>
          <w:lang w:val="en-US" w:eastAsia="zh-CN"/>
        </w:rPr>
        <w:t>：</w:t>
      </w:r>
      <w:r>
        <w:rPr>
          <w:rFonts w:hint="eastAsia" w:ascii="仿宋_GB2312" w:hAnsi="仿宋_GB2312" w:eastAsia="仿宋_GB2312" w:cs="仿宋_GB2312"/>
          <w:color w:val="auto"/>
          <w:kern w:val="2"/>
          <w:sz w:val="32"/>
          <w:szCs w:val="32"/>
          <w:highlight w:val="none"/>
          <w:lang w:val="en-US" w:eastAsia="zh-CN" w:bidi="ar-SA"/>
        </w:rPr>
        <w:t>成交人</w:t>
      </w:r>
      <w:r>
        <w:rPr>
          <w:rFonts w:hint="eastAsia" w:ascii="仿宋_GB2312" w:hAnsi="仿宋_GB2312" w:eastAsia="仿宋_GB2312" w:cs="仿宋_GB2312"/>
          <w:sz w:val="32"/>
          <w:szCs w:val="32"/>
          <w:highlight w:val="none"/>
          <w:lang w:val="en-US" w:eastAsia="zh-CN"/>
        </w:rPr>
        <w:t>对服务过程中接触的文件、资料等信息保密，不得泄露或用于本项目以外用途，保密义务不因项目终止而终止。</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报价文件要求</w:t>
      </w:r>
    </w:p>
    <w:p>
      <w:pPr>
        <w:pStyle w:val="10"/>
        <w:keepNext w:val="0"/>
        <w:keepLines w:val="0"/>
        <w:pageBreakBefore w:val="0"/>
        <w:widowControl w:val="0"/>
        <w:kinsoku/>
        <w:wordWrap/>
        <w:overflowPunct/>
        <w:topLinePunct w:val="0"/>
        <w:autoSpaceDE/>
        <w:autoSpaceDN/>
        <w:bidi w:val="0"/>
        <w:adjustRightInd/>
        <w:snapToGrid/>
        <w:spacing w:before="0" w:after="120"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bidi="ar-SA"/>
        </w:rPr>
        <w:t>报价采用包干形式，包含车辆费、人工费、拆装费、税费等全部费用，成交方不得再收取其他费用。报价人需提交公司资质、服务承诺书及包干报价表。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搬迁清单及现场踏勘</w:t>
      </w:r>
    </w:p>
    <w:p>
      <w:pPr>
        <w:pStyle w:val="10"/>
        <w:keepNext w:val="0"/>
        <w:keepLines w:val="0"/>
        <w:pageBreakBefore w:val="0"/>
        <w:widowControl w:val="0"/>
        <w:kinsoku/>
        <w:wordWrap/>
        <w:overflowPunct/>
        <w:topLinePunct w:val="0"/>
        <w:autoSpaceDE/>
        <w:autoSpaceDN/>
        <w:bidi w:val="0"/>
        <w:adjustRightInd/>
        <w:snapToGrid/>
        <w:spacing w:before="0" w:after="120"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bidi="ar-SA"/>
        </w:rPr>
        <w:t>搬迁物资以现场踏勘为准，踏勘时间另行通知。交付时间按采购方要求执行，物品点对点到位，损坏或遗失按现值赔偿。</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项目支付要求</w:t>
      </w:r>
    </w:p>
    <w:p>
      <w:pPr>
        <w:pStyle w:val="10"/>
        <w:keepNext w:val="0"/>
        <w:keepLines w:val="0"/>
        <w:pageBreakBefore w:val="0"/>
        <w:widowControl w:val="0"/>
        <w:kinsoku/>
        <w:wordWrap/>
        <w:overflowPunct/>
        <w:topLinePunct w:val="0"/>
        <w:autoSpaceDE/>
        <w:autoSpaceDN/>
        <w:bidi w:val="0"/>
        <w:adjustRightInd/>
        <w:snapToGrid/>
        <w:spacing w:before="0" w:after="120"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乙方完成服务并经甲方确认后，提供等额有效增值税专用发票，甲方收到请款资料后30个工作日内支付费用。</w:t>
      </w:r>
    </w:p>
    <w:p>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8DE4D1"/>
    <w:multiLevelType w:val="singleLevel"/>
    <w:tmpl w:val="CD8DE4D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1F1180"/>
    <w:rsid w:val="00351B66"/>
    <w:rsid w:val="009A730C"/>
    <w:rsid w:val="00B26217"/>
    <w:rsid w:val="026B1786"/>
    <w:rsid w:val="03071604"/>
    <w:rsid w:val="05056ECB"/>
    <w:rsid w:val="064674D8"/>
    <w:rsid w:val="06652659"/>
    <w:rsid w:val="089B2B80"/>
    <w:rsid w:val="09161874"/>
    <w:rsid w:val="0D215B97"/>
    <w:rsid w:val="0D902C1D"/>
    <w:rsid w:val="0E383160"/>
    <w:rsid w:val="0E935DF8"/>
    <w:rsid w:val="0F0477D5"/>
    <w:rsid w:val="110A6481"/>
    <w:rsid w:val="1239648C"/>
    <w:rsid w:val="13F371C9"/>
    <w:rsid w:val="14DE0C0F"/>
    <w:rsid w:val="186E6C34"/>
    <w:rsid w:val="19B14BA3"/>
    <w:rsid w:val="1BFD04F9"/>
    <w:rsid w:val="1CAD289B"/>
    <w:rsid w:val="1E873426"/>
    <w:rsid w:val="21F10022"/>
    <w:rsid w:val="239C5315"/>
    <w:rsid w:val="244368B2"/>
    <w:rsid w:val="249A6818"/>
    <w:rsid w:val="25955906"/>
    <w:rsid w:val="28C76174"/>
    <w:rsid w:val="28E054A5"/>
    <w:rsid w:val="28E95BAE"/>
    <w:rsid w:val="29A003DB"/>
    <w:rsid w:val="29EF2DEA"/>
    <w:rsid w:val="2ABF2B2E"/>
    <w:rsid w:val="2B470F10"/>
    <w:rsid w:val="2B4C5398"/>
    <w:rsid w:val="2C401128"/>
    <w:rsid w:val="2CE032BE"/>
    <w:rsid w:val="2E9A69BC"/>
    <w:rsid w:val="2F5064AC"/>
    <w:rsid w:val="301607F4"/>
    <w:rsid w:val="307D149D"/>
    <w:rsid w:val="30C93B1B"/>
    <w:rsid w:val="33D77590"/>
    <w:rsid w:val="35612290"/>
    <w:rsid w:val="3C7C6BCD"/>
    <w:rsid w:val="3CD662DF"/>
    <w:rsid w:val="3D1B574E"/>
    <w:rsid w:val="3DD4297E"/>
    <w:rsid w:val="402C0554"/>
    <w:rsid w:val="47BD2EBF"/>
    <w:rsid w:val="48046EB6"/>
    <w:rsid w:val="48C66F74"/>
    <w:rsid w:val="48D40488"/>
    <w:rsid w:val="4ACF6FC9"/>
    <w:rsid w:val="4BFA6AB7"/>
    <w:rsid w:val="4CDB70D4"/>
    <w:rsid w:val="4E9E6D0A"/>
    <w:rsid w:val="50BE3824"/>
    <w:rsid w:val="544C5B7C"/>
    <w:rsid w:val="55E66A5D"/>
    <w:rsid w:val="57D460CD"/>
    <w:rsid w:val="5842572D"/>
    <w:rsid w:val="5BF736EF"/>
    <w:rsid w:val="5C2F70CC"/>
    <w:rsid w:val="5D230C5E"/>
    <w:rsid w:val="5D2B27E7"/>
    <w:rsid w:val="5E1F209E"/>
    <w:rsid w:val="5EAC7460"/>
    <w:rsid w:val="5EE03675"/>
    <w:rsid w:val="5F1F1180"/>
    <w:rsid w:val="61EE7189"/>
    <w:rsid w:val="634A760A"/>
    <w:rsid w:val="649F6EA6"/>
    <w:rsid w:val="66EB3890"/>
    <w:rsid w:val="696C75D1"/>
    <w:rsid w:val="69AE3CF0"/>
    <w:rsid w:val="6AE663EC"/>
    <w:rsid w:val="6B905C1D"/>
    <w:rsid w:val="6DA52536"/>
    <w:rsid w:val="6DCC7033"/>
    <w:rsid w:val="6E2A0D29"/>
    <w:rsid w:val="6E2F57F8"/>
    <w:rsid w:val="74666E87"/>
    <w:rsid w:val="74A56159"/>
    <w:rsid w:val="77F91808"/>
    <w:rsid w:val="7A573842"/>
    <w:rsid w:val="7E805998"/>
    <w:rsid w:val="7F6C211D"/>
    <w:rsid w:val="7F6E223E"/>
    <w:rsid w:val="7FFC2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color w:val="000000"/>
      <w:sz w:val="28"/>
      <w:szCs w:val="20"/>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Web)"/>
    <w:basedOn w:val="1"/>
    <w:qFormat/>
    <w:uiPriority w:val="0"/>
    <w:rPr>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paragraph" w:customStyle="1" w:styleId="9">
    <w:name w:val="表格文字"/>
    <w:basedOn w:val="1"/>
    <w:qFormat/>
    <w:uiPriority w:val="0"/>
    <w:pPr>
      <w:spacing w:before="25" w:after="25"/>
      <w:jc w:val="left"/>
    </w:pPr>
    <w:rPr>
      <w:bCs/>
      <w:spacing w:val="10"/>
      <w:kern w:val="0"/>
      <w:sz w:val="24"/>
    </w:rPr>
  </w:style>
  <w:style w:type="paragraph" w:customStyle="1" w:styleId="10">
    <w:name w:val="First Paragraph"/>
    <w:basedOn w:val="2"/>
    <w:next w:val="2"/>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2025-08-28T09:15:00Z</dcterms:created>
  <dc:creator>何姗璟</dc:creator>
  <cp:lastModifiedBy>伍小梅</cp:lastModifiedBy>
  <dcterms:modified xsi:type="dcterms:W3CDTF">2026-09-28T08:08:16Z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DC55F92F32C54BFFA3ACA669B3F7B131</vt:lpwstr>
  </property>
</Properties>
</file>