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宋体" w:hAnsi="宋体" w:cs="宋体"/>
          <w:b/>
          <w:bCs/>
          <w:sz w:val="28"/>
          <w:szCs w:val="28"/>
          <w:lang w:val="en-US" w:eastAsia="zh-CN"/>
        </w:rPr>
      </w:pPr>
      <w:r>
        <w:rPr>
          <w:rFonts w:hint="eastAsia" w:ascii="宋体" w:hAnsi="宋体" w:cs="宋体"/>
          <w:b/>
          <w:bCs/>
          <w:sz w:val="28"/>
          <w:szCs w:val="28"/>
          <w:lang w:val="en-US" w:eastAsia="zh-CN"/>
        </w:rPr>
        <w:t>表1：天广能源公司零星采购技术服务需求表</w:t>
      </w:r>
    </w:p>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5700"/>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04" w:type="dxa"/>
            <w:noWrap w:val="0"/>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lang w:val="en-US" w:eastAsia="zh-CN"/>
              </w:rPr>
              <w:t>服务项目</w:t>
            </w:r>
            <w:r>
              <w:rPr>
                <w:rFonts w:hint="eastAsia" w:ascii="宋体" w:hAnsi="宋体" w:cs="宋体"/>
                <w:b/>
                <w:bCs/>
                <w:color w:val="auto"/>
                <w:kern w:val="0"/>
                <w:sz w:val="20"/>
                <w:szCs w:val="21"/>
              </w:rPr>
              <w:t>名称</w:t>
            </w:r>
          </w:p>
        </w:tc>
        <w:tc>
          <w:tcPr>
            <w:tcW w:w="5700"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广东天广能源科技发展有限公司2026年集成雷击时标记录和高精度阻性电流监测的避雷器智能表计研究项目采购</w:t>
            </w:r>
          </w:p>
        </w:tc>
        <w:tc>
          <w:tcPr>
            <w:tcW w:w="1436" w:type="dxa"/>
            <w:noWrap w:val="0"/>
            <w:vAlign w:val="center"/>
          </w:tcPr>
          <w:p>
            <w:pPr>
              <w:adjustRightInd w:val="0"/>
              <w:snapToGrid w:val="0"/>
              <w:spacing w:line="240" w:lineRule="auto"/>
              <w:jc w:val="center"/>
              <w:rPr>
                <w:rFonts w:hint="default" w:ascii="宋体" w:hAnsi="宋体" w:eastAsia="宋体" w:cs="宋体"/>
                <w:b/>
                <w:bCs/>
                <w:color w:val="auto"/>
                <w:kern w:val="0"/>
                <w:sz w:val="20"/>
                <w:szCs w:val="21"/>
                <w:lang w:val="en-US" w:eastAsia="zh-CN" w:bidi="ar-SA"/>
              </w:rPr>
            </w:pPr>
            <w:r>
              <w:rPr>
                <w:rFonts w:hint="eastAsia" w:ascii="宋体" w:hAnsi="宋体" w:eastAsia="宋体" w:cs="宋体"/>
                <w:b/>
                <w:bCs/>
                <w:color w:val="auto"/>
                <w:kern w:val="0"/>
                <w:sz w:val="20"/>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color w:val="auto"/>
                <w:spacing w:val="-1"/>
                <w:kern w:val="2"/>
                <w:sz w:val="21"/>
                <w:szCs w:val="21"/>
                <w:lang w:val="en-US" w:eastAsia="zh-CN" w:bidi="ar-SA"/>
              </w:rPr>
            </w:pPr>
            <w:r>
              <w:rPr>
                <w:rFonts w:hint="eastAsia" w:ascii="宋体" w:hAnsi="宋体" w:cs="宋体"/>
                <w:b/>
                <w:bCs/>
                <w:color w:val="auto"/>
                <w:spacing w:val="-1"/>
                <w:sz w:val="21"/>
                <w:szCs w:val="21"/>
                <w:lang w:val="en-US" w:eastAsia="zh-CN"/>
              </w:rPr>
              <w:t>项目技术要求</w:t>
            </w:r>
          </w:p>
        </w:tc>
        <w:tc>
          <w:tcPr>
            <w:tcW w:w="5700" w:type="dxa"/>
            <w:noWrap w:val="0"/>
            <w:vAlign w:val="center"/>
          </w:tcPr>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eastAsia" w:ascii="宋体" w:hAnsi="宋体" w:eastAsia="宋体" w:cs="宋体"/>
                <w:color w:val="000000"/>
                <w:sz w:val="21"/>
                <w:szCs w:val="21"/>
                <w:highlight w:val="none"/>
              </w:rPr>
            </w:pPr>
            <w:r>
              <w:rPr>
                <w:rFonts w:hint="eastAsia" w:ascii="宋体" w:hAnsi="宋体" w:eastAsia="宋体" w:cs="宋体"/>
                <w:b w:val="0"/>
                <w:bCs w:val="0"/>
                <w:color w:val="auto"/>
                <w:kern w:val="2"/>
                <w:sz w:val="21"/>
                <w:szCs w:val="21"/>
                <w:highlight w:val="none"/>
                <w:lang w:val="en-US" w:eastAsia="zh-CN" w:bidi="ar-SA"/>
              </w:rPr>
              <w:t>一、技术服务要求内容：开展集成雷击时标记录和高精度阻性电流监测的避雷器智能表计研究技术服务。</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auto"/>
                <w:kern w:val="2"/>
                <w:sz w:val="21"/>
                <w:szCs w:val="21"/>
                <w:highlight w:val="none"/>
                <w:lang w:val="en-US" w:eastAsia="zh-CN" w:bidi="ar-SA"/>
              </w:rPr>
              <w:t>1、</w:t>
            </w:r>
            <w:r>
              <w:rPr>
                <w:color w:val="000000"/>
                <w:sz w:val="21"/>
                <w:szCs w:val="21"/>
                <w:highlight w:val="none"/>
              </w:rPr>
              <w:t>带高精度时间标识的落雷事件采集模块</w:t>
            </w:r>
            <w:r>
              <w:rPr>
                <w:rFonts w:hint="eastAsia" w:ascii="宋体" w:hAnsi="宋体" w:eastAsia="宋体" w:cs="宋体"/>
                <w:b w:val="0"/>
                <w:bCs w:val="0"/>
                <w:color w:val="auto"/>
                <w:kern w:val="2"/>
                <w:sz w:val="21"/>
                <w:szCs w:val="21"/>
                <w:highlight w:val="none"/>
                <w:lang w:val="en-US" w:eastAsia="zh-CN" w:bidi="ar-SA"/>
              </w:rPr>
              <w:t>：</w:t>
            </w:r>
            <w:r>
              <w:rPr>
                <w:color w:val="000000"/>
                <w:sz w:val="21"/>
                <w:szCs w:val="21"/>
                <w:highlight w:val="none"/>
              </w:rPr>
              <w:t>内置高精度RTC时钟，毫秒级时间戳锁定每一次避雷器冲击动作；采用高频冲击电流检测回路，区分8/20μs雷电冲击与系统操作过电压，仅对真实落雷事件记录完整时间（年/月/日/时/分/秒/毫秒）、冲击电流峰值、雷击计数；本地存储不少于1000条落雷带时标事件，断电数据不丢失，支持远程调取历史雷击时序记录，匹配雷电定位系统开展故障溯源</w:t>
            </w:r>
            <w:r>
              <w:rPr>
                <w:rFonts w:hint="eastAsia" w:ascii="宋体" w:hAnsi="宋体" w:eastAsia="宋体" w:cs="宋体"/>
                <w:b w:val="0"/>
                <w:bCs w:val="0"/>
                <w:color w:val="auto"/>
                <w:kern w:val="2"/>
                <w:sz w:val="21"/>
                <w:szCs w:val="21"/>
                <w:highlight w:val="none"/>
                <w:lang w:val="en-US" w:eastAsia="zh-CN" w:bidi="ar-SA"/>
              </w:rPr>
              <w:t>。</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w:t>
            </w:r>
            <w:r>
              <w:rPr>
                <w:color w:val="000000"/>
                <w:sz w:val="21"/>
                <w:szCs w:val="21"/>
                <w:highlight w:val="none"/>
              </w:rPr>
              <w:t>高精度阻性电流实时解耦监测算法单元</w:t>
            </w:r>
            <w:r>
              <w:rPr>
                <w:rStyle w:val="7"/>
                <w:rFonts w:hint="eastAsia" w:ascii="宋体" w:hAnsi="宋体" w:eastAsia="宋体" w:cs="宋体"/>
                <w:b w:val="0"/>
                <w:bCs w:val="0"/>
                <w:color w:val="000000"/>
                <w:sz w:val="21"/>
                <w:szCs w:val="21"/>
                <w:highlight w:val="none"/>
                <w:lang w:val="en-US" w:eastAsia="zh-CN"/>
              </w:rPr>
              <w:t>：</w:t>
            </w:r>
            <w:r>
              <w:rPr>
                <w:rFonts w:hint="eastAsia"/>
                <w:color w:val="000000"/>
                <w:sz w:val="21"/>
                <w:szCs w:val="21"/>
                <w:highlight w:val="none"/>
                <w:lang w:val="en-US" w:eastAsia="zh-CN"/>
              </w:rPr>
              <w:t xml:space="preserve"> </w:t>
            </w:r>
            <w:r>
              <w:rPr>
                <w:color w:val="000000"/>
                <w:sz w:val="21"/>
                <w:szCs w:val="21"/>
                <w:highlight w:val="none"/>
              </w:rPr>
              <w:t>采用零磁通穿心互感器采集避雷器总泄漏电流，同步取PT电压相位基准信号；搭载自适应谐波</w:t>
            </w:r>
            <w:r>
              <w:rPr>
                <w:rFonts w:hint="eastAsia"/>
                <w:color w:val="000000"/>
                <w:sz w:val="21"/>
                <w:szCs w:val="21"/>
                <w:highlight w:val="none"/>
                <w:lang w:val="en-US" w:eastAsia="zh-CN"/>
              </w:rPr>
              <w:t>处理</w:t>
            </w:r>
            <w:r>
              <w:rPr>
                <w:color w:val="000000"/>
                <w:sz w:val="21"/>
                <w:szCs w:val="21"/>
                <w:highlight w:val="none"/>
              </w:rPr>
              <w:t>算法，通过傅里叶分解分离容性电流、阻性电流分量，动态消除电网谐波、相间耦合干扰，阻性电流测量精度≤±</w:t>
            </w:r>
            <w:r>
              <w:rPr>
                <w:rFonts w:hint="eastAsia"/>
                <w:color w:val="000000"/>
                <w:sz w:val="21"/>
                <w:szCs w:val="21"/>
                <w:highlight w:val="none"/>
                <w:lang w:val="en-US" w:eastAsia="zh-CN"/>
              </w:rPr>
              <w:t>5</w:t>
            </w:r>
            <w:r>
              <w:rPr>
                <w:color w:val="000000"/>
                <w:sz w:val="21"/>
                <w:szCs w:val="21"/>
                <w:highlight w:val="none"/>
              </w:rPr>
              <w:t>%；实时输出全电流、阻性电流、阻性/全电流比值三组核心数据，内置阈值判定逻辑，阻性电流超标本地就地告警并主动上传事件。</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hanging="360"/>
              <w:jc w:val="left"/>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r>
              <w:rPr>
                <w:color w:val="000000"/>
                <w:sz w:val="21"/>
                <w:szCs w:val="21"/>
                <w:highlight w:val="none"/>
              </w:rPr>
              <w:t>WAPI无线局域网+南网电鸿系统适配通讯架构</w:t>
            </w:r>
            <w:r>
              <w:rPr>
                <w:rFonts w:hint="eastAsia"/>
                <w:color w:val="000000"/>
                <w:sz w:val="21"/>
                <w:szCs w:val="21"/>
                <w:highlight w:val="none"/>
                <w:lang w:eastAsia="zh-CN"/>
              </w:rPr>
              <w:t>：</w:t>
            </w:r>
            <w:r>
              <w:rPr>
                <w:color w:val="000000"/>
                <w:sz w:val="21"/>
                <w:szCs w:val="21"/>
                <w:highlight w:val="none"/>
              </w:rPr>
              <w:t>集成电力安全WAPI无线模块，支持变电站内网加密无线接入，无需敷设485线缆，就地接入站区边缘物联代理；开发南网电鸿物联操作系统标准适配协议，遵循南网变电设备在线监测物模型规范，原生支持电鸿MQTT接入、设备身份认证、标准化数据上送</w:t>
            </w:r>
            <w:r>
              <w:rPr>
                <w:rFonts w:hint="eastAsia"/>
                <w:color w:val="000000"/>
                <w:sz w:val="21"/>
                <w:szCs w:val="21"/>
                <w:highlight w:val="none"/>
                <w:lang w:eastAsia="zh-CN"/>
              </w:rPr>
              <w:t>；</w:t>
            </w:r>
            <w:r>
              <w:rPr>
                <w:color w:val="000000"/>
                <w:sz w:val="21"/>
                <w:szCs w:val="21"/>
                <w:highlight w:val="none"/>
              </w:rPr>
              <w:t>WAPI无线</w:t>
            </w:r>
            <w:r>
              <w:rPr>
                <w:rFonts w:hint="eastAsia"/>
                <w:color w:val="000000"/>
                <w:sz w:val="21"/>
                <w:szCs w:val="21"/>
                <w:highlight w:val="none"/>
                <w:lang w:val="en-US" w:eastAsia="zh-CN"/>
              </w:rPr>
              <w:t>传输</w:t>
            </w:r>
            <w:r>
              <w:rPr>
                <w:color w:val="000000"/>
                <w:sz w:val="21"/>
                <w:szCs w:val="21"/>
                <w:highlight w:val="none"/>
              </w:rPr>
              <w:t>，数据格式兼容电鸿平台，无需第三方协议转换器，采集数据（时标落雷记录、阻性电流、设备状态）直接推送至电鸿主站，实现远程查看、趋势分析、异常推送</w:t>
            </w:r>
            <w:r>
              <w:rPr>
                <w:rFonts w:hint="eastAsia" w:ascii="宋体" w:hAnsi="宋体" w:eastAsia="宋体" w:cs="宋体"/>
                <w:b w:val="0"/>
                <w:bCs w:val="0"/>
                <w:color w:val="auto"/>
                <w:kern w:val="2"/>
                <w:sz w:val="21"/>
                <w:szCs w:val="21"/>
                <w:highlight w:val="none"/>
                <w:lang w:val="en-US" w:eastAsia="zh-CN" w:bidi="ar-SA"/>
              </w:rPr>
              <w:t>。</w:t>
            </w:r>
          </w:p>
          <w:p>
            <w:pPr>
              <w:pStyle w:val="3"/>
              <w:keepNext w:val="0"/>
              <w:keepLines w:val="0"/>
              <w:pageBreakBefore w:val="0"/>
              <w:widowControl/>
              <w:kinsoku/>
              <w:wordWrap/>
              <w:overflowPunct/>
              <w:topLinePunct w:val="0"/>
              <w:autoSpaceDE/>
              <w:autoSpaceDN/>
              <w:bidi w:val="0"/>
              <w:adjustRightInd/>
              <w:snapToGrid w:val="0"/>
              <w:spacing w:line="300" w:lineRule="auto"/>
              <w:jc w:val="both"/>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二、交付的成果</w:t>
            </w:r>
            <w:r>
              <w:rPr>
                <w:rFonts w:hint="eastAsia" w:eastAsia="宋体" w:cs="宋体"/>
                <w:b w:val="0"/>
                <w:bCs w:val="0"/>
                <w:color w:val="auto"/>
                <w:kern w:val="2"/>
                <w:sz w:val="21"/>
                <w:szCs w:val="21"/>
                <w:highlight w:val="none"/>
                <w:lang w:val="en-US" w:eastAsia="zh-CN" w:bidi="ar-SA"/>
              </w:rPr>
              <w:t>：若涉及实物需具备</w:t>
            </w:r>
            <w:r>
              <w:rPr>
                <w:rFonts w:hint="eastAsia" w:ascii="宋体" w:hAnsi="宋体" w:eastAsia="宋体" w:cs="宋体"/>
                <w:b w:val="0"/>
                <w:bCs w:val="0"/>
                <w:color w:val="auto"/>
                <w:kern w:val="2"/>
                <w:sz w:val="21"/>
                <w:szCs w:val="21"/>
                <w:highlight w:val="none"/>
                <w:lang w:val="en-US" w:eastAsia="zh-CN" w:bidi="ar-SA"/>
              </w:rPr>
              <w:t>第三方检测机构（具有CMA/CNAS等资质）校验检测</w:t>
            </w:r>
            <w:r>
              <w:rPr>
                <w:rFonts w:hint="eastAsia" w:eastAsia="宋体" w:cs="宋体"/>
                <w:b w:val="0"/>
                <w:bCs w:val="0"/>
                <w:color w:val="auto"/>
                <w:kern w:val="2"/>
                <w:sz w:val="21"/>
                <w:szCs w:val="21"/>
                <w:highlight w:val="none"/>
                <w:lang w:val="en-US" w:eastAsia="zh-CN" w:bidi="ar-SA"/>
              </w:rPr>
              <w:t>报告</w:t>
            </w:r>
            <w:r>
              <w:rPr>
                <w:rFonts w:hint="eastAsia" w:ascii="宋体" w:hAnsi="宋体" w:eastAsia="宋体" w:cs="宋体"/>
                <w:b w:val="0"/>
                <w:bCs w:val="0"/>
                <w:color w:val="auto"/>
                <w:kern w:val="2"/>
                <w:sz w:val="21"/>
                <w:szCs w:val="21"/>
                <w:highlight w:val="none"/>
                <w:lang w:val="en-US" w:eastAsia="zh-CN" w:bidi="ar-SA"/>
              </w:rPr>
              <w:t>；若</w:t>
            </w:r>
            <w:r>
              <w:rPr>
                <w:rFonts w:hint="eastAsia" w:eastAsia="宋体" w:cs="宋体"/>
                <w:b w:val="0"/>
                <w:bCs w:val="0"/>
                <w:color w:val="auto"/>
                <w:kern w:val="2"/>
                <w:sz w:val="21"/>
                <w:szCs w:val="21"/>
                <w:highlight w:val="none"/>
                <w:lang w:val="en-US" w:eastAsia="zh-CN" w:bidi="ar-SA"/>
              </w:rPr>
              <w:t>含</w:t>
            </w:r>
            <w:r>
              <w:rPr>
                <w:rFonts w:hint="eastAsia" w:ascii="宋体" w:hAnsi="宋体" w:eastAsia="宋体" w:cs="宋体"/>
                <w:b w:val="0"/>
                <w:bCs w:val="0"/>
                <w:color w:val="auto"/>
                <w:kern w:val="2"/>
                <w:sz w:val="21"/>
                <w:szCs w:val="21"/>
                <w:highlight w:val="none"/>
                <w:lang w:val="en-US" w:eastAsia="zh-CN" w:bidi="ar-SA"/>
              </w:rPr>
              <w:t>系统、软件工具</w:t>
            </w:r>
            <w:r>
              <w:rPr>
                <w:rFonts w:hint="eastAsia" w:eastAsia="宋体" w:cs="宋体"/>
                <w:b w:val="0"/>
                <w:bCs w:val="0"/>
                <w:color w:val="auto"/>
                <w:kern w:val="2"/>
                <w:sz w:val="21"/>
                <w:szCs w:val="21"/>
                <w:highlight w:val="none"/>
                <w:lang w:val="en-US" w:eastAsia="zh-CN" w:bidi="ar-SA"/>
              </w:rPr>
              <w:t>同时</w:t>
            </w:r>
            <w:r>
              <w:rPr>
                <w:rFonts w:hint="eastAsia" w:ascii="宋体" w:hAnsi="宋体" w:eastAsia="宋体" w:cs="宋体"/>
                <w:b w:val="0"/>
                <w:bCs w:val="0"/>
                <w:color w:val="auto"/>
                <w:kern w:val="2"/>
                <w:sz w:val="21"/>
                <w:szCs w:val="21"/>
                <w:highlight w:val="none"/>
                <w:lang w:val="en-US" w:eastAsia="zh-CN" w:bidi="ar-SA"/>
              </w:rPr>
              <w:t>应满足网络安全的有关要求方满足交付条件</w:t>
            </w:r>
            <w:r>
              <w:rPr>
                <w:rFonts w:hint="eastAsia" w:eastAsia="宋体" w:cs="宋体"/>
                <w:b w:val="0"/>
                <w:bCs w:val="0"/>
                <w:color w:val="auto"/>
                <w:kern w:val="2"/>
                <w:sz w:val="21"/>
                <w:szCs w:val="21"/>
                <w:highlight w:val="none"/>
                <w:lang w:val="en-US" w:eastAsia="zh-CN" w:bidi="ar-SA"/>
              </w:rPr>
              <w:t>；若涉及算法、方法研究需要具备满足要求方的相关方案、报告等交付条件。</w:t>
            </w:r>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color w:val="auto"/>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color w:val="auto"/>
                <w:spacing w:val="-1"/>
                <w:kern w:val="2"/>
                <w:sz w:val="21"/>
                <w:szCs w:val="21"/>
                <w:lang w:val="en-US" w:eastAsia="zh-CN" w:bidi="ar-SA"/>
              </w:rPr>
            </w:pPr>
            <w:r>
              <w:rPr>
                <w:rFonts w:hint="eastAsia" w:ascii="宋体" w:hAnsi="宋体" w:cs="宋体"/>
                <w:b/>
                <w:bCs/>
                <w:color w:val="auto"/>
                <w:spacing w:val="-1"/>
                <w:sz w:val="21"/>
                <w:szCs w:val="21"/>
                <w:lang w:val="en-US" w:eastAsia="zh-CN"/>
              </w:rPr>
              <w:t>项目专用资质、业绩要求</w:t>
            </w:r>
          </w:p>
        </w:tc>
        <w:tc>
          <w:tcPr>
            <w:tcW w:w="5700" w:type="dxa"/>
            <w:noWrap w:val="0"/>
            <w:vAlign w:val="center"/>
          </w:tcPr>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报价方应有技术创新服务要求的研究、开发、加工及技术服务等近三年类似或相关的业绩。</w:t>
            </w:r>
          </w:p>
        </w:tc>
        <w:tc>
          <w:tcPr>
            <w:tcW w:w="1436" w:type="dxa"/>
            <w:noWrap w:val="0"/>
            <w:vAlign w:val="center"/>
          </w:tcPr>
          <w:p>
            <w:pPr>
              <w:spacing w:line="360" w:lineRule="auto"/>
              <w:rPr>
                <w:rFonts w:hint="eastAsia" w:ascii="宋体" w:hAnsi="宋体" w:cs="宋体"/>
                <w:color w:val="auto"/>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color w:val="auto"/>
                <w:spacing w:val="-1"/>
                <w:kern w:val="2"/>
                <w:sz w:val="21"/>
                <w:szCs w:val="21"/>
                <w:lang w:val="en-US" w:eastAsia="zh-CN" w:bidi="ar-SA"/>
              </w:rPr>
            </w:pPr>
            <w:r>
              <w:rPr>
                <w:rFonts w:hint="eastAsia" w:ascii="宋体" w:hAnsi="宋体" w:cs="宋体"/>
                <w:color w:val="auto"/>
                <w:spacing w:val="-1"/>
                <w:sz w:val="21"/>
                <w:szCs w:val="21"/>
                <w:lang w:val="en-US" w:eastAsia="zh-CN"/>
              </w:rPr>
              <w:t xml:space="preserve"> </w:t>
            </w:r>
            <w:r>
              <w:rPr>
                <w:rFonts w:hint="eastAsia" w:ascii="宋体" w:hAnsi="宋体" w:cs="宋体"/>
                <w:b/>
                <w:bCs/>
                <w:color w:val="auto"/>
                <w:spacing w:val="-1"/>
                <w:sz w:val="21"/>
                <w:szCs w:val="21"/>
                <w:lang w:val="en-US" w:eastAsia="zh-CN"/>
              </w:rPr>
              <w:t>售后服务要求</w:t>
            </w:r>
          </w:p>
        </w:tc>
        <w:tc>
          <w:tcPr>
            <w:tcW w:w="5700" w:type="dxa"/>
            <w:noWrap w:val="0"/>
            <w:vAlign w:val="center"/>
          </w:tcPr>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1、发票要求：报价单位提供符合规定税率的增值税专用发票。</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2、质保期及售后服务响应要求：质保期不少于12个月，质保期内有任何质量问题将免费进行售后服务；售后服务的响应时间在48小时内，并提供技术支持。</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3、服务时间及地点要求：服务时间为自确定服务商之日起至2026年11月30日，服务地点为广东省广州市天河区天河路116号广东天广能源科技发展有限公司。</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4、运输要求：若本次项目中涉及到材料运输，全部运输费用由报价单位承担。</w:t>
            </w:r>
          </w:p>
          <w:p>
            <w:pPr>
              <w:keepNext w:val="0"/>
              <w:keepLines w:val="0"/>
              <w:pageBreakBefore w:val="0"/>
              <w:widowControl w:val="0"/>
              <w:kinsoku/>
              <w:wordWrap/>
              <w:overflowPunct/>
              <w:topLinePunct w:val="0"/>
              <w:autoSpaceDE/>
              <w:autoSpaceDN/>
              <w:bidi w:val="0"/>
              <w:adjustRightInd/>
              <w:snapToGrid w:val="0"/>
              <w:spacing w:line="300" w:lineRule="auto"/>
              <w:textAlignment w:val="auto"/>
              <w:rPr>
                <w:rFonts w:hint="default"/>
                <w:color w:val="auto"/>
                <w:lang w:val="en-US" w:eastAsia="zh-CN"/>
              </w:rPr>
            </w:pPr>
            <w:r>
              <w:rPr>
                <w:rFonts w:hint="eastAsia" w:ascii="宋体" w:hAnsi="宋体" w:eastAsia="宋体" w:cs="宋体"/>
                <w:color w:val="auto"/>
                <w:lang w:val="en-US" w:eastAsia="zh-CN"/>
              </w:rPr>
              <w:t>5、该项目在通过验收后，以实际开展细项一次性支付报价方费用，在收到报价方发票45个工作日完成支付。</w:t>
            </w:r>
          </w:p>
        </w:tc>
        <w:tc>
          <w:tcPr>
            <w:tcW w:w="1436" w:type="dxa"/>
            <w:noWrap w:val="0"/>
            <w:vAlign w:val="center"/>
          </w:tcPr>
          <w:p>
            <w:pPr>
              <w:spacing w:line="360" w:lineRule="auto"/>
              <w:rPr>
                <w:rFonts w:hint="eastAsia" w:ascii="宋体" w:hAnsi="宋体" w:cs="宋体"/>
                <w:color w:val="auto"/>
                <w:spacing w:val="-1"/>
                <w:szCs w:val="21"/>
                <w:lang w:val="en-US" w:eastAsia="zh-CN"/>
              </w:rPr>
            </w:pPr>
          </w:p>
        </w:tc>
      </w:tr>
    </w:tbl>
    <w:p>
      <w:pPr>
        <w:pStyle w:val="2"/>
        <w:rPr>
          <w:rFonts w:hint="default" w:ascii="宋体" w:hAnsi="宋体" w:eastAsia="宋体" w:cs="宋体"/>
          <w:color w:val="auto"/>
          <w:sz w:val="21"/>
          <w:szCs w:val="21"/>
          <w:lang w:val="en-US"/>
        </w:rPr>
      </w:pPr>
    </w:p>
    <w:p>
      <w:pPr>
        <w:rPr>
          <w:rFonts w:hint="default" w:ascii="宋体" w:hAnsi="宋体" w:eastAsia="宋体" w:cs="宋体"/>
          <w:color w:val="auto"/>
          <w:sz w:val="21"/>
          <w:szCs w:val="21"/>
          <w:lang w:val="en-US"/>
        </w:rPr>
      </w:pPr>
    </w:p>
    <w:p>
      <w:pPr>
        <w:pStyle w:val="2"/>
        <w:rPr>
          <w:rFonts w:hint="default" w:ascii="宋体" w:hAnsi="宋体" w:eastAsia="宋体" w:cs="宋体"/>
          <w:color w:val="auto"/>
          <w:sz w:val="21"/>
          <w:szCs w:val="21"/>
          <w:lang w:val="en-US"/>
        </w:rPr>
      </w:pPr>
    </w:p>
    <w:p>
      <w:pPr>
        <w:rPr>
          <w:rFonts w:hint="default" w:ascii="宋体" w:hAnsi="宋体" w:eastAsia="宋体" w:cs="宋体"/>
          <w:color w:val="auto"/>
          <w:sz w:val="21"/>
          <w:szCs w:val="21"/>
          <w:lang w:val="en-US"/>
        </w:rPr>
      </w:pPr>
      <w:bookmarkStart w:id="0" w:name="_GoBack"/>
      <w:bookmarkEnd w:id="0"/>
    </w:p>
    <w:p>
      <w:pPr>
        <w:pStyle w:val="2"/>
        <w:rPr>
          <w:rFonts w:hint="default"/>
          <w:lang w:val="en-US"/>
        </w:rPr>
      </w:pPr>
    </w:p>
    <w:p>
      <w:pPr>
        <w:jc w:val="center"/>
        <w:rPr>
          <w:rFonts w:hint="eastAsia" w:ascii="宋体" w:hAnsi="宋体" w:cs="宋体"/>
          <w:b/>
          <w:bCs/>
          <w:sz w:val="28"/>
          <w:szCs w:val="28"/>
          <w:highlight w:val="yellow"/>
          <w:lang w:val="en-US" w:eastAsia="zh-CN"/>
        </w:rPr>
      </w:pPr>
      <w:r>
        <w:rPr>
          <w:rFonts w:hint="eastAsia" w:ascii="宋体" w:hAnsi="宋体" w:cs="宋体"/>
          <w:b/>
          <w:bCs/>
          <w:sz w:val="28"/>
          <w:szCs w:val="28"/>
          <w:lang w:val="en-US" w:eastAsia="zh-CN"/>
        </w:rPr>
        <w:t>表2：天广能源公司零星采购技术服务报价表</w:t>
      </w:r>
    </w:p>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含税</w:t>
            </w: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含税</w:t>
            </w: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1</w:t>
            </w:r>
          </w:p>
        </w:tc>
        <w:tc>
          <w:tcPr>
            <w:tcW w:w="2409"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rPr>
              <w:t>材料费</w:t>
            </w:r>
          </w:p>
        </w:tc>
        <w:tc>
          <w:tcPr>
            <w:tcW w:w="732"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项</w:t>
            </w:r>
          </w:p>
        </w:tc>
        <w:tc>
          <w:tcPr>
            <w:tcW w:w="917"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eastAsiaTheme="minorEastAsia"/>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2</w:t>
            </w:r>
          </w:p>
        </w:tc>
        <w:tc>
          <w:tcPr>
            <w:tcW w:w="2409" w:type="dxa"/>
            <w:noWrap w:val="0"/>
            <w:vAlign w:val="center"/>
          </w:tcPr>
          <w:p>
            <w:pPr>
              <w:jc w:val="center"/>
              <w:rPr>
                <w:rFonts w:hint="eastAsia" w:ascii="宋体" w:hAnsi="宋体"/>
                <w:color w:val="auto"/>
                <w:szCs w:val="21"/>
                <w:highlight w:val="none"/>
                <w:lang w:val="en-US" w:eastAsia="zh-CN"/>
              </w:rPr>
            </w:pPr>
            <w:r>
              <w:rPr>
                <w:rFonts w:hint="eastAsia" w:ascii="宋体" w:hAnsi="宋体"/>
                <w:color w:val="auto"/>
                <w:szCs w:val="21"/>
                <w:highlight w:val="none"/>
              </w:rPr>
              <w:t>测试化验加工费</w:t>
            </w:r>
          </w:p>
        </w:tc>
        <w:tc>
          <w:tcPr>
            <w:tcW w:w="732" w:type="dxa"/>
            <w:noWrap w:val="0"/>
            <w:vAlign w:val="center"/>
          </w:tcPr>
          <w:p>
            <w:pPr>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项</w:t>
            </w:r>
          </w:p>
        </w:tc>
        <w:tc>
          <w:tcPr>
            <w:tcW w:w="917" w:type="dxa"/>
            <w:noWrap w:val="0"/>
            <w:vAlign w:val="center"/>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4"/>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合计（含税）</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40" w:type="dxa"/>
            <w:gridSpan w:val="7"/>
            <w:noWrap w:val="0"/>
            <w:vAlign w:val="center"/>
          </w:tcPr>
          <w:p>
            <w:pPr>
              <w:tabs>
                <w:tab w:val="left" w:pos="3781"/>
              </w:tabs>
              <w:adjustRightInd w:val="0"/>
              <w:snapToGrid w:val="0"/>
              <w:spacing w:line="240" w:lineRule="auto"/>
              <w:jc w:val="left"/>
              <w:rPr>
                <w:rFonts w:hint="eastAsia"/>
                <w:lang w:val="en-US" w:eastAsia="zh-CN"/>
              </w:rPr>
            </w:pPr>
            <w:r>
              <w:rPr>
                <w:rFonts w:hint="eastAsia"/>
                <w:lang w:val="en-US" w:eastAsia="zh-CN"/>
              </w:rPr>
              <w:t>注：1、若单价和总价有差异，以单价为准；报价方为执行本项目所发生的其他一切费用（如</w:t>
            </w:r>
            <w:r>
              <w:rPr>
                <w:rFonts w:hint="eastAsia"/>
              </w:rPr>
              <w:t>材</w:t>
            </w:r>
            <w:r>
              <w:rPr>
                <w:rFonts w:hint="eastAsia"/>
                <w:lang w:val="en-US" w:eastAsia="zh-CN"/>
              </w:rPr>
              <w:t>料运输费用等）均已包含在总价中；</w:t>
            </w:r>
          </w:p>
          <w:p>
            <w:pPr>
              <w:tabs>
                <w:tab w:val="left" w:pos="3781"/>
              </w:tabs>
              <w:adjustRightInd w:val="0"/>
              <w:snapToGrid w:val="0"/>
              <w:spacing w:line="240" w:lineRule="auto"/>
              <w:ind w:firstLine="420" w:firstLineChars="200"/>
              <w:jc w:val="left"/>
              <w:rPr>
                <w:rFonts w:hint="default"/>
                <w:lang w:val="en-US" w:eastAsia="zh-CN"/>
              </w:rPr>
            </w:pPr>
            <w:r>
              <w:rPr>
                <w:rFonts w:hint="eastAsia"/>
                <w:lang w:val="en-US" w:eastAsia="zh-CN"/>
              </w:rPr>
              <w:t>2、请严格按照格式填写。</w:t>
            </w:r>
          </w:p>
        </w:tc>
      </w:tr>
    </w:tbl>
    <w:p>
      <w:pPr>
        <w:spacing w:line="360" w:lineRule="auto"/>
        <w:rPr>
          <w:rFonts w:hint="eastAsia" w:ascii="宋体" w:hAnsi="宋体" w:cs="宋体"/>
          <w:spacing w:val="-1"/>
          <w:szCs w:val="21"/>
        </w:rPr>
      </w:pPr>
    </w:p>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pStyle w:val="3"/>
        <w:rPr>
          <w:rFonts w:hint="default"/>
          <w:lang w:val="en-US" w:eastAsia="zh-CN"/>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D3D60"/>
    <w:multiLevelType w:val="multilevel"/>
    <w:tmpl w:val="B91D3D6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597CDC"/>
    <w:rsid w:val="002928DE"/>
    <w:rsid w:val="00F541A3"/>
    <w:rsid w:val="012B6127"/>
    <w:rsid w:val="01A377BE"/>
    <w:rsid w:val="01EF65B9"/>
    <w:rsid w:val="026A3D04"/>
    <w:rsid w:val="03AB2112"/>
    <w:rsid w:val="0469124B"/>
    <w:rsid w:val="04834F9E"/>
    <w:rsid w:val="054A784B"/>
    <w:rsid w:val="055B4057"/>
    <w:rsid w:val="05E7258C"/>
    <w:rsid w:val="072510C4"/>
    <w:rsid w:val="079274FA"/>
    <w:rsid w:val="07F43D1B"/>
    <w:rsid w:val="08595C3E"/>
    <w:rsid w:val="08B73A59"/>
    <w:rsid w:val="08E510A5"/>
    <w:rsid w:val="0A565A84"/>
    <w:rsid w:val="0A9A0077"/>
    <w:rsid w:val="0AC86CBC"/>
    <w:rsid w:val="0ADA341F"/>
    <w:rsid w:val="0E1764AF"/>
    <w:rsid w:val="0EC67EA2"/>
    <w:rsid w:val="100214D2"/>
    <w:rsid w:val="115A7505"/>
    <w:rsid w:val="1190415C"/>
    <w:rsid w:val="12224D50"/>
    <w:rsid w:val="127D4165"/>
    <w:rsid w:val="139F773F"/>
    <w:rsid w:val="143372EF"/>
    <w:rsid w:val="15B13CA7"/>
    <w:rsid w:val="160C7839"/>
    <w:rsid w:val="167D4675"/>
    <w:rsid w:val="17B730F8"/>
    <w:rsid w:val="17ED1F4D"/>
    <w:rsid w:val="1831173C"/>
    <w:rsid w:val="184C35EB"/>
    <w:rsid w:val="188005C2"/>
    <w:rsid w:val="19AE79AF"/>
    <w:rsid w:val="19B760C0"/>
    <w:rsid w:val="19CC487B"/>
    <w:rsid w:val="19D55670"/>
    <w:rsid w:val="1A19705E"/>
    <w:rsid w:val="1A293A7B"/>
    <w:rsid w:val="1A302507"/>
    <w:rsid w:val="1B1430BE"/>
    <w:rsid w:val="1B155FFD"/>
    <w:rsid w:val="1BA70DEF"/>
    <w:rsid w:val="1BCC11CE"/>
    <w:rsid w:val="1BD318B3"/>
    <w:rsid w:val="1BFA7574"/>
    <w:rsid w:val="1CDE68ED"/>
    <w:rsid w:val="1D3D4708"/>
    <w:rsid w:val="1DA4269A"/>
    <w:rsid w:val="1E9D55C9"/>
    <w:rsid w:val="1EB76A37"/>
    <w:rsid w:val="1FC508AF"/>
    <w:rsid w:val="20143EB1"/>
    <w:rsid w:val="217A6C7B"/>
    <w:rsid w:val="21D5764F"/>
    <w:rsid w:val="220B1571"/>
    <w:rsid w:val="22472B4C"/>
    <w:rsid w:val="23AA6F10"/>
    <w:rsid w:val="244B3216"/>
    <w:rsid w:val="246B4DD0"/>
    <w:rsid w:val="259D2BC3"/>
    <w:rsid w:val="25A228CE"/>
    <w:rsid w:val="25DD39AD"/>
    <w:rsid w:val="26BB1EFF"/>
    <w:rsid w:val="26DC7781"/>
    <w:rsid w:val="27FA04A4"/>
    <w:rsid w:val="291D7302"/>
    <w:rsid w:val="2A0F210D"/>
    <w:rsid w:val="2B6D334E"/>
    <w:rsid w:val="2BD17256"/>
    <w:rsid w:val="2C006140"/>
    <w:rsid w:val="2C5348C6"/>
    <w:rsid w:val="2CEF7FC7"/>
    <w:rsid w:val="2D24719C"/>
    <w:rsid w:val="2D607001"/>
    <w:rsid w:val="2DA31A28"/>
    <w:rsid w:val="2DD76C40"/>
    <w:rsid w:val="2DFC4C81"/>
    <w:rsid w:val="2EDF0755"/>
    <w:rsid w:val="2F537431"/>
    <w:rsid w:val="2F7553E7"/>
    <w:rsid w:val="2F922799"/>
    <w:rsid w:val="2FBB4D1E"/>
    <w:rsid w:val="304F63CF"/>
    <w:rsid w:val="309D614E"/>
    <w:rsid w:val="30A04ED5"/>
    <w:rsid w:val="312144D4"/>
    <w:rsid w:val="3187194F"/>
    <w:rsid w:val="31A002FB"/>
    <w:rsid w:val="32A81A27"/>
    <w:rsid w:val="32C41357"/>
    <w:rsid w:val="32CE54EA"/>
    <w:rsid w:val="339B5B37"/>
    <w:rsid w:val="341A3E87"/>
    <w:rsid w:val="342A2472"/>
    <w:rsid w:val="34A30568"/>
    <w:rsid w:val="35704438"/>
    <w:rsid w:val="371B2276"/>
    <w:rsid w:val="37790091"/>
    <w:rsid w:val="38CB41BA"/>
    <w:rsid w:val="38EF24C3"/>
    <w:rsid w:val="396315E3"/>
    <w:rsid w:val="39C944DB"/>
    <w:rsid w:val="39D71CF8"/>
    <w:rsid w:val="3ABA0584"/>
    <w:rsid w:val="3AC220F7"/>
    <w:rsid w:val="3BF511EF"/>
    <w:rsid w:val="3CC86FC9"/>
    <w:rsid w:val="3DDB2309"/>
    <w:rsid w:val="3E2D0A8E"/>
    <w:rsid w:val="3ECA4190"/>
    <w:rsid w:val="3F210422"/>
    <w:rsid w:val="3FB76397"/>
    <w:rsid w:val="40B75F3A"/>
    <w:rsid w:val="412020E6"/>
    <w:rsid w:val="414E2E84"/>
    <w:rsid w:val="416A1261"/>
    <w:rsid w:val="41B749A3"/>
    <w:rsid w:val="41F9564C"/>
    <w:rsid w:val="41FD4053"/>
    <w:rsid w:val="422B389D"/>
    <w:rsid w:val="42573468"/>
    <w:rsid w:val="43192030"/>
    <w:rsid w:val="45693CEF"/>
    <w:rsid w:val="45BF33F9"/>
    <w:rsid w:val="45C1181B"/>
    <w:rsid w:val="45CC5F92"/>
    <w:rsid w:val="460B5A77"/>
    <w:rsid w:val="470C691E"/>
    <w:rsid w:val="472B3950"/>
    <w:rsid w:val="47652830"/>
    <w:rsid w:val="48916F84"/>
    <w:rsid w:val="48D37C40"/>
    <w:rsid w:val="49EC47D8"/>
    <w:rsid w:val="4A5A4E0C"/>
    <w:rsid w:val="4D240950"/>
    <w:rsid w:val="4E845CFF"/>
    <w:rsid w:val="4F2214E2"/>
    <w:rsid w:val="4F356FB6"/>
    <w:rsid w:val="4F4246BC"/>
    <w:rsid w:val="51A92185"/>
    <w:rsid w:val="52971E0E"/>
    <w:rsid w:val="529E7394"/>
    <w:rsid w:val="52BC45CC"/>
    <w:rsid w:val="52F30EA2"/>
    <w:rsid w:val="53E804B6"/>
    <w:rsid w:val="54774E08"/>
    <w:rsid w:val="55A64F94"/>
    <w:rsid w:val="55B72CB0"/>
    <w:rsid w:val="55E97E50"/>
    <w:rsid w:val="567E3972"/>
    <w:rsid w:val="5716066D"/>
    <w:rsid w:val="57E532C4"/>
    <w:rsid w:val="58982D68"/>
    <w:rsid w:val="593B2894"/>
    <w:rsid w:val="597C465F"/>
    <w:rsid w:val="5A933E27"/>
    <w:rsid w:val="5A9418A9"/>
    <w:rsid w:val="5B507A5E"/>
    <w:rsid w:val="5C005AAB"/>
    <w:rsid w:val="5C936DF0"/>
    <w:rsid w:val="5C99060D"/>
    <w:rsid w:val="5CA31609"/>
    <w:rsid w:val="5D7E2271"/>
    <w:rsid w:val="5D831BD2"/>
    <w:rsid w:val="5DF85EA9"/>
    <w:rsid w:val="5E045D4D"/>
    <w:rsid w:val="5E824AD5"/>
    <w:rsid w:val="5EFA0B0F"/>
    <w:rsid w:val="5F5046EA"/>
    <w:rsid w:val="5F592DFB"/>
    <w:rsid w:val="5FC6342F"/>
    <w:rsid w:val="5FEE102E"/>
    <w:rsid w:val="601879B6"/>
    <w:rsid w:val="606673D1"/>
    <w:rsid w:val="60BB34A5"/>
    <w:rsid w:val="61910388"/>
    <w:rsid w:val="624A3E3D"/>
    <w:rsid w:val="641B7C1C"/>
    <w:rsid w:val="659D0447"/>
    <w:rsid w:val="65A705D2"/>
    <w:rsid w:val="66E747E1"/>
    <w:rsid w:val="67080599"/>
    <w:rsid w:val="67095D94"/>
    <w:rsid w:val="67CB129B"/>
    <w:rsid w:val="68387BF1"/>
    <w:rsid w:val="68A35DBC"/>
    <w:rsid w:val="6C0701E0"/>
    <w:rsid w:val="6C2F630D"/>
    <w:rsid w:val="6C7F158F"/>
    <w:rsid w:val="6CA9785E"/>
    <w:rsid w:val="6CD75CBE"/>
    <w:rsid w:val="6E070112"/>
    <w:rsid w:val="6E5F07A0"/>
    <w:rsid w:val="6E7177C1"/>
    <w:rsid w:val="6E775E47"/>
    <w:rsid w:val="6E8354DD"/>
    <w:rsid w:val="6EA60413"/>
    <w:rsid w:val="703F6AB7"/>
    <w:rsid w:val="70A01FD4"/>
    <w:rsid w:val="718F76DE"/>
    <w:rsid w:val="722A7CFA"/>
    <w:rsid w:val="72B868C0"/>
    <w:rsid w:val="73476A2F"/>
    <w:rsid w:val="73A103C3"/>
    <w:rsid w:val="74597CDC"/>
    <w:rsid w:val="75032589"/>
    <w:rsid w:val="757C02BA"/>
    <w:rsid w:val="7780039E"/>
    <w:rsid w:val="780F0F07"/>
    <w:rsid w:val="781C169F"/>
    <w:rsid w:val="78794C97"/>
    <w:rsid w:val="789B436E"/>
    <w:rsid w:val="79797227"/>
    <w:rsid w:val="799F4B15"/>
    <w:rsid w:val="79CF0EE8"/>
    <w:rsid w:val="7A5720C5"/>
    <w:rsid w:val="7A7C6A82"/>
    <w:rsid w:val="7A8837E5"/>
    <w:rsid w:val="7AB718EC"/>
    <w:rsid w:val="7B3F45C1"/>
    <w:rsid w:val="7DC55265"/>
    <w:rsid w:val="7E514E49"/>
    <w:rsid w:val="7EDB4DAD"/>
    <w:rsid w:val="7F327A56"/>
    <w:rsid w:val="7F9709E3"/>
    <w:rsid w:val="7FCE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kern w:val="0"/>
    </w:rPr>
  </w:style>
  <w:style w:type="paragraph" w:styleId="3">
    <w:name w:val="Title"/>
    <w:basedOn w:val="1"/>
    <w:next w:val="1"/>
    <w:qFormat/>
    <w:uiPriority w:val="0"/>
    <w:pPr>
      <w:widowControl/>
      <w:spacing w:line="660" w:lineRule="exact"/>
      <w:jc w:val="center"/>
      <w:outlineLvl w:val="0"/>
    </w:pPr>
    <w:rPr>
      <w:rFonts w:ascii="宋体" w:hAnsi="宋体" w:cs="Arial"/>
      <w:b/>
      <w:bCs/>
      <w:sz w:val="44"/>
      <w:szCs w:val="32"/>
    </w:rPr>
  </w:style>
  <w:style w:type="table" w:styleId="5">
    <w:name w:val="Table Grid"/>
    <w:basedOn w:val="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881</Words>
  <Characters>897</Characters>
  <Lines>0</Lines>
  <Paragraphs>0</Paragraphs>
  <TotalTime>0</TotalTime>
  <ScaleCrop>false</ScaleCrop>
  <LinksUpToDate>false</LinksUpToDate>
  <CharactersWithSpaces>952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2025-04-01T03:57:00Z</dcterms:created>
  <dc:creator>Administrator</dc:creator>
  <cp:lastModifiedBy>lichao1</cp:lastModifiedBy>
  <dcterms:modified xsi:type="dcterms:W3CDTF">2026-09-22T13:08:37Z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CDC09E4ED8B9467090E6C1C623DA8839</vt:lpwstr>
  </property>
  <property fmtid="{D5CDD505-2E9C-101B-9397-08002B2CF9AE}" pid="4" name="KSOTemplateDocerSaveRecord">
    <vt:lpwstr>eyJoZGlkIjoiMzEwNTM5NzYwMDRjMzkwZTVkZjY2ODkwMGIxNGU0OTUiLCJ1c2VySWQiOiIzNzQ3Nzg4MDMifQ==</vt:lpwstr>
  </property>
</Properties>
</file>