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宋体" w:hAnsi="宋体" w:cs="宋体"/>
          <w:b/>
          <w:bCs/>
          <w:sz w:val="28"/>
          <w:szCs w:val="28"/>
          <w:lang w:val="en-US" w:eastAsia="zh-CN"/>
        </w:rPr>
      </w:pPr>
      <w:r>
        <w:rPr>
          <w:rFonts w:hint="eastAsia" w:ascii="宋体" w:hAnsi="宋体" w:cs="宋体"/>
          <w:b/>
          <w:bCs/>
          <w:sz w:val="28"/>
          <w:szCs w:val="28"/>
          <w:lang w:val="en-US" w:eastAsia="zh-CN"/>
        </w:rPr>
        <w:t>表1：天广能源公司零星采购技术服务需求表</w:t>
      </w:r>
    </w:p>
    <w:tbl>
      <w:tblPr>
        <w:tblStyle w:val="5"/>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5700"/>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704" w:type="dxa"/>
            <w:noWrap w:val="0"/>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lang w:val="en-US" w:eastAsia="zh-CN"/>
              </w:rPr>
              <w:t>服务项目</w:t>
            </w:r>
            <w:r>
              <w:rPr>
                <w:rFonts w:hint="eastAsia" w:ascii="宋体" w:hAnsi="宋体" w:cs="宋体"/>
                <w:b/>
                <w:bCs/>
                <w:color w:val="auto"/>
                <w:kern w:val="0"/>
                <w:sz w:val="20"/>
                <w:szCs w:val="21"/>
              </w:rPr>
              <w:t>名称</w:t>
            </w:r>
          </w:p>
        </w:tc>
        <w:tc>
          <w:tcPr>
            <w:tcW w:w="5700" w:type="dxa"/>
            <w:noWrap w:val="0"/>
            <w:vAlign w:val="center"/>
          </w:tcPr>
          <w:p>
            <w:pPr>
              <w:keepNext w:val="0"/>
              <w:keepLines w:val="0"/>
              <w:pageBreakBefore w:val="0"/>
              <w:widowControl w:val="0"/>
              <w:numPr>
                <w:ilvl w:val="0"/>
                <w:numId w:val="0"/>
              </w:numPr>
              <w:kinsoku/>
              <w:wordWrap/>
              <w:overflowPunct/>
              <w:topLinePunct w:val="0"/>
              <w:autoSpaceDE/>
              <w:autoSpaceDN/>
              <w:bidi w:val="0"/>
              <w:spacing w:line="24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广东天广能源科技发展有限公司2026年</w:t>
            </w:r>
            <w:r>
              <w:rPr>
                <w:rFonts w:hint="eastAsia"/>
                <w:szCs w:val="21"/>
              </w:rPr>
              <w:t>基于激光融合光谱的自校准免维护油浸电力设备油中气体在线监测技术的研究</w:t>
            </w:r>
            <w:r>
              <w:rPr>
                <w:rFonts w:hint="eastAsia" w:ascii="宋体" w:hAnsi="宋体" w:eastAsia="宋体" w:cs="宋体"/>
                <w:b w:val="0"/>
                <w:bCs w:val="0"/>
                <w:color w:val="auto"/>
                <w:sz w:val="21"/>
                <w:szCs w:val="21"/>
                <w:highlight w:val="none"/>
                <w:lang w:val="en-US" w:eastAsia="zh-CN"/>
              </w:rPr>
              <w:t>项目采购</w:t>
            </w:r>
          </w:p>
        </w:tc>
        <w:tc>
          <w:tcPr>
            <w:tcW w:w="1436" w:type="dxa"/>
            <w:noWrap w:val="0"/>
            <w:vAlign w:val="center"/>
          </w:tcPr>
          <w:p>
            <w:pPr>
              <w:adjustRightInd w:val="0"/>
              <w:snapToGrid w:val="0"/>
              <w:spacing w:line="240" w:lineRule="auto"/>
              <w:jc w:val="center"/>
              <w:rPr>
                <w:rFonts w:hint="default" w:ascii="宋体" w:hAnsi="宋体" w:eastAsia="宋体" w:cs="宋体"/>
                <w:b/>
                <w:bCs/>
                <w:color w:val="auto"/>
                <w:kern w:val="0"/>
                <w:sz w:val="20"/>
                <w:szCs w:val="21"/>
                <w:lang w:val="en-US" w:eastAsia="zh-CN" w:bidi="ar-SA"/>
              </w:rPr>
            </w:pPr>
            <w:r>
              <w:rPr>
                <w:rFonts w:hint="eastAsia" w:ascii="宋体" w:hAnsi="宋体" w:eastAsia="宋体" w:cs="宋体"/>
                <w:b/>
                <w:bCs/>
                <w:color w:val="auto"/>
                <w:kern w:val="0"/>
                <w:sz w:val="20"/>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color w:val="auto"/>
                <w:spacing w:val="-1"/>
                <w:kern w:val="2"/>
                <w:sz w:val="21"/>
                <w:szCs w:val="21"/>
                <w:lang w:val="en-US" w:eastAsia="zh-CN" w:bidi="ar-SA"/>
              </w:rPr>
            </w:pPr>
            <w:r>
              <w:rPr>
                <w:rFonts w:hint="eastAsia" w:ascii="宋体" w:hAnsi="宋体" w:cs="宋体"/>
                <w:b/>
                <w:bCs/>
                <w:color w:val="auto"/>
                <w:spacing w:val="-1"/>
                <w:sz w:val="21"/>
                <w:szCs w:val="21"/>
                <w:lang w:val="en-US" w:eastAsia="zh-CN"/>
              </w:rPr>
              <w:t>项目技术要求</w:t>
            </w:r>
          </w:p>
        </w:tc>
        <w:tc>
          <w:tcPr>
            <w:tcW w:w="5700" w:type="dxa"/>
            <w:noWrap w:val="0"/>
            <w:vAlign w:val="center"/>
          </w:tcPr>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right="0" w:hanging="360"/>
              <w:jc w:val="left"/>
              <w:textAlignment w:val="auto"/>
              <w:rPr>
                <w:rFonts w:hint="eastAsia" w:ascii="宋体" w:hAnsi="宋体" w:eastAsia="宋体" w:cs="宋体"/>
                <w:color w:val="000000"/>
                <w:sz w:val="21"/>
                <w:szCs w:val="21"/>
                <w:highlight w:val="none"/>
              </w:rPr>
            </w:pPr>
            <w:r>
              <w:rPr>
                <w:rFonts w:hint="eastAsia" w:ascii="宋体" w:hAnsi="宋体" w:eastAsia="宋体" w:cs="宋体"/>
                <w:b w:val="0"/>
                <w:bCs w:val="0"/>
                <w:color w:val="auto"/>
                <w:kern w:val="2"/>
                <w:sz w:val="21"/>
                <w:szCs w:val="21"/>
                <w:highlight w:val="none"/>
                <w:lang w:val="en-US" w:eastAsia="zh-CN" w:bidi="ar-SA"/>
              </w:rPr>
              <w:t>一、技术服务要求内容：开展</w:t>
            </w:r>
            <w:r>
              <w:rPr>
                <w:rFonts w:hint="eastAsia"/>
                <w:szCs w:val="21"/>
              </w:rPr>
              <w:t>基于激光融合光谱的自校准免维护油浸电力设备油中气体在线监测技术的研究</w:t>
            </w:r>
            <w:r>
              <w:rPr>
                <w:rFonts w:hint="eastAsia" w:ascii="宋体" w:hAnsi="宋体" w:eastAsia="宋体" w:cs="宋体"/>
                <w:b w:val="0"/>
                <w:bCs w:val="0"/>
                <w:color w:val="auto"/>
                <w:kern w:val="2"/>
                <w:sz w:val="21"/>
                <w:szCs w:val="21"/>
                <w:highlight w:val="none"/>
                <w:lang w:val="en-US" w:eastAsia="zh-CN" w:bidi="ar-SA"/>
              </w:rPr>
              <w:t>技术服务。</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right="0" w:hanging="360"/>
              <w:jc w:val="left"/>
              <w:textAlignment w:va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auto"/>
                <w:kern w:val="2"/>
                <w:sz w:val="21"/>
                <w:szCs w:val="21"/>
                <w:highlight w:val="none"/>
                <w:lang w:val="en-US" w:eastAsia="zh-CN" w:bidi="ar-SA"/>
              </w:rPr>
              <w:t>1、</w:t>
            </w:r>
            <w:r>
              <w:rPr>
                <w:rFonts w:hint="eastAsia"/>
                <w:szCs w:val="21"/>
                <w:highlight w:val="none"/>
              </w:rPr>
              <w:t>基于多波长可调谐激光器的高精度检测系统软件算法研究</w:t>
            </w:r>
            <w:r>
              <w:rPr>
                <w:rFonts w:hint="eastAsia" w:ascii="宋体" w:hAnsi="宋体" w:eastAsia="宋体" w:cs="宋体"/>
                <w:b w:val="0"/>
                <w:bCs w:val="0"/>
                <w:color w:val="auto"/>
                <w:kern w:val="2"/>
                <w:sz w:val="21"/>
                <w:szCs w:val="21"/>
                <w:highlight w:val="none"/>
                <w:lang w:val="en-US" w:eastAsia="zh-CN" w:bidi="ar-SA"/>
              </w:rPr>
              <w:t>：</w:t>
            </w:r>
            <w:r>
              <w:rPr>
                <w:rFonts w:hint="eastAsia"/>
                <w:szCs w:val="21"/>
                <w:highlight w:val="none"/>
              </w:rPr>
              <w:t>基于国产化多波长可调谐激光器</w:t>
            </w:r>
            <w:r>
              <w:rPr>
                <w:rFonts w:hint="eastAsia"/>
                <w:szCs w:val="21"/>
                <w:highlight w:val="none"/>
                <w:lang w:eastAsia="zh-CN"/>
              </w:rPr>
              <w:t>，</w:t>
            </w:r>
            <w:r>
              <w:rPr>
                <w:rFonts w:hint="eastAsia"/>
                <w:szCs w:val="21"/>
                <w:highlight w:val="none"/>
                <w:lang w:val="en-US" w:eastAsia="zh-CN"/>
              </w:rPr>
              <w:t>研究</w:t>
            </w:r>
            <w:r>
              <w:rPr>
                <w:rFonts w:hint="eastAsia"/>
                <w:szCs w:val="21"/>
                <w:highlight w:val="none"/>
              </w:rPr>
              <w:t>高精度检测系统软件算法</w:t>
            </w:r>
            <w:r>
              <w:rPr>
                <w:rFonts w:hint="eastAsia"/>
                <w:szCs w:val="21"/>
                <w:highlight w:val="none"/>
                <w:lang w:eastAsia="zh-CN"/>
              </w:rPr>
              <w:t>，</w:t>
            </w:r>
            <w:r>
              <w:rPr>
                <w:rFonts w:hint="eastAsia"/>
                <w:szCs w:val="21"/>
                <w:highlight w:val="none"/>
              </w:rPr>
              <w:t>实现微弱故障气体信号的高精度提取</w:t>
            </w:r>
            <w:r>
              <w:rPr>
                <w:rFonts w:hint="eastAsia"/>
                <w:szCs w:val="21"/>
                <w:highlight w:val="none"/>
                <w:lang w:val="en-US" w:eastAsia="zh-CN"/>
              </w:rPr>
              <w:t>，</w:t>
            </w:r>
            <w:r>
              <w:rPr>
                <w:rFonts w:hint="eastAsia"/>
                <w:szCs w:val="21"/>
                <w:highlight w:val="none"/>
              </w:rPr>
              <w:t>解决变压器早期局部放电、轻微匝间故障的微量气体监测难题，提升高低温、强电磁现场环境下的检测稳定性与准确性</w:t>
            </w:r>
            <w:r>
              <w:rPr>
                <w:rFonts w:hint="eastAsia" w:ascii="宋体" w:hAnsi="宋体" w:eastAsia="宋体" w:cs="宋体"/>
                <w:b w:val="0"/>
                <w:bCs w:val="0"/>
                <w:color w:val="auto"/>
                <w:kern w:val="2"/>
                <w:sz w:val="21"/>
                <w:szCs w:val="21"/>
                <w:highlight w:val="none"/>
                <w:lang w:val="en-US" w:eastAsia="zh-CN" w:bidi="ar-SA"/>
              </w:rPr>
              <w:t>。</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right="0" w:hanging="36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r>
              <w:rPr>
                <w:rFonts w:hint="eastAsia"/>
                <w:szCs w:val="21"/>
                <w:highlight w:val="none"/>
              </w:rPr>
              <w:t>基于数字孪生光谱的多维度硬件自校准、免维护技术研究</w:t>
            </w:r>
            <w:r>
              <w:rPr>
                <w:rStyle w:val="7"/>
                <w:rFonts w:hint="eastAsia" w:ascii="宋体" w:hAnsi="宋体" w:eastAsia="宋体" w:cs="宋体"/>
                <w:b w:val="0"/>
                <w:bCs w:val="0"/>
                <w:color w:val="000000"/>
                <w:sz w:val="21"/>
                <w:szCs w:val="21"/>
                <w:highlight w:val="none"/>
                <w:lang w:val="en-US" w:eastAsia="zh-CN"/>
              </w:rPr>
              <w:t>：</w:t>
            </w:r>
            <w:r>
              <w:rPr>
                <w:rFonts w:hint="eastAsia"/>
                <w:szCs w:val="21"/>
                <w:highlight w:val="none"/>
                <w:lang w:val="en-US" w:eastAsia="zh-CN"/>
              </w:rPr>
              <w:t>研究</w:t>
            </w:r>
            <w:r>
              <w:rPr>
                <w:rFonts w:hint="eastAsia"/>
                <w:szCs w:val="21"/>
                <w:highlight w:val="none"/>
              </w:rPr>
              <w:t>具备三阶</w:t>
            </w:r>
            <w:r>
              <w:rPr>
                <w:rFonts w:hint="eastAsia"/>
                <w:szCs w:val="21"/>
                <w:highlight w:val="none"/>
                <w:lang w:eastAsia="zh-CN"/>
              </w:rPr>
              <w:t>（</w:t>
            </w:r>
            <w:r>
              <w:rPr>
                <w:rFonts w:hint="eastAsia"/>
                <w:szCs w:val="21"/>
                <w:highlight w:val="none"/>
                <w:lang w:val="en-US" w:eastAsia="zh-CN"/>
              </w:rPr>
              <w:t>气压、温度、光程）</w:t>
            </w:r>
            <w:r>
              <w:rPr>
                <w:rFonts w:hint="eastAsia"/>
                <w:szCs w:val="21"/>
                <w:highlight w:val="none"/>
              </w:rPr>
              <w:t>动态修正能力的自适应自校准算法</w:t>
            </w:r>
            <w:r>
              <w:rPr>
                <w:rFonts w:hint="eastAsia"/>
                <w:szCs w:val="21"/>
                <w:highlight w:val="none"/>
                <w:lang w:eastAsia="zh-CN"/>
              </w:rPr>
              <w:t>，</w:t>
            </w:r>
            <w:r>
              <w:rPr>
                <w:rFonts w:hint="eastAsia"/>
                <w:szCs w:val="21"/>
                <w:highlight w:val="none"/>
              </w:rPr>
              <w:t>解决传统设备长期运行精度衰减问题，实现设备全生命周期免维护稳定运行</w:t>
            </w:r>
            <w:r>
              <w:rPr>
                <w:rFonts w:hint="eastAsia" w:ascii="宋体" w:hAnsi="宋体" w:eastAsia="宋体" w:cs="宋体"/>
                <w:b w:val="0"/>
                <w:bCs w:val="0"/>
                <w:color w:val="auto"/>
                <w:kern w:val="2"/>
                <w:sz w:val="21"/>
                <w:szCs w:val="21"/>
                <w:highlight w:val="none"/>
                <w:lang w:val="en-US" w:eastAsia="zh-CN" w:bidi="ar-SA"/>
              </w:rPr>
              <w:t>。</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right="0" w:hanging="360"/>
              <w:jc w:val="left"/>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r>
              <w:rPr>
                <w:rFonts w:hint="eastAsia"/>
                <w:szCs w:val="21"/>
                <w:highlight w:val="none"/>
              </w:rPr>
              <w:t>各种复杂工况下自适应恒脱气率脱气技术研究</w:t>
            </w:r>
            <w:r>
              <w:rPr>
                <w:rFonts w:hint="eastAsia"/>
                <w:szCs w:val="21"/>
                <w:highlight w:val="none"/>
                <w:lang w:eastAsia="zh-CN"/>
              </w:rPr>
              <w:t>：</w:t>
            </w:r>
            <w:r>
              <w:rPr>
                <w:rFonts w:hint="eastAsia"/>
                <w:szCs w:val="21"/>
                <w:highlight w:val="none"/>
                <w:lang w:val="en-US" w:eastAsia="zh-CN"/>
              </w:rPr>
              <w:t>研究</w:t>
            </w:r>
            <w:r>
              <w:rPr>
                <w:rFonts w:hint="eastAsia"/>
                <w:szCs w:val="21"/>
                <w:highlight w:val="none"/>
              </w:rPr>
              <w:t>动态自适应油气分离系统，实现自适应恒脱气率脱气</w:t>
            </w:r>
            <w:r>
              <w:rPr>
                <w:rFonts w:hint="eastAsia" w:ascii="宋体" w:hAnsi="宋体" w:eastAsia="宋体" w:cs="宋体"/>
                <w:b w:val="0"/>
                <w:bCs w:val="0"/>
                <w:color w:val="auto"/>
                <w:kern w:val="2"/>
                <w:sz w:val="21"/>
                <w:szCs w:val="21"/>
                <w:highlight w:val="none"/>
                <w:lang w:val="en-US" w:eastAsia="zh-CN" w:bidi="ar-SA"/>
              </w:rPr>
              <w:t>。</w:t>
            </w:r>
          </w:p>
          <w:p>
            <w:pPr>
              <w:pStyle w:val="2"/>
              <w:rPr>
                <w:rFonts w:hint="default" w:eastAsiaTheme="minorEastAsia"/>
                <w:lang w:val="en-US" w:eastAsia="zh-CN"/>
              </w:rPr>
            </w:pPr>
            <w:r>
              <w:rPr>
                <w:rFonts w:hint="eastAsia" w:ascii="宋体" w:hAnsi="宋体" w:eastAsia="宋体" w:cs="宋体"/>
                <w:b w:val="0"/>
                <w:bCs w:val="0"/>
                <w:color w:val="auto"/>
                <w:kern w:val="2"/>
                <w:sz w:val="21"/>
                <w:szCs w:val="21"/>
                <w:highlight w:val="none"/>
                <w:lang w:val="en-US" w:eastAsia="zh-CN" w:bidi="ar-SA"/>
              </w:rPr>
              <w:t>4、</w:t>
            </w:r>
            <w:r>
              <w:rPr>
                <w:rFonts w:hint="eastAsia"/>
                <w:szCs w:val="21"/>
                <w:highlight w:val="none"/>
              </w:rPr>
              <w:t>30分钟内紧急检测模式控制技术研究</w:t>
            </w:r>
            <w:r>
              <w:rPr>
                <w:rFonts w:hint="eastAsia"/>
                <w:szCs w:val="21"/>
                <w:highlight w:val="none"/>
                <w:lang w:eastAsia="zh-CN"/>
              </w:rPr>
              <w:t>：</w:t>
            </w:r>
            <w:r>
              <w:rPr>
                <w:rFonts w:hint="eastAsia"/>
                <w:szCs w:val="21"/>
                <w:highlight w:val="none"/>
                <w:lang w:val="en-US" w:eastAsia="zh-CN"/>
              </w:rPr>
              <w:t>研究开发</w:t>
            </w:r>
            <w:r>
              <w:rPr>
                <w:rFonts w:hint="eastAsia"/>
                <w:szCs w:val="21"/>
                <w:highlight w:val="none"/>
              </w:rPr>
              <w:t>变压器故障紧急检测模式</w:t>
            </w:r>
            <w:r>
              <w:rPr>
                <w:rFonts w:hint="eastAsia"/>
                <w:szCs w:val="21"/>
                <w:highlight w:val="none"/>
                <w:lang w:eastAsia="zh-CN"/>
              </w:rPr>
              <w:t>，</w:t>
            </w:r>
            <w:r>
              <w:rPr>
                <w:rFonts w:hint="eastAsia"/>
                <w:szCs w:val="21"/>
                <w:highlight w:val="none"/>
              </w:rPr>
              <w:t>当监测到油浸电力设备油中气体浓度、增长率异常、油温油压异常、含气量异常等可疑工况时，系统自动切换紧急检测机制，无需人工干预，30分钟内即可完成全流程采样</w:t>
            </w:r>
            <w:r>
              <w:rPr>
                <w:rFonts w:hint="eastAsia"/>
                <w:szCs w:val="21"/>
                <w:highlight w:val="none"/>
                <w:lang w:val="en-US" w:eastAsia="zh-CN"/>
              </w:rPr>
              <w:t>等工作。</w:t>
            </w:r>
          </w:p>
          <w:p>
            <w:pPr>
              <w:pStyle w:val="3"/>
              <w:keepNext w:val="0"/>
              <w:keepLines w:val="0"/>
              <w:pageBreakBefore w:val="0"/>
              <w:widowControl/>
              <w:kinsoku/>
              <w:wordWrap/>
              <w:overflowPunct/>
              <w:topLinePunct w:val="0"/>
              <w:autoSpaceDE/>
              <w:autoSpaceDN/>
              <w:bidi w:val="0"/>
              <w:adjustRightInd/>
              <w:snapToGrid w:val="0"/>
              <w:spacing w:line="300" w:lineRule="auto"/>
              <w:jc w:val="both"/>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二、交付的成果</w:t>
            </w:r>
            <w:r>
              <w:rPr>
                <w:rFonts w:hint="eastAsia" w:eastAsia="宋体" w:cs="宋体"/>
                <w:b w:val="0"/>
                <w:bCs w:val="0"/>
                <w:color w:val="auto"/>
                <w:kern w:val="2"/>
                <w:sz w:val="21"/>
                <w:szCs w:val="21"/>
                <w:highlight w:val="none"/>
                <w:lang w:val="en-US" w:eastAsia="zh-CN" w:bidi="ar-SA"/>
              </w:rPr>
              <w:t>：若涉及实物需具备</w:t>
            </w:r>
            <w:r>
              <w:rPr>
                <w:rFonts w:hint="eastAsia" w:ascii="宋体" w:hAnsi="宋体" w:eastAsia="宋体" w:cs="宋体"/>
                <w:b w:val="0"/>
                <w:bCs w:val="0"/>
                <w:color w:val="auto"/>
                <w:kern w:val="2"/>
                <w:sz w:val="21"/>
                <w:szCs w:val="21"/>
                <w:highlight w:val="none"/>
                <w:lang w:val="en-US" w:eastAsia="zh-CN" w:bidi="ar-SA"/>
              </w:rPr>
              <w:t>第三方检测机构（具有CMA/CNAS等资质）校验检测</w:t>
            </w:r>
            <w:r>
              <w:rPr>
                <w:rFonts w:hint="eastAsia" w:eastAsia="宋体" w:cs="宋体"/>
                <w:b w:val="0"/>
                <w:bCs w:val="0"/>
                <w:color w:val="auto"/>
                <w:kern w:val="2"/>
                <w:sz w:val="21"/>
                <w:szCs w:val="21"/>
                <w:highlight w:val="none"/>
                <w:lang w:val="en-US" w:eastAsia="zh-CN" w:bidi="ar-SA"/>
              </w:rPr>
              <w:t>报告</w:t>
            </w:r>
            <w:r>
              <w:rPr>
                <w:rFonts w:hint="eastAsia" w:ascii="宋体" w:hAnsi="宋体" w:eastAsia="宋体" w:cs="宋体"/>
                <w:b w:val="0"/>
                <w:bCs w:val="0"/>
                <w:color w:val="auto"/>
                <w:kern w:val="2"/>
                <w:sz w:val="21"/>
                <w:szCs w:val="21"/>
                <w:highlight w:val="none"/>
                <w:lang w:val="en-US" w:eastAsia="zh-CN" w:bidi="ar-SA"/>
              </w:rPr>
              <w:t>；若</w:t>
            </w:r>
            <w:r>
              <w:rPr>
                <w:rFonts w:hint="eastAsia" w:eastAsia="宋体" w:cs="宋体"/>
                <w:b w:val="0"/>
                <w:bCs w:val="0"/>
                <w:color w:val="auto"/>
                <w:kern w:val="2"/>
                <w:sz w:val="21"/>
                <w:szCs w:val="21"/>
                <w:highlight w:val="none"/>
                <w:lang w:val="en-US" w:eastAsia="zh-CN" w:bidi="ar-SA"/>
              </w:rPr>
              <w:t>含</w:t>
            </w:r>
            <w:r>
              <w:rPr>
                <w:rFonts w:hint="eastAsia" w:ascii="宋体" w:hAnsi="宋体" w:eastAsia="宋体" w:cs="宋体"/>
                <w:b w:val="0"/>
                <w:bCs w:val="0"/>
                <w:color w:val="auto"/>
                <w:kern w:val="2"/>
                <w:sz w:val="21"/>
                <w:szCs w:val="21"/>
                <w:highlight w:val="none"/>
                <w:lang w:val="en-US" w:eastAsia="zh-CN" w:bidi="ar-SA"/>
              </w:rPr>
              <w:t>系统、软件工具</w:t>
            </w:r>
            <w:r>
              <w:rPr>
                <w:rFonts w:hint="eastAsia" w:eastAsia="宋体" w:cs="宋体"/>
                <w:b w:val="0"/>
                <w:bCs w:val="0"/>
                <w:color w:val="auto"/>
                <w:kern w:val="2"/>
                <w:sz w:val="21"/>
                <w:szCs w:val="21"/>
                <w:highlight w:val="none"/>
                <w:lang w:val="en-US" w:eastAsia="zh-CN" w:bidi="ar-SA"/>
              </w:rPr>
              <w:t>同时</w:t>
            </w:r>
            <w:r>
              <w:rPr>
                <w:rFonts w:hint="eastAsia" w:ascii="宋体" w:hAnsi="宋体" w:eastAsia="宋体" w:cs="宋体"/>
                <w:b w:val="0"/>
                <w:bCs w:val="0"/>
                <w:color w:val="auto"/>
                <w:kern w:val="2"/>
                <w:sz w:val="21"/>
                <w:szCs w:val="21"/>
                <w:highlight w:val="none"/>
                <w:lang w:val="en-US" w:eastAsia="zh-CN" w:bidi="ar-SA"/>
              </w:rPr>
              <w:t>应满足网络安全的有关要求方满足交付条件</w:t>
            </w:r>
            <w:r>
              <w:rPr>
                <w:rFonts w:hint="eastAsia" w:eastAsia="宋体" w:cs="宋体"/>
                <w:b w:val="0"/>
                <w:bCs w:val="0"/>
                <w:color w:val="auto"/>
                <w:kern w:val="2"/>
                <w:sz w:val="21"/>
                <w:szCs w:val="21"/>
                <w:highlight w:val="none"/>
                <w:lang w:val="en-US" w:eastAsia="zh-CN" w:bidi="ar-SA"/>
              </w:rPr>
              <w:t>；若涉及算法、方法研究需要具备满足要求方的相关方案、报告等交付条件。</w:t>
            </w:r>
          </w:p>
        </w:tc>
        <w:tc>
          <w:tcPr>
            <w:tcW w:w="1436" w:type="dxa"/>
            <w:noWrap w:val="0"/>
            <w:vAlign w:val="center"/>
          </w:tcPr>
          <w:p>
            <w:pPr>
              <w:numPr>
                <w:ilvl w:val="0"/>
                <w:numId w:val="0"/>
              </w:numPr>
              <w:adjustRightInd w:val="0"/>
              <w:snapToGrid w:val="0"/>
              <w:spacing w:line="360" w:lineRule="auto"/>
              <w:ind w:leftChars="0"/>
              <w:rPr>
                <w:rFonts w:hint="default" w:ascii="宋体" w:hAnsi="宋体" w:eastAsia="宋体" w:cs="宋体"/>
                <w:color w:val="auto"/>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color w:val="auto"/>
                <w:spacing w:val="-1"/>
                <w:kern w:val="2"/>
                <w:sz w:val="21"/>
                <w:szCs w:val="21"/>
                <w:lang w:val="en-US" w:eastAsia="zh-CN" w:bidi="ar-SA"/>
              </w:rPr>
            </w:pPr>
            <w:r>
              <w:rPr>
                <w:rFonts w:hint="eastAsia" w:ascii="宋体" w:hAnsi="宋体" w:cs="宋体"/>
                <w:b/>
                <w:bCs/>
                <w:color w:val="auto"/>
                <w:spacing w:val="-1"/>
                <w:sz w:val="21"/>
                <w:szCs w:val="21"/>
                <w:lang w:val="en-US" w:eastAsia="zh-CN"/>
              </w:rPr>
              <w:t>项目专用资质、业绩要求</w:t>
            </w:r>
          </w:p>
        </w:tc>
        <w:tc>
          <w:tcPr>
            <w:tcW w:w="5700" w:type="dxa"/>
            <w:noWrap w:val="0"/>
            <w:vAlign w:val="center"/>
          </w:tcPr>
          <w:p>
            <w:pPr>
              <w:keepNext w:val="0"/>
              <w:keepLines w:val="0"/>
              <w:pageBreakBefore w:val="0"/>
              <w:widowControl w:val="0"/>
              <w:numPr>
                <w:ilvl w:val="0"/>
                <w:numId w:val="0"/>
              </w:numPr>
              <w:kinsoku/>
              <w:wordWrap/>
              <w:overflowPunct/>
              <w:topLinePunct w:val="0"/>
              <w:autoSpaceDE/>
              <w:autoSpaceDN/>
              <w:bidi w:val="0"/>
              <w:spacing w:line="240" w:lineRule="auto"/>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报价方应有技术创新服务要求的研究、开发、加工及技术服务等近三年类似或相关的业绩。</w:t>
            </w:r>
          </w:p>
        </w:tc>
        <w:tc>
          <w:tcPr>
            <w:tcW w:w="1436" w:type="dxa"/>
            <w:noWrap w:val="0"/>
            <w:vAlign w:val="center"/>
          </w:tcPr>
          <w:p>
            <w:pPr>
              <w:spacing w:line="360" w:lineRule="auto"/>
              <w:rPr>
                <w:rFonts w:hint="eastAsia" w:ascii="宋体" w:hAnsi="宋体" w:cs="宋体"/>
                <w:color w:val="auto"/>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noWrap w:val="0"/>
            <w:vAlign w:val="center"/>
          </w:tcPr>
          <w:p>
            <w:pPr>
              <w:numPr>
                <w:ilvl w:val="0"/>
                <w:numId w:val="0"/>
              </w:numPr>
              <w:adjustRightInd w:val="0"/>
              <w:snapToGrid w:val="0"/>
              <w:spacing w:line="360" w:lineRule="auto"/>
              <w:ind w:left="0" w:leftChars="0" w:firstLine="0" w:firstLineChars="0"/>
              <w:rPr>
                <w:rFonts w:hint="eastAsia" w:ascii="宋体" w:hAnsi="宋体" w:eastAsia="宋体" w:cs="宋体"/>
                <w:color w:val="auto"/>
                <w:spacing w:val="-1"/>
                <w:kern w:val="2"/>
                <w:sz w:val="21"/>
                <w:szCs w:val="21"/>
                <w:lang w:val="en-US" w:eastAsia="zh-CN" w:bidi="ar-SA"/>
              </w:rPr>
            </w:pPr>
            <w:r>
              <w:rPr>
                <w:rFonts w:hint="eastAsia" w:ascii="宋体" w:hAnsi="宋体" w:cs="宋体"/>
                <w:color w:val="auto"/>
                <w:spacing w:val="-1"/>
                <w:sz w:val="21"/>
                <w:szCs w:val="21"/>
                <w:lang w:val="en-US" w:eastAsia="zh-CN"/>
              </w:rPr>
              <w:t xml:space="preserve"> </w:t>
            </w:r>
            <w:r>
              <w:rPr>
                <w:rFonts w:hint="eastAsia" w:ascii="宋体" w:hAnsi="宋体" w:cs="宋体"/>
                <w:b/>
                <w:bCs/>
                <w:color w:val="auto"/>
                <w:spacing w:val="-1"/>
                <w:sz w:val="21"/>
                <w:szCs w:val="21"/>
                <w:lang w:val="en-US" w:eastAsia="zh-CN"/>
              </w:rPr>
              <w:t>售后服务要求</w:t>
            </w:r>
          </w:p>
        </w:tc>
        <w:tc>
          <w:tcPr>
            <w:tcW w:w="5700" w:type="dxa"/>
            <w:noWrap w:val="0"/>
            <w:vAlign w:val="center"/>
          </w:tcPr>
          <w:p>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1、发票要求：报价单位提供符合规定税率的增值税专用发票。</w:t>
            </w:r>
          </w:p>
          <w:p>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2、质保期及售后服务响应要求：质保期不少于12个月，质保期内有任何质量问题将免费进行售后服务；售后服务的响应时间在48小时内，并提供技术支持。</w:t>
            </w:r>
          </w:p>
          <w:p>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3、服务时间及地点要求：服务时间为自确定服务商之日起至2026年11月30日，服务地点为广东省广州市天河区天河路116号广东天广能源科技发展有限公司。</w:t>
            </w:r>
          </w:p>
          <w:p>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4、运输要求：若本次项目中涉及到材料运输，全部运输费用由报价单位承担。</w:t>
            </w:r>
          </w:p>
          <w:p>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color w:val="auto"/>
                <w:lang w:val="en-US" w:eastAsia="zh-CN"/>
              </w:rPr>
            </w:pPr>
            <w:r>
              <w:rPr>
                <w:rFonts w:hint="eastAsia" w:ascii="宋体" w:hAnsi="宋体" w:eastAsia="宋体" w:cs="宋体"/>
                <w:color w:val="auto"/>
                <w:lang w:val="en-US" w:eastAsia="zh-CN"/>
              </w:rPr>
              <w:t>5、该项目在通过验收后，以实际开展细项一次性支付报价方费用，在收到报价方发票45个工作日完成支付。</w:t>
            </w:r>
          </w:p>
        </w:tc>
        <w:tc>
          <w:tcPr>
            <w:tcW w:w="1436" w:type="dxa"/>
            <w:noWrap w:val="0"/>
            <w:vAlign w:val="center"/>
          </w:tcPr>
          <w:p>
            <w:pPr>
              <w:spacing w:line="360" w:lineRule="auto"/>
              <w:rPr>
                <w:rFonts w:hint="eastAsia" w:ascii="宋体" w:hAnsi="宋体" w:cs="宋体"/>
                <w:color w:val="auto"/>
                <w:spacing w:val="-1"/>
                <w:szCs w:val="21"/>
                <w:lang w:val="en-US" w:eastAsia="zh-CN"/>
              </w:rPr>
            </w:pPr>
          </w:p>
        </w:tc>
      </w:tr>
    </w:tbl>
    <w:p>
      <w:pPr>
        <w:pStyle w:val="2"/>
        <w:rPr>
          <w:rFonts w:hint="default" w:ascii="宋体" w:hAnsi="宋体" w:eastAsia="宋体" w:cs="宋体"/>
          <w:color w:val="auto"/>
          <w:sz w:val="21"/>
          <w:szCs w:val="21"/>
          <w:lang w:val="en-US"/>
        </w:rPr>
      </w:pPr>
    </w:p>
    <w:p>
      <w:pPr>
        <w:rPr>
          <w:rFonts w:hint="default" w:ascii="宋体" w:hAnsi="宋体" w:eastAsia="宋体" w:cs="宋体"/>
          <w:color w:val="auto"/>
          <w:sz w:val="21"/>
          <w:szCs w:val="21"/>
          <w:lang w:val="en-US"/>
        </w:rPr>
      </w:pPr>
      <w:bookmarkStart w:id="0" w:name="_GoBack"/>
      <w:bookmarkEnd w:id="0"/>
    </w:p>
    <w:p>
      <w:pPr>
        <w:pStyle w:val="2"/>
        <w:rPr>
          <w:rFonts w:hint="default"/>
          <w:lang w:val="en-US"/>
        </w:rPr>
      </w:pPr>
    </w:p>
    <w:p>
      <w:pPr>
        <w:jc w:val="center"/>
        <w:rPr>
          <w:rFonts w:hint="eastAsia" w:ascii="宋体" w:hAnsi="宋体" w:cs="宋体"/>
          <w:b/>
          <w:bCs/>
          <w:sz w:val="28"/>
          <w:szCs w:val="28"/>
          <w:highlight w:val="yellow"/>
          <w:lang w:val="en-US" w:eastAsia="zh-CN"/>
        </w:rPr>
      </w:pPr>
      <w:r>
        <w:rPr>
          <w:rFonts w:hint="eastAsia" w:ascii="宋体" w:hAnsi="宋体" w:cs="宋体"/>
          <w:b/>
          <w:bCs/>
          <w:sz w:val="28"/>
          <w:szCs w:val="28"/>
          <w:lang w:val="en-US" w:eastAsia="zh-CN"/>
        </w:rPr>
        <w:t>表2：天广能源公司零星采购技术服务报价表</w:t>
      </w:r>
    </w:p>
    <w:tbl>
      <w:tblPr>
        <w:tblStyle w:val="5"/>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732"/>
        <w:gridCol w:w="917"/>
        <w:gridCol w:w="1300"/>
        <w:gridCol w:w="1331"/>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15" w:type="dxa"/>
            <w:noWrap w:val="0"/>
            <w:vAlign w:val="center"/>
          </w:tcPr>
          <w:p>
            <w:pPr>
              <w:adjustRightInd w:val="0"/>
              <w:snapToGrid w:val="0"/>
              <w:spacing w:line="240" w:lineRule="auto"/>
              <w:jc w:val="center"/>
              <w:rPr>
                <w:rFonts w:hint="eastAsia" w:ascii="宋体" w:hAnsi="宋体" w:cs="宋体"/>
                <w:b/>
                <w:bCs/>
                <w:kern w:val="0"/>
                <w:sz w:val="20"/>
                <w:szCs w:val="21"/>
                <w:lang w:val="en-US" w:eastAsia="zh-CN"/>
              </w:rPr>
            </w:pPr>
            <w:r>
              <w:rPr>
                <w:rFonts w:hint="eastAsia" w:ascii="宋体" w:hAnsi="宋体" w:cs="宋体"/>
                <w:b/>
                <w:bCs/>
                <w:kern w:val="0"/>
                <w:sz w:val="20"/>
                <w:szCs w:val="21"/>
                <w:lang w:val="en-US" w:eastAsia="zh-CN"/>
              </w:rPr>
              <w:t>序号</w:t>
            </w:r>
          </w:p>
        </w:tc>
        <w:tc>
          <w:tcPr>
            <w:tcW w:w="2409"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cs="宋体"/>
                <w:b/>
                <w:bCs/>
                <w:kern w:val="0"/>
                <w:sz w:val="20"/>
                <w:szCs w:val="21"/>
                <w:lang w:val="en-US" w:eastAsia="zh-CN"/>
              </w:rPr>
              <w:t>采购/服务内容</w:t>
            </w:r>
          </w:p>
        </w:tc>
        <w:tc>
          <w:tcPr>
            <w:tcW w:w="732"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eastAsia="宋体" w:cs="宋体"/>
                <w:b/>
                <w:bCs/>
                <w:kern w:val="0"/>
                <w:sz w:val="20"/>
                <w:szCs w:val="21"/>
                <w:lang w:val="en-US" w:eastAsia="zh-CN"/>
              </w:rPr>
              <w:t>单位</w:t>
            </w:r>
          </w:p>
        </w:tc>
        <w:tc>
          <w:tcPr>
            <w:tcW w:w="917"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bidi="ar-SA"/>
              </w:rPr>
              <w:t>数量</w:t>
            </w:r>
          </w:p>
        </w:tc>
        <w:tc>
          <w:tcPr>
            <w:tcW w:w="1300"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rPr>
              <w:t>含税</w:t>
            </w:r>
            <w:r>
              <w:rPr>
                <w:rFonts w:hint="eastAsia" w:ascii="宋体" w:hAnsi="宋体" w:cs="宋体"/>
                <w:b/>
                <w:bCs/>
                <w:kern w:val="0"/>
                <w:sz w:val="20"/>
                <w:szCs w:val="21"/>
              </w:rPr>
              <w:t>单价（元）</w:t>
            </w:r>
          </w:p>
        </w:tc>
        <w:tc>
          <w:tcPr>
            <w:tcW w:w="1331" w:type="dxa"/>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rPr>
              <w:t>含税</w:t>
            </w:r>
            <w:r>
              <w:rPr>
                <w:rFonts w:hint="eastAsia" w:ascii="宋体" w:hAnsi="宋体" w:cs="宋体"/>
                <w:b/>
                <w:bCs/>
                <w:kern w:val="0"/>
                <w:sz w:val="20"/>
                <w:szCs w:val="21"/>
              </w:rPr>
              <w:t>总价（元）</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eastAsia="宋体" w:cs="宋体"/>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rPr>
              <w:t>1</w:t>
            </w:r>
          </w:p>
        </w:tc>
        <w:tc>
          <w:tcPr>
            <w:tcW w:w="2409" w:type="dxa"/>
            <w:noWrap w:val="0"/>
            <w:vAlign w:val="center"/>
          </w:tcPr>
          <w:p>
            <w:pPr>
              <w:jc w:val="center"/>
              <w:rPr>
                <w:rFonts w:hint="default" w:ascii="宋体" w:hAnsi="宋体"/>
                <w:color w:val="auto"/>
                <w:szCs w:val="21"/>
                <w:highlight w:val="none"/>
                <w:lang w:val="en-US" w:eastAsia="zh-CN"/>
              </w:rPr>
            </w:pPr>
            <w:r>
              <w:rPr>
                <w:rFonts w:hint="eastAsia" w:ascii="宋体" w:hAnsi="宋体"/>
                <w:color w:val="auto"/>
                <w:szCs w:val="21"/>
                <w:highlight w:val="none"/>
              </w:rPr>
              <w:t>材料费</w:t>
            </w:r>
          </w:p>
        </w:tc>
        <w:tc>
          <w:tcPr>
            <w:tcW w:w="732" w:type="dxa"/>
            <w:noWrap w:val="0"/>
            <w:vAlign w:val="center"/>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项</w:t>
            </w:r>
          </w:p>
        </w:tc>
        <w:tc>
          <w:tcPr>
            <w:tcW w:w="917" w:type="dxa"/>
            <w:noWrap w:val="0"/>
            <w:vAlign w:val="center"/>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eastAsiaTheme="minorEastAsia"/>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rPr>
              <w:t>2</w:t>
            </w:r>
          </w:p>
        </w:tc>
        <w:tc>
          <w:tcPr>
            <w:tcW w:w="2409" w:type="dxa"/>
            <w:noWrap w:val="0"/>
            <w:vAlign w:val="center"/>
          </w:tcPr>
          <w:p>
            <w:pPr>
              <w:jc w:val="center"/>
              <w:rPr>
                <w:rFonts w:hint="eastAsia" w:ascii="宋体" w:hAnsi="宋体"/>
                <w:color w:val="auto"/>
                <w:szCs w:val="21"/>
                <w:highlight w:val="none"/>
                <w:lang w:val="en-US" w:eastAsia="zh-CN"/>
              </w:rPr>
            </w:pPr>
            <w:r>
              <w:rPr>
                <w:rFonts w:hint="eastAsia" w:ascii="宋体" w:hAnsi="宋体"/>
                <w:color w:val="auto"/>
                <w:szCs w:val="21"/>
                <w:highlight w:val="none"/>
              </w:rPr>
              <w:t>测试化验加工费</w:t>
            </w:r>
          </w:p>
        </w:tc>
        <w:tc>
          <w:tcPr>
            <w:tcW w:w="732" w:type="dxa"/>
            <w:noWrap w:val="0"/>
            <w:vAlign w:val="center"/>
          </w:tcPr>
          <w:p>
            <w:pPr>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项</w:t>
            </w:r>
          </w:p>
        </w:tc>
        <w:tc>
          <w:tcPr>
            <w:tcW w:w="917" w:type="dxa"/>
            <w:noWrap w:val="0"/>
            <w:vAlign w:val="center"/>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eastAsia="宋体" w:cs="宋体"/>
                <w:kern w:val="0"/>
                <w:sz w:val="20"/>
                <w:szCs w:val="21"/>
                <w:lang w:val="en-US" w:eastAsia="zh-CN"/>
              </w:rPr>
            </w:pPr>
          </w:p>
        </w:tc>
        <w:tc>
          <w:tcPr>
            <w:tcW w:w="5358" w:type="dxa"/>
            <w:gridSpan w:val="4"/>
            <w:noWrap w:val="0"/>
            <w:vAlign w:val="center"/>
          </w:tcPr>
          <w:p>
            <w:pPr>
              <w:adjustRightInd w:val="0"/>
              <w:snapToGrid w:val="0"/>
              <w:spacing w:line="240" w:lineRule="auto"/>
              <w:jc w:val="center"/>
              <w:rPr>
                <w:rFonts w:hint="eastAsia" w:ascii="宋体" w:hAnsi="宋体" w:cs="宋体"/>
                <w:kern w:val="0"/>
                <w:sz w:val="20"/>
                <w:szCs w:val="21"/>
              </w:rPr>
            </w:pPr>
            <w:r>
              <w:rPr>
                <w:rFonts w:hint="eastAsia" w:ascii="宋体" w:hAnsi="宋体" w:eastAsia="宋体" w:cs="宋体"/>
                <w:b/>
                <w:bCs/>
                <w:kern w:val="0"/>
                <w:sz w:val="21"/>
                <w:szCs w:val="21"/>
                <w:lang w:val="en-US" w:eastAsia="zh-CN" w:bidi="ar"/>
              </w:rPr>
              <w:t>合计（含税）</w:t>
            </w: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r>
              <w:rPr>
                <w:rFonts w:hint="eastAsia" w:ascii="宋体" w:hAnsi="宋体" w:cs="宋体"/>
                <w:b w:val="0"/>
                <w:bCs w:val="0"/>
                <w:color w:val="auto"/>
                <w:kern w:val="0"/>
                <w:sz w:val="20"/>
                <w:szCs w:val="21"/>
                <w:lang w:eastAsia="zh-CN"/>
              </w:rPr>
              <w:t>总价含税费，税率为？？</w:t>
            </w:r>
            <w:r>
              <w:rPr>
                <w:rFonts w:hint="eastAsia" w:ascii="宋体" w:hAnsi="宋体" w:cs="宋体"/>
                <w:b w:val="0"/>
                <w:bCs w:val="0"/>
                <w:color w:val="auto"/>
                <w:kern w:val="0"/>
                <w:sz w:val="2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40" w:type="dxa"/>
            <w:gridSpan w:val="7"/>
            <w:noWrap w:val="0"/>
            <w:vAlign w:val="center"/>
          </w:tcPr>
          <w:p>
            <w:pPr>
              <w:tabs>
                <w:tab w:val="left" w:pos="3781"/>
              </w:tabs>
              <w:adjustRightInd w:val="0"/>
              <w:snapToGrid w:val="0"/>
              <w:spacing w:line="240" w:lineRule="auto"/>
              <w:jc w:val="left"/>
              <w:rPr>
                <w:rFonts w:hint="eastAsia"/>
                <w:lang w:val="en-US" w:eastAsia="zh-CN"/>
              </w:rPr>
            </w:pPr>
            <w:r>
              <w:rPr>
                <w:rFonts w:hint="eastAsia"/>
                <w:lang w:val="en-US" w:eastAsia="zh-CN"/>
              </w:rPr>
              <w:t>注：1、若单价和总价有差异，以单价为准；报价方为执行本项目所发生的其他一切费用（如</w:t>
            </w:r>
            <w:r>
              <w:rPr>
                <w:rFonts w:hint="eastAsia"/>
              </w:rPr>
              <w:t>材</w:t>
            </w:r>
            <w:r>
              <w:rPr>
                <w:rFonts w:hint="eastAsia"/>
                <w:lang w:val="en-US" w:eastAsia="zh-CN"/>
              </w:rPr>
              <w:t>料运输费用等）均已包含在总价中；</w:t>
            </w:r>
          </w:p>
          <w:p>
            <w:pPr>
              <w:tabs>
                <w:tab w:val="left" w:pos="3781"/>
              </w:tabs>
              <w:adjustRightInd w:val="0"/>
              <w:snapToGrid w:val="0"/>
              <w:spacing w:line="240" w:lineRule="auto"/>
              <w:ind w:firstLine="420" w:firstLineChars="200"/>
              <w:jc w:val="left"/>
              <w:rPr>
                <w:rFonts w:hint="default"/>
                <w:lang w:val="en-US" w:eastAsia="zh-CN"/>
              </w:rPr>
            </w:pPr>
            <w:r>
              <w:rPr>
                <w:rFonts w:hint="eastAsia"/>
                <w:lang w:val="en-US" w:eastAsia="zh-CN"/>
              </w:rPr>
              <w:t>2、请严格按照格式填写。</w:t>
            </w:r>
          </w:p>
        </w:tc>
      </w:tr>
    </w:tbl>
    <w:p>
      <w:pPr>
        <w:spacing w:line="360" w:lineRule="auto"/>
        <w:rPr>
          <w:rFonts w:hint="eastAsia" w:ascii="宋体" w:hAnsi="宋体" w:cs="宋体"/>
          <w:spacing w:val="-1"/>
          <w:szCs w:val="21"/>
        </w:rPr>
      </w:pPr>
    </w:p>
    <w:p>
      <w:pPr>
        <w:spacing w:line="360" w:lineRule="auto"/>
        <w:rPr>
          <w:rFonts w:hint="eastAsia" w:ascii="宋体" w:hAnsi="宋体" w:cs="宋体"/>
          <w:color w:val="auto"/>
          <w:sz w:val="21"/>
          <w:szCs w:val="21"/>
          <w:lang w:val="en-US" w:eastAsia="zh-CN"/>
        </w:rPr>
      </w:pPr>
      <w:r>
        <w:rPr>
          <w:rFonts w:hint="eastAsia" w:ascii="宋体" w:hAnsi="宋体" w:cs="宋体"/>
          <w:spacing w:val="-1"/>
          <w:szCs w:val="21"/>
        </w:rPr>
        <w:t>法定代表人</w:t>
      </w:r>
      <w:r>
        <w:rPr>
          <w:rFonts w:hint="eastAsia" w:ascii="宋体" w:hAnsi="宋体" w:cs="宋体"/>
          <w:spacing w:val="-1"/>
          <w:szCs w:val="21"/>
          <w:lang w:eastAsia="zh-CN"/>
        </w:rPr>
        <w:t>（</w:t>
      </w:r>
      <w:r>
        <w:rPr>
          <w:rFonts w:hint="eastAsia" w:ascii="宋体" w:hAnsi="宋体" w:cs="宋体"/>
          <w:spacing w:val="-1"/>
          <w:szCs w:val="21"/>
        </w:rPr>
        <w:t>或其授权代理人</w:t>
      </w:r>
      <w:r>
        <w:rPr>
          <w:rFonts w:hint="eastAsia" w:ascii="宋体" w:hAnsi="宋体" w:cs="宋体"/>
          <w:spacing w:val="-1"/>
          <w:szCs w:val="21"/>
          <w:lang w:eastAsia="zh-CN"/>
        </w:rPr>
        <w:t>）</w:t>
      </w:r>
      <w:r>
        <w:rPr>
          <w:rFonts w:hint="eastAsia" w:ascii="宋体" w:hAnsi="宋体" w:cs="宋体"/>
          <w:spacing w:val="-1"/>
          <w:szCs w:val="21"/>
        </w:rPr>
        <w:t>签字</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p>
    <w:p>
      <w:pPr>
        <w:pStyle w:val="3"/>
        <w:rPr>
          <w:rFonts w:hint="default"/>
          <w:lang w:val="en-US" w:eastAsia="zh-CN"/>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1D3D60"/>
    <w:multiLevelType w:val="multilevel"/>
    <w:tmpl w:val="B91D3D60"/>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597CDC"/>
    <w:rsid w:val="002928DE"/>
    <w:rsid w:val="00F541A3"/>
    <w:rsid w:val="012B6127"/>
    <w:rsid w:val="01A377BE"/>
    <w:rsid w:val="01EF65B9"/>
    <w:rsid w:val="026A3D04"/>
    <w:rsid w:val="03AB2112"/>
    <w:rsid w:val="0469124B"/>
    <w:rsid w:val="04834F9E"/>
    <w:rsid w:val="054A784B"/>
    <w:rsid w:val="055B4057"/>
    <w:rsid w:val="05E7258C"/>
    <w:rsid w:val="072510C4"/>
    <w:rsid w:val="079274FA"/>
    <w:rsid w:val="07F43D1B"/>
    <w:rsid w:val="08595C3E"/>
    <w:rsid w:val="08B73A59"/>
    <w:rsid w:val="08E510A5"/>
    <w:rsid w:val="0A565A84"/>
    <w:rsid w:val="0A9A0077"/>
    <w:rsid w:val="0AC86CBC"/>
    <w:rsid w:val="0ADA341F"/>
    <w:rsid w:val="0E1764AF"/>
    <w:rsid w:val="0EC67EA2"/>
    <w:rsid w:val="100214D2"/>
    <w:rsid w:val="115A7505"/>
    <w:rsid w:val="1190415C"/>
    <w:rsid w:val="12224D50"/>
    <w:rsid w:val="127D4165"/>
    <w:rsid w:val="139F773F"/>
    <w:rsid w:val="143372EF"/>
    <w:rsid w:val="15B13CA7"/>
    <w:rsid w:val="160C7839"/>
    <w:rsid w:val="167D4675"/>
    <w:rsid w:val="17B730F8"/>
    <w:rsid w:val="17ED1F4D"/>
    <w:rsid w:val="1831173C"/>
    <w:rsid w:val="184C35EB"/>
    <w:rsid w:val="188005C2"/>
    <w:rsid w:val="19AE79AF"/>
    <w:rsid w:val="19B760C0"/>
    <w:rsid w:val="19CC487B"/>
    <w:rsid w:val="19D55670"/>
    <w:rsid w:val="1A19705E"/>
    <w:rsid w:val="1A293A7B"/>
    <w:rsid w:val="1A302507"/>
    <w:rsid w:val="1B1430BE"/>
    <w:rsid w:val="1B155FFD"/>
    <w:rsid w:val="1BA70DEF"/>
    <w:rsid w:val="1BCC11CE"/>
    <w:rsid w:val="1BD318B3"/>
    <w:rsid w:val="1BFA7574"/>
    <w:rsid w:val="1CDE68ED"/>
    <w:rsid w:val="1D3D4708"/>
    <w:rsid w:val="1DA4269A"/>
    <w:rsid w:val="1E9D55C9"/>
    <w:rsid w:val="1EB76A37"/>
    <w:rsid w:val="1FC508AF"/>
    <w:rsid w:val="20143EB1"/>
    <w:rsid w:val="217A6C7B"/>
    <w:rsid w:val="21D5764F"/>
    <w:rsid w:val="220B1571"/>
    <w:rsid w:val="22472B4C"/>
    <w:rsid w:val="23AA6F10"/>
    <w:rsid w:val="244B3216"/>
    <w:rsid w:val="246B4DD0"/>
    <w:rsid w:val="259D2BC3"/>
    <w:rsid w:val="25A228CE"/>
    <w:rsid w:val="25DD39AD"/>
    <w:rsid w:val="26BB1EFF"/>
    <w:rsid w:val="26DC7781"/>
    <w:rsid w:val="27FA04A4"/>
    <w:rsid w:val="291D7302"/>
    <w:rsid w:val="2A0F210D"/>
    <w:rsid w:val="2B6D334E"/>
    <w:rsid w:val="2BD17256"/>
    <w:rsid w:val="2C006140"/>
    <w:rsid w:val="2C5348C6"/>
    <w:rsid w:val="2CEF7FC7"/>
    <w:rsid w:val="2D24719C"/>
    <w:rsid w:val="2D607001"/>
    <w:rsid w:val="2DA31A28"/>
    <w:rsid w:val="2DD76C40"/>
    <w:rsid w:val="2DFC4C81"/>
    <w:rsid w:val="2EDF0755"/>
    <w:rsid w:val="2F537431"/>
    <w:rsid w:val="2F7553E7"/>
    <w:rsid w:val="2F922799"/>
    <w:rsid w:val="2FBB4D1E"/>
    <w:rsid w:val="304F63CF"/>
    <w:rsid w:val="309D614E"/>
    <w:rsid w:val="30A04ED5"/>
    <w:rsid w:val="3187194F"/>
    <w:rsid w:val="31A002FB"/>
    <w:rsid w:val="32A81A27"/>
    <w:rsid w:val="32C41357"/>
    <w:rsid w:val="32CE54EA"/>
    <w:rsid w:val="339B5B37"/>
    <w:rsid w:val="341A3E87"/>
    <w:rsid w:val="342A2472"/>
    <w:rsid w:val="34A30568"/>
    <w:rsid w:val="35704438"/>
    <w:rsid w:val="371B2276"/>
    <w:rsid w:val="37790091"/>
    <w:rsid w:val="38CB41BA"/>
    <w:rsid w:val="38EF24C3"/>
    <w:rsid w:val="396315E3"/>
    <w:rsid w:val="39C944DB"/>
    <w:rsid w:val="39D71CF8"/>
    <w:rsid w:val="3ABA0584"/>
    <w:rsid w:val="3AC220F7"/>
    <w:rsid w:val="3BF511EF"/>
    <w:rsid w:val="3CC86FC9"/>
    <w:rsid w:val="3DDB2309"/>
    <w:rsid w:val="3E2D0A8E"/>
    <w:rsid w:val="3ECA4190"/>
    <w:rsid w:val="3F210422"/>
    <w:rsid w:val="3FB76397"/>
    <w:rsid w:val="40B75F3A"/>
    <w:rsid w:val="412020E6"/>
    <w:rsid w:val="414E2E84"/>
    <w:rsid w:val="416A1261"/>
    <w:rsid w:val="41B749A3"/>
    <w:rsid w:val="41F9564C"/>
    <w:rsid w:val="41FD4053"/>
    <w:rsid w:val="422B389D"/>
    <w:rsid w:val="42573468"/>
    <w:rsid w:val="43192030"/>
    <w:rsid w:val="45693CEF"/>
    <w:rsid w:val="45BF33F9"/>
    <w:rsid w:val="45C1181B"/>
    <w:rsid w:val="45CC5F92"/>
    <w:rsid w:val="460B5A77"/>
    <w:rsid w:val="470C691E"/>
    <w:rsid w:val="472B3950"/>
    <w:rsid w:val="47652830"/>
    <w:rsid w:val="48916F84"/>
    <w:rsid w:val="48D37C40"/>
    <w:rsid w:val="49EC47D8"/>
    <w:rsid w:val="4A5A4E0C"/>
    <w:rsid w:val="4D240950"/>
    <w:rsid w:val="4E845CFF"/>
    <w:rsid w:val="4F2214E2"/>
    <w:rsid w:val="4F356FB6"/>
    <w:rsid w:val="4F4246BC"/>
    <w:rsid w:val="51A92185"/>
    <w:rsid w:val="52971E0E"/>
    <w:rsid w:val="529E7394"/>
    <w:rsid w:val="52BC45CC"/>
    <w:rsid w:val="52F30EA2"/>
    <w:rsid w:val="53E804B6"/>
    <w:rsid w:val="54774E08"/>
    <w:rsid w:val="55A64F94"/>
    <w:rsid w:val="55B72CB0"/>
    <w:rsid w:val="55E97E50"/>
    <w:rsid w:val="567E3972"/>
    <w:rsid w:val="5716066D"/>
    <w:rsid w:val="57E532C4"/>
    <w:rsid w:val="58982D68"/>
    <w:rsid w:val="593B2894"/>
    <w:rsid w:val="597C465F"/>
    <w:rsid w:val="5A933E27"/>
    <w:rsid w:val="5A9418A9"/>
    <w:rsid w:val="5B507A5E"/>
    <w:rsid w:val="5C005AAB"/>
    <w:rsid w:val="5C936DF0"/>
    <w:rsid w:val="5C99060D"/>
    <w:rsid w:val="5CA31609"/>
    <w:rsid w:val="5D7E2271"/>
    <w:rsid w:val="5D831BD2"/>
    <w:rsid w:val="5DF85EA9"/>
    <w:rsid w:val="5E045D4D"/>
    <w:rsid w:val="5E824AD5"/>
    <w:rsid w:val="5EFA0B0F"/>
    <w:rsid w:val="5F5046EA"/>
    <w:rsid w:val="5F592DFB"/>
    <w:rsid w:val="5FC6342F"/>
    <w:rsid w:val="5FEE102E"/>
    <w:rsid w:val="601879B6"/>
    <w:rsid w:val="606673D1"/>
    <w:rsid w:val="60BB34A5"/>
    <w:rsid w:val="61910388"/>
    <w:rsid w:val="624A3E3D"/>
    <w:rsid w:val="641B7C1C"/>
    <w:rsid w:val="659D0447"/>
    <w:rsid w:val="65A705D2"/>
    <w:rsid w:val="66E747E1"/>
    <w:rsid w:val="67080599"/>
    <w:rsid w:val="67095D94"/>
    <w:rsid w:val="67CB129B"/>
    <w:rsid w:val="68387BF1"/>
    <w:rsid w:val="68A35DBC"/>
    <w:rsid w:val="6C0701E0"/>
    <w:rsid w:val="6C2F630D"/>
    <w:rsid w:val="6C7F158F"/>
    <w:rsid w:val="6CA9785E"/>
    <w:rsid w:val="6CD75CBE"/>
    <w:rsid w:val="6E070112"/>
    <w:rsid w:val="6E5F07A0"/>
    <w:rsid w:val="6E7177C1"/>
    <w:rsid w:val="6E775E47"/>
    <w:rsid w:val="6E8354DD"/>
    <w:rsid w:val="6EA60413"/>
    <w:rsid w:val="703F6AB7"/>
    <w:rsid w:val="70A01FD4"/>
    <w:rsid w:val="718F76DE"/>
    <w:rsid w:val="722A7CFA"/>
    <w:rsid w:val="72B868C0"/>
    <w:rsid w:val="73476A2F"/>
    <w:rsid w:val="73A103C3"/>
    <w:rsid w:val="74597CDC"/>
    <w:rsid w:val="75032589"/>
    <w:rsid w:val="757C02BA"/>
    <w:rsid w:val="7780039E"/>
    <w:rsid w:val="780F0F07"/>
    <w:rsid w:val="781C169F"/>
    <w:rsid w:val="78794C97"/>
    <w:rsid w:val="789B436E"/>
    <w:rsid w:val="79797227"/>
    <w:rsid w:val="799F4B15"/>
    <w:rsid w:val="79CF0EE8"/>
    <w:rsid w:val="7A5720C5"/>
    <w:rsid w:val="7A7C6A82"/>
    <w:rsid w:val="7A8837E5"/>
    <w:rsid w:val="7AB718EC"/>
    <w:rsid w:val="7B3F45C1"/>
    <w:rsid w:val="7DC55265"/>
    <w:rsid w:val="7E514E49"/>
    <w:rsid w:val="7ECE7D40"/>
    <w:rsid w:val="7EDB4DAD"/>
    <w:rsid w:val="7F327A56"/>
    <w:rsid w:val="7F9709E3"/>
    <w:rsid w:val="7FCE3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rPr>
      <w:kern w:val="0"/>
    </w:rPr>
  </w:style>
  <w:style w:type="paragraph" w:styleId="3">
    <w:name w:val="Title"/>
    <w:basedOn w:val="1"/>
    <w:next w:val="1"/>
    <w:qFormat/>
    <w:uiPriority w:val="0"/>
    <w:pPr>
      <w:widowControl/>
      <w:spacing w:line="660" w:lineRule="exact"/>
      <w:jc w:val="center"/>
      <w:outlineLvl w:val="0"/>
    </w:pPr>
    <w:rPr>
      <w:rFonts w:ascii="宋体" w:hAnsi="宋体" w:cs="Arial"/>
      <w:b/>
      <w:bCs/>
      <w:sz w:val="44"/>
      <w:szCs w:val="32"/>
    </w:rPr>
  </w:style>
  <w:style w:type="table" w:styleId="5">
    <w:name w:val="Table Grid"/>
    <w:basedOn w:val="4"/>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881</Words>
  <Characters>897</Characters>
  <Lines>0</Lines>
  <Paragraphs>0</Paragraphs>
  <TotalTime>0</TotalTime>
  <ScaleCrop>false</ScaleCrop>
  <LinksUpToDate>false</LinksUpToDate>
  <CharactersWithSpaces>952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2025-04-01T03:57:00Z</dcterms:created>
  <dc:creator>Administrator</dc:creator>
  <cp:lastModifiedBy>lichao1</cp:lastModifiedBy>
  <dcterms:modified xsi:type="dcterms:W3CDTF">2026-09-22T13:04:07Z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CDC09E4ED8B9467090E6C1C623DA8839</vt:lpwstr>
  </property>
  <property fmtid="{D5CDD505-2E9C-101B-9397-08002B2CF9AE}" pid="4" name="KSOTemplateDocerSaveRecord">
    <vt:lpwstr>eyJoZGlkIjoiMzEwNTM5NzYwMDRjMzkwZTVkZjY2ODkwMGIxNGU0OTUiLCJ1c2VySWQiOiIzNzQ3Nzg4MDMifQ==</vt:lpwstr>
  </property>
</Properties>
</file>