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default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15706"/>
      <w:bookmarkStart w:id="1" w:name="OLE_LINK3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附录H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" w:name="OLE_LINK2"/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零星采购项目要求</w:t>
      </w:r>
      <w:bookmarkEnd w:id="2"/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1545"/>
        <w:gridCol w:w="1674"/>
        <w:gridCol w:w="785"/>
        <w:gridCol w:w="555"/>
        <w:gridCol w:w="867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</w:tblPrEx>
        <w:trPr>
          <w:trHeight w:val="47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陵水供电局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bookmarkStart w:id="3" w:name="OLE_LINK1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陵水供电局2026-2027年员工周转房采购项目（八</w:t>
            </w:r>
            <w:bookmarkStart w:id="5" w:name="_GoBack"/>
            <w:bookmarkEnd w:id="5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）</w:t>
            </w:r>
            <w:bookmarkEnd w:id="3"/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□工程  □货物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sym w:font="Wingdings 2" w:char="0052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陵水供电局2026-2027年员工周转房采购项目（六）</w:t>
            </w:r>
          </w:p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陵水供电局2026-2027年员工周转房采购项目（七）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房屋地址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：陵水县城内，距离单位5公里以内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面积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：100㎡以下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装修情况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：简装拎包入住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配套设施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：空调/热水器/床/桌椅/电视等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间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12000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48000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2026.9.20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一、项目概况及采购内容：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（二）面积：50㎡以下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（五）预算价位：1000元/月（含税）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二、资质要求：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1.供应商要有良好的商业信誉，无重大违法违规记录，比如没有因欺诈、偷漏税、建筑质量事故等问题受到严重处罚。 2.对于新建房源，供应商应具备相应的产权证书，保证房屋建筑质量符合国家和地方标准。若提供二手房源，也需要确保房屋质量良好，如房屋结构安全、水电暖等设施能正常使用。3.房源的产权要清晰，不存在产权纠纷，避免后续给企业带来法律问题。4. 最好能够提供足够数量的房源来满足企业需求，并且房源位置应在企业规定的合理范围内，方便员工通勤。4. 房源周边配套设施完善，如附近有超市、医院、公交站等生活设施，提升员工生活便利性。5.供应商应提供良好的售后服务，包括房屋维修、物业管理等方面。例如，在一定期限内对房屋出现的非人为质量问题负责维修，能够提供配套的物业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三、相关技术要求：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四、服务相关要求：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一、房屋的基本要求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（二）面积：100㎡以下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  <w:bookmarkStart w:id="4" w:name="OLE_LINK6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，经市场同类型房源询价及房源配套设施的配置水平，预算价位：1000元/月（含税），12000元/年（含税），四间共计48000元/年。</w:t>
      </w:r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五、交付标准：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附件E：员工宿舍基础物品配置标准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六、商务及报价要求：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报价包含物业费、税费，报价方式采用线上报价，付款需开具专业发票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其他要求：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29CF64"/>
    <w:multiLevelType w:val="singleLevel"/>
    <w:tmpl w:val="0829CF64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46B39"/>
    <w:rsid w:val="21E46B39"/>
    <w:rsid w:val="262176D9"/>
    <w:rsid w:val="5CA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2026-08-31T01:58:00Z</dcterms:created>
  <dc:creator>1D75A099253649C7BF03F3C19D893A79</dc:creator>
  <cp:lastModifiedBy>王晓奚</cp:lastModifiedBy>
  <dcterms:modified xsi:type="dcterms:W3CDTF">2026-09-03T09:07:37Z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748CEA3ED64B429980768B197278E097</vt:lpwstr>
  </property>
</Properties>
</file>