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0" w:firstLineChars="0"/>
        <w:rPr>
          <w:rFonts w:eastAsia="黑体"/>
          <w:sz w:val="30"/>
          <w:highlight w:val="none"/>
        </w:rPr>
      </w:pPr>
      <w:r>
        <w:rPr>
          <w:rFonts w:ascii="宋体" w:hAnsi="宋体" w:cs="宋体"/>
          <w:sz w:val="36"/>
          <w:szCs w:val="36"/>
          <w:highlight w:val="none"/>
        </w:rPr>
        <w:drawing>
          <wp:anchor distT="0" distB="0" distL="114300" distR="114300" simplePos="0" relativeHeight="251659264" behindDoc="1" locked="0" layoutInCell="1" allowOverlap="1">
            <wp:simplePos x="0" y="0"/>
            <wp:positionH relativeFrom="page">
              <wp:posOffset>-324485</wp:posOffset>
            </wp:positionH>
            <wp:positionV relativeFrom="page">
              <wp:posOffset>-40640</wp:posOffset>
            </wp:positionV>
            <wp:extent cx="7886700" cy="6486525"/>
            <wp:effectExtent l="0" t="0" r="12700" b="15875"/>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11"/>
                    <a:stretch>
                      <a:fillRect/>
                    </a:stretch>
                  </pic:blipFill>
                  <pic:spPr>
                    <a:xfrm>
                      <a:off x="0" y="0"/>
                      <a:ext cx="7886700" cy="6486525"/>
                    </a:xfrm>
                    <a:prstGeom prst="rect">
                      <a:avLst/>
                    </a:prstGeom>
                    <a:noFill/>
                    <a:ln w="9525">
                      <a:noFill/>
                    </a:ln>
                  </pic:spPr>
                </pic:pic>
              </a:graphicData>
            </a:graphic>
          </wp:anchor>
        </w:drawing>
      </w:r>
    </w:p>
    <w:p>
      <w:pPr>
        <w:pStyle w:val="7"/>
        <w:numPr>
          <w:ilvl w:val="1"/>
          <w:numId w:val="0"/>
        </w:numPr>
        <w:tabs>
          <w:tab w:val="clear" w:pos="2254"/>
        </w:tabs>
        <w:ind w:left="454" w:leftChars="0"/>
        <w:rPr>
          <w:highlight w:val="none"/>
        </w:rPr>
      </w:pPr>
    </w:p>
    <w:p>
      <w:pPr>
        <w:pStyle w:val="8"/>
        <w:rPr>
          <w:highlight w:val="none"/>
        </w:rPr>
      </w:pPr>
    </w:p>
    <w:p>
      <w:pPr>
        <w:pStyle w:val="16"/>
        <w:tabs>
          <w:tab w:val="clear" w:pos="420"/>
        </w:tabs>
        <w:jc w:val="center"/>
        <w:rPr>
          <w:rFonts w:hint="eastAsia" w:ascii="宋体" w:hAnsi="宋体" w:cs="宋体"/>
          <w:b w:val="0"/>
          <w:sz w:val="36"/>
          <w:szCs w:val="36"/>
          <w:highlight w:val="none"/>
        </w:rPr>
      </w:pPr>
      <w:bookmarkStart w:id="0" w:name="_Toc350000266"/>
      <w:bookmarkStart w:id="1" w:name="_Toc410209538"/>
      <w:bookmarkStart w:id="2" w:name="_Toc12046"/>
      <w:bookmarkStart w:id="3" w:name="_Toc327366165"/>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r>
        <w:rPr>
          <w:rFonts w:ascii="宋体" w:hAnsi="宋体" w:cs="宋体"/>
          <w:b w:val="0"/>
          <w:sz w:val="36"/>
          <w:szCs w:val="36"/>
          <w:highlight w:val="none"/>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431800</wp:posOffset>
                </wp:positionV>
                <wp:extent cx="5742940" cy="13417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42940" cy="1341755"/>
                        </a:xfrm>
                        <a:prstGeom prst="rect">
                          <a:avLst/>
                        </a:prstGeom>
                        <a:noFill/>
                        <a:ln w="9525">
                          <a:noFill/>
                        </a:ln>
                        <a:effectLst/>
                      </wps:spPr>
                      <wps:txbx>
                        <w:txbxContent>
                          <w:p>
                            <w:pPr>
                              <w:ind w:firstLine="563"/>
                              <w:jc w:val="center"/>
                              <w:rPr>
                                <w:rFonts w:hint="eastAsia" w:ascii="宋体" w:hAnsi="宋体"/>
                                <w:b/>
                                <w:spacing w:val="-20"/>
                                <w:sz w:val="40"/>
                                <w:szCs w:val="40"/>
                              </w:rPr>
                            </w:pPr>
                            <w:r>
                              <w:rPr>
                                <w:rFonts w:hint="eastAsia" w:ascii="宋体" w:hAnsi="宋体"/>
                                <w:b/>
                                <w:spacing w:val="-20"/>
                                <w:sz w:val="40"/>
                                <w:szCs w:val="40"/>
                              </w:rPr>
                              <w:t>南方电网云南电动汽车服务有限公司</w:t>
                            </w:r>
                          </w:p>
                          <w:p>
                            <w:pPr>
                              <w:spacing w:line="288" w:lineRule="auto"/>
                              <w:ind w:firstLine="643"/>
                              <w:jc w:val="center"/>
                              <w:rPr>
                                <w:rFonts w:ascii="宋体" w:hAnsi="宋体" w:eastAsia="Calibri"/>
                                <w:b/>
                                <w:sz w:val="40"/>
                                <w:szCs w:val="40"/>
                              </w:rPr>
                            </w:pPr>
                            <w:r>
                              <w:rPr>
                                <w:rFonts w:hint="eastAsia" w:ascii="宋体" w:hAnsi="宋体" w:eastAsia="Calibri"/>
                                <w:b/>
                                <w:sz w:val="40"/>
                                <w:szCs w:val="40"/>
                              </w:rPr>
                              <w:t>2026-2027年日常宣传服务</w:t>
                            </w:r>
                            <w:r>
                              <w:rPr>
                                <w:rFonts w:ascii="宋体" w:hAnsi="宋体" w:eastAsia="Calibri"/>
                                <w:b/>
                                <w:sz w:val="40"/>
                                <w:szCs w:val="40"/>
                              </w:rPr>
                              <w:t>技术规范书</w:t>
                            </w:r>
                          </w:p>
                          <w:p>
                            <w:pPr>
                              <w:pStyle w:val="10"/>
                              <w:spacing w:before="120" w:after="120"/>
                              <w:ind w:firstLine="480"/>
                              <w:jc w:val="center"/>
                              <w:rPr>
                                <w:rFonts w:hint="eastAsia"/>
                              </w:rPr>
                            </w:pPr>
                          </w:p>
                        </w:txbxContent>
                      </wps:txbx>
                      <wps:bodyPr vert="horz" wrap="square" anchor="t" upright="1"/>
                    </wps:wsp>
                  </a:graphicData>
                </a:graphic>
              </wp:anchor>
            </w:drawing>
          </mc:Choice>
          <mc:Fallback>
            <w:pict>
              <v:shape id="_x0000_s1026" o:spid="_x0000_s1026" o:spt="202" type="#_x0000_t202" style="position:absolute;left:0pt;margin-left:-8.35pt;margin-top:34pt;height:105.65pt;width:452.2pt;z-index:251661312;mso-width-relative:page;mso-height-relative:page;" filled="f" stroked="f" coordsize="21600,21600" o:gfxdata="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UotdbYAAAACgEAAA8AAAAAAAAAAQAg&#10;AAAAIgAAAGRycy9kb3ducmV2LnhtbFBLAQIUABQAAAAIAIdO4kBC3qKG1QEAAIsDAAAOAAAAAAAA&#10;AAEAIAAAACcBAABkcnMvZTJvRG9jLnhtbFBLBQYAAAAABgAGAFkBAABuBQAAAAA=&#10;">
                <v:fill on="f" focussize="0,0"/>
                <v:stroke on="f"/>
                <v:imagedata o:title=""/>
                <o:lock v:ext="edit" aspectratio="f"/>
                <v:textbox>
                  <w:txbxContent>
                    <w:p>
                      <w:pPr>
                        <w:ind w:firstLine="563"/>
                        <w:jc w:val="center"/>
                        <w:rPr>
                          <w:rFonts w:hint="eastAsia" w:ascii="宋体" w:hAnsi="宋体"/>
                          <w:b/>
                          <w:spacing w:val="-20"/>
                          <w:sz w:val="40"/>
                          <w:szCs w:val="40"/>
                        </w:rPr>
                      </w:pPr>
                      <w:r>
                        <w:rPr>
                          <w:rFonts w:hint="eastAsia" w:ascii="宋体" w:hAnsi="宋体"/>
                          <w:b/>
                          <w:spacing w:val="-20"/>
                          <w:sz w:val="40"/>
                          <w:szCs w:val="40"/>
                        </w:rPr>
                        <w:t>南方电网云南电动汽车服务有限公司</w:t>
                      </w:r>
                    </w:p>
                    <w:p>
                      <w:pPr>
                        <w:spacing w:line="288" w:lineRule="auto"/>
                        <w:ind w:firstLine="643"/>
                        <w:jc w:val="center"/>
                        <w:rPr>
                          <w:rFonts w:ascii="宋体" w:hAnsi="宋体" w:eastAsia="Calibri"/>
                          <w:b/>
                          <w:sz w:val="40"/>
                          <w:szCs w:val="40"/>
                        </w:rPr>
                      </w:pPr>
                      <w:r>
                        <w:rPr>
                          <w:rFonts w:hint="eastAsia" w:ascii="宋体" w:hAnsi="宋体" w:eastAsia="Calibri"/>
                          <w:b/>
                          <w:sz w:val="40"/>
                          <w:szCs w:val="40"/>
                        </w:rPr>
                        <w:t>2026-2027年日常宣传服务</w:t>
                      </w:r>
                      <w:r>
                        <w:rPr>
                          <w:rFonts w:ascii="宋体" w:hAnsi="宋体" w:eastAsia="Calibri"/>
                          <w:b/>
                          <w:sz w:val="40"/>
                          <w:szCs w:val="40"/>
                        </w:rPr>
                        <w:t>技术规范书</w:t>
                      </w:r>
                    </w:p>
                    <w:p>
                      <w:pPr>
                        <w:pStyle w:val="10"/>
                        <w:spacing w:before="120" w:after="120"/>
                        <w:ind w:firstLine="480"/>
                        <w:jc w:val="center"/>
                        <w:rPr>
                          <w:rFonts w:hint="eastAsia"/>
                        </w:rPr>
                      </w:pPr>
                    </w:p>
                  </w:txbxContent>
                </v:textbox>
              </v:shape>
            </w:pict>
          </mc:Fallback>
        </mc:AlternateContent>
      </w: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pStyle w:val="16"/>
        <w:tabs>
          <w:tab w:val="clear" w:pos="420"/>
        </w:tabs>
        <w:jc w:val="center"/>
        <w:rPr>
          <w:rFonts w:hint="eastAsia" w:ascii="宋体" w:hAnsi="宋体" w:cs="宋体"/>
          <w:b w:val="0"/>
          <w:sz w:val="36"/>
          <w:szCs w:val="36"/>
          <w:highlight w:val="none"/>
        </w:rPr>
      </w:pPr>
    </w:p>
    <w:p>
      <w:pPr>
        <w:ind w:firstLine="643"/>
        <w:jc w:val="center"/>
        <w:rPr>
          <w:rFonts w:hint="eastAsia" w:ascii="宋体" w:hAnsi="宋体" w:cs="宋体"/>
          <w:b/>
          <w:sz w:val="32"/>
          <w:highlight w:val="none"/>
        </w:rPr>
      </w:pPr>
      <w:bookmarkStart w:id="4" w:name="_Toc26121"/>
      <w:r>
        <w:rPr>
          <w:rFonts w:hint="eastAsia" w:ascii="宋体" w:hAnsi="宋体" w:cs="宋体"/>
          <w:b/>
          <w:sz w:val="32"/>
          <w:highlight w:val="none"/>
        </w:rPr>
        <w:t>南方电网云南电动汽车服务有限公司</w:t>
      </w:r>
      <w:bookmarkEnd w:id="4"/>
    </w:p>
    <w:p>
      <w:pPr>
        <w:ind w:firstLine="643"/>
        <w:jc w:val="center"/>
        <w:rPr>
          <w:rFonts w:hint="eastAsia" w:ascii="宋体" w:hAnsi="宋体" w:cs="宋体"/>
          <w:b/>
          <w:sz w:val="32"/>
          <w:highlight w:val="none"/>
        </w:rPr>
      </w:pPr>
      <w:r>
        <w:rPr>
          <w:rFonts w:hint="eastAsia" w:ascii="宋体" w:hAnsi="宋体" w:cs="宋体"/>
          <w:b/>
          <w:sz w:val="32"/>
          <w:highlight w:val="none"/>
        </w:rPr>
        <w:t>202</w:t>
      </w:r>
      <w:r>
        <w:rPr>
          <w:rFonts w:hint="eastAsia" w:ascii="宋体" w:hAnsi="宋体" w:cs="宋体"/>
          <w:b/>
          <w:sz w:val="32"/>
          <w:highlight w:val="none"/>
          <w:lang w:val="en-US" w:eastAsia="zh-CN"/>
        </w:rPr>
        <w:t>6</w:t>
      </w:r>
      <w:r>
        <w:rPr>
          <w:rFonts w:hint="eastAsia" w:ascii="宋体" w:hAnsi="宋体" w:cs="宋体"/>
          <w:b/>
          <w:sz w:val="32"/>
          <w:highlight w:val="none"/>
        </w:rPr>
        <w:t>年</w:t>
      </w:r>
      <w:r>
        <w:rPr>
          <w:rFonts w:hint="eastAsia" w:ascii="宋体" w:hAnsi="宋体" w:cs="宋体"/>
          <w:b/>
          <w:sz w:val="32"/>
          <w:highlight w:val="none"/>
          <w:lang w:val="en-US" w:eastAsia="zh-CN"/>
        </w:rPr>
        <w:t>8</w:t>
      </w:r>
      <w:r>
        <w:rPr>
          <w:rFonts w:hint="eastAsia" w:ascii="宋体" w:hAnsi="宋体" w:cs="宋体"/>
          <w:b/>
          <w:sz w:val="32"/>
          <w:highlight w:val="none"/>
        </w:rPr>
        <w:t>月</w:t>
      </w:r>
    </w:p>
    <w:p>
      <w:pPr>
        <w:pStyle w:val="7"/>
        <w:numPr>
          <w:ilvl w:val="1"/>
          <w:numId w:val="0"/>
        </w:numPr>
        <w:rPr>
          <w:rFonts w:hint="eastAsia" w:ascii="宋体" w:hAnsi="宋体" w:cs="宋体"/>
          <w:b/>
          <w:sz w:val="32"/>
          <w:highlight w:val="none"/>
        </w:rPr>
      </w:pPr>
    </w:p>
    <w:bookmarkEnd w:id="0"/>
    <w:bookmarkEnd w:id="1"/>
    <w:bookmarkEnd w:id="2"/>
    <w:bookmarkEnd w:id="3"/>
    <w:p>
      <w:pPr>
        <w:tabs>
          <w:tab w:val="left" w:pos="9135"/>
        </w:tabs>
        <w:ind w:firstLine="0" w:firstLineChars="0"/>
        <w:jc w:val="center"/>
        <w:rPr>
          <w:highlight w:val="none"/>
        </w:rPr>
      </w:pPr>
    </w:p>
    <w:p>
      <w:pPr>
        <w:spacing w:line="240" w:lineRule="auto"/>
        <w:ind w:firstLine="0" w:firstLineChars="0"/>
        <w:jc w:val="center"/>
        <w:rPr>
          <w:rFonts w:ascii="宋体" w:hAnsi="宋体"/>
          <w:sz w:val="24"/>
          <w:szCs w:val="20"/>
          <w:highlight w:val="none"/>
        </w:rPr>
        <w:sectPr>
          <w:headerReference r:id="rId5" w:type="default"/>
          <w:footerReference r:id="rId6" w:type="default"/>
          <w:pgSz w:w="11906" w:h="16838"/>
          <w:pgMar w:top="1440" w:right="1797" w:bottom="1440" w:left="1797" w:header="851" w:footer="992" w:gutter="0"/>
          <w:cols w:space="720" w:num="1"/>
          <w:docGrid w:type="lines" w:linePitch="312" w:charSpace="0"/>
        </w:sectPr>
      </w:pPr>
    </w:p>
    <w:sdt>
      <w:sdtPr>
        <w:rPr>
          <w:rFonts w:ascii="宋体" w:hAnsi="宋体"/>
          <w:sz w:val="24"/>
          <w:szCs w:val="20"/>
          <w:highlight w:val="none"/>
        </w:rPr>
        <w:id w:val="147460118"/>
        <w15:color w:val="DBDBDB"/>
        <w:docPartObj>
          <w:docPartGallery w:val="Table of Contents"/>
          <w:docPartUnique/>
        </w:docPartObj>
      </w:sdtPr>
      <w:sdtEndPr>
        <w:rPr>
          <w:rFonts w:ascii="Arial" w:hAnsi="Arial"/>
          <w:sz w:val="24"/>
          <w:szCs w:val="20"/>
          <w:highlight w:val="none"/>
        </w:rPr>
      </w:sdtEndPr>
      <w:sdtContent>
        <w:p>
          <w:pPr>
            <w:spacing w:line="240" w:lineRule="auto"/>
            <w:ind w:firstLine="0" w:firstLineChars="0"/>
            <w:jc w:val="center"/>
            <w:rPr>
              <w:highlight w:val="none"/>
            </w:rPr>
          </w:pPr>
          <w:r>
            <w:rPr>
              <w:rFonts w:ascii="宋体" w:hAnsi="宋体"/>
              <w:b/>
              <w:bCs/>
              <w:sz w:val="36"/>
              <w:szCs w:val="44"/>
              <w:highlight w:val="none"/>
            </w:rPr>
            <w:t>目录</w:t>
          </w:r>
        </w:p>
        <w:p>
          <w:pPr>
            <w:pStyle w:val="16"/>
            <w:tabs>
              <w:tab w:val="right" w:leader="dot" w:pos="9026"/>
              <w:tab w:val="clear" w:pos="420"/>
              <w:tab w:val="clear" w:pos="8296"/>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_Toc9932 </w:instrText>
          </w:r>
          <w:r>
            <w:rPr>
              <w:highlight w:val="none"/>
            </w:rPr>
            <w:fldChar w:fldCharType="separate"/>
          </w:r>
          <w:r>
            <w:rPr>
              <w:rFonts w:hint="eastAsia" w:ascii="黑体" w:hAnsi="黑体" w:eastAsia="黑体" w:cs="黑体"/>
              <w:szCs w:val="32"/>
              <w:highlight w:val="none"/>
            </w:rPr>
            <w:t>一、</w:t>
          </w:r>
          <w:r>
            <w:rPr>
              <w:rFonts w:hint="eastAsia" w:ascii="黑体" w:hAnsi="黑体" w:eastAsia="黑体" w:cs="黑体"/>
              <w:szCs w:val="32"/>
              <w:highlight w:val="none"/>
              <w:lang w:val="en-US" w:eastAsia="zh-CN"/>
            </w:rPr>
            <w:t>总则</w:t>
          </w:r>
          <w:r>
            <w:rPr>
              <w:highlight w:val="none"/>
            </w:rPr>
            <w:tab/>
          </w:r>
          <w:r>
            <w:rPr>
              <w:highlight w:val="none"/>
            </w:rPr>
            <w:fldChar w:fldCharType="begin"/>
          </w:r>
          <w:r>
            <w:rPr>
              <w:highlight w:val="none"/>
            </w:rPr>
            <w:instrText xml:space="preserve"> PAGEREF _Toc9932 \h </w:instrText>
          </w:r>
          <w:r>
            <w:rPr>
              <w:highlight w:val="none"/>
            </w:rPr>
            <w:fldChar w:fldCharType="separate"/>
          </w:r>
          <w:r>
            <w:rPr>
              <w:highlight w:val="none"/>
            </w:rPr>
            <w:t>1</w:t>
          </w:r>
          <w:r>
            <w:rPr>
              <w:highlight w:val="none"/>
            </w:rPr>
            <w:fldChar w:fldCharType="end"/>
          </w:r>
          <w:r>
            <w:rPr>
              <w:highlight w:val="none"/>
            </w:rPr>
            <w:fldChar w:fldCharType="end"/>
          </w:r>
        </w:p>
        <w:p>
          <w:pPr>
            <w:pStyle w:val="16"/>
            <w:tabs>
              <w:tab w:val="right" w:leader="dot" w:pos="9026"/>
              <w:tab w:val="clear" w:pos="420"/>
              <w:tab w:val="clear" w:pos="8296"/>
            </w:tabs>
            <w:rPr>
              <w:highlight w:val="none"/>
            </w:rPr>
          </w:pPr>
          <w:r>
            <w:rPr>
              <w:highlight w:val="none"/>
            </w:rPr>
            <w:fldChar w:fldCharType="begin"/>
          </w:r>
          <w:r>
            <w:rPr>
              <w:highlight w:val="none"/>
            </w:rPr>
            <w:instrText xml:space="preserve"> HYPERLINK \l _Toc31791 </w:instrText>
          </w:r>
          <w:r>
            <w:rPr>
              <w:highlight w:val="none"/>
            </w:rPr>
            <w:fldChar w:fldCharType="separate"/>
          </w:r>
          <w:r>
            <w:rPr>
              <w:rFonts w:hint="eastAsia" w:ascii="黑体" w:hAnsi="黑体" w:eastAsia="黑体" w:cs="黑体"/>
              <w:szCs w:val="32"/>
              <w:highlight w:val="none"/>
            </w:rPr>
            <w:t>二、</w:t>
          </w:r>
          <w:r>
            <w:rPr>
              <w:rFonts w:hint="eastAsia" w:ascii="黑体" w:hAnsi="黑体" w:eastAsia="黑体" w:cs="黑体"/>
              <w:szCs w:val="32"/>
              <w:highlight w:val="none"/>
              <w:lang w:val="en-US" w:eastAsia="zh-CN"/>
            </w:rPr>
            <w:t>技术规范</w:t>
          </w:r>
          <w:r>
            <w:rPr>
              <w:highlight w:val="none"/>
            </w:rPr>
            <w:tab/>
          </w:r>
          <w:r>
            <w:rPr>
              <w:rFonts w:hint="eastAsia"/>
              <w:highlight w:val="none"/>
              <w:lang w:val="en-US" w:eastAsia="zh-CN"/>
            </w:rPr>
            <w:t>3</w:t>
          </w:r>
          <w:r>
            <w:rPr>
              <w:highlight w:val="none"/>
            </w:rPr>
            <w:fldChar w:fldCharType="end"/>
          </w:r>
        </w:p>
        <w:p>
          <w:pPr>
            <w:pStyle w:val="16"/>
            <w:tabs>
              <w:tab w:val="right" w:leader="dot" w:pos="9026"/>
              <w:tab w:val="clear" w:pos="420"/>
              <w:tab w:val="clear" w:pos="8296"/>
            </w:tabs>
            <w:rPr>
              <w:highlight w:val="none"/>
            </w:rPr>
          </w:pPr>
          <w:r>
            <w:rPr>
              <w:highlight w:val="none"/>
            </w:rPr>
            <w:fldChar w:fldCharType="begin"/>
          </w:r>
          <w:r>
            <w:rPr>
              <w:highlight w:val="none"/>
            </w:rPr>
            <w:instrText xml:space="preserve"> HYPERLINK \l _Toc27025 </w:instrText>
          </w:r>
          <w:r>
            <w:rPr>
              <w:highlight w:val="none"/>
            </w:rPr>
            <w:fldChar w:fldCharType="separate"/>
          </w:r>
          <w:r>
            <w:rPr>
              <w:rFonts w:hint="eastAsia" w:ascii="黑体" w:hAnsi="黑体" w:eastAsia="黑体" w:cs="黑体"/>
              <w:szCs w:val="32"/>
              <w:highlight w:val="none"/>
            </w:rPr>
            <w:t>三、</w:t>
          </w:r>
          <w:r>
            <w:rPr>
              <w:rFonts w:hint="eastAsia" w:ascii="黑体" w:hAnsi="黑体" w:eastAsia="黑体" w:cs="黑体"/>
              <w:szCs w:val="32"/>
              <w:highlight w:val="none"/>
              <w:lang w:val="en-US" w:eastAsia="zh-CN"/>
            </w:rPr>
            <w:t>结算方式</w:t>
          </w:r>
          <w:r>
            <w:rPr>
              <w:highlight w:val="none"/>
            </w:rPr>
            <w:tab/>
          </w:r>
          <w:r>
            <w:rPr>
              <w:rFonts w:hint="eastAsia"/>
              <w:highlight w:val="none"/>
              <w:lang w:val="en-US" w:eastAsia="zh-CN"/>
            </w:rPr>
            <w:t>8</w:t>
          </w:r>
          <w:r>
            <w:rPr>
              <w:highlight w:val="none"/>
            </w:rPr>
            <w:fldChar w:fldCharType="end"/>
          </w:r>
        </w:p>
        <w:p>
          <w:pPr>
            <w:pStyle w:val="16"/>
            <w:tabs>
              <w:tab w:val="right" w:leader="dot" w:pos="9026"/>
              <w:tab w:val="clear" w:pos="420"/>
              <w:tab w:val="clear" w:pos="8296"/>
            </w:tabs>
            <w:rPr>
              <w:highlight w:val="none"/>
            </w:rPr>
          </w:pPr>
          <w:r>
            <w:rPr>
              <w:highlight w:val="none"/>
            </w:rPr>
            <w:fldChar w:fldCharType="begin"/>
          </w:r>
          <w:r>
            <w:rPr>
              <w:highlight w:val="none"/>
            </w:rPr>
            <w:instrText xml:space="preserve"> HYPERLINK \l _Toc16308 </w:instrText>
          </w:r>
          <w:r>
            <w:rPr>
              <w:highlight w:val="none"/>
            </w:rPr>
            <w:fldChar w:fldCharType="separate"/>
          </w:r>
          <w:r>
            <w:rPr>
              <w:rFonts w:hint="eastAsia" w:ascii="黑体" w:hAnsi="黑体" w:eastAsia="黑体" w:cs="黑体"/>
              <w:szCs w:val="32"/>
              <w:highlight w:val="none"/>
            </w:rPr>
            <w:t>四、</w:t>
          </w:r>
          <w:r>
            <w:rPr>
              <w:rFonts w:hint="eastAsia" w:ascii="黑体" w:hAnsi="黑体" w:eastAsia="黑体" w:cs="黑体"/>
              <w:szCs w:val="32"/>
              <w:highlight w:val="none"/>
              <w:lang w:val="en-US" w:eastAsia="zh-CN"/>
            </w:rPr>
            <w:t>质量保证</w:t>
          </w:r>
          <w:r>
            <w:rPr>
              <w:highlight w:val="none"/>
            </w:rPr>
            <w:tab/>
          </w:r>
          <w:r>
            <w:rPr>
              <w:rFonts w:hint="eastAsia"/>
              <w:highlight w:val="none"/>
              <w:lang w:val="en-US" w:eastAsia="zh-CN"/>
            </w:rPr>
            <w:t>9</w:t>
          </w:r>
          <w:r>
            <w:rPr>
              <w:highlight w:val="none"/>
            </w:rPr>
            <w:fldChar w:fldCharType="end"/>
          </w:r>
        </w:p>
        <w:p>
          <w:pPr>
            <w:pStyle w:val="16"/>
            <w:tabs>
              <w:tab w:val="right" w:leader="dot" w:pos="9026"/>
              <w:tab w:val="clear" w:pos="420"/>
              <w:tab w:val="clear" w:pos="8296"/>
            </w:tabs>
            <w:rPr>
              <w:rFonts w:hint="eastAsia" w:eastAsia="宋体"/>
              <w:highlight w:val="none"/>
              <w:lang w:val="en-US" w:eastAsia="zh-CN"/>
            </w:rPr>
          </w:pPr>
          <w:r>
            <w:rPr>
              <w:highlight w:val="none"/>
            </w:rPr>
            <w:fldChar w:fldCharType="begin"/>
          </w:r>
          <w:r>
            <w:rPr>
              <w:highlight w:val="none"/>
            </w:rPr>
            <w:instrText xml:space="preserve"> HYPERLINK \l _Toc28064 </w:instrText>
          </w:r>
          <w:r>
            <w:rPr>
              <w:highlight w:val="none"/>
            </w:rPr>
            <w:fldChar w:fldCharType="separate"/>
          </w:r>
          <w:r>
            <w:rPr>
              <w:rFonts w:hint="eastAsia" w:ascii="黑体" w:hAnsi="黑体" w:eastAsia="黑体" w:cs="黑体"/>
              <w:szCs w:val="32"/>
              <w:highlight w:val="none"/>
              <w:lang w:val="en-US" w:eastAsia="zh-CN"/>
            </w:rPr>
            <w:t>五</w:t>
          </w:r>
          <w:r>
            <w:rPr>
              <w:rFonts w:hint="eastAsia" w:ascii="黑体" w:hAnsi="黑体" w:eastAsia="黑体" w:cs="黑体"/>
              <w:szCs w:val="32"/>
              <w:highlight w:val="none"/>
            </w:rPr>
            <w:t>、</w:t>
          </w:r>
          <w:r>
            <w:rPr>
              <w:rFonts w:hint="eastAsia" w:ascii="黑体" w:hAnsi="黑体" w:eastAsia="黑体" w:cs="黑体"/>
              <w:szCs w:val="32"/>
              <w:highlight w:val="none"/>
              <w:lang w:val="en-US" w:eastAsia="zh-CN"/>
            </w:rPr>
            <w:t>设计效果评估</w:t>
          </w:r>
          <w:r>
            <w:rPr>
              <w:highlight w:val="none"/>
            </w:rPr>
            <w:tab/>
          </w:r>
          <w:r>
            <w:rPr>
              <w:rFonts w:hint="eastAsia"/>
              <w:highlight w:val="none"/>
              <w:lang w:val="en-US" w:eastAsia="zh-CN"/>
            </w:rPr>
            <w:t>1</w:t>
          </w:r>
          <w:r>
            <w:rPr>
              <w:highlight w:val="none"/>
            </w:rPr>
            <w:fldChar w:fldCharType="end"/>
          </w:r>
          <w:r>
            <w:rPr>
              <w:rFonts w:hint="eastAsia"/>
              <w:highlight w:val="none"/>
              <w:lang w:val="en-US" w:eastAsia="zh-CN"/>
            </w:rPr>
            <w:t>1</w:t>
          </w:r>
        </w:p>
        <w:p>
          <w:pPr>
            <w:pStyle w:val="16"/>
            <w:tabs>
              <w:tab w:val="right" w:leader="dot" w:pos="9026"/>
              <w:tab w:val="clear" w:pos="420"/>
              <w:tab w:val="clear" w:pos="8296"/>
            </w:tabs>
            <w:rPr>
              <w:highlight w:val="none"/>
            </w:rPr>
          </w:pPr>
          <w:r>
            <w:rPr>
              <w:highlight w:val="none"/>
            </w:rPr>
            <w:fldChar w:fldCharType="begin"/>
          </w:r>
          <w:r>
            <w:rPr>
              <w:highlight w:val="none"/>
            </w:rPr>
            <w:instrText xml:space="preserve"> HYPERLINK \l _Toc29006 </w:instrText>
          </w:r>
          <w:r>
            <w:rPr>
              <w:highlight w:val="none"/>
            </w:rPr>
            <w:fldChar w:fldCharType="separate"/>
          </w:r>
          <w:r>
            <w:rPr>
              <w:rFonts w:hint="eastAsia" w:ascii="黑体" w:hAnsi="黑体" w:eastAsia="黑体" w:cs="黑体"/>
              <w:szCs w:val="32"/>
              <w:highlight w:val="none"/>
              <w:lang w:val="en-US" w:eastAsia="zh-CN"/>
            </w:rPr>
            <w:t>六、服务质量检查与考核</w:t>
          </w:r>
          <w:r>
            <w:rPr>
              <w:highlight w:val="none"/>
            </w:rPr>
            <w:tab/>
          </w:r>
          <w:r>
            <w:rPr>
              <w:highlight w:val="none"/>
            </w:rPr>
            <w:fldChar w:fldCharType="begin"/>
          </w:r>
          <w:r>
            <w:rPr>
              <w:highlight w:val="none"/>
            </w:rPr>
            <w:instrText xml:space="preserve"> PAGEREF _Toc29006 \h </w:instrText>
          </w:r>
          <w:r>
            <w:rPr>
              <w:highlight w:val="none"/>
            </w:rPr>
            <w:fldChar w:fldCharType="separate"/>
          </w:r>
          <w:r>
            <w:rPr>
              <w:highlight w:val="none"/>
            </w:rPr>
            <w:t>1</w:t>
          </w:r>
          <w:r>
            <w:rPr>
              <w:rFonts w:hint="eastAsia"/>
              <w:highlight w:val="none"/>
              <w:lang w:val="en-US" w:eastAsia="zh-CN"/>
            </w:rPr>
            <w:t>6</w:t>
          </w:r>
          <w:r>
            <w:rPr>
              <w:highlight w:val="none"/>
            </w:rPr>
            <w:fldChar w:fldCharType="end"/>
          </w:r>
          <w:r>
            <w:rPr>
              <w:highlight w:val="none"/>
            </w:rPr>
            <w:fldChar w:fldCharType="end"/>
          </w:r>
        </w:p>
        <w:p>
          <w:pPr>
            <w:pStyle w:val="28"/>
            <w:numPr>
              <w:ilvl w:val="1"/>
              <w:numId w:val="0"/>
            </w:numPr>
            <w:rPr>
              <w:highlight w:val="none"/>
            </w:rPr>
            <w:sectPr>
              <w:footerReference r:id="rId7" w:type="default"/>
              <w:pgSz w:w="11906" w:h="16838"/>
              <w:pgMar w:top="1440" w:right="1797" w:bottom="1440" w:left="1797" w:header="851" w:footer="992" w:gutter="0"/>
              <w:pgNumType w:start="1"/>
              <w:cols w:space="720" w:num="1"/>
              <w:docGrid w:type="lines" w:linePitch="312" w:charSpace="0"/>
            </w:sectPr>
          </w:pPr>
          <w:r>
            <w:rPr>
              <w:highlight w:val="none"/>
            </w:rPr>
            <w:fldChar w:fldCharType="end"/>
          </w:r>
        </w:p>
        <w:p>
          <w:pPr>
            <w:pStyle w:val="28"/>
            <w:numPr>
              <w:ilvl w:val="1"/>
              <w:numId w:val="0"/>
            </w:numPr>
            <w:rPr>
              <w:highlight w:val="none"/>
            </w:rPr>
          </w:pPr>
        </w:p>
      </w:sdtContent>
    </w:sdt>
    <w:p>
      <w:pPr>
        <w:pStyle w:val="3"/>
        <w:numPr>
          <w:ilvl w:val="0"/>
          <w:numId w:val="0"/>
        </w:numPr>
        <w:ind w:left="432"/>
        <w:rPr>
          <w:rStyle w:val="49"/>
          <w:rFonts w:hint="eastAsia" w:ascii="黑体" w:hAnsi="黑体" w:eastAsia="黑体" w:cs="黑体"/>
          <w:sz w:val="32"/>
          <w:szCs w:val="32"/>
          <w:highlight w:val="none"/>
        </w:rPr>
        <w:sectPr>
          <w:footerReference r:id="rId8" w:type="default"/>
          <w:type w:val="continuous"/>
          <w:pgSz w:w="11906" w:h="16838"/>
          <w:pgMar w:top="1440" w:right="1797" w:bottom="1440" w:left="1797" w:header="851" w:footer="992" w:gutter="0"/>
          <w:cols w:space="720" w:num="1"/>
          <w:docGrid w:type="lines" w:linePitch="312" w:charSpace="0"/>
        </w:sectPr>
      </w:pPr>
      <w:bookmarkStart w:id="5" w:name="_Toc1141443819"/>
    </w:p>
    <w:p>
      <w:pPr>
        <w:pStyle w:val="3"/>
        <w:numPr>
          <w:ilvl w:val="0"/>
          <w:numId w:val="0"/>
        </w:numPr>
        <w:ind w:left="432"/>
        <w:rPr>
          <w:rStyle w:val="49"/>
          <w:rFonts w:hint="eastAsia" w:ascii="黑体" w:hAnsi="黑体" w:eastAsia="黑体" w:cs="黑体"/>
          <w:sz w:val="32"/>
          <w:szCs w:val="32"/>
          <w:highlight w:val="none"/>
        </w:rPr>
      </w:pPr>
      <w:r>
        <w:rPr>
          <w:rStyle w:val="49"/>
          <w:rFonts w:hint="eastAsia" w:ascii="黑体" w:hAnsi="黑体" w:eastAsia="黑体" w:cs="黑体"/>
          <w:sz w:val="32"/>
          <w:szCs w:val="32"/>
          <w:highlight w:val="none"/>
        </w:rPr>
        <w:t>一、总则</w:t>
      </w:r>
      <w:bookmarkEnd w:id="5"/>
    </w:p>
    <w:p>
      <w:pPr>
        <w:ind w:firstLine="6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1.</w:t>
      </w: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rPr>
        <w:t>一般要求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1.1.1本技术规范及附件是南方电网云南电动汽车服务有限公司（以下简称采购人）针对2026-2027年日常宣传服务框架采购项目提出需求，关于项目目标、项目实施办法、项目服务质量保证的技术要求。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1.1.2本技术规范书及附件仅提出了2026-2027年日常宣传服务框架采购项目需求的基本要求，响应人可以推荐任何满足技术规范书中技术要求或高于规范书要求的技术方案。</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1.1.3响应人在技术方案中，对本技术规范书中所提的技术和要求，应逐项予以说明和答复。对涉及到的技术及服务，应提供详细说明。响应人亦可根据自己的服务技术性能具体情况，在技术方案中提出建议，并附详细资料和说明。</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1.1.4本技术规范书及附件提出的是最低限度的服务质量及技术要求，并未对一切细节做出规定，也未充分引述有关标准和规范的条文，响应人应提供符合本规范书和标准的优质服务。</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1.1.5本技术规范及附件所使用的标准如遇与采购人所执行的标准不一致时，按较高标准执行。</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1.1.6如果响应人没有以书面形式对本规范书及附件的条文提出异议，则意味着响应人提供的服务完全符合本规范书的要求。如有异议，都应在报价书中以“对规范书的意见和同规范书的差异”为标题的专门章节中加以详细描述。</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1.1.7本技术规范书应视为保证服务质量的最低要求，如有遗漏，响应人应予以补充，否则一旦中标将认为响应人认同遗漏部分并免费提供。</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1.1.8本规范书经双方确认后作为项目合同的技术附件，与合同正文具有同等的法律效力。</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1.1.9中标人应提供服务期内相关技术支持。</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1.1.10要求响应人对项目进行整体报价，采购人不再支付额外费用。</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1.1.11技术规范书、响应人应答等招投标文件将作为合同的附件，与合同具有同等法律效力。如有不一致则以高指标为准。</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1.1.12本技术规范书未尽事宜，由买卖双方协商确定。</w:t>
      </w:r>
      <w:bookmarkStart w:id="6" w:name="二、技术规范"/>
      <w:bookmarkEnd w:id="6"/>
      <w:bookmarkStart w:id="7" w:name="_bookmark1"/>
      <w:bookmarkEnd w:id="7"/>
    </w:p>
    <w:p>
      <w:pPr>
        <w:rPr>
          <w:rFonts w:hint="eastAsia" w:ascii="Times New Roman" w:hAnsi="黑体" w:eastAsia="黑体" w:cs="黑体"/>
          <w:b w:val="0"/>
          <w:i w:val="0"/>
          <w:spacing w:val="0"/>
          <w:w w:val="100"/>
          <w:sz w:val="32"/>
          <w:szCs w:val="32"/>
          <w:highlight w:val="none"/>
          <w:u w:val="none"/>
        </w:rPr>
      </w:pPr>
      <w:bookmarkStart w:id="8" w:name="_Toc774847282"/>
      <w:r>
        <w:rPr>
          <w:rFonts w:hint="eastAsia" w:ascii="Times New Roman" w:hAnsi="黑体" w:eastAsia="黑体" w:cs="黑体"/>
          <w:b w:val="0"/>
          <w:i w:val="0"/>
          <w:spacing w:val="0"/>
          <w:w w:val="100"/>
          <w:sz w:val="32"/>
          <w:szCs w:val="32"/>
          <w:highlight w:val="none"/>
          <w:u w:val="none"/>
        </w:rPr>
        <w:br w:type="page"/>
      </w:r>
    </w:p>
    <w:p>
      <w:pPr>
        <w:pStyle w:val="3"/>
        <w:numPr>
          <w:ilvl w:val="0"/>
          <w:numId w:val="0"/>
        </w:numPr>
        <w:ind w:left="12" w:leftChars="0" w:firstLine="829" w:firstLineChars="258"/>
        <w:rPr>
          <w:rFonts w:hint="eastAsia" w:ascii="黑体" w:hAnsi="黑体" w:eastAsia="黑体" w:cs="黑体"/>
          <w:sz w:val="32"/>
          <w:szCs w:val="32"/>
          <w:highlight w:val="none"/>
        </w:rPr>
      </w:pPr>
      <w:r>
        <w:rPr>
          <w:rFonts w:hint="eastAsia" w:ascii="黑体" w:hAnsi="黑体" w:eastAsia="黑体" w:cs="黑体"/>
          <w:sz w:val="32"/>
          <w:szCs w:val="32"/>
          <w:highlight w:val="none"/>
        </w:rPr>
        <w:t>二、技术规范</w:t>
      </w:r>
      <w:bookmarkEnd w:id="8"/>
    </w:p>
    <w:p>
      <w:pPr>
        <w:ind w:firstLine="640"/>
        <w:rPr>
          <w:rFonts w:hint="eastAsia" w:ascii="仿宋" w:hAnsi="仿宋" w:eastAsia="仿宋" w:cs="仿宋"/>
          <w:b/>
          <w:bCs/>
          <w:sz w:val="32"/>
          <w:szCs w:val="32"/>
          <w:highlight w:val="none"/>
        </w:rPr>
      </w:pPr>
      <w:bookmarkStart w:id="9" w:name="2.1项目概况"/>
      <w:bookmarkEnd w:id="9"/>
      <w:r>
        <w:rPr>
          <w:rFonts w:hint="eastAsia" w:ascii="仿宋" w:hAnsi="仿宋" w:eastAsia="仿宋" w:cs="仿宋"/>
          <w:b/>
          <w:bCs/>
          <w:sz w:val="32"/>
          <w:szCs w:val="32"/>
          <w:highlight w:val="none"/>
        </w:rPr>
        <w:t>2</w:t>
      </w: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rPr>
        <w:t>项目概况</w:t>
      </w:r>
    </w:p>
    <w:p>
      <w:pPr>
        <w:ind w:firstLine="1056" w:firstLineChars="330"/>
        <w:rPr>
          <w:rFonts w:hint="eastAsia" w:ascii="仿宋" w:hAnsi="仿宋" w:eastAsia="仿宋" w:cs="仿宋"/>
          <w:sz w:val="32"/>
          <w:szCs w:val="32"/>
          <w:highlight w:val="none"/>
          <w:lang w:val="en-US" w:eastAsia="zh-CN"/>
        </w:rPr>
      </w:pPr>
      <w:bookmarkStart w:id="10" w:name="2.1.1项目简介"/>
      <w:bookmarkEnd w:id="10"/>
      <w:r>
        <w:rPr>
          <w:rFonts w:hint="eastAsia" w:ascii="仿宋" w:hAnsi="仿宋" w:eastAsia="仿宋" w:cs="仿宋"/>
          <w:sz w:val="32"/>
          <w:szCs w:val="32"/>
          <w:highlight w:val="none"/>
          <w:lang w:val="en-US" w:eastAsia="zh-CN"/>
        </w:rPr>
        <w:t>2.1.1项目简介</w:t>
      </w:r>
      <w:bookmarkStart w:id="11" w:name="2.1.2项目服务期及地点"/>
      <w:bookmarkEnd w:id="11"/>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本项目为南方电网云南电动汽车服务有限公司提供日常宣传服务，主要包括新媒体长图设计、H5制作；宣传片、视频直播等视频拍摄及制作服务；各类宣传册、折页等宣传品的设计、制作；大型展会、宣传活动等现场活动的</w:t>
      </w:r>
      <w:r>
        <w:rPr>
          <w:rFonts w:hint="eastAsia" w:ascii="仿宋" w:hAnsi="仿宋" w:eastAsia="仿宋" w:cs="仿宋"/>
          <w:sz w:val="32"/>
          <w:szCs w:val="32"/>
          <w:highlight w:val="none"/>
          <w:lang w:val="en-US" w:eastAsia="zh-Hans"/>
        </w:rPr>
        <w:t>策划</w:t>
      </w:r>
      <w:r>
        <w:rPr>
          <w:rFonts w:hint="default"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Hans"/>
        </w:rPr>
        <w:t>设计</w:t>
      </w:r>
      <w:r>
        <w:rPr>
          <w:rFonts w:hint="default"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CN"/>
        </w:rPr>
        <w:t>灯光音响、舞台控制、布展、撤展及各类宣传物料制作等服务类的采购工作。</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2.1.2项目目标</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根据南方电网云南电动汽车服务有限公司实际情况和需求，对范围内</w:t>
      </w:r>
      <w:r>
        <w:rPr>
          <w:rFonts w:hint="eastAsia" w:ascii="仿宋" w:hAnsi="仿宋" w:eastAsia="仿宋" w:cs="仿宋"/>
          <w:sz w:val="32"/>
          <w:szCs w:val="32"/>
          <w:highlight w:val="none"/>
          <w:lang w:val="en-US" w:eastAsia="zh-Hans"/>
        </w:rPr>
        <w:t>公司</w:t>
      </w:r>
      <w:r>
        <w:rPr>
          <w:rFonts w:hint="eastAsia" w:ascii="仿宋" w:hAnsi="仿宋" w:eastAsia="仿宋" w:cs="仿宋"/>
          <w:sz w:val="32"/>
          <w:szCs w:val="32"/>
          <w:highlight w:val="none"/>
          <w:lang w:val="en-US" w:eastAsia="zh-CN"/>
        </w:rPr>
        <w:t>各部门提出有关日常宣传服务，主要包括新媒体长图设计、H5制作；宣传片、视频直播等视频拍摄及制作服务；各类宣传册、折页等宣传品的设计、制作；大型展会、宣传活动等现场活动的</w:t>
      </w:r>
      <w:r>
        <w:rPr>
          <w:rFonts w:hint="eastAsia" w:ascii="仿宋" w:hAnsi="仿宋" w:eastAsia="仿宋" w:cs="仿宋"/>
          <w:sz w:val="32"/>
          <w:szCs w:val="32"/>
          <w:highlight w:val="none"/>
          <w:lang w:val="en-US" w:eastAsia="zh-Hans"/>
        </w:rPr>
        <w:t>策划</w:t>
      </w:r>
      <w:r>
        <w:rPr>
          <w:rFonts w:hint="default"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Hans"/>
        </w:rPr>
        <w:t>设计</w:t>
      </w:r>
      <w:r>
        <w:rPr>
          <w:rFonts w:hint="default"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CN"/>
        </w:rPr>
        <w:t>灯光音响、舞台控制、布展、撤展及各类宣传物料制作等</w:t>
      </w:r>
      <w:r>
        <w:rPr>
          <w:rFonts w:hint="eastAsia" w:ascii="仿宋" w:hAnsi="仿宋" w:eastAsia="仿宋" w:cs="仿宋"/>
          <w:sz w:val="32"/>
          <w:szCs w:val="32"/>
          <w:highlight w:val="none"/>
          <w:lang w:val="en-US" w:eastAsia="zh-Hans"/>
        </w:rPr>
        <w:t>服务类项目，</w:t>
      </w:r>
      <w:r>
        <w:rPr>
          <w:rFonts w:hint="eastAsia" w:ascii="仿宋" w:hAnsi="仿宋" w:eastAsia="仿宋" w:cs="仿宋"/>
          <w:sz w:val="32"/>
          <w:szCs w:val="32"/>
          <w:highlight w:val="none"/>
          <w:lang w:val="en-US" w:eastAsia="zh-CN"/>
        </w:rPr>
        <w:t>保证项目如期完成。</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2.1.3项目服务期</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项目服务期：</w:t>
      </w:r>
      <w:bookmarkStart w:id="12" w:name="OLE_LINK1"/>
      <w:r>
        <w:rPr>
          <w:rFonts w:hint="eastAsia" w:ascii="仿宋" w:hAnsi="仿宋" w:eastAsia="仿宋" w:cs="仿宋"/>
          <w:sz w:val="32"/>
          <w:szCs w:val="32"/>
          <w:highlight w:val="none"/>
          <w:lang w:val="en-US" w:eastAsia="zh-CN"/>
        </w:rPr>
        <w:t>自合同签订之日起至</w:t>
      </w:r>
      <w:bookmarkEnd w:id="12"/>
      <w:r>
        <w:rPr>
          <w:rFonts w:hint="eastAsia" w:ascii="仿宋" w:hAnsi="仿宋" w:eastAsia="仿宋" w:cs="仿宋"/>
          <w:sz w:val="32"/>
          <w:szCs w:val="32"/>
          <w:highlight w:val="none"/>
          <w:lang w:val="en-US" w:eastAsia="zh-CN"/>
        </w:rPr>
        <w:t>2027年12月31日。若服务期限届满时，经双方确认的累计结算金额未达到本合同总价的80%，则本合同期限自动顺延一年，顺延期间双方权利义务仍按本合同约定执行。</w:t>
      </w:r>
    </w:p>
    <w:p>
      <w:pPr>
        <w:ind w:firstLine="640"/>
        <w:rPr>
          <w:rFonts w:hint="eastAsia" w:ascii="仿宋" w:hAnsi="仿宋" w:eastAsia="仿宋" w:cs="仿宋"/>
          <w:b/>
          <w:bCs/>
          <w:sz w:val="32"/>
          <w:szCs w:val="32"/>
          <w:highlight w:val="none"/>
        </w:rPr>
      </w:pPr>
      <w:bookmarkStart w:id="13" w:name="2.2项目内容"/>
      <w:bookmarkEnd w:id="13"/>
      <w:r>
        <w:rPr>
          <w:rFonts w:hint="eastAsia" w:ascii="仿宋" w:hAnsi="仿宋" w:eastAsia="仿宋" w:cs="仿宋"/>
          <w:b/>
          <w:bCs/>
          <w:sz w:val="32"/>
          <w:szCs w:val="32"/>
          <w:highlight w:val="none"/>
          <w:lang w:val="en-US" w:eastAsia="zh-CN"/>
        </w:rPr>
        <w:t>2.2</w:t>
      </w:r>
      <w:r>
        <w:rPr>
          <w:rFonts w:hint="eastAsia" w:ascii="仿宋" w:hAnsi="仿宋" w:eastAsia="仿宋" w:cs="仿宋"/>
          <w:b/>
          <w:bCs/>
          <w:sz w:val="32"/>
          <w:szCs w:val="32"/>
          <w:highlight w:val="none"/>
        </w:rPr>
        <w:t>项目内容</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2.2.1响应人能按要求</w:t>
      </w:r>
      <w:r>
        <w:rPr>
          <w:rFonts w:hint="eastAsia" w:ascii="仿宋" w:hAnsi="仿宋" w:eastAsia="仿宋" w:cs="仿宋"/>
          <w:sz w:val="32"/>
          <w:szCs w:val="32"/>
          <w:highlight w:val="none"/>
          <w:lang w:val="en-US" w:eastAsia="zh-Hans"/>
        </w:rPr>
        <w:t>完成提出的各类宣传设计项目，</w:t>
      </w:r>
      <w:r>
        <w:rPr>
          <w:rFonts w:hint="eastAsia" w:ascii="仿宋" w:hAnsi="仿宋" w:eastAsia="仿宋" w:cs="仿宋"/>
          <w:sz w:val="32"/>
          <w:szCs w:val="32"/>
          <w:highlight w:val="none"/>
          <w:lang w:val="en-US" w:eastAsia="zh-CN"/>
        </w:rPr>
        <w:t>提供具有针对性，符合行业特点</w:t>
      </w:r>
      <w:r>
        <w:rPr>
          <w:rFonts w:hint="eastAsia" w:ascii="仿宋" w:hAnsi="仿宋" w:eastAsia="仿宋" w:cs="仿宋"/>
          <w:sz w:val="32"/>
          <w:szCs w:val="32"/>
          <w:highlight w:val="none"/>
          <w:lang w:val="en-US" w:eastAsia="zh-Hans"/>
        </w:rPr>
        <w:t>及企业性质</w:t>
      </w:r>
      <w:r>
        <w:rPr>
          <w:rFonts w:hint="eastAsia" w:ascii="仿宋" w:hAnsi="仿宋" w:eastAsia="仿宋" w:cs="仿宋"/>
          <w:sz w:val="32"/>
          <w:szCs w:val="32"/>
          <w:highlight w:val="none"/>
          <w:lang w:val="en-US" w:eastAsia="zh-CN"/>
        </w:rPr>
        <w:t>的设计方案，对工作有具体的进度安排，并按照进度开展工作。</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2.2.2能在接到任务后根据任务</w:t>
      </w:r>
      <w:r>
        <w:rPr>
          <w:rFonts w:hint="eastAsia" w:ascii="仿宋" w:hAnsi="仿宋" w:eastAsia="仿宋" w:cs="仿宋"/>
          <w:sz w:val="32"/>
          <w:szCs w:val="32"/>
          <w:highlight w:val="none"/>
          <w:lang w:val="en-US" w:eastAsia="zh-Hans"/>
        </w:rPr>
        <w:t>类型开展设计工作，在色彩搭配、整体观感</w:t>
      </w:r>
      <w:r>
        <w:rPr>
          <w:rFonts w:hint="eastAsia" w:ascii="仿宋" w:hAnsi="仿宋" w:eastAsia="仿宋" w:cs="仿宋"/>
          <w:sz w:val="32"/>
          <w:szCs w:val="32"/>
          <w:highlight w:val="none"/>
          <w:lang w:val="en-US" w:eastAsia="zh-CN"/>
        </w:rPr>
        <w:t>上</w:t>
      </w:r>
      <w:r>
        <w:rPr>
          <w:rFonts w:hint="eastAsia" w:ascii="仿宋" w:hAnsi="仿宋" w:eastAsia="仿宋" w:cs="仿宋"/>
          <w:sz w:val="32"/>
          <w:szCs w:val="32"/>
          <w:highlight w:val="none"/>
          <w:lang w:val="en-US" w:eastAsia="zh-Hans"/>
        </w:rPr>
        <w:t>呈现极强的设计感和极高的审美水平</w:t>
      </w:r>
      <w:r>
        <w:rPr>
          <w:rFonts w:hint="eastAsia" w:ascii="仿宋" w:hAnsi="仿宋" w:eastAsia="仿宋" w:cs="仿宋"/>
          <w:sz w:val="32"/>
          <w:szCs w:val="32"/>
          <w:highlight w:val="none"/>
          <w:lang w:val="en-US" w:eastAsia="zh-CN"/>
        </w:rPr>
        <w:t>，符合</w:t>
      </w:r>
      <w:r>
        <w:rPr>
          <w:rFonts w:hint="eastAsia" w:ascii="仿宋" w:hAnsi="仿宋" w:eastAsia="仿宋" w:cs="仿宋"/>
          <w:sz w:val="32"/>
          <w:szCs w:val="32"/>
          <w:highlight w:val="none"/>
          <w:lang w:val="en-US" w:eastAsia="zh-Hans"/>
        </w:rPr>
        <w:t>企业形象</w:t>
      </w:r>
      <w:r>
        <w:rPr>
          <w:rFonts w:hint="eastAsia" w:ascii="仿宋" w:hAnsi="仿宋" w:eastAsia="仿宋" w:cs="仿宋"/>
          <w:sz w:val="32"/>
          <w:szCs w:val="32"/>
          <w:highlight w:val="none"/>
          <w:lang w:val="en-US" w:eastAsia="zh-CN"/>
        </w:rPr>
        <w:t>。</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2.2.3宣传品设计美观、新颖，紧扣活动主题，能体现新能源企业文化特质；制作规范，工艺优良。</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2.2.4熟悉电力企业规章制度、企业文化，了解电力企业生产方式特点，能根据要求，将企业形象正面传递给观众。</w:t>
      </w:r>
    </w:p>
    <w:p>
      <w:pPr>
        <w:ind w:firstLine="1056" w:firstLineChars="330"/>
        <w:rPr>
          <w:rFonts w:hint="eastAsia" w:ascii="Times New Roman" w:hAnsi="仿宋" w:eastAsia="仿宋" w:cs="仿宋"/>
          <w:b w:val="0"/>
          <w:i w:val="0"/>
          <w:spacing w:val="0"/>
          <w:w w:val="100"/>
          <w:sz w:val="32"/>
          <w:highlight w:val="none"/>
          <w:u w:val="none"/>
          <w:lang w:val="en-US" w:eastAsia="zh-CN"/>
        </w:rPr>
      </w:pPr>
      <w:r>
        <w:rPr>
          <w:rFonts w:hint="eastAsia" w:ascii="仿宋" w:hAnsi="仿宋" w:eastAsia="仿宋" w:cs="仿宋"/>
          <w:sz w:val="32"/>
          <w:szCs w:val="32"/>
          <w:highlight w:val="none"/>
          <w:lang w:val="en-US" w:eastAsia="zh-CN"/>
        </w:rPr>
        <w:t>2.2.</w:t>
      </w:r>
      <w:r>
        <w:rPr>
          <w:rFonts w:hint="default" w:ascii="仿宋" w:hAnsi="仿宋" w:eastAsia="仿宋" w:cs="仿宋"/>
          <w:sz w:val="32"/>
          <w:szCs w:val="32"/>
          <w:highlight w:val="none"/>
          <w:lang w:val="en-US" w:eastAsia="zh-CN"/>
        </w:rPr>
        <w:t>5</w:t>
      </w:r>
      <w:r>
        <w:rPr>
          <w:rFonts w:hint="eastAsia" w:ascii="仿宋" w:hAnsi="仿宋" w:eastAsia="仿宋" w:cs="仿宋"/>
          <w:sz w:val="32"/>
          <w:szCs w:val="32"/>
          <w:highlight w:val="none"/>
          <w:lang w:val="en-US" w:eastAsia="zh-CN"/>
        </w:rPr>
        <w:t>响应人须能保证严格按照双方约定按期、保质保量完成，并</w:t>
      </w:r>
      <w:r>
        <w:rPr>
          <w:rFonts w:hint="eastAsia" w:ascii="仿宋" w:hAnsi="仿宋" w:eastAsia="仿宋" w:cs="仿宋"/>
          <w:sz w:val="32"/>
          <w:szCs w:val="32"/>
          <w:highlight w:val="none"/>
          <w:lang w:val="en-US" w:eastAsia="zh-Hans"/>
        </w:rPr>
        <w:t>符合</w:t>
      </w:r>
      <w:r>
        <w:rPr>
          <w:rFonts w:hint="eastAsia" w:ascii="仿宋" w:hAnsi="仿宋" w:eastAsia="仿宋" w:cs="仿宋"/>
          <w:sz w:val="32"/>
          <w:szCs w:val="32"/>
          <w:highlight w:val="none"/>
          <w:lang w:val="en-US" w:eastAsia="zh-CN"/>
        </w:rPr>
        <w:t>传播要求。</w:t>
      </w:r>
    </w:p>
    <w:p>
      <w:pPr>
        <w:ind w:firstLine="640"/>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2.3</w:t>
      </w:r>
      <w:r>
        <w:rPr>
          <w:rFonts w:hint="eastAsia" w:ascii="仿宋" w:hAnsi="仿宋" w:eastAsia="仿宋" w:cs="仿宋"/>
          <w:b/>
          <w:bCs/>
          <w:sz w:val="32"/>
          <w:szCs w:val="32"/>
          <w:highlight w:val="none"/>
        </w:rPr>
        <w:t>服务要求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2.3.1响应人须确保在合同期内持续具有经营服务能力，不因成交方经营服务问题影响采购人项目的正常开展。如发生因成交方经营服务等原因造成采购人损失的，须由响应人承担相应赔偿责任。</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2.3.2响应人应按照采购人要求配备服务团队，并设置项目负责人，服务小组人数按照采购人要求配备，专门负责该项目的</w:t>
      </w:r>
      <w:r>
        <w:rPr>
          <w:rFonts w:hint="eastAsia" w:ascii="仿宋" w:hAnsi="仿宋" w:eastAsia="仿宋" w:cs="仿宋"/>
          <w:sz w:val="32"/>
          <w:szCs w:val="32"/>
          <w:highlight w:val="none"/>
          <w:lang w:val="en-US" w:eastAsia="zh-Hans"/>
        </w:rPr>
        <w:t>设计、</w:t>
      </w:r>
      <w:r>
        <w:rPr>
          <w:rFonts w:hint="eastAsia" w:ascii="仿宋" w:hAnsi="仿宋" w:eastAsia="仿宋" w:cs="仿宋"/>
          <w:sz w:val="32"/>
          <w:szCs w:val="32"/>
          <w:highlight w:val="none"/>
          <w:lang w:val="en-US" w:eastAsia="zh-CN"/>
        </w:rPr>
        <w:t>策划、执行、服务管理等工作，人员分工明确，项目负责人需思维创新、经验丰富。</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2.3.3响应人应保证按照采购人要求的期限完成</w:t>
      </w:r>
      <w:r>
        <w:rPr>
          <w:rFonts w:hint="eastAsia" w:ascii="仿宋" w:hAnsi="仿宋" w:eastAsia="仿宋" w:cs="仿宋"/>
          <w:sz w:val="32"/>
          <w:szCs w:val="32"/>
          <w:highlight w:val="none"/>
          <w:lang w:val="en-US" w:eastAsia="zh-Hans"/>
        </w:rPr>
        <w:t>设计、</w:t>
      </w:r>
      <w:r>
        <w:rPr>
          <w:rFonts w:hint="eastAsia" w:ascii="仿宋" w:hAnsi="仿宋" w:eastAsia="仿宋" w:cs="仿宋"/>
          <w:sz w:val="32"/>
          <w:szCs w:val="32"/>
          <w:highlight w:val="none"/>
          <w:lang w:val="en-US" w:eastAsia="zh-CN"/>
        </w:rPr>
        <w:t>策划及执行要求。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2.3.4响应人需承诺中标后合作期间服务小组人员在60分钟内可从办公地到达采购人办公地点或在30分钟内对采购人需求进行响应。在合同期内应保证有持续经营能力，确保能同时承接多个不同项目，满足采购人不同部门同时提出的多个设计需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2.3.5响应人应根据竞争环境、采购人项目受众群体特点，向采购人提出合理化的宣传服务活动</w:t>
      </w:r>
      <w:r>
        <w:rPr>
          <w:rFonts w:hint="eastAsia" w:ascii="仿宋" w:hAnsi="仿宋" w:eastAsia="仿宋" w:cs="仿宋"/>
          <w:sz w:val="32"/>
          <w:szCs w:val="32"/>
          <w:highlight w:val="none"/>
          <w:lang w:val="en-US" w:eastAsia="zh-Hans"/>
        </w:rPr>
        <w:t>设计、</w:t>
      </w:r>
      <w:r>
        <w:rPr>
          <w:rFonts w:hint="eastAsia" w:ascii="仿宋" w:hAnsi="仿宋" w:eastAsia="仿宋" w:cs="仿宋"/>
          <w:sz w:val="32"/>
          <w:szCs w:val="32"/>
          <w:highlight w:val="none"/>
          <w:lang w:val="en-US" w:eastAsia="zh-CN"/>
        </w:rPr>
        <w:t>策划及执行建议。</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2.3.6响应人在各类平面设计、物料制作中所使用的字体、图片等要素必须是合法购买、获得有效授权，且可用于企业宣传使用的。</w:t>
      </w:r>
    </w:p>
    <w:p>
      <w:pPr>
        <w:ind w:firstLine="1056" w:firstLineChars="330"/>
        <w:rPr>
          <w:rFonts w:hint="eastAsia" w:ascii="Times New Roman" w:hAnsi="仿宋" w:eastAsia="仿宋" w:cs="仿宋"/>
          <w:b w:val="0"/>
          <w:i w:val="0"/>
          <w:spacing w:val="0"/>
          <w:w w:val="100"/>
          <w:sz w:val="32"/>
          <w:highlight w:val="none"/>
          <w:u w:val="none"/>
        </w:rPr>
      </w:pPr>
      <w:r>
        <w:rPr>
          <w:rFonts w:hint="eastAsia" w:ascii="仿宋" w:hAnsi="仿宋" w:eastAsia="仿宋" w:cs="仿宋"/>
          <w:sz w:val="32"/>
          <w:szCs w:val="32"/>
          <w:highlight w:val="none"/>
          <w:lang w:val="en-US" w:eastAsia="zh-CN"/>
        </w:rPr>
        <w:t>2.3.7采购人因工作等原因需要，会存在需要紧急响应的情况。响应人能够积极响应需求方的设计工作需求。</w:t>
      </w:r>
    </w:p>
    <w:p>
      <w:pPr>
        <w:ind w:firstLine="640"/>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2.4</w:t>
      </w:r>
      <w:r>
        <w:rPr>
          <w:rFonts w:hint="eastAsia" w:ascii="仿宋" w:hAnsi="仿宋" w:eastAsia="仿宋" w:cs="仿宋"/>
          <w:b/>
          <w:bCs/>
          <w:sz w:val="32"/>
          <w:szCs w:val="32"/>
          <w:highlight w:val="none"/>
        </w:rPr>
        <w:t>其他要求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2.4.1响应人应严格履行合作协议范围内的工作项目。由于响应人的失误造成项目内容错误的，响应人应根据合作协议的相关条款承担相应责任；响应人除负责采取补救措施，还应自行承担因采取补救而发生的费用，具体服务要求以采购人与响应人签订的合同、补充协议为准。响应人违反合同约定的各项服务要求，均须承担相应的违约责任或损害赔偿责任。</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2.4.2合作期间，在不触犯法律的情况下，响应人须做到对采购人形象的保护和支持。有关伤害采购人形象的相关行为不得予以实施。不得不经采购人同意擅自使用采购人的相关Logo标志，并对采购人的相关企业信息等进行保密。</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2.4.3在项目实施过程中，如遇响应方确实无法按要求完成项目服务时，响应人应按照采购人要求更换项目服务团队人员。</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2.4.4响应人必须具备突发问题的应急和故障处置能力，如响应人不具备相应能力的，甲方有权中止项目合同。</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2.4.5项目实施前与采购人共同召开内部讨论会，对项目实施过程中可能出现的问题、实施的难点、重点及突发状况，并提出解决办法。</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2.4.6制定项目实施计划与流程，由采购人审核确认。</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2.4.7指定专门项目负责人，与采购人积极沟通，如需采购人协助事宜请提前告知。</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2.4.8项目实施</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2.4.8.1项目组负责人应做到全程把控，避免拖沓项目进程。</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2.4.8.2随时保持与采购人的沟通和交流。</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2.4.8.3做好服务保障措施，做到快速响应。</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2.4.9服务承诺：响应人需针对技术规范书要求提供书面的时间响应承诺、质量承诺、工作进度计划及服务周期承诺。</w:t>
      </w:r>
      <w:bookmarkStart w:id="14" w:name="_bookmark2"/>
      <w:bookmarkEnd w:id="14"/>
      <w:bookmarkStart w:id="15" w:name="三、结算方式"/>
      <w:bookmarkEnd w:id="15"/>
      <w:bookmarkStart w:id="16" w:name="_Toc517433166"/>
    </w:p>
    <w:p>
      <w:pPr>
        <w:ind w:firstLine="1056" w:firstLineChars="330"/>
        <w:rPr>
          <w:rStyle w:val="49"/>
          <w:rFonts w:hint="eastAsia" w:ascii="黑体" w:hAnsi="黑体" w:eastAsia="黑体" w:cs="黑体"/>
          <w:sz w:val="32"/>
          <w:szCs w:val="32"/>
          <w:highlight w:val="none"/>
        </w:rPr>
      </w:pPr>
      <w:r>
        <w:rPr>
          <w:rStyle w:val="49"/>
          <w:rFonts w:hint="eastAsia" w:ascii="黑体" w:hAnsi="黑体" w:eastAsia="黑体" w:cs="黑体"/>
          <w:sz w:val="32"/>
          <w:szCs w:val="32"/>
          <w:highlight w:val="none"/>
        </w:rPr>
        <w:t>三、结算方式</w:t>
      </w:r>
      <w:bookmarkEnd w:id="16"/>
      <w:bookmarkStart w:id="17" w:name="_bookmark3"/>
      <w:bookmarkEnd w:id="17"/>
    </w:p>
    <w:p>
      <w:pPr>
        <w:pageBreakBefore w:val="0"/>
        <w:widowControl w:val="0"/>
        <w:kinsoku/>
        <w:wordWrap/>
        <w:overflowPunct/>
        <w:topLinePunct w:val="0"/>
        <w:autoSpaceDE/>
        <w:autoSpaceDN/>
        <w:bidi w:val="0"/>
        <w:spacing w:beforeAutospacing="0" w:afterAutospacing="0" w:line="240" w:lineRule="auto"/>
        <w:ind w:left="0" w:leftChars="0" w:right="0" w:rightChars="0" w:firstLine="643" w:firstLineChars="200"/>
        <w:jc w:val="both"/>
        <w:textAlignment w:val="auto"/>
        <w:outlineLvl w:val="9"/>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3.1结算核算</w:t>
      </w:r>
    </w:p>
    <w:p>
      <w:pPr>
        <w:pageBreakBefore w:val="0"/>
        <w:widowControl w:val="0"/>
        <w:kinsoku/>
        <w:wordWrap/>
        <w:overflowPunct/>
        <w:topLinePunct w:val="0"/>
        <w:autoSpaceDE/>
        <w:autoSpaceDN/>
        <w:bidi w:val="0"/>
        <w:spacing w:beforeAutospacing="0" w:afterAutospacing="0" w:line="240" w:lineRule="auto"/>
        <w:ind w:left="0" w:leftChars="0" w:right="0" w:rightChars="0" w:firstLine="640" w:firstLineChars="200"/>
        <w:jc w:val="both"/>
        <w:textAlignment w:val="auto"/>
        <w:outlineLvl w:val="9"/>
        <w:rPr>
          <w:rFonts w:hint="eastAsia" w:ascii="仿宋" w:hAnsi="仿宋" w:eastAsia="仿宋" w:cs="仿宋"/>
          <w:b/>
          <w:bCs/>
          <w:sz w:val="32"/>
          <w:szCs w:val="32"/>
          <w:highlight w:val="none"/>
          <w:lang w:val="en-US" w:eastAsia="zh-CN"/>
        </w:rPr>
      </w:pPr>
      <w:r>
        <w:rPr>
          <w:rFonts w:hint="eastAsia" w:ascii="仿宋" w:hAnsi="仿宋" w:eastAsia="仿宋" w:cs="仿宋"/>
          <w:sz w:val="32"/>
          <w:szCs w:val="32"/>
          <w:highlight w:val="none"/>
          <w:lang w:val="en-US" w:eastAsia="zh-CN"/>
        </w:rPr>
        <w:t>该项目为框架采购项目，采购人提出采购需求后应与响应人签订项目合同。项目实施结束后，由采购人根据合同约定及实际履行的采购清单据实结算，并按合同约定的支付方式支付给响应人。</w:t>
      </w:r>
    </w:p>
    <w:p>
      <w:pPr>
        <w:pageBreakBefore w:val="0"/>
        <w:widowControl w:val="0"/>
        <w:kinsoku/>
        <w:wordWrap/>
        <w:overflowPunct/>
        <w:topLinePunct w:val="0"/>
        <w:autoSpaceDE/>
        <w:autoSpaceDN/>
        <w:bidi w:val="0"/>
        <w:spacing w:beforeAutospacing="0" w:afterAutospacing="0" w:line="240" w:lineRule="auto"/>
        <w:ind w:left="0" w:leftChars="0" w:right="0" w:rightChars="0" w:firstLine="643" w:firstLineChars="200"/>
        <w:jc w:val="both"/>
        <w:textAlignment w:val="auto"/>
        <w:outlineLvl w:val="9"/>
        <w:rPr>
          <w:rFonts w:hint="eastAsia" w:ascii="仿宋" w:hAnsi="仿宋" w:eastAsia="仿宋" w:cs="仿宋"/>
          <w:b/>
          <w:bCs/>
          <w:sz w:val="32"/>
          <w:szCs w:val="32"/>
          <w:highlight w:val="none"/>
          <w:lang w:val="en-US" w:eastAsia="zh-CN"/>
        </w:rPr>
      </w:pPr>
      <w:bookmarkStart w:id="18" w:name="四、质量保证"/>
      <w:bookmarkEnd w:id="18"/>
      <w:r>
        <w:rPr>
          <w:rFonts w:hint="eastAsia" w:ascii="仿宋" w:hAnsi="仿宋" w:eastAsia="仿宋" w:cs="仿宋"/>
          <w:b/>
          <w:bCs/>
          <w:sz w:val="32"/>
          <w:szCs w:val="32"/>
          <w:highlight w:val="none"/>
          <w:lang w:val="en-US" w:eastAsia="zh-CN"/>
        </w:rPr>
        <w:t>3.2结算要求</w:t>
      </w:r>
    </w:p>
    <w:p>
      <w:pPr>
        <w:pageBreakBefore w:val="0"/>
        <w:widowControl w:val="0"/>
        <w:kinsoku/>
        <w:wordWrap/>
        <w:overflowPunct/>
        <w:topLinePunct w:val="0"/>
        <w:autoSpaceDE/>
        <w:autoSpaceDN/>
        <w:bidi w:val="0"/>
        <w:spacing w:beforeAutospacing="0" w:afterAutospacing="0" w:line="240" w:lineRule="auto"/>
        <w:ind w:left="0" w:leftChars="0" w:right="0" w:rightChars="0" w:firstLine="640" w:firstLineChars="200"/>
        <w:jc w:val="both"/>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响应人须提供符合类目的增值税专用发票、验收合格证明和费用明细。</w:t>
      </w:r>
    </w:p>
    <w:p>
      <w:pPr>
        <w:pageBreakBefore w:val="0"/>
        <w:widowControl w:val="0"/>
        <w:kinsoku/>
        <w:wordWrap/>
        <w:overflowPunct/>
        <w:topLinePunct w:val="0"/>
        <w:autoSpaceDE/>
        <w:autoSpaceDN/>
        <w:bidi w:val="0"/>
        <w:spacing w:beforeAutospacing="0" w:afterAutospacing="0" w:line="240" w:lineRule="auto"/>
        <w:ind w:left="0" w:leftChars="0" w:right="0" w:rightChars="0" w:firstLine="643" w:firstLineChars="200"/>
        <w:jc w:val="both"/>
        <w:textAlignment w:val="auto"/>
        <w:outlineLvl w:val="9"/>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3.3清单外新增项目计价方式</w:t>
      </w:r>
    </w:p>
    <w:p>
      <w:pPr>
        <w:ind w:firstLine="1056" w:firstLineChars="330"/>
        <w:rPr>
          <w:rFonts w:hint="eastAsia" w:ascii="仿宋" w:hAnsi="仿宋" w:eastAsia="仿宋" w:cs="仿宋"/>
          <w:sz w:val="32"/>
          <w:szCs w:val="32"/>
          <w:highlight w:val="none"/>
          <w:lang w:val="en-US" w:eastAsia="zh-CN"/>
        </w:rPr>
      </w:pPr>
      <w:bookmarkStart w:id="19" w:name="_Toc1337934259"/>
      <w:r>
        <w:rPr>
          <w:rFonts w:hint="eastAsia" w:ascii="仿宋" w:hAnsi="仿宋" w:eastAsia="仿宋" w:cs="仿宋"/>
          <w:sz w:val="32"/>
          <w:szCs w:val="32"/>
          <w:highlight w:val="none"/>
          <w:lang w:val="en-US" w:eastAsia="zh-CN"/>
        </w:rPr>
        <w:t>在本合同有效期内（含顺延期间），如甲方委托乙方实施本合同附件清单中未列明的项目，双方协商确定单价后，按乙方就该项目出具的常规报价下浮</w:t>
      </w:r>
      <w:r>
        <w:rPr>
          <w:rFonts w:hint="eastAsia" w:ascii="仿宋" w:hAnsi="仿宋" w:eastAsia="仿宋" w:cs="仿宋"/>
          <w:sz w:val="32"/>
          <w:szCs w:val="32"/>
          <w:highlight w:val="none"/>
          <w:u w:val="single"/>
          <w:lang w:val="en-US" w:eastAsia="zh-CN"/>
        </w:rPr>
        <w:t>__</w:t>
      </w:r>
      <w:r>
        <w:rPr>
          <w:rFonts w:hint="eastAsia" w:ascii="仿宋" w:hAnsi="仿宋" w:eastAsia="仿宋" w:cs="仿宋"/>
          <w:sz w:val="32"/>
          <w:szCs w:val="32"/>
          <w:highlight w:val="none"/>
          <w:lang w:val="en-US" w:eastAsia="zh-CN"/>
        </w:rPr>
        <w:t>%执行。</w:t>
      </w:r>
    </w:p>
    <w:p>
      <w:pPr>
        <w:ind w:firstLine="1056" w:firstLineChars="330"/>
        <w:rPr>
          <w:rStyle w:val="49"/>
          <w:rFonts w:hint="eastAsia" w:ascii="黑体" w:hAnsi="黑体" w:eastAsia="黑体" w:cs="黑体"/>
          <w:sz w:val="32"/>
          <w:szCs w:val="32"/>
          <w:highlight w:val="none"/>
        </w:rPr>
      </w:pPr>
      <w:r>
        <w:rPr>
          <w:rStyle w:val="49"/>
          <w:rFonts w:hint="eastAsia" w:ascii="黑体" w:hAnsi="黑体" w:eastAsia="黑体" w:cs="黑体"/>
          <w:sz w:val="32"/>
          <w:szCs w:val="32"/>
          <w:highlight w:val="none"/>
        </w:rPr>
        <w:t>四、质量保证</w:t>
      </w:r>
      <w:bookmarkEnd w:id="19"/>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4.1响应人所提供的服务应按照采购人的要求，做好</w:t>
      </w:r>
      <w:r>
        <w:rPr>
          <w:rFonts w:hint="eastAsia" w:ascii="仿宋" w:hAnsi="仿宋" w:eastAsia="仿宋" w:cs="仿宋"/>
          <w:sz w:val="32"/>
          <w:szCs w:val="32"/>
          <w:highlight w:val="none"/>
          <w:lang w:val="en-US" w:eastAsia="zh-Hans"/>
        </w:rPr>
        <w:t>宣传设计</w:t>
      </w:r>
      <w:r>
        <w:rPr>
          <w:rFonts w:hint="eastAsia" w:ascii="仿宋" w:hAnsi="仿宋" w:eastAsia="仿宋" w:cs="仿宋"/>
          <w:sz w:val="32"/>
          <w:szCs w:val="32"/>
          <w:highlight w:val="none"/>
          <w:lang w:val="en-US" w:eastAsia="zh-CN"/>
        </w:rPr>
        <w:t>和实施工作，满足采购人的需求。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4.2响应人应保证委托活动内容和要求符合双方的约定，并保证项目工作人员的</w:t>
      </w:r>
      <w:r>
        <w:rPr>
          <w:rFonts w:hint="eastAsia" w:ascii="仿宋" w:hAnsi="仿宋" w:eastAsia="仿宋" w:cs="仿宋"/>
          <w:sz w:val="32"/>
          <w:szCs w:val="32"/>
          <w:highlight w:val="none"/>
          <w:lang w:val="en-US" w:eastAsia="zh-Hans"/>
        </w:rPr>
        <w:t>工作能力</w:t>
      </w:r>
      <w:r>
        <w:rPr>
          <w:rFonts w:hint="eastAsia" w:ascii="仿宋" w:hAnsi="仿宋" w:eastAsia="仿宋" w:cs="仿宋"/>
          <w:sz w:val="32"/>
          <w:szCs w:val="32"/>
          <w:highlight w:val="none"/>
          <w:lang w:val="en-US" w:eastAsia="zh-CN"/>
        </w:rPr>
        <w:t>符合项目要求。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4.3响应人应安排具有较强沟通能力、协调能力和组织能力的项目专项负责人，保证沟通和实施的顺畅。</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4.4响应人应提供符合国家标准及合同规定的服务质量，服务期间应遵守采购人的安全制度、保密制度，保证不发生安全事故、泄密事件。</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4.5未经采购</w:t>
      </w:r>
      <w:r>
        <w:rPr>
          <w:rFonts w:hint="eastAsia" w:ascii="仿宋" w:hAnsi="仿宋" w:eastAsia="仿宋" w:cs="仿宋"/>
          <w:sz w:val="32"/>
          <w:szCs w:val="32"/>
          <w:highlight w:val="none"/>
          <w:lang w:val="en-US" w:eastAsia="zh-CN"/>
        </w:rPr>
        <w:t>人</w:t>
      </w:r>
      <w:r>
        <w:rPr>
          <w:rFonts w:hint="eastAsia" w:ascii="仿宋" w:hAnsi="仿宋" w:eastAsia="仿宋" w:cs="仿宋"/>
          <w:sz w:val="32"/>
          <w:szCs w:val="32"/>
          <w:highlight w:val="none"/>
          <w:lang w:val="en-US" w:eastAsia="zh-CN"/>
        </w:rPr>
        <w:t>同意，</w:t>
      </w:r>
      <w:r>
        <w:rPr>
          <w:rFonts w:hint="eastAsia" w:ascii="仿宋" w:hAnsi="仿宋" w:eastAsia="仿宋" w:cs="仿宋"/>
          <w:sz w:val="32"/>
          <w:szCs w:val="32"/>
          <w:highlight w:val="none"/>
          <w:lang w:val="en-US" w:eastAsia="zh-CN"/>
        </w:rPr>
        <w:t>响应人</w:t>
      </w:r>
      <w:r>
        <w:rPr>
          <w:rFonts w:hint="eastAsia" w:ascii="仿宋" w:hAnsi="仿宋" w:eastAsia="仿宋" w:cs="仿宋"/>
          <w:sz w:val="32"/>
          <w:szCs w:val="32"/>
          <w:highlight w:val="none"/>
          <w:lang w:val="en-US" w:eastAsia="zh-CN"/>
        </w:rPr>
        <w:t>不得随意变更项目人员。</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4.6除了必要的现场服务外，还需提供远程服务，及时响应</w:t>
      </w:r>
      <w:r>
        <w:rPr>
          <w:rFonts w:hint="eastAsia" w:ascii="仿宋" w:hAnsi="仿宋" w:eastAsia="仿宋" w:cs="仿宋"/>
          <w:sz w:val="32"/>
          <w:szCs w:val="32"/>
          <w:highlight w:val="none"/>
          <w:lang w:val="en-US" w:eastAsia="zh-CN"/>
        </w:rPr>
        <w:t>采购人</w:t>
      </w:r>
      <w:r>
        <w:rPr>
          <w:rFonts w:hint="eastAsia" w:ascii="仿宋" w:hAnsi="仿宋" w:eastAsia="仿宋" w:cs="仿宋"/>
          <w:sz w:val="32"/>
          <w:szCs w:val="32"/>
          <w:highlight w:val="none"/>
          <w:lang w:val="en-US" w:eastAsia="zh-CN"/>
        </w:rPr>
        <w:t>的服务需求。</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4.7</w:t>
      </w:r>
      <w:r>
        <w:rPr>
          <w:rFonts w:hint="eastAsia" w:ascii="仿宋" w:hAnsi="仿宋" w:eastAsia="仿宋" w:cs="仿宋"/>
          <w:sz w:val="32"/>
          <w:szCs w:val="32"/>
          <w:highlight w:val="none"/>
          <w:lang w:val="en-US" w:eastAsia="zh-CN"/>
        </w:rPr>
        <w:t>响应人</w:t>
      </w:r>
      <w:r>
        <w:rPr>
          <w:rFonts w:hint="eastAsia" w:ascii="仿宋" w:hAnsi="仿宋" w:eastAsia="仿宋" w:cs="仿宋"/>
          <w:sz w:val="32"/>
          <w:szCs w:val="32"/>
          <w:highlight w:val="none"/>
          <w:lang w:val="en-US" w:eastAsia="zh-CN"/>
        </w:rPr>
        <w:t>应充分理解采购人的目标和需求，主动进行全面、深入地沟通，保持专业客观、精益求精的态度，不得敷衍了事。</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4.8响应人应严格遵守各项保密工作，若泄密造成严重社会不良影响的，承担违约责任外，将立即中止合同，并且三年内不得从事采购人的相关服务。</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4.9响应人未按合同要求派遣项目人员，对服务范围内的服务响应不及时，或者未按照时间约定提供项目成果，且严重影响服务质量，将立即中止合同，并且三年内不得从事采购人的相关服务。</w:t>
      </w:r>
      <w:bookmarkStart w:id="20" w:name="_Toc359823276"/>
    </w:p>
    <w:p>
      <w:pPr>
        <w:ind w:firstLine="1056" w:firstLineChars="330"/>
        <w:rPr>
          <w:rStyle w:val="49"/>
          <w:rFonts w:hint="eastAsia" w:ascii="黑体" w:hAnsi="黑体" w:eastAsia="黑体" w:cs="黑体"/>
          <w:sz w:val="32"/>
          <w:szCs w:val="32"/>
          <w:highlight w:val="none"/>
        </w:rPr>
      </w:pPr>
      <w:r>
        <w:rPr>
          <w:rStyle w:val="49"/>
          <w:rFonts w:hint="eastAsia" w:ascii="黑体" w:hAnsi="黑体" w:eastAsia="黑体" w:cs="黑体"/>
          <w:sz w:val="32"/>
          <w:szCs w:val="32"/>
          <w:highlight w:val="none"/>
          <w:lang w:val="en-US" w:eastAsia="zh-CN"/>
        </w:rPr>
        <w:t>五、设计效果</w:t>
      </w:r>
      <w:r>
        <w:rPr>
          <w:rStyle w:val="49"/>
          <w:rFonts w:hint="eastAsia" w:ascii="黑体" w:hAnsi="黑体" w:eastAsia="黑体" w:cs="黑体"/>
          <w:sz w:val="32"/>
          <w:szCs w:val="32"/>
          <w:highlight w:val="none"/>
        </w:rPr>
        <w:t>评估</w:t>
      </w:r>
      <w:bookmarkEnd w:id="20"/>
    </w:p>
    <w:p>
      <w:pPr>
        <w:ind w:firstLine="640"/>
        <w:rPr>
          <w:rFonts w:hint="eastAsia" w:ascii="仿宋" w:hAnsi="仿宋" w:eastAsia="仿宋" w:cs="仿宋"/>
          <w:b/>
          <w:bCs/>
          <w:sz w:val="32"/>
          <w:szCs w:val="32"/>
          <w:highlight w:val="none"/>
          <w:lang w:val="en-US" w:eastAsia="zh-Hans"/>
        </w:rPr>
      </w:pPr>
      <w:r>
        <w:rPr>
          <w:rFonts w:hint="eastAsia" w:ascii="仿宋" w:hAnsi="仿宋" w:eastAsia="仿宋" w:cs="仿宋"/>
          <w:b/>
          <w:bCs/>
          <w:sz w:val="32"/>
          <w:szCs w:val="32"/>
          <w:highlight w:val="none"/>
          <w:lang w:eastAsia="zh-Hans"/>
        </w:rPr>
        <w:t>5</w:t>
      </w:r>
      <w:r>
        <w:rPr>
          <w:rFonts w:hint="eastAsia" w:ascii="仿宋" w:hAnsi="仿宋" w:eastAsia="仿宋" w:cs="仿宋"/>
          <w:b/>
          <w:bCs/>
          <w:sz w:val="32"/>
          <w:szCs w:val="32"/>
          <w:highlight w:val="none"/>
          <w:lang w:val="en-US" w:eastAsia="zh-Hans"/>
        </w:rPr>
        <w:t>.</w:t>
      </w:r>
      <w:r>
        <w:rPr>
          <w:rFonts w:hint="eastAsia" w:ascii="仿宋" w:hAnsi="仿宋" w:eastAsia="仿宋" w:cs="仿宋"/>
          <w:b/>
          <w:bCs/>
          <w:sz w:val="32"/>
          <w:szCs w:val="32"/>
          <w:highlight w:val="none"/>
          <w:lang w:eastAsia="zh-Hans"/>
        </w:rPr>
        <w:t>1</w:t>
      </w:r>
      <w:r>
        <w:rPr>
          <w:rFonts w:hint="eastAsia" w:ascii="仿宋" w:hAnsi="仿宋" w:eastAsia="仿宋" w:cs="仿宋"/>
          <w:b/>
          <w:bCs/>
          <w:sz w:val="32"/>
          <w:szCs w:val="32"/>
          <w:highlight w:val="none"/>
          <w:lang w:val="en-US" w:eastAsia="zh-Hans"/>
        </w:rPr>
        <w:t>按要求提供设计效果图</w:t>
      </w:r>
    </w:p>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5.1.1为综合考评采购人宣传设计服务能力，核查设计成果与项目需求的契合性，各响应人须按采购人提供的文字内容制作设计图1张，A4尺寸大小，在响应文件中提交。评标当日，由评审委员会对设计样品进行综合评审及量化打分。具体设计任务及参数要求如下：</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0"/>
        <w:gridCol w:w="1913"/>
        <w:gridCol w:w="1913"/>
        <w:gridCol w:w="1913"/>
        <w:gridCol w:w="19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lang w:val="en-US" w:eastAsia="zh-CN"/>
              </w:rPr>
              <w:t>对比维度</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lang w:val="en-US" w:eastAsia="zh-CN"/>
              </w:rPr>
              <w:t>南方电网顺易充</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lang w:val="en-US" w:eastAsia="zh-CN"/>
              </w:rPr>
              <w:t>特来电</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lang w:val="en-US" w:eastAsia="zh-CN"/>
              </w:rPr>
              <w:t>星星充电</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jc w:val="center"/>
              <w:rPr>
                <w:rFonts w:hint="eastAsia" w:ascii="仿宋" w:hAnsi="仿宋" w:eastAsia="仿宋" w:cs="仿宋"/>
                <w:b/>
                <w:bCs/>
                <w:sz w:val="24"/>
                <w:szCs w:val="32"/>
                <w:highlight w:val="none"/>
              </w:rPr>
            </w:pPr>
            <w:r>
              <w:rPr>
                <w:rFonts w:hint="eastAsia" w:ascii="仿宋" w:hAnsi="仿宋" w:eastAsia="仿宋" w:cs="仿宋"/>
                <w:b/>
                <w:bCs/>
                <w:sz w:val="24"/>
                <w:szCs w:val="32"/>
                <w:highlight w:val="none"/>
                <w:lang w:val="en-US" w:eastAsia="zh-CN"/>
              </w:rPr>
              <w:t>滴滴充电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电力资源</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源网侧直接调度，虚拟电厂核心聚合商</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虚拟电厂运营商，具备调峰能力</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布局电网侧储能项目，构网型技术+有序充电调度</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售电及负荷聚合资质，开展虚拟电厂业务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品牌公信力</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央企背书，政府合作首选，资金安全有保障</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行业龙头，民营企业</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知名民企，口碑良好</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头部互联网平台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补贴申领</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数据直连政府，一站式申报</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多区域对接，部分地区流程简化</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跨区域申报，周期因政策而异</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全国统一对接，部分地区存在延迟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服务能力</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南方五省乡镇全覆盖，普惠布局无盲区</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核心城市+重点县域覆盖，网络密度高</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聚焦高潜力区域，县域覆盖逐步完善</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城市高流量区密集布局，乡镇覆盖较少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流量分配</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加盟商与自营同权，推荐算法公平</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算法分配为主，自营站略有倾斜</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流量向优质合作站倾斜</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大数据算法分配，高服务质量站流量集中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政策响应速度</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南方五省属地团队，政策响应迅速</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区域代理机制，核心区域响应高效</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区域经销商对接，政策落地有延迟</w:t>
            </w:r>
          </w:p>
        </w:tc>
        <w:tc>
          <w:tcPr>
            <w:tcW w:w="112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left="0" w:leftChars="0" w:firstLine="0" w:firstLineChars="0"/>
              <w:rPr>
                <w:rFonts w:hint="eastAsia" w:ascii="仿宋" w:hAnsi="仿宋" w:eastAsia="仿宋" w:cs="仿宋"/>
                <w:sz w:val="24"/>
                <w:szCs w:val="32"/>
                <w:highlight w:val="none"/>
              </w:rPr>
            </w:pPr>
            <w:r>
              <w:rPr>
                <w:rFonts w:hint="eastAsia" w:ascii="仿宋" w:hAnsi="仿宋" w:eastAsia="仿宋" w:cs="仿宋"/>
                <w:sz w:val="24"/>
                <w:szCs w:val="32"/>
                <w:highlight w:val="none"/>
                <w:lang w:val="en-US" w:eastAsia="zh-CN"/>
              </w:rPr>
              <w:t>总部统一规划，地方个性化响应较慢</w:t>
            </w:r>
          </w:p>
        </w:tc>
      </w:tr>
    </w:tbl>
    <w:p>
      <w:pPr>
        <w:pStyle w:val="10"/>
        <w:numPr>
          <w:ilvl w:val="0"/>
          <w:numId w:val="0"/>
        </w:numPr>
        <w:spacing w:line="560" w:lineRule="exact"/>
        <w:ind w:firstLine="640" w:firstLineChars="200"/>
        <w:jc w:val="both"/>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备注：根据以上文字资料出具设计效果图，突出顺易充平台的优势和特点。</w:t>
      </w:r>
    </w:p>
    <w:p>
      <w:pPr>
        <w:keepNext w:val="0"/>
        <w:keepLines w:val="0"/>
        <w:widowControl/>
        <w:suppressLineNumbers w:val="0"/>
        <w:jc w:val="left"/>
        <w:rPr>
          <w:highlight w:val="none"/>
        </w:rPr>
      </w:pPr>
      <w:r>
        <w:rPr>
          <w:rFonts w:hint="eastAsia" w:ascii="仿宋" w:hAnsi="仿宋" w:eastAsia="仿宋" w:cs="仿宋"/>
          <w:sz w:val="32"/>
          <w:szCs w:val="32"/>
          <w:highlight w:val="none"/>
          <w:lang w:val="en-US" w:eastAsia="zh-CN"/>
        </w:rPr>
        <w:t>5.1</w:t>
      </w:r>
      <w:r>
        <w:rPr>
          <w:rFonts w:hint="eastAsia" w:ascii="仿宋" w:hAnsi="仿宋" w:eastAsia="仿宋" w:cs="仿宋"/>
          <w:color w:val="000000"/>
          <w:kern w:val="0"/>
          <w:sz w:val="32"/>
          <w:szCs w:val="32"/>
          <w:highlight w:val="none"/>
          <w:lang w:val="en-US" w:eastAsia="zh-CN" w:bidi="ar-SA"/>
        </w:rPr>
        <w:t>.2针对3米×6米标准集装箱司机休息室开展外观品牌定制设计工作，响应人须严格依托采购人提供的企业LOGO、IP形象及企业整体品牌形象体系开展专属外观创意设计，不得私自替换、修改、扭曲、删减官方核心视觉元素，严禁使用非官方及侵权类素材。设计成果需高度贴合企业品牌定位、视觉风格与行业属性，严格遵循企业VI体系与IP形象调性进行色彩搭配、元素布局及风格塑造，充分结合司机休息室的使用功能与应用场景，打造视觉协调、主题鲜明、品牌辨识度高的外观效果，整体设计需兼具美观性、实用性、场景适配性与品牌传播性，做到细节精细、符合集装箱工业外观设计规范，具备完整的现场落地施工可行性。</w:t>
      </w:r>
    </w:p>
    <w:p>
      <w:pPr>
        <w:keepNext w:val="0"/>
        <w:keepLines w:val="0"/>
        <w:widowControl/>
        <w:suppressLineNumbers w:val="0"/>
        <w:jc w:val="left"/>
        <w:rPr>
          <w:rFonts w:hint="eastAsia" w:ascii="仿宋" w:hAnsi="仿宋" w:eastAsia="仿宋" w:cs="仿宋"/>
          <w:color w:val="000000"/>
          <w:kern w:val="0"/>
          <w:sz w:val="32"/>
          <w:szCs w:val="32"/>
          <w:highlight w:val="none"/>
          <w:lang w:val="en-US" w:eastAsia="zh-CN" w:bidi="ar-SA"/>
        </w:rPr>
      </w:pPr>
      <w:r>
        <w:rPr>
          <w:rFonts w:hint="eastAsia" w:ascii="仿宋" w:hAnsi="仿宋" w:eastAsia="仿宋" w:cs="仿宋"/>
          <w:color w:val="000000"/>
          <w:kern w:val="0"/>
          <w:sz w:val="32"/>
          <w:szCs w:val="32"/>
          <w:highlight w:val="none"/>
          <w:lang w:val="en-US" w:eastAsia="zh-CN" w:bidi="ar-SA"/>
        </w:rPr>
        <w:t>响应人须在投标响应文件中提交画面高清、比例精准、标注完整的全套纸质效果图，包含3D立体效果图、鸟瞰图、平视图（正视图）、侧视图四类视图，全方位、无偏差展示3米×6米集装箱司机休息室的整体造型、元素布局、色彩搭配及细节效果，所有图纸需比例无误、色彩还原准确、细节完整，满足评标查阅评审需求。</w:t>
      </w:r>
    </w:p>
    <w:p>
      <w:pPr>
        <w:ind w:firstLine="640"/>
        <w:rPr>
          <w:rFonts w:hint="eastAsia" w:ascii="Times New Roman" w:hAnsi="楷体_GB2312" w:eastAsia="楷体_GB2312" w:cs="楷体_GB2312"/>
          <w:b w:val="0"/>
          <w:bCs/>
          <w:i w:val="0"/>
          <w:spacing w:val="0"/>
          <w:w w:val="100"/>
          <w:sz w:val="32"/>
          <w:szCs w:val="28"/>
          <w:highlight w:val="none"/>
          <w:u w:val="none"/>
          <w:lang w:val="en-US" w:eastAsia="zh-CN" w:bidi="ar-SA"/>
        </w:rPr>
      </w:pPr>
      <w:bookmarkStart w:id="21" w:name="_Toc235849780"/>
      <w:r>
        <w:rPr>
          <w:rFonts w:hint="eastAsia" w:ascii="仿宋" w:hAnsi="仿宋" w:eastAsia="仿宋" w:cs="仿宋"/>
          <w:b/>
          <w:bCs/>
          <w:sz w:val="32"/>
          <w:szCs w:val="32"/>
          <w:highlight w:val="none"/>
          <w:lang w:val="en-US" w:eastAsia="zh-CN"/>
        </w:rPr>
        <w:t>5.2企业标准色、辅助色见下图：</w:t>
      </w:r>
    </w:p>
    <w:p>
      <w:pPr>
        <w:keepNext w:val="0"/>
        <w:keepLines w:val="0"/>
        <w:pageBreakBefore w:val="0"/>
        <w:widowControl w:val="0"/>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kinsoku/>
        <w:wordWrap/>
        <w:overflowPunct/>
        <w:topLinePunct w:val="0"/>
        <w:autoSpaceDE/>
        <w:autoSpaceDN/>
        <w:bidi w:val="0"/>
        <w:adjustRightInd/>
        <w:spacing w:beforeAutospacing="0" w:afterAutospacing="0" w:line="240" w:lineRule="auto"/>
        <w:ind w:left="0" w:leftChars="0" w:right="0" w:rightChars="0" w:firstLine="420" w:firstLineChars="200"/>
        <w:jc w:val="both"/>
        <w:textAlignment w:val="auto"/>
        <w:outlineLvl w:val="9"/>
        <w:rPr>
          <w:highlight w:val="none"/>
        </w:rPr>
      </w:pPr>
      <w:r>
        <w:rPr>
          <w:highlight w:val="none"/>
        </w:rPr>
        <w:drawing>
          <wp:anchor distT="0" distB="0" distL="114300" distR="114300" simplePos="0" relativeHeight="251662336" behindDoc="0" locked="0" layoutInCell="1" allowOverlap="1">
            <wp:simplePos x="0" y="0"/>
            <wp:positionH relativeFrom="column">
              <wp:posOffset>-201295</wp:posOffset>
            </wp:positionH>
            <wp:positionV relativeFrom="paragraph">
              <wp:posOffset>200660</wp:posOffset>
            </wp:positionV>
            <wp:extent cx="5467350" cy="4562475"/>
            <wp:effectExtent l="0" t="0" r="5715" b="254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2"/>
                    <a:stretch>
                      <a:fillRect/>
                    </a:stretch>
                  </pic:blipFill>
                  <pic:spPr>
                    <a:xfrm>
                      <a:off x="0" y="0"/>
                      <a:ext cx="5467350" cy="4562475"/>
                    </a:xfrm>
                    <a:prstGeom prst="rect">
                      <a:avLst/>
                    </a:prstGeom>
                    <a:noFill/>
                    <a:ln>
                      <a:noFill/>
                    </a:ln>
                  </pic:spPr>
                </pic:pic>
              </a:graphicData>
            </a:graphic>
          </wp:anchor>
        </w:drawing>
      </w:r>
    </w:p>
    <w:bookmarkEnd w:id="21"/>
    <w:p>
      <w:pPr>
        <w:ind w:firstLine="1056" w:firstLineChars="33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drawing>
          <wp:anchor distT="0" distB="0" distL="114300" distR="114300" simplePos="0" relativeHeight="251663360" behindDoc="0" locked="0" layoutInCell="1" allowOverlap="1">
            <wp:simplePos x="0" y="0"/>
            <wp:positionH relativeFrom="column">
              <wp:posOffset>-177165</wp:posOffset>
            </wp:positionH>
            <wp:positionV relativeFrom="paragraph">
              <wp:posOffset>274955</wp:posOffset>
            </wp:positionV>
            <wp:extent cx="5269865" cy="6496050"/>
            <wp:effectExtent l="0" t="0" r="6985" b="0"/>
            <wp:wrapTopAndBottom/>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3"/>
                    <a:stretch>
                      <a:fillRect/>
                    </a:stretch>
                  </pic:blipFill>
                  <pic:spPr>
                    <a:xfrm>
                      <a:off x="0" y="0"/>
                      <a:ext cx="5269865" cy="6496050"/>
                    </a:xfrm>
                    <a:prstGeom prst="rect">
                      <a:avLst/>
                    </a:prstGeom>
                    <a:noFill/>
                    <a:ln>
                      <a:noFill/>
                    </a:ln>
                  </pic:spPr>
                </pic:pic>
              </a:graphicData>
            </a:graphic>
          </wp:anchor>
        </w:drawing>
      </w:r>
      <w:r>
        <w:rPr>
          <w:rFonts w:hint="eastAsia" w:ascii="仿宋" w:hAnsi="仿宋" w:eastAsia="仿宋" w:cs="仿宋"/>
          <w:sz w:val="32"/>
          <w:szCs w:val="32"/>
          <w:highlight w:val="none"/>
          <w:lang w:val="en-US" w:eastAsia="zh-CN"/>
        </w:rPr>
        <w:t>采购人不定期组织对响应人的支撑效果评审，根据评委所打的平均分进行评估。如单次考核达不到满意标准（60分以下），采购人有权终止合作，解除合同。</w:t>
      </w:r>
    </w:p>
    <w:p>
      <w:pPr>
        <w:ind w:firstLine="1056" w:firstLineChars="330"/>
        <w:rPr>
          <w:rFonts w:hint="eastAsia" w:ascii="仿宋" w:hAnsi="仿宋" w:eastAsia="仿宋" w:cs="仿宋"/>
          <w:sz w:val="32"/>
          <w:szCs w:val="32"/>
          <w:highlight w:val="none"/>
          <w:lang w:val="en-US" w:eastAsia="zh-CN"/>
        </w:rPr>
        <w:sectPr>
          <w:footerReference r:id="rId9" w:type="default"/>
          <w:pgSz w:w="11906" w:h="16838"/>
          <w:pgMar w:top="1440" w:right="1797" w:bottom="1440" w:left="1797" w:header="851" w:footer="992" w:gutter="0"/>
          <w:pgNumType w:start="1"/>
          <w:cols w:space="720" w:num="1"/>
          <w:docGrid w:type="lines" w:linePitch="312" w:charSpace="0"/>
        </w:sectPr>
      </w:pPr>
    </w:p>
    <w:p>
      <w:pPr>
        <w:pStyle w:val="3"/>
        <w:numPr>
          <w:ilvl w:val="0"/>
          <w:numId w:val="0"/>
        </w:numPr>
        <w:ind w:left="432"/>
        <w:rPr>
          <w:rStyle w:val="49"/>
          <w:rFonts w:hint="default" w:ascii="黑体" w:hAnsi="黑体" w:eastAsia="黑体" w:cs="黑体"/>
          <w:sz w:val="32"/>
          <w:szCs w:val="32"/>
          <w:highlight w:val="none"/>
          <w:lang w:val="en-US"/>
        </w:rPr>
      </w:pPr>
      <w:r>
        <w:rPr>
          <w:rStyle w:val="49"/>
          <w:rFonts w:hint="eastAsia" w:ascii="黑体" w:hAnsi="黑体" w:eastAsia="黑体" w:cs="黑体"/>
          <w:sz w:val="32"/>
          <w:szCs w:val="32"/>
          <w:highlight w:val="none"/>
          <w:lang w:val="en-US" w:eastAsia="zh-CN"/>
        </w:rPr>
        <w:t>六、服务质量检查与考核</w:t>
      </w:r>
    </w:p>
    <w:p>
      <w:pPr>
        <w:pStyle w:val="10"/>
        <w:spacing w:line="356" w:lineRule="exact"/>
        <w:jc w:val="center"/>
        <w:outlineLvl w:val="0"/>
        <w:rPr>
          <w:rFonts w:hint="eastAsia"/>
          <w:b/>
          <w:bCs/>
          <w:highlight w:val="none"/>
        </w:rPr>
      </w:pPr>
      <w:bookmarkStart w:id="22" w:name="_Toc1819923745"/>
      <w:r>
        <w:rPr>
          <w:rFonts w:hint="eastAsia"/>
          <w:b/>
          <w:bCs/>
          <w:highlight w:val="none"/>
        </w:rPr>
        <w:t>服务质量检查与考评表</w:t>
      </w:r>
      <w:bookmarkEnd w:id="22"/>
    </w:p>
    <w:tbl>
      <w:tblPr>
        <w:tblStyle w:val="2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95"/>
        <w:gridCol w:w="41"/>
        <w:gridCol w:w="1093"/>
        <w:gridCol w:w="67"/>
        <w:gridCol w:w="2484"/>
        <w:gridCol w:w="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395" w:type="dxa"/>
            <w:noWrap w:val="0"/>
            <w:vAlign w:val="top"/>
          </w:tcPr>
          <w:p>
            <w:pPr>
              <w:pStyle w:val="58"/>
              <w:rPr>
                <w:rFonts w:hint="eastAsia" w:ascii="仿宋" w:hAnsi="仿宋" w:eastAsia="仿宋" w:cs="仿宋"/>
                <w:sz w:val="21"/>
                <w:highlight w:val="none"/>
              </w:rPr>
            </w:pPr>
            <w:r>
              <w:rPr>
                <w:rFonts w:hint="eastAsia" w:ascii="仿宋" w:hAnsi="仿宋" w:eastAsia="仿宋" w:cs="仿宋"/>
                <w:sz w:val="21"/>
                <w:highlight w:val="none"/>
              </w:rPr>
              <w:t>项目名称：</w:t>
            </w:r>
          </w:p>
        </w:tc>
        <w:tc>
          <w:tcPr>
            <w:tcW w:w="1134" w:type="dxa"/>
            <w:gridSpan w:val="2"/>
            <w:noWrap w:val="0"/>
            <w:vAlign w:val="top"/>
          </w:tcPr>
          <w:p>
            <w:pPr>
              <w:pStyle w:val="58"/>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服务人员</w:t>
            </w:r>
          </w:p>
        </w:tc>
        <w:tc>
          <w:tcPr>
            <w:tcW w:w="3471" w:type="dxa"/>
            <w:gridSpan w:val="3"/>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30" w:line="250" w:lineRule="exact"/>
              <w:ind w:left="108"/>
              <w:rPr>
                <w:rFonts w:hint="eastAsia" w:ascii="仿宋" w:hAnsi="仿宋" w:eastAsia="仿宋" w:cs="仿宋"/>
                <w:sz w:val="21"/>
                <w:highlight w:val="none"/>
              </w:rPr>
            </w:pPr>
            <w:r>
              <w:rPr>
                <w:rFonts w:hint="eastAsia" w:ascii="仿宋" w:hAnsi="仿宋" w:eastAsia="仿宋" w:cs="仿宋"/>
                <w:sz w:val="21"/>
                <w:highlight w:val="none"/>
              </w:rPr>
              <w:t>服务保障评价：</w:t>
            </w:r>
          </w:p>
        </w:tc>
        <w:tc>
          <w:tcPr>
            <w:tcW w:w="920" w:type="dxa"/>
            <w:noWrap w:val="0"/>
            <w:vAlign w:val="top"/>
          </w:tcPr>
          <w:p>
            <w:pPr>
              <w:pStyle w:val="58"/>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30" w:line="250" w:lineRule="exact"/>
              <w:ind w:left="108"/>
              <w:rPr>
                <w:rFonts w:hint="eastAsia" w:ascii="仿宋" w:hAnsi="仿宋" w:eastAsia="仿宋" w:cs="仿宋"/>
                <w:sz w:val="21"/>
                <w:highlight w:val="none"/>
              </w:rPr>
            </w:pPr>
            <w:r>
              <w:rPr>
                <w:rFonts w:hint="eastAsia" w:ascii="仿宋" w:hAnsi="仿宋" w:eastAsia="仿宋" w:cs="仿宋"/>
                <w:sz w:val="21"/>
                <w:highlight w:val="none"/>
              </w:rPr>
              <w:t>1．充分理解</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的目标和需求，对项目有全面的规划和安排。（5分）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5"/>
              <w:rPr>
                <w:rFonts w:hint="eastAsia" w:ascii="仿宋" w:hAnsi="仿宋" w:eastAsia="仿宋" w:cs="仿宋"/>
                <w:sz w:val="21"/>
                <w:highlight w:val="none"/>
              </w:rPr>
            </w:pPr>
            <w:r>
              <w:rPr>
                <w:rFonts w:hint="eastAsia" w:ascii="仿宋" w:hAnsi="仿宋" w:eastAsia="仿宋" w:cs="仿宋"/>
                <w:sz w:val="21"/>
                <w:highlight w:val="none"/>
              </w:rPr>
              <w:t>2．主动进行全面、深入地沟通，保持专业客观、精益求精的态度，不得敷衍了事。（5分）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7"/>
              <w:rPr>
                <w:rFonts w:hint="eastAsia" w:ascii="仿宋" w:hAnsi="仿宋" w:eastAsia="仿宋" w:cs="仿宋"/>
                <w:sz w:val="21"/>
                <w:highlight w:val="none"/>
              </w:rPr>
            </w:pPr>
            <w:r>
              <w:rPr>
                <w:rFonts w:hint="eastAsia" w:ascii="仿宋" w:hAnsi="仿宋" w:eastAsia="仿宋" w:cs="仿宋"/>
                <w:sz w:val="21"/>
                <w:highlight w:val="none"/>
              </w:rPr>
              <w:t>3．按照</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要求配备服务团队，并设置项目负责人，服务小组人数按照</w:t>
            </w:r>
            <w:bookmarkStart w:id="24" w:name="_GoBack"/>
            <w:r>
              <w:rPr>
                <w:rFonts w:hint="eastAsia" w:ascii="仿宋" w:hAnsi="仿宋" w:eastAsia="仿宋" w:cs="仿宋"/>
                <w:sz w:val="21"/>
                <w:highlight w:val="none"/>
              </w:rPr>
              <w:t>采购人</w:t>
            </w:r>
            <w:bookmarkEnd w:id="24"/>
            <w:r>
              <w:rPr>
                <w:rFonts w:hint="eastAsia" w:ascii="仿宋" w:hAnsi="仿宋" w:eastAsia="仿宋" w:cs="仿宋"/>
                <w:sz w:val="21"/>
                <w:highlight w:val="none"/>
              </w:rPr>
              <w:t>要求配备，专门负责该项目的制作、服务管理等工作；不得随意变更项目人。（5分）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8" w:line="252" w:lineRule="exact"/>
              <w:ind w:left="108"/>
              <w:rPr>
                <w:rFonts w:hint="eastAsia" w:ascii="仿宋" w:hAnsi="仿宋" w:eastAsia="仿宋" w:cs="仿宋"/>
                <w:sz w:val="21"/>
                <w:highlight w:val="none"/>
              </w:rPr>
            </w:pPr>
            <w:r>
              <w:rPr>
                <w:rFonts w:hint="eastAsia" w:ascii="仿宋" w:hAnsi="仿宋" w:eastAsia="仿宋" w:cs="仿宋"/>
                <w:sz w:val="21"/>
                <w:highlight w:val="none"/>
              </w:rPr>
              <w:t>4．对要求的服务时间响应迅速，明确。（5分）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7"/>
              <w:rPr>
                <w:rFonts w:hint="eastAsia" w:ascii="仿宋" w:hAnsi="仿宋" w:eastAsia="仿宋" w:cs="仿宋"/>
                <w:sz w:val="21"/>
                <w:highlight w:val="none"/>
              </w:rPr>
            </w:pPr>
            <w:r>
              <w:rPr>
                <w:rFonts w:hint="eastAsia" w:ascii="仿宋" w:hAnsi="仿宋" w:eastAsia="仿宋" w:cs="仿宋"/>
                <w:sz w:val="21"/>
                <w:highlight w:val="none"/>
              </w:rPr>
              <w:t>5．根据竞争环境、</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观众群体特点，向采购人提出合理化的宣传服务</w:t>
            </w:r>
            <w:r>
              <w:rPr>
                <w:rFonts w:hint="eastAsia" w:ascii="仿宋" w:hAnsi="仿宋" w:eastAsia="仿宋" w:cs="仿宋"/>
                <w:sz w:val="21"/>
                <w:highlight w:val="none"/>
                <w:lang w:val="en-US" w:eastAsia="zh-Hans"/>
              </w:rPr>
              <w:t>设计</w:t>
            </w:r>
            <w:r>
              <w:rPr>
                <w:rFonts w:hint="eastAsia" w:ascii="仿宋" w:hAnsi="仿宋" w:eastAsia="仿宋" w:cs="仿宋"/>
                <w:sz w:val="21"/>
                <w:highlight w:val="none"/>
              </w:rPr>
              <w:t>策划及执行建议。（5分）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atLeast"/>
              <w:ind w:left="108" w:right="97"/>
              <w:rPr>
                <w:rFonts w:hint="eastAsia" w:ascii="仿宋" w:hAnsi="仿宋" w:eastAsia="仿宋" w:cs="仿宋"/>
                <w:sz w:val="21"/>
                <w:highlight w:val="none"/>
              </w:rPr>
            </w:pPr>
            <w:r>
              <w:rPr>
                <w:rFonts w:hint="eastAsia" w:ascii="仿宋" w:hAnsi="仿宋" w:eastAsia="仿宋" w:cs="仿宋"/>
                <w:sz w:val="21"/>
                <w:highlight w:val="none"/>
              </w:rPr>
              <w:t>6．在合同期内保证有持续经营能力，同时承接</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多个不同项目时不影响本项目的</w:t>
            </w:r>
            <w:r>
              <w:rPr>
                <w:rFonts w:hint="eastAsia" w:ascii="仿宋" w:hAnsi="仿宋" w:eastAsia="仿宋" w:cs="仿宋"/>
                <w:sz w:val="21"/>
                <w:highlight w:val="none"/>
                <w:lang w:val="en-US" w:eastAsia="zh-Hans"/>
              </w:rPr>
              <w:t>设计</w:t>
            </w:r>
            <w:r>
              <w:rPr>
                <w:rFonts w:hint="default" w:ascii="仿宋" w:hAnsi="仿宋" w:eastAsia="仿宋" w:cs="仿宋"/>
                <w:sz w:val="21"/>
                <w:highlight w:val="none"/>
                <w:lang w:eastAsia="zh-Hans"/>
              </w:rPr>
              <w:t>、</w:t>
            </w:r>
            <w:r>
              <w:rPr>
                <w:rFonts w:hint="eastAsia" w:ascii="仿宋" w:hAnsi="仿宋" w:eastAsia="仿宋" w:cs="仿宋"/>
                <w:sz w:val="21"/>
                <w:highlight w:val="none"/>
              </w:rPr>
              <w:t>策划</w:t>
            </w:r>
            <w:r>
              <w:rPr>
                <w:rFonts w:hint="eastAsia" w:ascii="仿宋" w:hAnsi="仿宋" w:eastAsia="仿宋" w:cs="仿宋"/>
                <w:sz w:val="21"/>
                <w:highlight w:val="none"/>
                <w:lang w:eastAsia="zh-CN"/>
              </w:rPr>
              <w:t>、</w:t>
            </w:r>
            <w:r>
              <w:rPr>
                <w:rFonts w:hint="eastAsia" w:ascii="仿宋" w:hAnsi="仿宋" w:eastAsia="仿宋" w:cs="仿宋"/>
                <w:sz w:val="21"/>
                <w:highlight w:val="none"/>
                <w:lang w:val="en-US" w:eastAsia="zh-CN"/>
              </w:rPr>
              <w:t>制作</w:t>
            </w:r>
            <w:r>
              <w:rPr>
                <w:rFonts w:hint="eastAsia" w:ascii="仿宋" w:hAnsi="仿宋" w:eastAsia="仿宋" w:cs="仿宋"/>
                <w:sz w:val="21"/>
                <w:highlight w:val="none"/>
              </w:rPr>
              <w:t>。（5分）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8" w:line="251" w:lineRule="exact"/>
              <w:ind w:left="108"/>
              <w:rPr>
                <w:rFonts w:hint="eastAsia" w:ascii="仿宋" w:hAnsi="仿宋" w:eastAsia="仿宋" w:cs="仿宋"/>
                <w:sz w:val="21"/>
                <w:highlight w:val="none"/>
              </w:rPr>
            </w:pPr>
            <w:r>
              <w:rPr>
                <w:rFonts w:hint="eastAsia" w:ascii="仿宋" w:hAnsi="仿宋" w:eastAsia="仿宋" w:cs="仿宋"/>
                <w:sz w:val="21"/>
                <w:highlight w:val="none"/>
              </w:rPr>
              <w:t>7．具备突发问题的应急和故障处置能力，发生突发问题时能积极正确应对。（5分）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4"/>
              <w:rPr>
                <w:rFonts w:hint="eastAsia" w:ascii="仿宋" w:hAnsi="仿宋" w:eastAsia="仿宋" w:cs="仿宋"/>
                <w:sz w:val="21"/>
                <w:highlight w:val="none"/>
              </w:rPr>
            </w:pPr>
            <w:r>
              <w:rPr>
                <w:rFonts w:hint="eastAsia" w:ascii="仿宋" w:hAnsi="仿宋" w:eastAsia="仿宋" w:cs="仿宋"/>
                <w:sz w:val="21"/>
                <w:highlight w:val="none"/>
              </w:rPr>
              <w:t>8．做到对</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形象的新闻保护和支持，不擅自使用</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的相关Logo标志，并对</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的相关企业信息等进行保密。（5分）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atLeast"/>
              <w:ind w:left="108" w:right="97"/>
              <w:rPr>
                <w:rFonts w:hint="eastAsia" w:ascii="仿宋" w:hAnsi="仿宋" w:eastAsia="仿宋" w:cs="仿宋"/>
                <w:sz w:val="21"/>
                <w:highlight w:val="none"/>
              </w:rPr>
            </w:pPr>
            <w:r>
              <w:rPr>
                <w:rFonts w:hint="eastAsia" w:ascii="仿宋" w:hAnsi="仿宋" w:eastAsia="仿宋" w:cs="仿宋"/>
                <w:sz w:val="21"/>
                <w:highlight w:val="none"/>
              </w:rPr>
              <w:t>9．避免拖沓项目进程，在规定时间内交付服务结果,严格按照双方约定如期、完整完成。（10分）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9" w:line="251" w:lineRule="exact"/>
              <w:ind w:left="108"/>
              <w:rPr>
                <w:rFonts w:hint="eastAsia" w:ascii="仿宋" w:hAnsi="仿宋" w:eastAsia="仿宋" w:cs="仿宋"/>
                <w:sz w:val="21"/>
                <w:highlight w:val="none"/>
              </w:rPr>
            </w:pPr>
            <w:r>
              <w:rPr>
                <w:rFonts w:hint="eastAsia" w:ascii="仿宋" w:hAnsi="仿宋" w:eastAsia="仿宋" w:cs="仿宋"/>
                <w:sz w:val="21"/>
                <w:highlight w:val="none"/>
              </w:rPr>
              <w:t>服务质量评价：</w:t>
            </w:r>
          </w:p>
        </w:tc>
        <w:tc>
          <w:tcPr>
            <w:tcW w:w="920" w:type="dxa"/>
            <w:noWrap w:val="0"/>
            <w:vAlign w:val="top"/>
          </w:tcPr>
          <w:p>
            <w:pPr>
              <w:pStyle w:val="58"/>
              <w:spacing w:before="129" w:line="251" w:lineRule="exact"/>
              <w:ind w:right="239"/>
              <w:jc w:val="right"/>
              <w:rPr>
                <w:rFonts w:hint="eastAsia" w:ascii="仿宋" w:hAnsi="仿宋" w:eastAsia="仿宋" w:cs="仿宋"/>
                <w:sz w:val="21"/>
                <w:highlight w:val="none"/>
              </w:rPr>
            </w:pPr>
            <w:r>
              <w:rPr>
                <w:rFonts w:hint="eastAsia" w:ascii="仿宋" w:hAnsi="仿宋" w:eastAsia="仿宋" w:cs="仿宋"/>
                <w:sz w:val="21"/>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7"/>
              <w:rPr>
                <w:rFonts w:hint="eastAsia" w:ascii="仿宋" w:hAnsi="仿宋" w:eastAsia="仿宋" w:cs="仿宋"/>
                <w:sz w:val="21"/>
                <w:highlight w:val="none"/>
              </w:rPr>
            </w:pPr>
            <w:r>
              <w:rPr>
                <w:rFonts w:hint="eastAsia" w:ascii="仿宋" w:hAnsi="仿宋" w:eastAsia="仿宋" w:cs="仿宋"/>
                <w:sz w:val="21"/>
                <w:highlight w:val="none"/>
              </w:rPr>
              <w:t>1．针对</w:t>
            </w:r>
            <w:r>
              <w:rPr>
                <w:rFonts w:hint="eastAsia" w:ascii="仿宋" w:hAnsi="仿宋" w:eastAsia="仿宋" w:cs="仿宋"/>
                <w:sz w:val="21"/>
                <w:highlight w:val="none"/>
                <w:lang w:eastAsia="zh-CN"/>
              </w:rPr>
              <w:t>采购人</w:t>
            </w:r>
            <w:r>
              <w:rPr>
                <w:rFonts w:hint="eastAsia" w:ascii="仿宋" w:hAnsi="仿宋" w:eastAsia="仿宋" w:cs="仿宋"/>
                <w:sz w:val="21"/>
                <w:highlight w:val="none"/>
              </w:rPr>
              <w:t>要求设计出符合企业性质和特点的</w:t>
            </w:r>
            <w:r>
              <w:rPr>
                <w:rFonts w:hint="eastAsia" w:ascii="仿宋" w:hAnsi="仿宋" w:eastAsia="仿宋" w:cs="仿宋"/>
                <w:sz w:val="21"/>
                <w:highlight w:val="none"/>
                <w:lang w:val="en-US" w:eastAsia="zh-Hans"/>
              </w:rPr>
              <w:t>设计</w:t>
            </w:r>
            <w:r>
              <w:rPr>
                <w:rFonts w:hint="eastAsia" w:ascii="仿宋" w:hAnsi="仿宋" w:eastAsia="仿宋" w:cs="仿宋"/>
                <w:sz w:val="21"/>
                <w:highlight w:val="none"/>
              </w:rPr>
              <w:t>方案，准确有效的解决项目</w:t>
            </w:r>
            <w:r>
              <w:rPr>
                <w:rFonts w:hint="eastAsia" w:ascii="仿宋" w:hAnsi="仿宋" w:eastAsia="仿宋" w:cs="仿宋"/>
                <w:sz w:val="21"/>
                <w:highlight w:val="none"/>
                <w:lang w:val="en-US" w:eastAsia="zh-Hans"/>
              </w:rPr>
              <w:t>问题</w:t>
            </w:r>
            <w:r>
              <w:rPr>
                <w:rFonts w:hint="eastAsia" w:ascii="仿宋" w:hAnsi="仿宋" w:eastAsia="仿宋" w:cs="仿宋"/>
                <w:sz w:val="21"/>
                <w:highlight w:val="none"/>
              </w:rPr>
              <w:t>。（</w:t>
            </w:r>
            <w:r>
              <w:rPr>
                <w:rFonts w:hint="default" w:ascii="仿宋" w:hAnsi="仿宋" w:eastAsia="仿宋" w:cs="仿宋"/>
                <w:sz w:val="21"/>
                <w:highlight w:val="none"/>
              </w:rPr>
              <w:t>10</w:t>
            </w:r>
            <w:r>
              <w:rPr>
                <w:rFonts w:hint="eastAsia" w:ascii="仿宋" w:hAnsi="仿宋" w:eastAsia="仿宋" w:cs="仿宋"/>
                <w:sz w:val="21"/>
                <w:highlight w:val="none"/>
              </w:rPr>
              <w:t>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8080" w:type="dxa"/>
            <w:gridSpan w:val="5"/>
            <w:noWrap w:val="0"/>
            <w:vAlign w:val="top"/>
          </w:tcPr>
          <w:p>
            <w:pPr>
              <w:pStyle w:val="58"/>
              <w:spacing w:line="400" w:lineRule="exact"/>
              <w:ind w:left="108" w:right="95"/>
              <w:rPr>
                <w:rFonts w:hint="eastAsia" w:ascii="仿宋" w:hAnsi="仿宋" w:eastAsia="仿宋" w:cs="仿宋"/>
                <w:sz w:val="21"/>
                <w:highlight w:val="none"/>
              </w:rPr>
            </w:pPr>
            <w:r>
              <w:rPr>
                <w:rFonts w:hint="eastAsia" w:ascii="仿宋" w:hAnsi="仿宋" w:eastAsia="仿宋" w:cs="仿宋"/>
                <w:sz w:val="21"/>
                <w:highlight w:val="none"/>
              </w:rPr>
              <w:t>2．</w:t>
            </w:r>
            <w:r>
              <w:rPr>
                <w:rFonts w:hint="eastAsia" w:ascii="仿宋" w:hAnsi="仿宋" w:eastAsia="仿宋" w:cs="仿宋"/>
                <w:sz w:val="21"/>
                <w:highlight w:val="none"/>
                <w:lang w:val="en-US" w:eastAsia="zh-Hans"/>
              </w:rPr>
              <w:t>宣传品</w:t>
            </w:r>
            <w:r>
              <w:rPr>
                <w:rFonts w:hint="eastAsia" w:ascii="仿宋" w:hAnsi="仿宋" w:eastAsia="仿宋" w:cs="仿宋"/>
                <w:sz w:val="21"/>
                <w:highlight w:val="none"/>
              </w:rPr>
              <w:t>总体效果评估。在整体观感和宣传效果上，呈现极强的时代感和极高的审美水平，总体呈现效果与项目需求的契合程度。（10分）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8080" w:type="dxa"/>
            <w:gridSpan w:val="5"/>
            <w:noWrap w:val="0"/>
            <w:vAlign w:val="top"/>
          </w:tcPr>
          <w:p>
            <w:pPr>
              <w:pStyle w:val="58"/>
              <w:spacing w:line="400" w:lineRule="exact"/>
              <w:ind w:left="108" w:right="92"/>
              <w:rPr>
                <w:rFonts w:hint="eastAsia" w:ascii="仿宋" w:hAnsi="仿宋" w:eastAsia="仿宋" w:cs="仿宋"/>
                <w:sz w:val="21"/>
                <w:highlight w:val="none"/>
              </w:rPr>
            </w:pPr>
            <w:r>
              <w:rPr>
                <w:rFonts w:hint="default" w:ascii="仿宋" w:hAnsi="仿宋" w:eastAsia="仿宋" w:cs="仿宋"/>
                <w:sz w:val="21"/>
                <w:highlight w:val="none"/>
              </w:rPr>
              <w:t>3</w:t>
            </w:r>
            <w:r>
              <w:rPr>
                <w:rFonts w:hint="eastAsia" w:ascii="仿宋" w:hAnsi="仿宋" w:eastAsia="仿宋" w:cs="仿宋"/>
                <w:sz w:val="21"/>
                <w:highlight w:val="none"/>
              </w:rPr>
              <w:t>．</w:t>
            </w:r>
            <w:r>
              <w:rPr>
                <w:rFonts w:hint="eastAsia" w:ascii="仿宋" w:hAnsi="仿宋" w:eastAsia="仿宋" w:cs="仿宋"/>
                <w:sz w:val="21"/>
                <w:highlight w:val="none"/>
                <w:lang w:val="en-US" w:eastAsia="zh-CN"/>
              </w:rPr>
              <w:t>项目负责人</w:t>
            </w:r>
            <w:r>
              <w:rPr>
                <w:rFonts w:hint="eastAsia" w:ascii="仿宋" w:hAnsi="仿宋" w:eastAsia="仿宋" w:cs="仿宋"/>
                <w:sz w:val="21"/>
                <w:highlight w:val="none"/>
              </w:rPr>
              <w:t>是否</w:t>
            </w:r>
            <w:r>
              <w:rPr>
                <w:rFonts w:hint="eastAsia" w:ascii="仿宋" w:hAnsi="仿宋" w:eastAsia="仿宋" w:cs="仿宋"/>
                <w:sz w:val="21"/>
                <w:highlight w:val="none"/>
                <w:lang w:val="en-US" w:eastAsia="zh-CN"/>
              </w:rPr>
              <w:t>具有创新</w:t>
            </w:r>
            <w:r>
              <w:rPr>
                <w:rFonts w:hint="eastAsia" w:ascii="仿宋" w:hAnsi="仿宋" w:eastAsia="仿宋" w:cs="仿宋"/>
                <w:sz w:val="21"/>
                <w:highlight w:val="none"/>
              </w:rPr>
              <w:t>思维、</w:t>
            </w:r>
            <w:r>
              <w:rPr>
                <w:rFonts w:hint="eastAsia" w:ascii="仿宋" w:hAnsi="仿宋" w:eastAsia="仿宋" w:cs="仿宋"/>
                <w:sz w:val="21"/>
                <w:highlight w:val="none"/>
                <w:lang w:val="en-US" w:eastAsia="zh-CN"/>
              </w:rPr>
              <w:t>提出的策划推广方案符合</w:t>
            </w:r>
            <w:r>
              <w:rPr>
                <w:rFonts w:hint="eastAsia" w:ascii="仿宋" w:hAnsi="仿宋" w:eastAsia="仿宋" w:cs="仿宋"/>
                <w:sz w:val="21"/>
                <w:highlight w:val="none"/>
              </w:rPr>
              <w:t>项目要求。（5分）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8080" w:type="dxa"/>
            <w:gridSpan w:val="5"/>
            <w:noWrap w:val="0"/>
            <w:vAlign w:val="top"/>
          </w:tcPr>
          <w:p>
            <w:pPr>
              <w:pStyle w:val="58"/>
              <w:spacing w:before="128" w:line="250" w:lineRule="exact"/>
              <w:ind w:left="108"/>
              <w:rPr>
                <w:rFonts w:hint="eastAsia" w:ascii="仿宋" w:hAnsi="仿宋" w:eastAsia="仿宋" w:cs="仿宋"/>
                <w:sz w:val="21"/>
                <w:highlight w:val="none"/>
              </w:rPr>
            </w:pPr>
            <w:r>
              <w:rPr>
                <w:rFonts w:hint="eastAsia" w:ascii="仿宋" w:hAnsi="仿宋" w:eastAsia="仿宋" w:cs="仿宋"/>
                <w:sz w:val="21"/>
                <w:highlight w:val="none"/>
              </w:rPr>
              <w:t>4．</w:t>
            </w:r>
            <w:r>
              <w:rPr>
                <w:rFonts w:hint="eastAsia" w:ascii="仿宋" w:hAnsi="仿宋" w:eastAsia="仿宋" w:cs="仿宋"/>
                <w:sz w:val="21"/>
                <w:highlight w:val="none"/>
                <w:lang w:val="en-US" w:eastAsia="zh-Hans"/>
              </w:rPr>
              <w:t>宣传服务</w:t>
            </w:r>
            <w:r>
              <w:rPr>
                <w:rFonts w:hint="eastAsia" w:ascii="仿宋" w:hAnsi="仿宋" w:eastAsia="仿宋" w:cs="仿宋"/>
                <w:sz w:val="21"/>
                <w:highlight w:val="none"/>
              </w:rPr>
              <w:t>过程中的人员、物料是否准备充分，确保不出现重大失误。（5分）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9" w:line="251" w:lineRule="exact"/>
              <w:ind w:left="108"/>
              <w:rPr>
                <w:rFonts w:hint="eastAsia" w:ascii="仿宋" w:hAnsi="仿宋" w:eastAsia="仿宋" w:cs="仿宋"/>
                <w:sz w:val="21"/>
                <w:highlight w:val="none"/>
              </w:rPr>
            </w:pPr>
            <w:r>
              <w:rPr>
                <w:rFonts w:hint="eastAsia" w:ascii="仿宋" w:hAnsi="仿宋" w:eastAsia="仿宋" w:cs="仿宋"/>
                <w:sz w:val="21"/>
                <w:highlight w:val="none"/>
              </w:rPr>
              <w:t>5．</w:t>
            </w:r>
            <w:r>
              <w:rPr>
                <w:rFonts w:hint="eastAsia" w:ascii="仿宋" w:hAnsi="仿宋" w:eastAsia="仿宋" w:cs="仿宋"/>
                <w:sz w:val="21"/>
                <w:highlight w:val="none"/>
                <w:lang w:val="en-US" w:eastAsia="zh-Hans"/>
              </w:rPr>
              <w:t>宣传服务</w:t>
            </w:r>
            <w:r>
              <w:rPr>
                <w:rFonts w:hint="eastAsia" w:ascii="仿宋" w:hAnsi="仿宋" w:eastAsia="仿宋" w:cs="仿宋"/>
                <w:sz w:val="21"/>
                <w:highlight w:val="none"/>
              </w:rPr>
              <w:t>是否按计划正常有序开展，不出现临时性变化及临时应急措施。（5分）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9" w:line="250" w:lineRule="exact"/>
              <w:ind w:left="108"/>
              <w:rPr>
                <w:rFonts w:hint="eastAsia" w:ascii="仿宋" w:hAnsi="仿宋" w:eastAsia="仿宋" w:cs="仿宋"/>
                <w:sz w:val="21"/>
                <w:highlight w:val="none"/>
              </w:rPr>
            </w:pPr>
            <w:r>
              <w:rPr>
                <w:rFonts w:hint="eastAsia" w:ascii="仿宋" w:hAnsi="仿宋" w:eastAsia="仿宋" w:cs="仿宋"/>
                <w:sz w:val="21"/>
                <w:highlight w:val="none"/>
              </w:rPr>
              <w:t>6．根据客户服务要求弹性安排工作时间。（5分）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30" w:line="250" w:lineRule="exact"/>
              <w:ind w:left="108"/>
              <w:rPr>
                <w:rFonts w:hint="eastAsia" w:ascii="仿宋" w:hAnsi="仿宋" w:eastAsia="仿宋" w:cs="仿宋"/>
                <w:sz w:val="21"/>
                <w:highlight w:val="none"/>
              </w:rPr>
            </w:pPr>
            <w:r>
              <w:rPr>
                <w:rFonts w:hint="eastAsia" w:ascii="仿宋" w:hAnsi="仿宋" w:eastAsia="仿宋" w:cs="仿宋"/>
                <w:sz w:val="21"/>
                <w:highlight w:val="none"/>
              </w:rPr>
              <w:t>7．各环节质量控制严格，工作效率和效果佳。（5分）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8080" w:type="dxa"/>
            <w:gridSpan w:val="5"/>
            <w:noWrap w:val="0"/>
            <w:vAlign w:val="top"/>
          </w:tcPr>
          <w:p>
            <w:pPr>
              <w:pStyle w:val="58"/>
              <w:spacing w:before="128" w:line="252" w:lineRule="exact"/>
              <w:ind w:left="108"/>
              <w:rPr>
                <w:rFonts w:hint="eastAsia" w:ascii="仿宋" w:hAnsi="仿宋" w:eastAsia="仿宋" w:cs="仿宋"/>
                <w:sz w:val="21"/>
                <w:highlight w:val="none"/>
              </w:rPr>
            </w:pPr>
            <w:r>
              <w:rPr>
                <w:rFonts w:hint="eastAsia" w:ascii="仿宋" w:hAnsi="仿宋" w:eastAsia="仿宋" w:cs="仿宋"/>
                <w:sz w:val="21"/>
                <w:highlight w:val="none"/>
              </w:rPr>
              <w:t>8．</w:t>
            </w:r>
            <w:r>
              <w:rPr>
                <w:rFonts w:hint="eastAsia" w:ascii="仿宋" w:hAnsi="仿宋" w:eastAsia="仿宋" w:cs="仿宋"/>
                <w:sz w:val="21"/>
                <w:highlight w:val="none"/>
                <w:lang w:val="en-US" w:eastAsia="zh-Hans"/>
              </w:rPr>
              <w:t>宣传服务</w:t>
            </w:r>
            <w:r>
              <w:rPr>
                <w:rFonts w:hint="eastAsia" w:ascii="仿宋" w:hAnsi="仿宋" w:eastAsia="仿宋" w:cs="仿宋"/>
                <w:sz w:val="21"/>
                <w:highlight w:val="none"/>
              </w:rPr>
              <w:t>对企业品牌及各服务品牌形象价值的提升。（5分）</w:t>
            </w:r>
          </w:p>
        </w:tc>
        <w:tc>
          <w:tcPr>
            <w:tcW w:w="920" w:type="dxa"/>
            <w:noWrap w:val="0"/>
            <w:vAlign w:val="top"/>
          </w:tcPr>
          <w:p>
            <w:pPr>
              <w:pStyle w:val="58"/>
              <w:rPr>
                <w:rFonts w:hint="eastAsia" w:ascii="仿宋" w:hAnsi="仿宋" w:eastAsia="仿宋" w:cs="仿宋"/>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9000" w:type="dxa"/>
            <w:gridSpan w:val="6"/>
            <w:noWrap w:val="0"/>
            <w:vAlign w:val="top"/>
          </w:tcPr>
          <w:p>
            <w:pPr>
              <w:pStyle w:val="58"/>
              <w:spacing w:before="129"/>
              <w:ind w:left="108"/>
              <w:rPr>
                <w:rFonts w:hint="eastAsia" w:ascii="仿宋" w:hAnsi="仿宋" w:eastAsia="仿宋" w:cs="仿宋"/>
                <w:sz w:val="21"/>
                <w:highlight w:val="none"/>
              </w:rPr>
            </w:pPr>
            <w:r>
              <w:rPr>
                <w:rFonts w:hint="eastAsia" w:ascii="仿宋" w:hAnsi="仿宋" w:eastAsia="仿宋" w:cs="仿宋"/>
                <w:sz w:val="21"/>
                <w:highlight w:val="none"/>
              </w:rPr>
              <w:t>考核结果（总计得分）：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jc w:val="center"/>
        </w:trPr>
        <w:tc>
          <w:tcPr>
            <w:tcW w:w="9000" w:type="dxa"/>
            <w:gridSpan w:val="6"/>
            <w:tcBorders>
              <w:bottom w:val="single" w:color="000000" w:sz="8" w:space="0"/>
            </w:tcBorders>
            <w:noWrap w:val="0"/>
            <w:vAlign w:val="top"/>
          </w:tcPr>
          <w:p>
            <w:pPr>
              <w:pStyle w:val="58"/>
              <w:spacing w:before="129"/>
              <w:ind w:left="108"/>
              <w:rPr>
                <w:rFonts w:hint="eastAsia" w:ascii="仿宋" w:hAnsi="仿宋" w:eastAsia="仿宋" w:cs="仿宋"/>
                <w:sz w:val="21"/>
                <w:highlight w:val="none"/>
              </w:rPr>
            </w:pPr>
            <w:r>
              <w:rPr>
                <w:rFonts w:hint="eastAsia" w:ascii="仿宋" w:hAnsi="仿宋" w:eastAsia="仿宋" w:cs="仿宋"/>
                <w:sz w:val="21"/>
                <w:highlight w:val="none"/>
              </w:rPr>
              <w:t>评价：</w:t>
            </w:r>
          </w:p>
          <w:p>
            <w:pPr>
              <w:pStyle w:val="58"/>
              <w:rPr>
                <w:rFonts w:hint="eastAsia" w:ascii="仿宋" w:hAnsi="仿宋" w:eastAsia="仿宋" w:cs="仿宋"/>
                <w:sz w:val="20"/>
                <w:highlight w:val="none"/>
              </w:rPr>
            </w:pPr>
          </w:p>
          <w:p>
            <w:pPr>
              <w:pStyle w:val="58"/>
              <w:rPr>
                <w:rFonts w:hint="eastAsia" w:ascii="仿宋" w:hAnsi="仿宋" w:eastAsia="仿宋" w:cs="仿宋"/>
                <w:sz w:val="20"/>
                <w:highlight w:val="none"/>
              </w:rPr>
            </w:pPr>
          </w:p>
          <w:p>
            <w:pPr>
              <w:pStyle w:val="58"/>
              <w:rPr>
                <w:rFonts w:hint="eastAsia" w:ascii="仿宋" w:hAnsi="仿宋" w:eastAsia="仿宋" w:cs="仿宋"/>
                <w:sz w:val="20"/>
                <w:highlight w:val="none"/>
              </w:rPr>
            </w:pPr>
          </w:p>
          <w:p>
            <w:pPr>
              <w:pStyle w:val="58"/>
              <w:tabs>
                <w:tab w:val="left" w:pos="2000"/>
              </w:tabs>
              <w:spacing w:before="162" w:line="251" w:lineRule="exact"/>
              <w:ind w:left="6"/>
              <w:jc w:val="center"/>
              <w:rPr>
                <w:rFonts w:hint="eastAsia" w:ascii="仿宋" w:hAnsi="仿宋" w:eastAsia="仿宋" w:cs="仿宋"/>
                <w:sz w:val="21"/>
                <w:highlight w:val="none"/>
              </w:rPr>
            </w:pPr>
            <w:r>
              <w:rPr>
                <w:rFonts w:hint="eastAsia" w:ascii="仿宋" w:hAnsi="仿宋" w:eastAsia="仿宋" w:cs="仿宋"/>
                <w:sz w:val="21"/>
                <w:highlight w:val="none"/>
              </w:rPr>
              <w:t>评价人：</w:t>
            </w:r>
            <w:r>
              <w:rPr>
                <w:rFonts w:hint="eastAsia" w:ascii="仿宋" w:hAnsi="仿宋" w:eastAsia="仿宋" w:cs="仿宋"/>
                <w:sz w:val="21"/>
                <w:highlight w:val="none"/>
              </w:rPr>
              <w:tab/>
            </w:r>
            <w:r>
              <w:rPr>
                <w:rFonts w:hint="eastAsia" w:ascii="仿宋" w:hAnsi="仿宋" w:eastAsia="仿宋" w:cs="仿宋"/>
                <w:sz w:val="21"/>
                <w:highlight w:val="none"/>
              </w:rPr>
              <w:t>服务人员代表确认：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4436" w:type="dxa"/>
            <w:gridSpan w:val="2"/>
            <w:tcBorders>
              <w:top w:val="single" w:color="000000" w:sz="8"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最后考评级别</w:t>
            </w:r>
          </w:p>
        </w:tc>
        <w:tc>
          <w:tcPr>
            <w:tcW w:w="1160" w:type="dxa"/>
            <w:gridSpan w:val="2"/>
            <w:tcBorders>
              <w:top w:val="single" w:color="000000" w:sz="8"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得分</w:t>
            </w:r>
          </w:p>
        </w:tc>
        <w:tc>
          <w:tcPr>
            <w:tcW w:w="3404" w:type="dxa"/>
            <w:gridSpan w:val="2"/>
            <w:tcBorders>
              <w:top w:val="single" w:color="000000" w:sz="8"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考核比例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4436"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非常满意</w:t>
            </w:r>
          </w:p>
        </w:tc>
        <w:tc>
          <w:tcPr>
            <w:tcW w:w="1160"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90~100</w:t>
            </w:r>
          </w:p>
        </w:tc>
        <w:tc>
          <w:tcPr>
            <w:tcW w:w="3404"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jc w:val="center"/>
        </w:trPr>
        <w:tc>
          <w:tcPr>
            <w:tcW w:w="4436"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比较满意</w:t>
            </w:r>
          </w:p>
        </w:tc>
        <w:tc>
          <w:tcPr>
            <w:tcW w:w="1160"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80~90</w:t>
            </w:r>
          </w:p>
        </w:tc>
        <w:tc>
          <w:tcPr>
            <w:tcW w:w="3404"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4436"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满意</w:t>
            </w:r>
          </w:p>
        </w:tc>
        <w:tc>
          <w:tcPr>
            <w:tcW w:w="1160"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70~80</w:t>
            </w:r>
          </w:p>
        </w:tc>
        <w:tc>
          <w:tcPr>
            <w:tcW w:w="3404"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4436"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一般</w:t>
            </w:r>
          </w:p>
        </w:tc>
        <w:tc>
          <w:tcPr>
            <w:tcW w:w="1160"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60~70</w:t>
            </w:r>
          </w:p>
        </w:tc>
        <w:tc>
          <w:tcPr>
            <w:tcW w:w="3404" w:type="dxa"/>
            <w:gridSpan w:val="2"/>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jc w:val="center"/>
        </w:trPr>
        <w:tc>
          <w:tcPr>
            <w:tcW w:w="4436" w:type="dxa"/>
            <w:gridSpan w:val="2"/>
            <w:tcBorders>
              <w:bottom w:val="double" w:color="000000" w:sz="0"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不满意</w:t>
            </w:r>
          </w:p>
        </w:tc>
        <w:tc>
          <w:tcPr>
            <w:tcW w:w="1160" w:type="dxa"/>
            <w:gridSpan w:val="2"/>
            <w:tcBorders>
              <w:bottom w:val="double" w:color="000000" w:sz="0"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0~60</w:t>
            </w:r>
          </w:p>
        </w:tc>
        <w:tc>
          <w:tcPr>
            <w:tcW w:w="3404" w:type="dxa"/>
            <w:gridSpan w:val="2"/>
            <w:tcBorders>
              <w:bottom w:val="double" w:color="000000" w:sz="0" w:space="0"/>
            </w:tcBorders>
            <w:noWrap w:val="0"/>
            <w:vAlign w:val="top"/>
          </w:tcPr>
          <w:p>
            <w:pPr>
              <w:pStyle w:val="58"/>
              <w:spacing w:before="2" w:line="250" w:lineRule="exact"/>
              <w:ind w:left="0" w:leftChars="0" w:firstLine="0" w:firstLineChars="0"/>
              <w:jc w:val="center"/>
              <w:rPr>
                <w:rFonts w:hint="eastAsia" w:ascii="仿宋" w:hAnsi="仿宋" w:eastAsia="仿宋" w:cs="仿宋"/>
                <w:sz w:val="21"/>
                <w:highlight w:val="none"/>
              </w:rPr>
            </w:pPr>
            <w:r>
              <w:rPr>
                <w:rFonts w:hint="eastAsia" w:ascii="仿宋" w:hAnsi="仿宋" w:eastAsia="仿宋" w:cs="仿宋"/>
                <w:sz w:val="21"/>
                <w:highlight w:val="none"/>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9000" w:type="dxa"/>
            <w:gridSpan w:val="6"/>
            <w:tcBorders>
              <w:top w:val="double" w:color="000000" w:sz="0" w:space="0"/>
            </w:tcBorders>
            <w:noWrap w:val="0"/>
            <w:vAlign w:val="top"/>
          </w:tcPr>
          <w:p>
            <w:pPr>
              <w:pStyle w:val="58"/>
              <w:spacing w:before="125"/>
              <w:ind w:left="108"/>
              <w:rPr>
                <w:rFonts w:hint="eastAsia" w:ascii="仿宋" w:hAnsi="仿宋" w:eastAsia="仿宋" w:cs="仿宋"/>
                <w:sz w:val="21"/>
                <w:highlight w:val="none"/>
              </w:rPr>
            </w:pPr>
            <w:r>
              <w:rPr>
                <w:rFonts w:hint="eastAsia" w:ascii="仿宋" w:hAnsi="仿宋" w:eastAsia="仿宋" w:cs="仿宋"/>
                <w:sz w:val="21"/>
                <w:highlight w:val="none"/>
              </w:rPr>
              <w:t>备注：发生扣分时需将扣分原因在评价栏注明，并由服务方代表签字确认。</w:t>
            </w:r>
          </w:p>
        </w:tc>
      </w:tr>
    </w:tbl>
    <w:p>
      <w:pPr>
        <w:tabs>
          <w:tab w:val="left" w:pos="4917"/>
        </w:tabs>
        <w:spacing w:before="90"/>
        <w:ind w:left="117"/>
        <w:outlineLvl w:val="0"/>
        <w:rPr>
          <w:rFonts w:hint="eastAsia" w:ascii="仿宋" w:hAnsi="仿宋" w:eastAsia="仿宋" w:cs="仿宋"/>
          <w:highlight w:val="none"/>
        </w:rPr>
      </w:pPr>
      <w:bookmarkStart w:id="23" w:name="_Toc848797994"/>
      <w:r>
        <w:rPr>
          <w:rFonts w:hint="eastAsia" w:ascii="仿宋" w:hAnsi="仿宋" w:eastAsia="仿宋" w:cs="仿宋"/>
          <w:sz w:val="24"/>
          <w:highlight w:val="none"/>
        </w:rPr>
        <w:t>编制：</w:t>
      </w:r>
      <w:r>
        <w:rPr>
          <w:rFonts w:hint="eastAsia" w:ascii="仿宋" w:hAnsi="仿宋" w:eastAsia="仿宋" w:cs="仿宋"/>
          <w:sz w:val="24"/>
          <w:highlight w:val="none"/>
        </w:rPr>
        <w:tab/>
      </w:r>
      <w:r>
        <w:rPr>
          <w:rFonts w:hint="eastAsia" w:ascii="仿宋" w:hAnsi="仿宋" w:eastAsia="仿宋" w:cs="仿宋"/>
          <w:sz w:val="24"/>
          <w:highlight w:val="none"/>
        </w:rPr>
        <w:t>审核：</w:t>
      </w:r>
      <w:bookmarkEnd w:id="23"/>
    </w:p>
    <w:p>
      <w:pPr>
        <w:pStyle w:val="7"/>
        <w:numPr>
          <w:ilvl w:val="0"/>
          <w:numId w:val="0"/>
        </w:numPr>
        <w:tabs>
          <w:tab w:val="clear" w:pos="2254"/>
        </w:tabs>
        <w:ind w:firstLine="640" w:firstLineChars="200"/>
        <w:rPr>
          <w:rFonts w:hint="eastAsia" w:ascii="仿宋" w:hAnsi="仿宋" w:eastAsia="仿宋" w:cs="仿宋"/>
          <w:sz w:val="32"/>
          <w:szCs w:val="32"/>
          <w:highlight w:val="none"/>
        </w:rPr>
      </w:pPr>
    </w:p>
    <w:sectPr>
      <w:pgSz w:w="11906" w:h="16838"/>
      <w:pgMar w:top="1440" w:right="1797" w:bottom="1440" w:left="179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华文细黑">
    <w:altName w:val="微软雅黑"/>
    <w:panose1 w:val="02010600040101010101"/>
    <w:charset w:val="86"/>
    <w:family w:val="auto"/>
    <w:pitch w:val="default"/>
    <w:sig w:usb0="00000000" w:usb1="00000000" w:usb2="00000000" w:usb3="00000000" w:csb0="0004009F" w:csb1="DFD70000"/>
  </w:font>
  <w:font w:name="Vladimir Script">
    <w:altName w:val="Mongolian Baiti"/>
    <w:panose1 w:val="03050402040407070305"/>
    <w:charset w:val="00"/>
    <w:family w:val="auto"/>
    <w:pitch w:val="default"/>
    <w:sig w:usb0="00000000"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4" w:space="1"/>
      </w:pBdr>
      <w:ind w:firstLine="0" w:firstLineChars="0"/>
      <w:jc w:val="right"/>
      <w:rPr>
        <w:rFonts w:hint="eastAsia" w:ascii="宋体" w:hAnsi="宋体"/>
      </w:rPr>
    </w:pPr>
    <w:r>
      <w:rPr>
        <w:rFonts w:ascii="宋体" w:hAnsi="宋体"/>
      </w:rPr>
      <w:drawing>
        <wp:anchor distT="0" distB="0" distL="114300" distR="114300" simplePos="0" relativeHeight="251660288" behindDoc="1" locked="0" layoutInCell="1" allowOverlap="1">
          <wp:simplePos x="0" y="0"/>
          <wp:positionH relativeFrom="column">
            <wp:posOffset>-13970</wp:posOffset>
          </wp:positionH>
          <wp:positionV relativeFrom="paragraph">
            <wp:posOffset>-235585</wp:posOffset>
          </wp:positionV>
          <wp:extent cx="1656080" cy="400050"/>
          <wp:effectExtent l="0" t="0" r="20320" b="571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1"/>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711A20B"/>
    <w:multiLevelType w:val="multilevel"/>
    <w:tmpl w:val="3711A20B"/>
    <w:lvl w:ilvl="0" w:tentative="0">
      <w:start w:val="1"/>
      <w:numFmt w:val="none"/>
      <w:suff w:val="nothing"/>
      <w:lvlText w:val=""/>
      <w:lvlJc w:val="left"/>
      <w:pPr>
        <w:ind w:left="7938"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eastAsia" w:ascii="宋体" w:hAnsi="宋体" w:eastAsia="宋体"/>
        <w:b/>
        <w:i w:val="0"/>
        <w:sz w:val="24"/>
        <w:szCs w:val="24"/>
      </w:rPr>
    </w:lvl>
    <w:lvl w:ilvl="2" w:tentative="0">
      <w:start w:val="1"/>
      <w:numFmt w:val="decimal"/>
      <w:pStyle w:val="53"/>
      <w:lvlText w:val="%1%2.%3"/>
      <w:lvlJc w:val="left"/>
      <w:pPr>
        <w:tabs>
          <w:tab w:val="left" w:pos="720"/>
        </w:tabs>
        <w:ind w:left="0" w:firstLine="0"/>
      </w:pPr>
      <w:rPr>
        <w:rFonts w:hint="default" w:ascii="宋体" w:hAnsi="宋体" w:eastAsia="宋体"/>
        <w:b/>
        <w:i w:val="0"/>
        <w:sz w:val="24"/>
        <w:szCs w:val="24"/>
      </w:rPr>
    </w:lvl>
    <w:lvl w:ilvl="3" w:tentative="0">
      <w:start w:val="1"/>
      <w:numFmt w:val="chineseCountingThousand"/>
      <w:pStyle w:val="52"/>
      <w:suff w:val="space"/>
      <w:lvlText w:val="第%4条"/>
      <w:lvlJc w:val="left"/>
      <w:pPr>
        <w:ind w:left="3827" w:firstLine="0"/>
      </w:pPr>
      <w:rPr>
        <w:rFonts w:hint="eastAsia"/>
        <w:b w:val="0"/>
        <w:bCs w:val="0"/>
      </w:rPr>
    </w:lvl>
    <w:lvl w:ilvl="4" w:tentative="0">
      <w:start w:val="1"/>
      <w:numFmt w:val="decimal"/>
      <w:lvlText w:val="%2.%3.%4.%5"/>
      <w:lvlJc w:val="left"/>
      <w:pPr>
        <w:tabs>
          <w:tab w:val="left" w:pos="1506"/>
        </w:tabs>
        <w:ind w:left="426" w:firstLine="0"/>
      </w:pPr>
      <w:rPr>
        <w:rFonts w:hint="eastAsia" w:ascii="黑体" w:hAnsi="Times New Roman" w:eastAsia="黑体"/>
        <w:b w:val="0"/>
        <w:i w:val="0"/>
        <w:color w:val="auto"/>
        <w:sz w:val="28"/>
        <w:szCs w:val="28"/>
      </w:rPr>
    </w:lvl>
    <w:lvl w:ilvl="5" w:tentative="0">
      <w:start w:val="1"/>
      <w:numFmt w:val="decimal"/>
      <w:lvlText w:val="%2.%3.%4.%5.%6"/>
      <w:lvlJc w:val="left"/>
      <w:pPr>
        <w:tabs>
          <w:tab w:val="left" w:pos="3006"/>
        </w:tabs>
        <w:ind w:left="3006" w:hanging="1021"/>
      </w:pPr>
      <w:rPr>
        <w:rFonts w:hint="eastAsia" w:ascii="黑体" w:hAnsi="Times New Roman" w:eastAsia="黑体"/>
        <w:b w:val="0"/>
        <w:i w:val="0"/>
        <w:sz w:val="28"/>
        <w:szCs w:val="28"/>
      </w:rPr>
    </w:lvl>
    <w:lvl w:ilvl="6" w:tentative="0">
      <w:start w:val="1"/>
      <w:numFmt w:val="decimal"/>
      <w:lvlRestart w:val="5"/>
      <w:lvlText w:val="%2.%3.%4.%5.%6.%7"/>
      <w:lvlJc w:val="left"/>
      <w:pPr>
        <w:tabs>
          <w:tab w:val="left" w:pos="1440"/>
        </w:tabs>
        <w:ind w:left="0" w:firstLine="0"/>
      </w:pPr>
      <w:rPr>
        <w:rFonts w:hint="eastAsia" w:ascii="黑体" w:hAnsi="Times New Roman" w:eastAsia="黑体"/>
        <w:b w:val="0"/>
        <w:i w:val="0"/>
        <w:sz w:val="28"/>
        <w:szCs w:val="28"/>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2">
    <w:nsid w:val="4F774351"/>
    <w:multiLevelType w:val="multilevel"/>
    <w:tmpl w:val="4F774351"/>
    <w:lvl w:ilvl="0" w:tentative="0">
      <w:start w:val="1"/>
      <w:numFmt w:val="decimal"/>
      <w:pStyle w:val="3"/>
      <w:lvlText w:val="%1"/>
      <w:lvlJc w:val="left"/>
      <w:pPr>
        <w:ind w:left="432" w:hanging="432"/>
      </w:pPr>
      <w:rPr>
        <w:rFonts w:hint="eastAsia"/>
      </w:rPr>
    </w:lvl>
    <w:lvl w:ilvl="1" w:tentative="0">
      <w:start w:val="1"/>
      <w:numFmt w:val="decimal"/>
      <w:pStyle w:val="2"/>
      <w:lvlText w:val="%1.%2"/>
      <w:lvlJc w:val="left"/>
      <w:pPr>
        <w:ind w:left="718" w:hanging="576"/>
      </w:pPr>
      <w:rPr>
        <w:rFonts w:hint="eastAsia"/>
      </w:rPr>
    </w:lvl>
    <w:lvl w:ilvl="2" w:tentative="0">
      <w:start w:val="1"/>
      <w:numFmt w:val="decimal"/>
      <w:pStyle w:val="4"/>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7"/>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4">
    <w:nsid w:val="5CC018CE"/>
    <w:multiLevelType w:val="multilevel"/>
    <w:tmpl w:val="5CC018C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6"/>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43"/>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220165B7"/>
    <w:rsid w:val="00057729"/>
    <w:rsid w:val="001D3AA5"/>
    <w:rsid w:val="002C7069"/>
    <w:rsid w:val="003617E6"/>
    <w:rsid w:val="003A2F10"/>
    <w:rsid w:val="003C0875"/>
    <w:rsid w:val="004105FA"/>
    <w:rsid w:val="00456D27"/>
    <w:rsid w:val="005E1D82"/>
    <w:rsid w:val="005F6584"/>
    <w:rsid w:val="00610C31"/>
    <w:rsid w:val="006B5404"/>
    <w:rsid w:val="006D5247"/>
    <w:rsid w:val="0073791F"/>
    <w:rsid w:val="0074270E"/>
    <w:rsid w:val="007A1E5B"/>
    <w:rsid w:val="007A53B9"/>
    <w:rsid w:val="0080372E"/>
    <w:rsid w:val="0082042C"/>
    <w:rsid w:val="008746A9"/>
    <w:rsid w:val="0091318A"/>
    <w:rsid w:val="00936BF1"/>
    <w:rsid w:val="00954641"/>
    <w:rsid w:val="00955794"/>
    <w:rsid w:val="009A1114"/>
    <w:rsid w:val="009A5FED"/>
    <w:rsid w:val="009C190E"/>
    <w:rsid w:val="00A47D14"/>
    <w:rsid w:val="00A54FFC"/>
    <w:rsid w:val="00A77BFD"/>
    <w:rsid w:val="00AC7971"/>
    <w:rsid w:val="00B255C5"/>
    <w:rsid w:val="00B55938"/>
    <w:rsid w:val="00B77A00"/>
    <w:rsid w:val="00C41C0C"/>
    <w:rsid w:val="00C62A4A"/>
    <w:rsid w:val="00C763D7"/>
    <w:rsid w:val="00DA30C2"/>
    <w:rsid w:val="00DA6166"/>
    <w:rsid w:val="00DB2EE7"/>
    <w:rsid w:val="00E01B82"/>
    <w:rsid w:val="00E77461"/>
    <w:rsid w:val="00EE3812"/>
    <w:rsid w:val="00F036C9"/>
    <w:rsid w:val="00FB56C9"/>
    <w:rsid w:val="0132783D"/>
    <w:rsid w:val="0137424E"/>
    <w:rsid w:val="01537095"/>
    <w:rsid w:val="01586F89"/>
    <w:rsid w:val="01590644"/>
    <w:rsid w:val="01735050"/>
    <w:rsid w:val="017C78FF"/>
    <w:rsid w:val="01985EE3"/>
    <w:rsid w:val="01B8645F"/>
    <w:rsid w:val="01C106C2"/>
    <w:rsid w:val="01CA5DA6"/>
    <w:rsid w:val="01CC5B60"/>
    <w:rsid w:val="022C5605"/>
    <w:rsid w:val="023C403F"/>
    <w:rsid w:val="025E0FAB"/>
    <w:rsid w:val="02634379"/>
    <w:rsid w:val="026B4887"/>
    <w:rsid w:val="026B74AB"/>
    <w:rsid w:val="0278321C"/>
    <w:rsid w:val="02790D58"/>
    <w:rsid w:val="027C0B8B"/>
    <w:rsid w:val="02877CDE"/>
    <w:rsid w:val="029B7D56"/>
    <w:rsid w:val="02A00339"/>
    <w:rsid w:val="02AE0846"/>
    <w:rsid w:val="02E4471B"/>
    <w:rsid w:val="02F27DF5"/>
    <w:rsid w:val="02F32963"/>
    <w:rsid w:val="030D4E65"/>
    <w:rsid w:val="032D72C5"/>
    <w:rsid w:val="036B49A6"/>
    <w:rsid w:val="03707ABE"/>
    <w:rsid w:val="03711506"/>
    <w:rsid w:val="037C2EED"/>
    <w:rsid w:val="038A0108"/>
    <w:rsid w:val="03A76494"/>
    <w:rsid w:val="03C04690"/>
    <w:rsid w:val="03CC00C8"/>
    <w:rsid w:val="040A39AE"/>
    <w:rsid w:val="04313670"/>
    <w:rsid w:val="04430C84"/>
    <w:rsid w:val="04440306"/>
    <w:rsid w:val="04452310"/>
    <w:rsid w:val="04637954"/>
    <w:rsid w:val="046A187D"/>
    <w:rsid w:val="04797601"/>
    <w:rsid w:val="04831DF5"/>
    <w:rsid w:val="04860B7C"/>
    <w:rsid w:val="048765FD"/>
    <w:rsid w:val="049674D8"/>
    <w:rsid w:val="04B11640"/>
    <w:rsid w:val="04BC79D1"/>
    <w:rsid w:val="04BD0CD5"/>
    <w:rsid w:val="04CA2B7E"/>
    <w:rsid w:val="04DB442D"/>
    <w:rsid w:val="04FF4F82"/>
    <w:rsid w:val="05157453"/>
    <w:rsid w:val="051B106F"/>
    <w:rsid w:val="05444432"/>
    <w:rsid w:val="056B395F"/>
    <w:rsid w:val="056C6676"/>
    <w:rsid w:val="057A7D39"/>
    <w:rsid w:val="059858C4"/>
    <w:rsid w:val="05BF1B7D"/>
    <w:rsid w:val="05C3236B"/>
    <w:rsid w:val="05C82E64"/>
    <w:rsid w:val="05DA343D"/>
    <w:rsid w:val="05EB2641"/>
    <w:rsid w:val="05FC4B31"/>
    <w:rsid w:val="06000038"/>
    <w:rsid w:val="06020B9C"/>
    <w:rsid w:val="063A6960"/>
    <w:rsid w:val="06606195"/>
    <w:rsid w:val="06634889"/>
    <w:rsid w:val="066B642F"/>
    <w:rsid w:val="068D3BCA"/>
    <w:rsid w:val="06BE2A9A"/>
    <w:rsid w:val="06D00631"/>
    <w:rsid w:val="06F53DF8"/>
    <w:rsid w:val="06F54CCB"/>
    <w:rsid w:val="06F92DB8"/>
    <w:rsid w:val="070E608A"/>
    <w:rsid w:val="07107A01"/>
    <w:rsid w:val="07201E36"/>
    <w:rsid w:val="07312958"/>
    <w:rsid w:val="07632537"/>
    <w:rsid w:val="076C1190"/>
    <w:rsid w:val="07827812"/>
    <w:rsid w:val="07886BEA"/>
    <w:rsid w:val="07945A7A"/>
    <w:rsid w:val="07978A71"/>
    <w:rsid w:val="07BE5A9D"/>
    <w:rsid w:val="07C531CC"/>
    <w:rsid w:val="07E301FD"/>
    <w:rsid w:val="07E9103C"/>
    <w:rsid w:val="07EA1C3A"/>
    <w:rsid w:val="07F1727E"/>
    <w:rsid w:val="08396A0E"/>
    <w:rsid w:val="083C5189"/>
    <w:rsid w:val="08472FDB"/>
    <w:rsid w:val="085262B3"/>
    <w:rsid w:val="085375B8"/>
    <w:rsid w:val="08753293"/>
    <w:rsid w:val="08791A00"/>
    <w:rsid w:val="087A4A9E"/>
    <w:rsid w:val="088F2161"/>
    <w:rsid w:val="0891161B"/>
    <w:rsid w:val="08980AF6"/>
    <w:rsid w:val="08A076B7"/>
    <w:rsid w:val="08C44430"/>
    <w:rsid w:val="08CE1EF4"/>
    <w:rsid w:val="08D95292"/>
    <w:rsid w:val="08F06C28"/>
    <w:rsid w:val="08FE4914"/>
    <w:rsid w:val="09420D21"/>
    <w:rsid w:val="095C7DBD"/>
    <w:rsid w:val="09663104"/>
    <w:rsid w:val="098B2B38"/>
    <w:rsid w:val="099459C5"/>
    <w:rsid w:val="09C87119"/>
    <w:rsid w:val="09E50BDF"/>
    <w:rsid w:val="09F16FAD"/>
    <w:rsid w:val="09F94ABF"/>
    <w:rsid w:val="0A05789E"/>
    <w:rsid w:val="0A1A22D6"/>
    <w:rsid w:val="0A1E592A"/>
    <w:rsid w:val="0A2001BE"/>
    <w:rsid w:val="0A3245CA"/>
    <w:rsid w:val="0A405E3A"/>
    <w:rsid w:val="0A4F2875"/>
    <w:rsid w:val="0A524DED"/>
    <w:rsid w:val="0A5C680C"/>
    <w:rsid w:val="0A603E15"/>
    <w:rsid w:val="0A64281B"/>
    <w:rsid w:val="0A7C1A2B"/>
    <w:rsid w:val="0A863748"/>
    <w:rsid w:val="0AA45AC5"/>
    <w:rsid w:val="0AAF7417"/>
    <w:rsid w:val="0AB42C3E"/>
    <w:rsid w:val="0ADA3A95"/>
    <w:rsid w:val="0ADC375E"/>
    <w:rsid w:val="0AE47875"/>
    <w:rsid w:val="0AE84FF2"/>
    <w:rsid w:val="0AED4CFD"/>
    <w:rsid w:val="0B036EA1"/>
    <w:rsid w:val="0B2370FD"/>
    <w:rsid w:val="0B3B6E1E"/>
    <w:rsid w:val="0B3F32C0"/>
    <w:rsid w:val="0B7D7D83"/>
    <w:rsid w:val="0B904506"/>
    <w:rsid w:val="0B973E91"/>
    <w:rsid w:val="0BB337C2"/>
    <w:rsid w:val="0BC348DB"/>
    <w:rsid w:val="0BC633BD"/>
    <w:rsid w:val="0BD0475C"/>
    <w:rsid w:val="0BD9237C"/>
    <w:rsid w:val="0BE92617"/>
    <w:rsid w:val="0C051F47"/>
    <w:rsid w:val="0C39369B"/>
    <w:rsid w:val="0C610FDC"/>
    <w:rsid w:val="0C865105"/>
    <w:rsid w:val="0C8D18D9"/>
    <w:rsid w:val="0CAE2417"/>
    <w:rsid w:val="0CB10D86"/>
    <w:rsid w:val="0CB71D6A"/>
    <w:rsid w:val="0CD97DF1"/>
    <w:rsid w:val="0CE24DF1"/>
    <w:rsid w:val="0CEC280C"/>
    <w:rsid w:val="0D463A32"/>
    <w:rsid w:val="0D766925"/>
    <w:rsid w:val="0D7F7EE6"/>
    <w:rsid w:val="0D976274"/>
    <w:rsid w:val="0D9D1628"/>
    <w:rsid w:val="0DA27AF9"/>
    <w:rsid w:val="0DAE7C24"/>
    <w:rsid w:val="0DDA51E0"/>
    <w:rsid w:val="0DDC7FC4"/>
    <w:rsid w:val="0DE67508"/>
    <w:rsid w:val="0DEF74E9"/>
    <w:rsid w:val="0DF04F6A"/>
    <w:rsid w:val="0E064561"/>
    <w:rsid w:val="0E1E23FD"/>
    <w:rsid w:val="0E2A3C19"/>
    <w:rsid w:val="0E4E34C9"/>
    <w:rsid w:val="0E6A171C"/>
    <w:rsid w:val="0E860CE1"/>
    <w:rsid w:val="0E897ACC"/>
    <w:rsid w:val="0E925DBF"/>
    <w:rsid w:val="0E9C4E0F"/>
    <w:rsid w:val="0EAF6027"/>
    <w:rsid w:val="0EB16FF2"/>
    <w:rsid w:val="0EB175A7"/>
    <w:rsid w:val="0EB86F32"/>
    <w:rsid w:val="0EF11D95"/>
    <w:rsid w:val="0EFC1FA5"/>
    <w:rsid w:val="0F0A6D3C"/>
    <w:rsid w:val="0F1F5A34"/>
    <w:rsid w:val="0F216FC8"/>
    <w:rsid w:val="0F2338BF"/>
    <w:rsid w:val="0F261755"/>
    <w:rsid w:val="0F2A6F00"/>
    <w:rsid w:val="0F32791B"/>
    <w:rsid w:val="0F534BB2"/>
    <w:rsid w:val="0F7804B7"/>
    <w:rsid w:val="0F7F3F7E"/>
    <w:rsid w:val="0FA61151"/>
    <w:rsid w:val="0FCB6377"/>
    <w:rsid w:val="0FD84356"/>
    <w:rsid w:val="0FE14FF9"/>
    <w:rsid w:val="10087E4D"/>
    <w:rsid w:val="101D4868"/>
    <w:rsid w:val="1041483A"/>
    <w:rsid w:val="1058798F"/>
    <w:rsid w:val="1066213A"/>
    <w:rsid w:val="108904B2"/>
    <w:rsid w:val="108B25A6"/>
    <w:rsid w:val="109664C2"/>
    <w:rsid w:val="10B747FB"/>
    <w:rsid w:val="10B95712"/>
    <w:rsid w:val="10CA026D"/>
    <w:rsid w:val="10E9453F"/>
    <w:rsid w:val="10F320DF"/>
    <w:rsid w:val="110B35CC"/>
    <w:rsid w:val="11146D91"/>
    <w:rsid w:val="11234E2D"/>
    <w:rsid w:val="11484E1A"/>
    <w:rsid w:val="11B63B1B"/>
    <w:rsid w:val="11B97E85"/>
    <w:rsid w:val="11BD3439"/>
    <w:rsid w:val="12246339"/>
    <w:rsid w:val="12355F6F"/>
    <w:rsid w:val="12532DB2"/>
    <w:rsid w:val="125606A2"/>
    <w:rsid w:val="1257268D"/>
    <w:rsid w:val="12594D17"/>
    <w:rsid w:val="127B1293"/>
    <w:rsid w:val="12862EC4"/>
    <w:rsid w:val="129D72FA"/>
    <w:rsid w:val="12AC366C"/>
    <w:rsid w:val="12C52994"/>
    <w:rsid w:val="12CB3C75"/>
    <w:rsid w:val="12D31CCE"/>
    <w:rsid w:val="12DC7324"/>
    <w:rsid w:val="12F61675"/>
    <w:rsid w:val="12F64D28"/>
    <w:rsid w:val="135E409E"/>
    <w:rsid w:val="1386574C"/>
    <w:rsid w:val="138D3FA2"/>
    <w:rsid w:val="13981495"/>
    <w:rsid w:val="13A9004F"/>
    <w:rsid w:val="13B127AE"/>
    <w:rsid w:val="13C321BC"/>
    <w:rsid w:val="13C370C2"/>
    <w:rsid w:val="13C453FD"/>
    <w:rsid w:val="13E04C56"/>
    <w:rsid w:val="13F93D5B"/>
    <w:rsid w:val="13FA0089"/>
    <w:rsid w:val="142B2BA6"/>
    <w:rsid w:val="14453750"/>
    <w:rsid w:val="14973315"/>
    <w:rsid w:val="149D53F2"/>
    <w:rsid w:val="14B57905"/>
    <w:rsid w:val="14C3448E"/>
    <w:rsid w:val="14DD6D72"/>
    <w:rsid w:val="15041509"/>
    <w:rsid w:val="15041F98"/>
    <w:rsid w:val="151C76B2"/>
    <w:rsid w:val="151F0EB5"/>
    <w:rsid w:val="15306BD1"/>
    <w:rsid w:val="1558465F"/>
    <w:rsid w:val="15652290"/>
    <w:rsid w:val="157C3937"/>
    <w:rsid w:val="157F47AF"/>
    <w:rsid w:val="15821CA6"/>
    <w:rsid w:val="15A3368D"/>
    <w:rsid w:val="15C47445"/>
    <w:rsid w:val="15D02953"/>
    <w:rsid w:val="15DB091B"/>
    <w:rsid w:val="15E83F91"/>
    <w:rsid w:val="15ED6F84"/>
    <w:rsid w:val="1606592F"/>
    <w:rsid w:val="16281367"/>
    <w:rsid w:val="16394E85"/>
    <w:rsid w:val="16412534"/>
    <w:rsid w:val="16443216"/>
    <w:rsid w:val="164C0F7C"/>
    <w:rsid w:val="166A117E"/>
    <w:rsid w:val="167E7B78"/>
    <w:rsid w:val="16913315"/>
    <w:rsid w:val="16F11913"/>
    <w:rsid w:val="17050AEC"/>
    <w:rsid w:val="173A05A2"/>
    <w:rsid w:val="17546308"/>
    <w:rsid w:val="17590BAB"/>
    <w:rsid w:val="176A5C90"/>
    <w:rsid w:val="176D0AA0"/>
    <w:rsid w:val="17841624"/>
    <w:rsid w:val="17A133F8"/>
    <w:rsid w:val="17A76FCB"/>
    <w:rsid w:val="17C32B6E"/>
    <w:rsid w:val="17C97597"/>
    <w:rsid w:val="17DC4231"/>
    <w:rsid w:val="17EB6C6C"/>
    <w:rsid w:val="180640FB"/>
    <w:rsid w:val="181A7599"/>
    <w:rsid w:val="1824469F"/>
    <w:rsid w:val="182746B0"/>
    <w:rsid w:val="18294323"/>
    <w:rsid w:val="18363646"/>
    <w:rsid w:val="18501241"/>
    <w:rsid w:val="18576141"/>
    <w:rsid w:val="18840EF6"/>
    <w:rsid w:val="188C348A"/>
    <w:rsid w:val="189B0DEC"/>
    <w:rsid w:val="18E55931"/>
    <w:rsid w:val="18FF57EF"/>
    <w:rsid w:val="19042D9A"/>
    <w:rsid w:val="191A31DF"/>
    <w:rsid w:val="195907CD"/>
    <w:rsid w:val="195C3428"/>
    <w:rsid w:val="196A788B"/>
    <w:rsid w:val="197768E0"/>
    <w:rsid w:val="19840D69"/>
    <w:rsid w:val="19E16F05"/>
    <w:rsid w:val="19E83D12"/>
    <w:rsid w:val="1A0B6E9A"/>
    <w:rsid w:val="1A156FE5"/>
    <w:rsid w:val="1A2B222E"/>
    <w:rsid w:val="1A2C531A"/>
    <w:rsid w:val="1A2F75EB"/>
    <w:rsid w:val="1A3327B7"/>
    <w:rsid w:val="1A3A7F8A"/>
    <w:rsid w:val="1A4C06CE"/>
    <w:rsid w:val="1A5E542C"/>
    <w:rsid w:val="1A6E5A40"/>
    <w:rsid w:val="1A893699"/>
    <w:rsid w:val="1A8B7A46"/>
    <w:rsid w:val="1ABA328A"/>
    <w:rsid w:val="1AC26025"/>
    <w:rsid w:val="1AC441A6"/>
    <w:rsid w:val="1AD474B4"/>
    <w:rsid w:val="1AEC06BC"/>
    <w:rsid w:val="1B356531"/>
    <w:rsid w:val="1B59326E"/>
    <w:rsid w:val="1B5D6CBF"/>
    <w:rsid w:val="1B616FD2"/>
    <w:rsid w:val="1B6805D3"/>
    <w:rsid w:val="1B6F2E66"/>
    <w:rsid w:val="1BAD725C"/>
    <w:rsid w:val="1BC2741A"/>
    <w:rsid w:val="1BD75223"/>
    <w:rsid w:val="1BF4192B"/>
    <w:rsid w:val="1C191924"/>
    <w:rsid w:val="1C35554F"/>
    <w:rsid w:val="1C4018BC"/>
    <w:rsid w:val="1C526220"/>
    <w:rsid w:val="1C784522"/>
    <w:rsid w:val="1C894C01"/>
    <w:rsid w:val="1C8B1061"/>
    <w:rsid w:val="1CA86DF9"/>
    <w:rsid w:val="1CAC10A6"/>
    <w:rsid w:val="1CBD6AD4"/>
    <w:rsid w:val="1CD10248"/>
    <w:rsid w:val="1CD93658"/>
    <w:rsid w:val="1CEA005D"/>
    <w:rsid w:val="1CEB7C04"/>
    <w:rsid w:val="1CF06118"/>
    <w:rsid w:val="1CF7381D"/>
    <w:rsid w:val="1CFA34AD"/>
    <w:rsid w:val="1D103100"/>
    <w:rsid w:val="1D1A6F70"/>
    <w:rsid w:val="1D290A53"/>
    <w:rsid w:val="1D3214AE"/>
    <w:rsid w:val="1D3B678F"/>
    <w:rsid w:val="1D492719"/>
    <w:rsid w:val="1D4B5C1C"/>
    <w:rsid w:val="1D79795B"/>
    <w:rsid w:val="1D907C35"/>
    <w:rsid w:val="1DBB7D72"/>
    <w:rsid w:val="1DCC746F"/>
    <w:rsid w:val="1DD55B80"/>
    <w:rsid w:val="1DDD518B"/>
    <w:rsid w:val="1DE354E7"/>
    <w:rsid w:val="1DFE71E1"/>
    <w:rsid w:val="1E170E52"/>
    <w:rsid w:val="1E2E373A"/>
    <w:rsid w:val="1E2F1203"/>
    <w:rsid w:val="1E2F1712"/>
    <w:rsid w:val="1E4F2457"/>
    <w:rsid w:val="1E576CB3"/>
    <w:rsid w:val="1E5D0198"/>
    <w:rsid w:val="1E6D1631"/>
    <w:rsid w:val="1E9320FC"/>
    <w:rsid w:val="1E9736C0"/>
    <w:rsid w:val="1E9D55C9"/>
    <w:rsid w:val="1EB274F9"/>
    <w:rsid w:val="1EB9644B"/>
    <w:rsid w:val="1EC446C1"/>
    <w:rsid w:val="1EC5487B"/>
    <w:rsid w:val="1EC575C3"/>
    <w:rsid w:val="1ED61771"/>
    <w:rsid w:val="1ED823BF"/>
    <w:rsid w:val="1EE559BD"/>
    <w:rsid w:val="1F187371"/>
    <w:rsid w:val="1F3F6FA3"/>
    <w:rsid w:val="1F4B7DB8"/>
    <w:rsid w:val="1F58768D"/>
    <w:rsid w:val="1F6C7C2D"/>
    <w:rsid w:val="1F734DF0"/>
    <w:rsid w:val="1F853F49"/>
    <w:rsid w:val="1FB7C854"/>
    <w:rsid w:val="1FCA14B3"/>
    <w:rsid w:val="1FDB6958"/>
    <w:rsid w:val="1FE00203"/>
    <w:rsid w:val="1FE97E8D"/>
    <w:rsid w:val="1FEA1A4C"/>
    <w:rsid w:val="1FEB170C"/>
    <w:rsid w:val="1FF90334"/>
    <w:rsid w:val="202A35F3"/>
    <w:rsid w:val="202F6387"/>
    <w:rsid w:val="20546C98"/>
    <w:rsid w:val="20664BB5"/>
    <w:rsid w:val="207A709C"/>
    <w:rsid w:val="207B6564"/>
    <w:rsid w:val="208479E8"/>
    <w:rsid w:val="2097747E"/>
    <w:rsid w:val="20B44934"/>
    <w:rsid w:val="20B63B8F"/>
    <w:rsid w:val="20E25803"/>
    <w:rsid w:val="20F11769"/>
    <w:rsid w:val="20F1259A"/>
    <w:rsid w:val="20F261F2"/>
    <w:rsid w:val="210B5343"/>
    <w:rsid w:val="211C55DD"/>
    <w:rsid w:val="214253CD"/>
    <w:rsid w:val="214445A3"/>
    <w:rsid w:val="21585442"/>
    <w:rsid w:val="215F18A4"/>
    <w:rsid w:val="21730717"/>
    <w:rsid w:val="217816DE"/>
    <w:rsid w:val="21800B85"/>
    <w:rsid w:val="218C0D24"/>
    <w:rsid w:val="21A65541"/>
    <w:rsid w:val="21C661D2"/>
    <w:rsid w:val="21E14965"/>
    <w:rsid w:val="21F66F4C"/>
    <w:rsid w:val="220165B7"/>
    <w:rsid w:val="22022EA1"/>
    <w:rsid w:val="2221070E"/>
    <w:rsid w:val="223842F4"/>
    <w:rsid w:val="22392531"/>
    <w:rsid w:val="225D61BE"/>
    <w:rsid w:val="22776916"/>
    <w:rsid w:val="227A681E"/>
    <w:rsid w:val="227F4634"/>
    <w:rsid w:val="22823C2A"/>
    <w:rsid w:val="228316AC"/>
    <w:rsid w:val="228A48BA"/>
    <w:rsid w:val="22C6341A"/>
    <w:rsid w:val="232F3B60"/>
    <w:rsid w:val="237657BC"/>
    <w:rsid w:val="23777C15"/>
    <w:rsid w:val="23906366"/>
    <w:rsid w:val="23A323EE"/>
    <w:rsid w:val="23B96153"/>
    <w:rsid w:val="23C15C65"/>
    <w:rsid w:val="23E008D9"/>
    <w:rsid w:val="23E74951"/>
    <w:rsid w:val="240772AA"/>
    <w:rsid w:val="2415022E"/>
    <w:rsid w:val="241E6ECF"/>
    <w:rsid w:val="24212F0F"/>
    <w:rsid w:val="242C0886"/>
    <w:rsid w:val="24450931"/>
    <w:rsid w:val="244639EE"/>
    <w:rsid w:val="24502F21"/>
    <w:rsid w:val="2466358E"/>
    <w:rsid w:val="2472358D"/>
    <w:rsid w:val="24765F0B"/>
    <w:rsid w:val="247E3149"/>
    <w:rsid w:val="24CD5A2D"/>
    <w:rsid w:val="24D912BC"/>
    <w:rsid w:val="24DA2E85"/>
    <w:rsid w:val="24E570DD"/>
    <w:rsid w:val="24E82326"/>
    <w:rsid w:val="250F7ADC"/>
    <w:rsid w:val="2511044B"/>
    <w:rsid w:val="251D439D"/>
    <w:rsid w:val="252F7B2C"/>
    <w:rsid w:val="25346A17"/>
    <w:rsid w:val="253A41A3"/>
    <w:rsid w:val="25420672"/>
    <w:rsid w:val="25471A56"/>
    <w:rsid w:val="254C4E47"/>
    <w:rsid w:val="25525FC7"/>
    <w:rsid w:val="25627A38"/>
    <w:rsid w:val="25651981"/>
    <w:rsid w:val="257D0110"/>
    <w:rsid w:val="258A35A4"/>
    <w:rsid w:val="25A228CE"/>
    <w:rsid w:val="25B427E8"/>
    <w:rsid w:val="25BC18EC"/>
    <w:rsid w:val="25DE5B94"/>
    <w:rsid w:val="25EF71CB"/>
    <w:rsid w:val="25F33000"/>
    <w:rsid w:val="260514BF"/>
    <w:rsid w:val="261F08E4"/>
    <w:rsid w:val="261F5247"/>
    <w:rsid w:val="262772A4"/>
    <w:rsid w:val="2637753E"/>
    <w:rsid w:val="264B1A62"/>
    <w:rsid w:val="26682B83"/>
    <w:rsid w:val="2672726E"/>
    <w:rsid w:val="268C2C23"/>
    <w:rsid w:val="268F305E"/>
    <w:rsid w:val="269975E3"/>
    <w:rsid w:val="26C329A6"/>
    <w:rsid w:val="26E07D57"/>
    <w:rsid w:val="26E23F34"/>
    <w:rsid w:val="26E7184F"/>
    <w:rsid w:val="26F25029"/>
    <w:rsid w:val="270E79CF"/>
    <w:rsid w:val="27237649"/>
    <w:rsid w:val="2726236D"/>
    <w:rsid w:val="273B288D"/>
    <w:rsid w:val="273C404C"/>
    <w:rsid w:val="274676FC"/>
    <w:rsid w:val="2747517D"/>
    <w:rsid w:val="27517B8F"/>
    <w:rsid w:val="27526984"/>
    <w:rsid w:val="27527065"/>
    <w:rsid w:val="27551496"/>
    <w:rsid w:val="275D3B01"/>
    <w:rsid w:val="2765234A"/>
    <w:rsid w:val="27723C0D"/>
    <w:rsid w:val="278204EE"/>
    <w:rsid w:val="27A53CE0"/>
    <w:rsid w:val="27A9199E"/>
    <w:rsid w:val="27B16DAB"/>
    <w:rsid w:val="27B90712"/>
    <w:rsid w:val="27D85899"/>
    <w:rsid w:val="27EA55BE"/>
    <w:rsid w:val="28036175"/>
    <w:rsid w:val="280E29C8"/>
    <w:rsid w:val="28221679"/>
    <w:rsid w:val="2833607F"/>
    <w:rsid w:val="28482B2E"/>
    <w:rsid w:val="284E5243"/>
    <w:rsid w:val="2884705E"/>
    <w:rsid w:val="288E7AE6"/>
    <w:rsid w:val="28B00ECC"/>
    <w:rsid w:val="28C463AF"/>
    <w:rsid w:val="28D5368A"/>
    <w:rsid w:val="28E64D72"/>
    <w:rsid w:val="28FE22D0"/>
    <w:rsid w:val="290E03B0"/>
    <w:rsid w:val="29346F27"/>
    <w:rsid w:val="293F0B3B"/>
    <w:rsid w:val="294F692F"/>
    <w:rsid w:val="296C7081"/>
    <w:rsid w:val="297202BD"/>
    <w:rsid w:val="29896CC9"/>
    <w:rsid w:val="29932CBF"/>
    <w:rsid w:val="299E4FD9"/>
    <w:rsid w:val="29AE4672"/>
    <w:rsid w:val="29B84F82"/>
    <w:rsid w:val="29BD5F8E"/>
    <w:rsid w:val="29C70578"/>
    <w:rsid w:val="29FC6970"/>
    <w:rsid w:val="2A1A4133"/>
    <w:rsid w:val="2A205A51"/>
    <w:rsid w:val="2A260716"/>
    <w:rsid w:val="2A3348CB"/>
    <w:rsid w:val="2A460069"/>
    <w:rsid w:val="2A6E190F"/>
    <w:rsid w:val="2A7665BD"/>
    <w:rsid w:val="2AAE5162"/>
    <w:rsid w:val="2ABD1161"/>
    <w:rsid w:val="2AC563B9"/>
    <w:rsid w:val="2ACA02C2"/>
    <w:rsid w:val="2AD042B0"/>
    <w:rsid w:val="2AF0725C"/>
    <w:rsid w:val="2B09481E"/>
    <w:rsid w:val="2B2E2565"/>
    <w:rsid w:val="2B3F7ED0"/>
    <w:rsid w:val="2B4C550D"/>
    <w:rsid w:val="2B7816DF"/>
    <w:rsid w:val="2B797161"/>
    <w:rsid w:val="2B8C1059"/>
    <w:rsid w:val="2BAD5B8F"/>
    <w:rsid w:val="2BBF4052"/>
    <w:rsid w:val="2BBF44EF"/>
    <w:rsid w:val="2BC2085A"/>
    <w:rsid w:val="2BD94BFC"/>
    <w:rsid w:val="2BE77292"/>
    <w:rsid w:val="2BEB3C1D"/>
    <w:rsid w:val="2C025DC0"/>
    <w:rsid w:val="2C291B87"/>
    <w:rsid w:val="2C5632CC"/>
    <w:rsid w:val="2C88209B"/>
    <w:rsid w:val="2C895268"/>
    <w:rsid w:val="2C8C073A"/>
    <w:rsid w:val="2CB54887"/>
    <w:rsid w:val="2CD72C54"/>
    <w:rsid w:val="2CE70831"/>
    <w:rsid w:val="2CEE2FA1"/>
    <w:rsid w:val="2CF96358"/>
    <w:rsid w:val="2CFB09E0"/>
    <w:rsid w:val="2D1D4A2D"/>
    <w:rsid w:val="2D665296"/>
    <w:rsid w:val="2D973948"/>
    <w:rsid w:val="2DA72A13"/>
    <w:rsid w:val="2DB4794E"/>
    <w:rsid w:val="2DBB6FF6"/>
    <w:rsid w:val="2DDC5888"/>
    <w:rsid w:val="2E2A66CA"/>
    <w:rsid w:val="2E412C26"/>
    <w:rsid w:val="2E7E5511"/>
    <w:rsid w:val="2E897D68"/>
    <w:rsid w:val="2E9B7C83"/>
    <w:rsid w:val="2E9F2B27"/>
    <w:rsid w:val="2EA84D9A"/>
    <w:rsid w:val="2EAD1702"/>
    <w:rsid w:val="2EBC7E30"/>
    <w:rsid w:val="2EC018D2"/>
    <w:rsid w:val="2EC7304B"/>
    <w:rsid w:val="2ECF2A5B"/>
    <w:rsid w:val="2ED004DD"/>
    <w:rsid w:val="2F2C7572"/>
    <w:rsid w:val="2F406212"/>
    <w:rsid w:val="2F4F682D"/>
    <w:rsid w:val="2F54E89B"/>
    <w:rsid w:val="2F6376CB"/>
    <w:rsid w:val="2F8623F5"/>
    <w:rsid w:val="2F874408"/>
    <w:rsid w:val="2F8C7B8F"/>
    <w:rsid w:val="2FAD0DC5"/>
    <w:rsid w:val="2FBB7D5A"/>
    <w:rsid w:val="2FC62A1D"/>
    <w:rsid w:val="2FFFA190"/>
    <w:rsid w:val="300262D0"/>
    <w:rsid w:val="300852DE"/>
    <w:rsid w:val="301E76BE"/>
    <w:rsid w:val="30470FC3"/>
    <w:rsid w:val="306913A4"/>
    <w:rsid w:val="306E6531"/>
    <w:rsid w:val="307E369B"/>
    <w:rsid w:val="308F4C3A"/>
    <w:rsid w:val="30AE1C6C"/>
    <w:rsid w:val="30B46FCC"/>
    <w:rsid w:val="30BB3500"/>
    <w:rsid w:val="30DF3E57"/>
    <w:rsid w:val="30E1446E"/>
    <w:rsid w:val="30E346C5"/>
    <w:rsid w:val="30FD5F50"/>
    <w:rsid w:val="31056DF8"/>
    <w:rsid w:val="31074850"/>
    <w:rsid w:val="310E5509"/>
    <w:rsid w:val="311A6D9D"/>
    <w:rsid w:val="31687BA1"/>
    <w:rsid w:val="317F7F34"/>
    <w:rsid w:val="318F2D1D"/>
    <w:rsid w:val="31C305B7"/>
    <w:rsid w:val="31D64F52"/>
    <w:rsid w:val="32020ED9"/>
    <w:rsid w:val="32431E4C"/>
    <w:rsid w:val="328E1BD8"/>
    <w:rsid w:val="3291598B"/>
    <w:rsid w:val="329B2212"/>
    <w:rsid w:val="32AD1A92"/>
    <w:rsid w:val="32C22325"/>
    <w:rsid w:val="32CE7426"/>
    <w:rsid w:val="32DC1365"/>
    <w:rsid w:val="32FE5179"/>
    <w:rsid w:val="33010C9A"/>
    <w:rsid w:val="33140BBD"/>
    <w:rsid w:val="332A457E"/>
    <w:rsid w:val="332D5503"/>
    <w:rsid w:val="3345642D"/>
    <w:rsid w:val="3346062B"/>
    <w:rsid w:val="33467AEF"/>
    <w:rsid w:val="33576347"/>
    <w:rsid w:val="336359DD"/>
    <w:rsid w:val="336D043E"/>
    <w:rsid w:val="338B51B6"/>
    <w:rsid w:val="33B6166F"/>
    <w:rsid w:val="33D07EC2"/>
    <w:rsid w:val="33E06625"/>
    <w:rsid w:val="33F60954"/>
    <w:rsid w:val="33F971D5"/>
    <w:rsid w:val="33FDA19C"/>
    <w:rsid w:val="34013CF9"/>
    <w:rsid w:val="34303DD0"/>
    <w:rsid w:val="343D3142"/>
    <w:rsid w:val="34463948"/>
    <w:rsid w:val="3456338D"/>
    <w:rsid w:val="34692D0C"/>
    <w:rsid w:val="34970D22"/>
    <w:rsid w:val="349F452C"/>
    <w:rsid w:val="34CA6229"/>
    <w:rsid w:val="34CB5026"/>
    <w:rsid w:val="34CC1FE5"/>
    <w:rsid w:val="34D32B0A"/>
    <w:rsid w:val="35145BD5"/>
    <w:rsid w:val="35300C7D"/>
    <w:rsid w:val="356D7D42"/>
    <w:rsid w:val="358D457B"/>
    <w:rsid w:val="358F05FF"/>
    <w:rsid w:val="35956BF6"/>
    <w:rsid w:val="3598597D"/>
    <w:rsid w:val="359A5F52"/>
    <w:rsid w:val="35BE7445"/>
    <w:rsid w:val="35C20515"/>
    <w:rsid w:val="35C54466"/>
    <w:rsid w:val="35CD7F30"/>
    <w:rsid w:val="35E82C95"/>
    <w:rsid w:val="360120A7"/>
    <w:rsid w:val="36091205"/>
    <w:rsid w:val="36193992"/>
    <w:rsid w:val="36296F45"/>
    <w:rsid w:val="3649799F"/>
    <w:rsid w:val="36612E47"/>
    <w:rsid w:val="366C33D7"/>
    <w:rsid w:val="368026F8"/>
    <w:rsid w:val="3695498E"/>
    <w:rsid w:val="369C2769"/>
    <w:rsid w:val="36A9111D"/>
    <w:rsid w:val="36BB3EB8"/>
    <w:rsid w:val="36C727EB"/>
    <w:rsid w:val="36E777BA"/>
    <w:rsid w:val="36FC7442"/>
    <w:rsid w:val="37040E86"/>
    <w:rsid w:val="37141761"/>
    <w:rsid w:val="37230DD6"/>
    <w:rsid w:val="372E69DB"/>
    <w:rsid w:val="376B3D62"/>
    <w:rsid w:val="37732570"/>
    <w:rsid w:val="379D1C9C"/>
    <w:rsid w:val="37C35E12"/>
    <w:rsid w:val="37F6604A"/>
    <w:rsid w:val="380644F1"/>
    <w:rsid w:val="38126F8A"/>
    <w:rsid w:val="38183D07"/>
    <w:rsid w:val="3819583E"/>
    <w:rsid w:val="3842555B"/>
    <w:rsid w:val="385C0E32"/>
    <w:rsid w:val="385C790E"/>
    <w:rsid w:val="385E1608"/>
    <w:rsid w:val="38602168"/>
    <w:rsid w:val="38691B27"/>
    <w:rsid w:val="386C0CAA"/>
    <w:rsid w:val="386E76A4"/>
    <w:rsid w:val="38897ECE"/>
    <w:rsid w:val="389151AC"/>
    <w:rsid w:val="38951E5B"/>
    <w:rsid w:val="38AF1854"/>
    <w:rsid w:val="38B72CB1"/>
    <w:rsid w:val="38C2096A"/>
    <w:rsid w:val="38C51034"/>
    <w:rsid w:val="38C60CB8"/>
    <w:rsid w:val="38CD0F8C"/>
    <w:rsid w:val="38EE6478"/>
    <w:rsid w:val="38F640E2"/>
    <w:rsid w:val="39031F2A"/>
    <w:rsid w:val="39182F3C"/>
    <w:rsid w:val="39227A39"/>
    <w:rsid w:val="3924520E"/>
    <w:rsid w:val="393D00FA"/>
    <w:rsid w:val="394C5A0D"/>
    <w:rsid w:val="395F2FC5"/>
    <w:rsid w:val="39736DDF"/>
    <w:rsid w:val="399B085D"/>
    <w:rsid w:val="39B82B3E"/>
    <w:rsid w:val="39B93669"/>
    <w:rsid w:val="39C24EFB"/>
    <w:rsid w:val="39D84011"/>
    <w:rsid w:val="39EE3018"/>
    <w:rsid w:val="3A130E7B"/>
    <w:rsid w:val="3A1822C4"/>
    <w:rsid w:val="3A1949F8"/>
    <w:rsid w:val="3A281019"/>
    <w:rsid w:val="3A2B3E2F"/>
    <w:rsid w:val="3A3F2E5A"/>
    <w:rsid w:val="3A427A98"/>
    <w:rsid w:val="3A4647EB"/>
    <w:rsid w:val="3A646464"/>
    <w:rsid w:val="3A7551A2"/>
    <w:rsid w:val="3A9D576E"/>
    <w:rsid w:val="3AA30E1F"/>
    <w:rsid w:val="3ABA038B"/>
    <w:rsid w:val="3ACB1399"/>
    <w:rsid w:val="3AD76819"/>
    <w:rsid w:val="3B4535CA"/>
    <w:rsid w:val="3B514E5E"/>
    <w:rsid w:val="3B5F4174"/>
    <w:rsid w:val="3B6B04E9"/>
    <w:rsid w:val="3B6C66F8"/>
    <w:rsid w:val="3B6F7D06"/>
    <w:rsid w:val="3B7E4006"/>
    <w:rsid w:val="3B98690E"/>
    <w:rsid w:val="3B9C3FD8"/>
    <w:rsid w:val="3BA956EB"/>
    <w:rsid w:val="3BAD1CF4"/>
    <w:rsid w:val="3BB13F7E"/>
    <w:rsid w:val="3BFE9653"/>
    <w:rsid w:val="3BFEFD71"/>
    <w:rsid w:val="3C1D522E"/>
    <w:rsid w:val="3C1F3ADE"/>
    <w:rsid w:val="3C2E47AB"/>
    <w:rsid w:val="3C397F88"/>
    <w:rsid w:val="3C495A15"/>
    <w:rsid w:val="3C5C733D"/>
    <w:rsid w:val="3C6A592B"/>
    <w:rsid w:val="3C6B1390"/>
    <w:rsid w:val="3C6B33AC"/>
    <w:rsid w:val="3C6C223B"/>
    <w:rsid w:val="3C8D0178"/>
    <w:rsid w:val="3C8F00E9"/>
    <w:rsid w:val="3C954F0B"/>
    <w:rsid w:val="3CA4104C"/>
    <w:rsid w:val="3CAE4D72"/>
    <w:rsid w:val="3CB63E58"/>
    <w:rsid w:val="3CCE564F"/>
    <w:rsid w:val="3CEA7FFA"/>
    <w:rsid w:val="3CED2697"/>
    <w:rsid w:val="3CFB2C9B"/>
    <w:rsid w:val="3D1D0C51"/>
    <w:rsid w:val="3D2B37EA"/>
    <w:rsid w:val="3D3C1506"/>
    <w:rsid w:val="3D563C79"/>
    <w:rsid w:val="3D934A87"/>
    <w:rsid w:val="3D9F7A11"/>
    <w:rsid w:val="3DB43663"/>
    <w:rsid w:val="3DE165A4"/>
    <w:rsid w:val="3DEBD218"/>
    <w:rsid w:val="3E03671E"/>
    <w:rsid w:val="3E320799"/>
    <w:rsid w:val="3E680921"/>
    <w:rsid w:val="3E6B35D7"/>
    <w:rsid w:val="3E8D3F69"/>
    <w:rsid w:val="3E8F2B0F"/>
    <w:rsid w:val="3E9207B3"/>
    <w:rsid w:val="3EA65B41"/>
    <w:rsid w:val="3EA977E7"/>
    <w:rsid w:val="3EAC2B6C"/>
    <w:rsid w:val="3EB25A83"/>
    <w:rsid w:val="3EC73164"/>
    <w:rsid w:val="3EDB514D"/>
    <w:rsid w:val="3F0C0B14"/>
    <w:rsid w:val="3F2633E9"/>
    <w:rsid w:val="3F302A1C"/>
    <w:rsid w:val="3F341641"/>
    <w:rsid w:val="3F35130F"/>
    <w:rsid w:val="3F5D1B9E"/>
    <w:rsid w:val="3F8E6FAE"/>
    <w:rsid w:val="3F9F52E2"/>
    <w:rsid w:val="3FCB5CD5"/>
    <w:rsid w:val="3FDC1767"/>
    <w:rsid w:val="3FEF0C64"/>
    <w:rsid w:val="3FFFDF26"/>
    <w:rsid w:val="400159AA"/>
    <w:rsid w:val="40083317"/>
    <w:rsid w:val="4013542C"/>
    <w:rsid w:val="4026444D"/>
    <w:rsid w:val="403F44AC"/>
    <w:rsid w:val="404C3C83"/>
    <w:rsid w:val="406861BB"/>
    <w:rsid w:val="406C56BA"/>
    <w:rsid w:val="40711049"/>
    <w:rsid w:val="407676CF"/>
    <w:rsid w:val="407E181D"/>
    <w:rsid w:val="40925FA0"/>
    <w:rsid w:val="409406D8"/>
    <w:rsid w:val="40CB79EF"/>
    <w:rsid w:val="40DA51F5"/>
    <w:rsid w:val="40EF6094"/>
    <w:rsid w:val="40F00603"/>
    <w:rsid w:val="40F57374"/>
    <w:rsid w:val="40FB2062"/>
    <w:rsid w:val="41034D34"/>
    <w:rsid w:val="4105777F"/>
    <w:rsid w:val="41130852"/>
    <w:rsid w:val="411B438F"/>
    <w:rsid w:val="412743F5"/>
    <w:rsid w:val="412E1749"/>
    <w:rsid w:val="412F06F1"/>
    <w:rsid w:val="41317F76"/>
    <w:rsid w:val="41497B30"/>
    <w:rsid w:val="41595743"/>
    <w:rsid w:val="416A6E3D"/>
    <w:rsid w:val="416C06CB"/>
    <w:rsid w:val="418B51FC"/>
    <w:rsid w:val="419A5843"/>
    <w:rsid w:val="419E663D"/>
    <w:rsid w:val="419F2700"/>
    <w:rsid w:val="41D97316"/>
    <w:rsid w:val="41E603CA"/>
    <w:rsid w:val="41E73D28"/>
    <w:rsid w:val="41F768C6"/>
    <w:rsid w:val="41F87BCB"/>
    <w:rsid w:val="41F949F6"/>
    <w:rsid w:val="41FE4443"/>
    <w:rsid w:val="42041267"/>
    <w:rsid w:val="420E75E8"/>
    <w:rsid w:val="42407851"/>
    <w:rsid w:val="425530F5"/>
    <w:rsid w:val="42560749"/>
    <w:rsid w:val="428D483B"/>
    <w:rsid w:val="429338D8"/>
    <w:rsid w:val="42B61283"/>
    <w:rsid w:val="42B960EA"/>
    <w:rsid w:val="42C9616B"/>
    <w:rsid w:val="42D746D5"/>
    <w:rsid w:val="42E66EDA"/>
    <w:rsid w:val="430B2150"/>
    <w:rsid w:val="431E7075"/>
    <w:rsid w:val="43400051"/>
    <w:rsid w:val="434C71F8"/>
    <w:rsid w:val="43504CDD"/>
    <w:rsid w:val="435F3B05"/>
    <w:rsid w:val="43607689"/>
    <w:rsid w:val="4395506D"/>
    <w:rsid w:val="43AC5DB3"/>
    <w:rsid w:val="4409502C"/>
    <w:rsid w:val="44201E87"/>
    <w:rsid w:val="447D2DED"/>
    <w:rsid w:val="448A2DB0"/>
    <w:rsid w:val="448B068B"/>
    <w:rsid w:val="449A7836"/>
    <w:rsid w:val="44A83C31"/>
    <w:rsid w:val="44D0229F"/>
    <w:rsid w:val="450758C6"/>
    <w:rsid w:val="450B57EF"/>
    <w:rsid w:val="4519647A"/>
    <w:rsid w:val="4521179B"/>
    <w:rsid w:val="453452CD"/>
    <w:rsid w:val="45450D0E"/>
    <w:rsid w:val="456707EC"/>
    <w:rsid w:val="45B866F3"/>
    <w:rsid w:val="45B90D0F"/>
    <w:rsid w:val="45D36349"/>
    <w:rsid w:val="45D478C5"/>
    <w:rsid w:val="45D61170"/>
    <w:rsid w:val="45D77461"/>
    <w:rsid w:val="45DB3779"/>
    <w:rsid w:val="461A7EE1"/>
    <w:rsid w:val="461B6DA9"/>
    <w:rsid w:val="462D6468"/>
    <w:rsid w:val="464059DB"/>
    <w:rsid w:val="464417A7"/>
    <w:rsid w:val="46446037"/>
    <w:rsid w:val="46732AA8"/>
    <w:rsid w:val="468247BC"/>
    <w:rsid w:val="46B96619"/>
    <w:rsid w:val="46C84F30"/>
    <w:rsid w:val="46E92D5E"/>
    <w:rsid w:val="46FC6684"/>
    <w:rsid w:val="47015722"/>
    <w:rsid w:val="471811B2"/>
    <w:rsid w:val="471A26AA"/>
    <w:rsid w:val="47347547"/>
    <w:rsid w:val="475B669D"/>
    <w:rsid w:val="47656FAD"/>
    <w:rsid w:val="476969D7"/>
    <w:rsid w:val="47B45E32"/>
    <w:rsid w:val="481222EC"/>
    <w:rsid w:val="481A347D"/>
    <w:rsid w:val="4821482C"/>
    <w:rsid w:val="48290D48"/>
    <w:rsid w:val="482D0EBE"/>
    <w:rsid w:val="48556CB1"/>
    <w:rsid w:val="48566534"/>
    <w:rsid w:val="48585709"/>
    <w:rsid w:val="485B18D6"/>
    <w:rsid w:val="487877F8"/>
    <w:rsid w:val="48803A54"/>
    <w:rsid w:val="488E5795"/>
    <w:rsid w:val="48C47BE7"/>
    <w:rsid w:val="491A5374"/>
    <w:rsid w:val="494552C4"/>
    <w:rsid w:val="496C5184"/>
    <w:rsid w:val="498B205F"/>
    <w:rsid w:val="49AB4C68"/>
    <w:rsid w:val="49B83D5B"/>
    <w:rsid w:val="49BC2984"/>
    <w:rsid w:val="49C12BE5"/>
    <w:rsid w:val="49DC5B65"/>
    <w:rsid w:val="49EA1A21"/>
    <w:rsid w:val="49F53BC8"/>
    <w:rsid w:val="49FC073A"/>
    <w:rsid w:val="4A247116"/>
    <w:rsid w:val="4A286FFC"/>
    <w:rsid w:val="4A617463"/>
    <w:rsid w:val="4A783582"/>
    <w:rsid w:val="4A803116"/>
    <w:rsid w:val="4A952667"/>
    <w:rsid w:val="4A972883"/>
    <w:rsid w:val="4AA74E98"/>
    <w:rsid w:val="4AA8710A"/>
    <w:rsid w:val="4ABB0B5E"/>
    <w:rsid w:val="4AC86CC8"/>
    <w:rsid w:val="4ADD1B62"/>
    <w:rsid w:val="4AEA4D6F"/>
    <w:rsid w:val="4AF8674C"/>
    <w:rsid w:val="4B064F25"/>
    <w:rsid w:val="4B2B3E60"/>
    <w:rsid w:val="4B4E5C3B"/>
    <w:rsid w:val="4B4F0683"/>
    <w:rsid w:val="4B7A2929"/>
    <w:rsid w:val="4B951CC9"/>
    <w:rsid w:val="4BAC00E8"/>
    <w:rsid w:val="4BC4372C"/>
    <w:rsid w:val="4BEB6504"/>
    <w:rsid w:val="4C035D84"/>
    <w:rsid w:val="4C28241D"/>
    <w:rsid w:val="4C2F5C8C"/>
    <w:rsid w:val="4C373098"/>
    <w:rsid w:val="4C3E795A"/>
    <w:rsid w:val="4C422BCF"/>
    <w:rsid w:val="4C5353FA"/>
    <w:rsid w:val="4C787DC7"/>
    <w:rsid w:val="4C950EB3"/>
    <w:rsid w:val="4CAB2B54"/>
    <w:rsid w:val="4CAD6EA2"/>
    <w:rsid w:val="4CAE048F"/>
    <w:rsid w:val="4CD272B2"/>
    <w:rsid w:val="4CD7065A"/>
    <w:rsid w:val="4CD904BF"/>
    <w:rsid w:val="4CE70AA9"/>
    <w:rsid w:val="4CEE6ECF"/>
    <w:rsid w:val="4D0674C2"/>
    <w:rsid w:val="4D0A29E9"/>
    <w:rsid w:val="4D0E6F71"/>
    <w:rsid w:val="4D19368B"/>
    <w:rsid w:val="4D2343BE"/>
    <w:rsid w:val="4D2E7DAD"/>
    <w:rsid w:val="4D4D5BE7"/>
    <w:rsid w:val="4D517068"/>
    <w:rsid w:val="4D5912F9"/>
    <w:rsid w:val="4D5C53F9"/>
    <w:rsid w:val="4D605FFE"/>
    <w:rsid w:val="4D72067C"/>
    <w:rsid w:val="4D7C592E"/>
    <w:rsid w:val="4D7F6F33"/>
    <w:rsid w:val="4DA76A65"/>
    <w:rsid w:val="4DAE3B7E"/>
    <w:rsid w:val="4DBC5080"/>
    <w:rsid w:val="4DC24D9D"/>
    <w:rsid w:val="4DC67E79"/>
    <w:rsid w:val="4DCB0F30"/>
    <w:rsid w:val="4DEA3D63"/>
    <w:rsid w:val="4E256AC3"/>
    <w:rsid w:val="4E2976FB"/>
    <w:rsid w:val="4E3F41D4"/>
    <w:rsid w:val="4E45535F"/>
    <w:rsid w:val="4E5A441A"/>
    <w:rsid w:val="4E611EE4"/>
    <w:rsid w:val="4E66112F"/>
    <w:rsid w:val="4E797A13"/>
    <w:rsid w:val="4EA164B8"/>
    <w:rsid w:val="4EA64116"/>
    <w:rsid w:val="4EE73800"/>
    <w:rsid w:val="4EF36FD0"/>
    <w:rsid w:val="4F143BB3"/>
    <w:rsid w:val="4F1756CF"/>
    <w:rsid w:val="4F2C085C"/>
    <w:rsid w:val="4F395F88"/>
    <w:rsid w:val="4F4F4B7E"/>
    <w:rsid w:val="4F562C35"/>
    <w:rsid w:val="4F6A76D8"/>
    <w:rsid w:val="4F717EA3"/>
    <w:rsid w:val="4F77364D"/>
    <w:rsid w:val="4F7B6338"/>
    <w:rsid w:val="4F9019AF"/>
    <w:rsid w:val="4F943D9F"/>
    <w:rsid w:val="4FA00E1F"/>
    <w:rsid w:val="4FA32D8E"/>
    <w:rsid w:val="4FA57425"/>
    <w:rsid w:val="4FDB5F22"/>
    <w:rsid w:val="4FEB9AB1"/>
    <w:rsid w:val="4FF86D67"/>
    <w:rsid w:val="4FFA3743"/>
    <w:rsid w:val="4FFC2957"/>
    <w:rsid w:val="50221084"/>
    <w:rsid w:val="50253238"/>
    <w:rsid w:val="50341765"/>
    <w:rsid w:val="5050097F"/>
    <w:rsid w:val="505372EC"/>
    <w:rsid w:val="50573800"/>
    <w:rsid w:val="50574326"/>
    <w:rsid w:val="505D612E"/>
    <w:rsid w:val="506551B0"/>
    <w:rsid w:val="506B269C"/>
    <w:rsid w:val="508820AE"/>
    <w:rsid w:val="50AD486C"/>
    <w:rsid w:val="50B821E1"/>
    <w:rsid w:val="50E53F12"/>
    <w:rsid w:val="50F95FC7"/>
    <w:rsid w:val="51112393"/>
    <w:rsid w:val="51127DCC"/>
    <w:rsid w:val="512F5D3F"/>
    <w:rsid w:val="513A4ACE"/>
    <w:rsid w:val="514B34E0"/>
    <w:rsid w:val="51555F7E"/>
    <w:rsid w:val="516335CB"/>
    <w:rsid w:val="517154FB"/>
    <w:rsid w:val="5189520E"/>
    <w:rsid w:val="518D5B94"/>
    <w:rsid w:val="51A76A58"/>
    <w:rsid w:val="51FD22C9"/>
    <w:rsid w:val="5203159A"/>
    <w:rsid w:val="5208700A"/>
    <w:rsid w:val="520D572D"/>
    <w:rsid w:val="521055E2"/>
    <w:rsid w:val="522804D5"/>
    <w:rsid w:val="52392697"/>
    <w:rsid w:val="524D4D82"/>
    <w:rsid w:val="52520158"/>
    <w:rsid w:val="527B5D61"/>
    <w:rsid w:val="52BC4A30"/>
    <w:rsid w:val="52C00A54"/>
    <w:rsid w:val="52C51658"/>
    <w:rsid w:val="52D65176"/>
    <w:rsid w:val="52F11223"/>
    <w:rsid w:val="52F4010F"/>
    <w:rsid w:val="530C3D40"/>
    <w:rsid w:val="530F10A1"/>
    <w:rsid w:val="53464EF5"/>
    <w:rsid w:val="53553AA3"/>
    <w:rsid w:val="536A3D04"/>
    <w:rsid w:val="537C5CF5"/>
    <w:rsid w:val="53B1255A"/>
    <w:rsid w:val="53BD3A6D"/>
    <w:rsid w:val="53C027A0"/>
    <w:rsid w:val="53E65A12"/>
    <w:rsid w:val="53EF3639"/>
    <w:rsid w:val="53F65693"/>
    <w:rsid w:val="53F72CCF"/>
    <w:rsid w:val="540C5E54"/>
    <w:rsid w:val="541D223B"/>
    <w:rsid w:val="54336CC9"/>
    <w:rsid w:val="54446D34"/>
    <w:rsid w:val="544A055A"/>
    <w:rsid w:val="545333E8"/>
    <w:rsid w:val="546038E7"/>
    <w:rsid w:val="54723026"/>
    <w:rsid w:val="547B2605"/>
    <w:rsid w:val="54890E82"/>
    <w:rsid w:val="549C4699"/>
    <w:rsid w:val="54A12CB7"/>
    <w:rsid w:val="54B05D00"/>
    <w:rsid w:val="54C449A1"/>
    <w:rsid w:val="54C4557B"/>
    <w:rsid w:val="54E219D3"/>
    <w:rsid w:val="54EC22E2"/>
    <w:rsid w:val="55062E8C"/>
    <w:rsid w:val="551B1EFF"/>
    <w:rsid w:val="552C4673"/>
    <w:rsid w:val="55372635"/>
    <w:rsid w:val="553D0DE7"/>
    <w:rsid w:val="554136F2"/>
    <w:rsid w:val="554A6449"/>
    <w:rsid w:val="55762246"/>
    <w:rsid w:val="55766EAF"/>
    <w:rsid w:val="55770846"/>
    <w:rsid w:val="559439F4"/>
    <w:rsid w:val="55BB1347"/>
    <w:rsid w:val="55D4315D"/>
    <w:rsid w:val="55DA1F6B"/>
    <w:rsid w:val="55E2195B"/>
    <w:rsid w:val="55E31575"/>
    <w:rsid w:val="55E34DF9"/>
    <w:rsid w:val="55EF01A7"/>
    <w:rsid w:val="55F1630D"/>
    <w:rsid w:val="55F23D8E"/>
    <w:rsid w:val="55FC469E"/>
    <w:rsid w:val="561516E3"/>
    <w:rsid w:val="562E2A2C"/>
    <w:rsid w:val="563B6626"/>
    <w:rsid w:val="564022D5"/>
    <w:rsid w:val="564E20BF"/>
    <w:rsid w:val="56544746"/>
    <w:rsid w:val="565B7F3A"/>
    <w:rsid w:val="566429B7"/>
    <w:rsid w:val="567666AF"/>
    <w:rsid w:val="56A5393B"/>
    <w:rsid w:val="56A70ADC"/>
    <w:rsid w:val="56C86BD9"/>
    <w:rsid w:val="56CF3BCE"/>
    <w:rsid w:val="56EE2D2C"/>
    <w:rsid w:val="570E45A3"/>
    <w:rsid w:val="57115BD2"/>
    <w:rsid w:val="571455E0"/>
    <w:rsid w:val="573F1832"/>
    <w:rsid w:val="574868BE"/>
    <w:rsid w:val="575408D5"/>
    <w:rsid w:val="578541CE"/>
    <w:rsid w:val="57883530"/>
    <w:rsid w:val="57944D13"/>
    <w:rsid w:val="57C7431A"/>
    <w:rsid w:val="57E07844"/>
    <w:rsid w:val="57E22340"/>
    <w:rsid w:val="57F45898"/>
    <w:rsid w:val="581F0053"/>
    <w:rsid w:val="582B520B"/>
    <w:rsid w:val="58354DBE"/>
    <w:rsid w:val="58502974"/>
    <w:rsid w:val="585B2F03"/>
    <w:rsid w:val="589E5C70"/>
    <w:rsid w:val="58AA6505"/>
    <w:rsid w:val="58AD528C"/>
    <w:rsid w:val="58C90C6D"/>
    <w:rsid w:val="58CE3242"/>
    <w:rsid w:val="58E56548"/>
    <w:rsid w:val="58ED0274"/>
    <w:rsid w:val="590F52C4"/>
    <w:rsid w:val="594F5DA9"/>
    <w:rsid w:val="597017D9"/>
    <w:rsid w:val="599079E5"/>
    <w:rsid w:val="59A34FBD"/>
    <w:rsid w:val="59AA1D84"/>
    <w:rsid w:val="59CE2708"/>
    <w:rsid w:val="5A08754C"/>
    <w:rsid w:val="5A104C01"/>
    <w:rsid w:val="5A23233E"/>
    <w:rsid w:val="5A4117FA"/>
    <w:rsid w:val="5A533002"/>
    <w:rsid w:val="5A745FCB"/>
    <w:rsid w:val="5A79327D"/>
    <w:rsid w:val="5A7B28E3"/>
    <w:rsid w:val="5A7B2BEE"/>
    <w:rsid w:val="5A9102A6"/>
    <w:rsid w:val="5AC70DFE"/>
    <w:rsid w:val="5AF3D501"/>
    <w:rsid w:val="5B1024F7"/>
    <w:rsid w:val="5B141C2A"/>
    <w:rsid w:val="5B160697"/>
    <w:rsid w:val="5B204D10"/>
    <w:rsid w:val="5B4030B0"/>
    <w:rsid w:val="5B646732"/>
    <w:rsid w:val="5B7831A0"/>
    <w:rsid w:val="5B8B29F5"/>
    <w:rsid w:val="5B8D0C00"/>
    <w:rsid w:val="5BA748A4"/>
    <w:rsid w:val="5BAB48F4"/>
    <w:rsid w:val="5BAE178A"/>
    <w:rsid w:val="5BB950FB"/>
    <w:rsid w:val="5BC8419B"/>
    <w:rsid w:val="5BEB63F0"/>
    <w:rsid w:val="5BED421B"/>
    <w:rsid w:val="5BFB7CC0"/>
    <w:rsid w:val="5C1C2629"/>
    <w:rsid w:val="5C333D90"/>
    <w:rsid w:val="5C41066B"/>
    <w:rsid w:val="5C487FF6"/>
    <w:rsid w:val="5C5271C7"/>
    <w:rsid w:val="5C5A1297"/>
    <w:rsid w:val="5C7B5EC6"/>
    <w:rsid w:val="5C947F55"/>
    <w:rsid w:val="5CA00684"/>
    <w:rsid w:val="5CA02A62"/>
    <w:rsid w:val="5CB564CD"/>
    <w:rsid w:val="5CCF51F0"/>
    <w:rsid w:val="5CCF7D6C"/>
    <w:rsid w:val="5CF87314"/>
    <w:rsid w:val="5CFA6D2F"/>
    <w:rsid w:val="5D1518AB"/>
    <w:rsid w:val="5D1B6A94"/>
    <w:rsid w:val="5D2C3AEB"/>
    <w:rsid w:val="5D3F366E"/>
    <w:rsid w:val="5D47748B"/>
    <w:rsid w:val="5D483CBC"/>
    <w:rsid w:val="5D7B70EE"/>
    <w:rsid w:val="5D975108"/>
    <w:rsid w:val="5D9E3FFB"/>
    <w:rsid w:val="5DAA43BA"/>
    <w:rsid w:val="5DBB13D5"/>
    <w:rsid w:val="5DD53CB1"/>
    <w:rsid w:val="5E084E16"/>
    <w:rsid w:val="5E121101"/>
    <w:rsid w:val="5E12468B"/>
    <w:rsid w:val="5E1D3A5F"/>
    <w:rsid w:val="5E2B2B0A"/>
    <w:rsid w:val="5E3E4605"/>
    <w:rsid w:val="5E4E620B"/>
    <w:rsid w:val="5E515E4C"/>
    <w:rsid w:val="5E56547F"/>
    <w:rsid w:val="5E780E5B"/>
    <w:rsid w:val="5E7F491A"/>
    <w:rsid w:val="5E913833"/>
    <w:rsid w:val="5EA264E6"/>
    <w:rsid w:val="5EA30505"/>
    <w:rsid w:val="5ECC1F13"/>
    <w:rsid w:val="5EDD2E98"/>
    <w:rsid w:val="5EE57FA4"/>
    <w:rsid w:val="5EF02C7B"/>
    <w:rsid w:val="5EFD4CFB"/>
    <w:rsid w:val="5EFF1C82"/>
    <w:rsid w:val="5F08021D"/>
    <w:rsid w:val="5F2B068D"/>
    <w:rsid w:val="5F4C7C2D"/>
    <w:rsid w:val="5F510B58"/>
    <w:rsid w:val="5F582E89"/>
    <w:rsid w:val="5F67466D"/>
    <w:rsid w:val="5F706F39"/>
    <w:rsid w:val="5FB84127"/>
    <w:rsid w:val="5FCC5339"/>
    <w:rsid w:val="5FCD14F2"/>
    <w:rsid w:val="5FCD546F"/>
    <w:rsid w:val="5FCE6650"/>
    <w:rsid w:val="5FDD0E56"/>
    <w:rsid w:val="5FF70396"/>
    <w:rsid w:val="5FFE3B9F"/>
    <w:rsid w:val="5FFFF4F6"/>
    <w:rsid w:val="600E1625"/>
    <w:rsid w:val="6026376C"/>
    <w:rsid w:val="605B0C8B"/>
    <w:rsid w:val="606E7F1E"/>
    <w:rsid w:val="6078165F"/>
    <w:rsid w:val="607D02F0"/>
    <w:rsid w:val="60810D03"/>
    <w:rsid w:val="608714D9"/>
    <w:rsid w:val="608D09A3"/>
    <w:rsid w:val="60AC636B"/>
    <w:rsid w:val="60C1122C"/>
    <w:rsid w:val="60C2047E"/>
    <w:rsid w:val="60C223CE"/>
    <w:rsid w:val="60C972BD"/>
    <w:rsid w:val="60CA4BFC"/>
    <w:rsid w:val="60D00A01"/>
    <w:rsid w:val="60EE6715"/>
    <w:rsid w:val="61051BBD"/>
    <w:rsid w:val="61496728"/>
    <w:rsid w:val="615076B3"/>
    <w:rsid w:val="61731265"/>
    <w:rsid w:val="61802186"/>
    <w:rsid w:val="6180218E"/>
    <w:rsid w:val="61874B4C"/>
    <w:rsid w:val="61A13A37"/>
    <w:rsid w:val="61AD053C"/>
    <w:rsid w:val="61C139EE"/>
    <w:rsid w:val="61C805F8"/>
    <w:rsid w:val="61D54999"/>
    <w:rsid w:val="61E00CE5"/>
    <w:rsid w:val="61F91895"/>
    <w:rsid w:val="61FB637A"/>
    <w:rsid w:val="622D6340"/>
    <w:rsid w:val="624D7956"/>
    <w:rsid w:val="626726FE"/>
    <w:rsid w:val="62732B79"/>
    <w:rsid w:val="62856942"/>
    <w:rsid w:val="628D707B"/>
    <w:rsid w:val="629973C3"/>
    <w:rsid w:val="62B04F2E"/>
    <w:rsid w:val="62B56081"/>
    <w:rsid w:val="62D1322E"/>
    <w:rsid w:val="63164E21"/>
    <w:rsid w:val="631D37BF"/>
    <w:rsid w:val="634E142A"/>
    <w:rsid w:val="634F0D00"/>
    <w:rsid w:val="6351058C"/>
    <w:rsid w:val="63535EDF"/>
    <w:rsid w:val="63542218"/>
    <w:rsid w:val="63691DC0"/>
    <w:rsid w:val="637451BA"/>
    <w:rsid w:val="637F0FCD"/>
    <w:rsid w:val="638A5959"/>
    <w:rsid w:val="63990535"/>
    <w:rsid w:val="63D210FA"/>
    <w:rsid w:val="63D544C6"/>
    <w:rsid w:val="63DA0DEC"/>
    <w:rsid w:val="63E57025"/>
    <w:rsid w:val="63EF30EC"/>
    <w:rsid w:val="641536BE"/>
    <w:rsid w:val="643C6CB2"/>
    <w:rsid w:val="649B41FB"/>
    <w:rsid w:val="64A04DC8"/>
    <w:rsid w:val="64A14D33"/>
    <w:rsid w:val="64AB331C"/>
    <w:rsid w:val="64B228E9"/>
    <w:rsid w:val="64B96F1B"/>
    <w:rsid w:val="64C71594"/>
    <w:rsid w:val="64E14A83"/>
    <w:rsid w:val="64E97482"/>
    <w:rsid w:val="64FC132B"/>
    <w:rsid w:val="650033BC"/>
    <w:rsid w:val="652725EA"/>
    <w:rsid w:val="652A1A23"/>
    <w:rsid w:val="655155C1"/>
    <w:rsid w:val="656049EB"/>
    <w:rsid w:val="657E2C91"/>
    <w:rsid w:val="65855B7B"/>
    <w:rsid w:val="65865E9F"/>
    <w:rsid w:val="65931931"/>
    <w:rsid w:val="659A4B3F"/>
    <w:rsid w:val="65DD0AAC"/>
    <w:rsid w:val="65F74ED9"/>
    <w:rsid w:val="65F860E1"/>
    <w:rsid w:val="66091CE5"/>
    <w:rsid w:val="66254723"/>
    <w:rsid w:val="66371434"/>
    <w:rsid w:val="663C4348"/>
    <w:rsid w:val="663E784C"/>
    <w:rsid w:val="664629D3"/>
    <w:rsid w:val="66477914"/>
    <w:rsid w:val="665A38F8"/>
    <w:rsid w:val="668D2269"/>
    <w:rsid w:val="66AA2D5F"/>
    <w:rsid w:val="66DA5127"/>
    <w:rsid w:val="66EB050D"/>
    <w:rsid w:val="66F946F2"/>
    <w:rsid w:val="670041B4"/>
    <w:rsid w:val="670A6E72"/>
    <w:rsid w:val="670B3B44"/>
    <w:rsid w:val="6710159E"/>
    <w:rsid w:val="671677C8"/>
    <w:rsid w:val="671724CF"/>
    <w:rsid w:val="67310C01"/>
    <w:rsid w:val="673C3F04"/>
    <w:rsid w:val="679828C2"/>
    <w:rsid w:val="67AA5C41"/>
    <w:rsid w:val="67AB5867"/>
    <w:rsid w:val="67AE797F"/>
    <w:rsid w:val="67D37EEA"/>
    <w:rsid w:val="67FD694D"/>
    <w:rsid w:val="68143D96"/>
    <w:rsid w:val="684660CD"/>
    <w:rsid w:val="68480F25"/>
    <w:rsid w:val="684A76A8"/>
    <w:rsid w:val="684D75AC"/>
    <w:rsid w:val="685D58D4"/>
    <w:rsid w:val="688E7BF9"/>
    <w:rsid w:val="689B619F"/>
    <w:rsid w:val="68B06A56"/>
    <w:rsid w:val="68B81579"/>
    <w:rsid w:val="68CD6C00"/>
    <w:rsid w:val="69056D5A"/>
    <w:rsid w:val="6916144E"/>
    <w:rsid w:val="691A347C"/>
    <w:rsid w:val="691E34A5"/>
    <w:rsid w:val="692530A3"/>
    <w:rsid w:val="69274D10"/>
    <w:rsid w:val="692E3BD2"/>
    <w:rsid w:val="696053E5"/>
    <w:rsid w:val="69621672"/>
    <w:rsid w:val="697B1F2D"/>
    <w:rsid w:val="699F5CB0"/>
    <w:rsid w:val="69A564D0"/>
    <w:rsid w:val="69D22C2B"/>
    <w:rsid w:val="6A025978"/>
    <w:rsid w:val="6A0533C9"/>
    <w:rsid w:val="6A0A6608"/>
    <w:rsid w:val="6A0C5CF9"/>
    <w:rsid w:val="6A244C92"/>
    <w:rsid w:val="6A4435AA"/>
    <w:rsid w:val="6A4960ED"/>
    <w:rsid w:val="6A541B18"/>
    <w:rsid w:val="6A8915F0"/>
    <w:rsid w:val="6A943649"/>
    <w:rsid w:val="6A9D0531"/>
    <w:rsid w:val="6AD00358"/>
    <w:rsid w:val="6AE6670F"/>
    <w:rsid w:val="6AF309AF"/>
    <w:rsid w:val="6B127323"/>
    <w:rsid w:val="6B313E6C"/>
    <w:rsid w:val="6B360609"/>
    <w:rsid w:val="6B5A54FC"/>
    <w:rsid w:val="6B6E1F26"/>
    <w:rsid w:val="6B6E5092"/>
    <w:rsid w:val="6B6F0529"/>
    <w:rsid w:val="6B730171"/>
    <w:rsid w:val="6B7F0C31"/>
    <w:rsid w:val="6B8E6784"/>
    <w:rsid w:val="6BA936F9"/>
    <w:rsid w:val="6BB40BC2"/>
    <w:rsid w:val="6BC85991"/>
    <w:rsid w:val="6C057E21"/>
    <w:rsid w:val="6C5816D0"/>
    <w:rsid w:val="6C6430C4"/>
    <w:rsid w:val="6C737CFB"/>
    <w:rsid w:val="6C783E95"/>
    <w:rsid w:val="6C87699C"/>
    <w:rsid w:val="6C8E598D"/>
    <w:rsid w:val="6CA517CF"/>
    <w:rsid w:val="6CC71984"/>
    <w:rsid w:val="6CD17894"/>
    <w:rsid w:val="6CDC5B23"/>
    <w:rsid w:val="6CE634DF"/>
    <w:rsid w:val="6CF05300"/>
    <w:rsid w:val="6D0121BF"/>
    <w:rsid w:val="6D01292B"/>
    <w:rsid w:val="6D3F776B"/>
    <w:rsid w:val="6D544E73"/>
    <w:rsid w:val="6D865EBA"/>
    <w:rsid w:val="6D883FC0"/>
    <w:rsid w:val="6D9E6164"/>
    <w:rsid w:val="6DA052D4"/>
    <w:rsid w:val="6DB7653E"/>
    <w:rsid w:val="6DE034D9"/>
    <w:rsid w:val="6DE3448A"/>
    <w:rsid w:val="6E0005AC"/>
    <w:rsid w:val="6E0B4599"/>
    <w:rsid w:val="6E0F6CA8"/>
    <w:rsid w:val="6E16620A"/>
    <w:rsid w:val="6E2A7AD1"/>
    <w:rsid w:val="6E3B37C2"/>
    <w:rsid w:val="6E4C4D74"/>
    <w:rsid w:val="6E4D5003"/>
    <w:rsid w:val="6E59211A"/>
    <w:rsid w:val="6E5A4318"/>
    <w:rsid w:val="6E647D14"/>
    <w:rsid w:val="6E681920"/>
    <w:rsid w:val="6E7A10DB"/>
    <w:rsid w:val="6E8C5DEC"/>
    <w:rsid w:val="6EE35100"/>
    <w:rsid w:val="6EF82F1D"/>
    <w:rsid w:val="6EFF5008"/>
    <w:rsid w:val="6F2746F6"/>
    <w:rsid w:val="6F3574FF"/>
    <w:rsid w:val="6F487B82"/>
    <w:rsid w:val="6F4F7F03"/>
    <w:rsid w:val="6F7743DD"/>
    <w:rsid w:val="6F786CEE"/>
    <w:rsid w:val="6FAB35EE"/>
    <w:rsid w:val="6FAD73A7"/>
    <w:rsid w:val="6FB4300D"/>
    <w:rsid w:val="6FC33858"/>
    <w:rsid w:val="6FDEA312"/>
    <w:rsid w:val="6FE143D3"/>
    <w:rsid w:val="6FE17097"/>
    <w:rsid w:val="6FFA3DC5"/>
    <w:rsid w:val="6FFED996"/>
    <w:rsid w:val="70035D2E"/>
    <w:rsid w:val="7014496E"/>
    <w:rsid w:val="70172089"/>
    <w:rsid w:val="70337422"/>
    <w:rsid w:val="703E11AA"/>
    <w:rsid w:val="70411546"/>
    <w:rsid w:val="705059D1"/>
    <w:rsid w:val="706A6F30"/>
    <w:rsid w:val="70791737"/>
    <w:rsid w:val="70826F57"/>
    <w:rsid w:val="70B4002C"/>
    <w:rsid w:val="70D20225"/>
    <w:rsid w:val="70D67B30"/>
    <w:rsid w:val="715A4C86"/>
    <w:rsid w:val="71617273"/>
    <w:rsid w:val="71836742"/>
    <w:rsid w:val="719352C6"/>
    <w:rsid w:val="719C27DC"/>
    <w:rsid w:val="71CF7614"/>
    <w:rsid w:val="71D310CC"/>
    <w:rsid w:val="71DE7B66"/>
    <w:rsid w:val="71E53AF6"/>
    <w:rsid w:val="71F0647E"/>
    <w:rsid w:val="71F95A89"/>
    <w:rsid w:val="71FB53D1"/>
    <w:rsid w:val="721F270D"/>
    <w:rsid w:val="723C28DD"/>
    <w:rsid w:val="725B5B2D"/>
    <w:rsid w:val="72617A36"/>
    <w:rsid w:val="72704435"/>
    <w:rsid w:val="727920C5"/>
    <w:rsid w:val="72962A08"/>
    <w:rsid w:val="72977F10"/>
    <w:rsid w:val="72A74928"/>
    <w:rsid w:val="72B41A3F"/>
    <w:rsid w:val="72B50C5E"/>
    <w:rsid w:val="72BB35C8"/>
    <w:rsid w:val="72C74B35"/>
    <w:rsid w:val="72F93F68"/>
    <w:rsid w:val="72FA21B3"/>
    <w:rsid w:val="73562C4D"/>
    <w:rsid w:val="73611153"/>
    <w:rsid w:val="73651863"/>
    <w:rsid w:val="738432AB"/>
    <w:rsid w:val="738E2DDF"/>
    <w:rsid w:val="73B74EC2"/>
    <w:rsid w:val="73D16993"/>
    <w:rsid w:val="73FF690D"/>
    <w:rsid w:val="74210869"/>
    <w:rsid w:val="74280C1B"/>
    <w:rsid w:val="7436625D"/>
    <w:rsid w:val="745A4B1A"/>
    <w:rsid w:val="74671085"/>
    <w:rsid w:val="74EC5E75"/>
    <w:rsid w:val="74FC0026"/>
    <w:rsid w:val="750D52B6"/>
    <w:rsid w:val="752A2448"/>
    <w:rsid w:val="756B17C2"/>
    <w:rsid w:val="756D63B5"/>
    <w:rsid w:val="757876C3"/>
    <w:rsid w:val="7580558E"/>
    <w:rsid w:val="758E06FB"/>
    <w:rsid w:val="75971777"/>
    <w:rsid w:val="75A0070C"/>
    <w:rsid w:val="75D34E85"/>
    <w:rsid w:val="75FB29EC"/>
    <w:rsid w:val="7629617A"/>
    <w:rsid w:val="763F394D"/>
    <w:rsid w:val="765B5AC1"/>
    <w:rsid w:val="765E3D12"/>
    <w:rsid w:val="76674F2A"/>
    <w:rsid w:val="76704A69"/>
    <w:rsid w:val="76775236"/>
    <w:rsid w:val="76985EA2"/>
    <w:rsid w:val="76AB6FB1"/>
    <w:rsid w:val="76BE285E"/>
    <w:rsid w:val="76DA32BA"/>
    <w:rsid w:val="76F5D5A0"/>
    <w:rsid w:val="771045D5"/>
    <w:rsid w:val="77123C1B"/>
    <w:rsid w:val="77396925"/>
    <w:rsid w:val="77533239"/>
    <w:rsid w:val="77617AE9"/>
    <w:rsid w:val="7774302C"/>
    <w:rsid w:val="778672DB"/>
    <w:rsid w:val="778E76B4"/>
    <w:rsid w:val="77966CBE"/>
    <w:rsid w:val="77A1504F"/>
    <w:rsid w:val="77A25C18"/>
    <w:rsid w:val="77A4021D"/>
    <w:rsid w:val="77A7232A"/>
    <w:rsid w:val="77AD22E3"/>
    <w:rsid w:val="77B92EBE"/>
    <w:rsid w:val="77C13386"/>
    <w:rsid w:val="77F83C6D"/>
    <w:rsid w:val="77FA5285"/>
    <w:rsid w:val="78090E99"/>
    <w:rsid w:val="7809284D"/>
    <w:rsid w:val="780F68D3"/>
    <w:rsid w:val="786D53A7"/>
    <w:rsid w:val="787A608F"/>
    <w:rsid w:val="78830EC5"/>
    <w:rsid w:val="788A1901"/>
    <w:rsid w:val="78B12BBA"/>
    <w:rsid w:val="78B8009B"/>
    <w:rsid w:val="78BB101F"/>
    <w:rsid w:val="78C30205"/>
    <w:rsid w:val="78CC4B3D"/>
    <w:rsid w:val="794D482F"/>
    <w:rsid w:val="796B668C"/>
    <w:rsid w:val="797D616D"/>
    <w:rsid w:val="7980571F"/>
    <w:rsid w:val="79CA11DC"/>
    <w:rsid w:val="79E57808"/>
    <w:rsid w:val="79E60841"/>
    <w:rsid w:val="79EA2C5F"/>
    <w:rsid w:val="79EE3FB9"/>
    <w:rsid w:val="7A163125"/>
    <w:rsid w:val="7A1D24A4"/>
    <w:rsid w:val="7A37302C"/>
    <w:rsid w:val="7A502266"/>
    <w:rsid w:val="7A8C09CA"/>
    <w:rsid w:val="7A8D2036"/>
    <w:rsid w:val="7A926A27"/>
    <w:rsid w:val="7A9B3AB3"/>
    <w:rsid w:val="7ABA5A45"/>
    <w:rsid w:val="7AD02738"/>
    <w:rsid w:val="7AFF37D8"/>
    <w:rsid w:val="7AFFEF5E"/>
    <w:rsid w:val="7B0940E7"/>
    <w:rsid w:val="7B1B504F"/>
    <w:rsid w:val="7B353CB2"/>
    <w:rsid w:val="7B3F258B"/>
    <w:rsid w:val="7B4414B7"/>
    <w:rsid w:val="7B6701DD"/>
    <w:rsid w:val="7B9A2120"/>
    <w:rsid w:val="7BCB1C27"/>
    <w:rsid w:val="7BD834BB"/>
    <w:rsid w:val="7BE102B9"/>
    <w:rsid w:val="7BE63AD5"/>
    <w:rsid w:val="7BF3180E"/>
    <w:rsid w:val="7BF7601C"/>
    <w:rsid w:val="7BFBD8B9"/>
    <w:rsid w:val="7BFEA6F4"/>
    <w:rsid w:val="7BFFA28B"/>
    <w:rsid w:val="7C031D81"/>
    <w:rsid w:val="7C047802"/>
    <w:rsid w:val="7C0C417E"/>
    <w:rsid w:val="7C174C87"/>
    <w:rsid w:val="7C2D09C7"/>
    <w:rsid w:val="7C3116D5"/>
    <w:rsid w:val="7C576FF1"/>
    <w:rsid w:val="7C6510BB"/>
    <w:rsid w:val="7C883AF6"/>
    <w:rsid w:val="7C937471"/>
    <w:rsid w:val="7C9B6A7C"/>
    <w:rsid w:val="7CD85C7E"/>
    <w:rsid w:val="7CF71AB3"/>
    <w:rsid w:val="7D0B25B3"/>
    <w:rsid w:val="7D136016"/>
    <w:rsid w:val="7D1C60D1"/>
    <w:rsid w:val="7D3C0E62"/>
    <w:rsid w:val="7D622FC2"/>
    <w:rsid w:val="7D67744A"/>
    <w:rsid w:val="7D685DFA"/>
    <w:rsid w:val="7D68620F"/>
    <w:rsid w:val="7D8321E5"/>
    <w:rsid w:val="7D9D7924"/>
    <w:rsid w:val="7DBD6B8A"/>
    <w:rsid w:val="7DC22D98"/>
    <w:rsid w:val="7DD6A520"/>
    <w:rsid w:val="7E0471DB"/>
    <w:rsid w:val="7E295551"/>
    <w:rsid w:val="7E327E17"/>
    <w:rsid w:val="7E337682"/>
    <w:rsid w:val="7E47630F"/>
    <w:rsid w:val="7E4932C0"/>
    <w:rsid w:val="7E53034C"/>
    <w:rsid w:val="7E6150E3"/>
    <w:rsid w:val="7E642716"/>
    <w:rsid w:val="7E736414"/>
    <w:rsid w:val="7E9712AE"/>
    <w:rsid w:val="7EC56C46"/>
    <w:rsid w:val="7EC95B99"/>
    <w:rsid w:val="7EDE228B"/>
    <w:rsid w:val="7EE21136"/>
    <w:rsid w:val="7EE250AA"/>
    <w:rsid w:val="7F08754C"/>
    <w:rsid w:val="7F0F40ED"/>
    <w:rsid w:val="7F1A4D9D"/>
    <w:rsid w:val="7F1F37A4"/>
    <w:rsid w:val="7F531759"/>
    <w:rsid w:val="7F533772"/>
    <w:rsid w:val="7F537092"/>
    <w:rsid w:val="7F5C1E83"/>
    <w:rsid w:val="7F625F8B"/>
    <w:rsid w:val="7F67F54B"/>
    <w:rsid w:val="7F686733"/>
    <w:rsid w:val="7F77AAF4"/>
    <w:rsid w:val="7F824C55"/>
    <w:rsid w:val="7F866597"/>
    <w:rsid w:val="7F93675A"/>
    <w:rsid w:val="7FCB7F38"/>
    <w:rsid w:val="7FCC5758"/>
    <w:rsid w:val="7FD75F49"/>
    <w:rsid w:val="7FEEC4C4"/>
    <w:rsid w:val="7FFD1013"/>
    <w:rsid w:val="7FFF22FD"/>
    <w:rsid w:val="9BB71347"/>
    <w:rsid w:val="9FAEBD4F"/>
    <w:rsid w:val="AFF7BE8F"/>
    <w:rsid w:val="BDFB01BF"/>
    <w:rsid w:val="BE478AB1"/>
    <w:rsid w:val="BF57F9FE"/>
    <w:rsid w:val="BF7556C5"/>
    <w:rsid w:val="BF7E29FD"/>
    <w:rsid w:val="BFE7B390"/>
    <w:rsid w:val="BFFB5B5B"/>
    <w:rsid w:val="CA9FAC58"/>
    <w:rsid w:val="CDEF4115"/>
    <w:rsid w:val="D47668E6"/>
    <w:rsid w:val="DB7C1904"/>
    <w:rsid w:val="DCB7D529"/>
    <w:rsid w:val="DDFFCA08"/>
    <w:rsid w:val="DEAEAB4B"/>
    <w:rsid w:val="DF5C48BD"/>
    <w:rsid w:val="E1AF7EFA"/>
    <w:rsid w:val="E5EF5840"/>
    <w:rsid w:val="E6F8009E"/>
    <w:rsid w:val="E7DFFE4D"/>
    <w:rsid w:val="E9F39AAC"/>
    <w:rsid w:val="ECF68E33"/>
    <w:rsid w:val="EF934366"/>
    <w:rsid w:val="EFFF777C"/>
    <w:rsid w:val="F3DF0843"/>
    <w:rsid w:val="F4B9ACF3"/>
    <w:rsid w:val="F7771223"/>
    <w:rsid w:val="F96BF568"/>
    <w:rsid w:val="F9AFF1D1"/>
    <w:rsid w:val="FBCD44A9"/>
    <w:rsid w:val="FBEF9AEB"/>
    <w:rsid w:val="FC6FBD6E"/>
    <w:rsid w:val="FCBF9AD0"/>
    <w:rsid w:val="FCCD959E"/>
    <w:rsid w:val="FCDA4411"/>
    <w:rsid w:val="FDDEEC84"/>
    <w:rsid w:val="FFAFB34E"/>
    <w:rsid w:val="FFBF2336"/>
    <w:rsid w:val="FFCAB2EF"/>
    <w:rsid w:val="FFF65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firstLine="0" w:firstLineChars="0"/>
      <w:outlineLvl w:val="0"/>
    </w:pPr>
    <w:rPr>
      <w:rFonts w:ascii="宋体" w:hAnsi="宋体"/>
      <w:b/>
      <w:bCs/>
      <w:kern w:val="44"/>
      <w:sz w:val="44"/>
      <w:szCs w:val="44"/>
    </w:rPr>
  </w:style>
  <w:style w:type="paragraph" w:styleId="2">
    <w:name w:val="heading 2"/>
    <w:basedOn w:val="1"/>
    <w:next w:val="1"/>
    <w:qFormat/>
    <w:uiPriority w:val="0"/>
    <w:pPr>
      <w:keepNext/>
      <w:keepLines/>
      <w:numPr>
        <w:ilvl w:val="1"/>
        <w:numId w:val="1"/>
      </w:numPr>
      <w:spacing w:before="260" w:after="260" w:line="415" w:lineRule="auto"/>
      <w:ind w:firstLine="0" w:firstLineChars="0"/>
      <w:outlineLvl w:val="1"/>
    </w:pPr>
    <w:rPr>
      <w:rFonts w:ascii="宋体" w:hAnsi="宋体"/>
      <w:b/>
      <w:bCs/>
      <w:kern w:val="44"/>
      <w:sz w:val="32"/>
      <w:szCs w:val="32"/>
    </w:rPr>
  </w:style>
  <w:style w:type="paragraph" w:styleId="4">
    <w:name w:val="heading 3"/>
    <w:basedOn w:val="1"/>
    <w:next w:val="5"/>
    <w:qFormat/>
    <w:uiPriority w:val="0"/>
    <w:pPr>
      <w:keepNext/>
      <w:keepLines/>
      <w:numPr>
        <w:ilvl w:val="2"/>
        <w:numId w:val="1"/>
      </w:numPr>
      <w:spacing w:before="260" w:after="260" w:line="416" w:lineRule="auto"/>
      <w:ind w:firstLine="0" w:firstLineChars="0"/>
      <w:outlineLvl w:val="2"/>
    </w:pPr>
    <w:rPr>
      <w:b/>
      <w:bCs/>
      <w:sz w:val="28"/>
      <w:szCs w:val="32"/>
    </w:rPr>
  </w:style>
  <w:style w:type="paragraph" w:styleId="6">
    <w:name w:val="heading 4"/>
    <w:basedOn w:val="1"/>
    <w:next w:val="5"/>
    <w:qFormat/>
    <w:uiPriority w:val="9"/>
    <w:pPr>
      <w:keepNext/>
      <w:keepLines/>
      <w:numPr>
        <w:ilvl w:val="3"/>
        <w:numId w:val="2"/>
      </w:numPr>
      <w:spacing w:before="280" w:after="290" w:line="376" w:lineRule="auto"/>
      <w:ind w:firstLine="0" w:firstLineChars="0"/>
      <w:outlineLvl w:val="3"/>
    </w:pPr>
    <w:rPr>
      <w:rFonts w:ascii="宋体" w:hAnsi="宋体"/>
      <w:b/>
      <w:bCs/>
      <w:kern w:val="44"/>
      <w:sz w:val="24"/>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5">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7">
    <w:name w:val="Normal Indent"/>
    <w:basedOn w:val="1"/>
    <w:next w:val="8"/>
    <w:qFormat/>
    <w:uiPriority w:val="0"/>
    <w:pPr>
      <w:numPr>
        <w:ilvl w:val="1"/>
        <w:numId w:val="3"/>
      </w:numPr>
      <w:tabs>
        <w:tab w:val="left" w:pos="1534"/>
      </w:tabs>
      <w:ind w:firstLineChars="0"/>
    </w:pPr>
  </w:style>
  <w:style w:type="paragraph" w:customStyle="1" w:styleId="8">
    <w:name w:val="正文（绿盟科技）"/>
    <w:qFormat/>
    <w:uiPriority w:val="0"/>
    <w:pPr>
      <w:spacing w:line="300" w:lineRule="auto"/>
    </w:pPr>
    <w:rPr>
      <w:rFonts w:ascii="Arial" w:hAnsi="Arial" w:eastAsia="宋体" w:cs="Times New Roman"/>
      <w:sz w:val="21"/>
      <w:szCs w:val="21"/>
      <w:lang w:val="en-US" w:eastAsia="zh-CN" w:bidi="ar-SA"/>
    </w:rPr>
  </w:style>
  <w:style w:type="paragraph" w:styleId="9">
    <w:name w:val="annotation text"/>
    <w:basedOn w:val="1"/>
    <w:qFormat/>
    <w:uiPriority w:val="0"/>
    <w:pPr>
      <w:jc w:val="left"/>
    </w:pPr>
  </w:style>
  <w:style w:type="paragraph" w:styleId="10">
    <w:name w:val="Body Text"/>
    <w:basedOn w:val="1"/>
    <w:qFormat/>
    <w:uiPriority w:val="0"/>
    <w:pPr>
      <w:spacing w:beforeLines="50" w:afterLines="50"/>
    </w:pPr>
    <w:rPr>
      <w:rFonts w:ascii="宋体" w:hAnsi="宋体"/>
      <w:color w:val="000000"/>
      <w:kern w:val="0"/>
      <w:sz w:val="24"/>
    </w:rPr>
  </w:style>
  <w:style w:type="paragraph" w:styleId="11">
    <w:name w:val="Body Text Indent"/>
    <w:basedOn w:val="1"/>
    <w:qFormat/>
    <w:uiPriority w:val="99"/>
    <w:pPr>
      <w:numPr>
        <w:ilvl w:val="1"/>
        <w:numId w:val="4"/>
      </w:numPr>
      <w:tabs>
        <w:tab w:val="left" w:pos="420"/>
        <w:tab w:val="clear" w:pos="840"/>
      </w:tabs>
      <w:ind w:left="0" w:firstLine="480"/>
    </w:pPr>
    <w:rPr>
      <w:rFonts w:ascii="Calibri" w:hAnsi="Calibri"/>
      <w:sz w:val="24"/>
    </w:rPr>
  </w:style>
  <w:style w:type="paragraph" w:styleId="12">
    <w:name w:val="toc 3"/>
    <w:basedOn w:val="1"/>
    <w:next w:val="1"/>
    <w:unhideWhenUsed/>
    <w:qFormat/>
    <w:uiPriority w:val="39"/>
    <w:pPr>
      <w:ind w:left="840" w:leftChars="400"/>
    </w:pPr>
  </w:style>
  <w:style w:type="paragraph" w:styleId="13">
    <w:name w:val="Balloon Text"/>
    <w:basedOn w:val="1"/>
    <w:link w:val="55"/>
    <w:qFormat/>
    <w:uiPriority w:val="0"/>
    <w:pPr>
      <w:spacing w:line="240" w:lineRule="auto"/>
    </w:pPr>
    <w:rPr>
      <w:sz w:val="18"/>
      <w:szCs w:val="18"/>
    </w:rPr>
  </w:style>
  <w:style w:type="paragraph" w:styleId="1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5">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7">
    <w:name w:val="toc 2"/>
    <w:basedOn w:val="1"/>
    <w:next w:val="1"/>
    <w:unhideWhenUsed/>
    <w:qFormat/>
    <w:uiPriority w:val="39"/>
    <w:pPr>
      <w:tabs>
        <w:tab w:val="right" w:leader="dot" w:pos="8296"/>
      </w:tabs>
    </w:pPr>
  </w:style>
  <w:style w:type="paragraph" w:styleId="18">
    <w:name w:val="Body Text 2"/>
    <w:basedOn w:val="1"/>
    <w:qFormat/>
    <w:uiPriority w:val="0"/>
    <w:pPr>
      <w:spacing w:after="120" w:line="480" w:lineRule="auto"/>
    </w:pPr>
  </w:style>
  <w:style w:type="paragraph" w:styleId="19">
    <w:name w:val="Normal (Web)"/>
    <w:basedOn w:val="1"/>
    <w:qFormat/>
    <w:uiPriority w:val="99"/>
    <w:pPr>
      <w:widowControl/>
      <w:spacing w:before="100" w:beforeAutospacing="1" w:after="100" w:afterAutospacing="1"/>
      <w:jc w:val="left"/>
    </w:pPr>
    <w:rPr>
      <w:rFonts w:ascii="Verdana" w:hAnsi="Verdana"/>
      <w:color w:val="000000"/>
      <w:kern w:val="0"/>
      <w:sz w:val="18"/>
      <w:szCs w:val="18"/>
    </w:rPr>
  </w:style>
  <w:style w:type="paragraph" w:styleId="20">
    <w:name w:val="Title"/>
    <w:basedOn w:val="1"/>
    <w:next w:val="1"/>
    <w:qFormat/>
    <w:uiPriority w:val="0"/>
    <w:pPr>
      <w:spacing w:before="240" w:after="60"/>
      <w:jc w:val="center"/>
      <w:outlineLvl w:val="0"/>
    </w:pPr>
    <w:rPr>
      <w:rFonts w:ascii="Arial" w:hAnsi="Arial"/>
      <w:b/>
      <w:sz w:val="32"/>
    </w:rPr>
  </w:style>
  <w:style w:type="paragraph" w:styleId="21">
    <w:name w:val="Body Text First Indent 2"/>
    <w:basedOn w:val="11"/>
    <w:next w:val="22"/>
    <w:qFormat/>
    <w:uiPriority w:val="99"/>
    <w:pPr>
      <w:tabs>
        <w:tab w:val="left" w:pos="840"/>
      </w:tabs>
      <w:ind w:firstLine="420"/>
    </w:pPr>
    <w:rPr>
      <w:rFonts w:ascii="Arial" w:hAnsi="Arial"/>
    </w:rPr>
  </w:style>
  <w:style w:type="paragraph" w:customStyle="1" w:styleId="22">
    <w:name w:val="正文内容"/>
    <w:qFormat/>
    <w:uiPriority w:val="0"/>
    <w:pPr>
      <w:widowControl w:val="0"/>
      <w:ind w:firstLine="200" w:firstLineChars="200"/>
    </w:pPr>
    <w:rPr>
      <w:rFonts w:ascii="Times New Roman" w:hAnsi="Times New Roman" w:eastAsia="仿宋_GB2312" w:cs="Times New Roman"/>
      <w:kern w:val="2"/>
      <w:sz w:val="24"/>
      <w:szCs w:val="22"/>
      <w:lang w:val="en-US" w:eastAsia="zh-CN" w:bidi="ar-SA"/>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annotation reference"/>
    <w:basedOn w:val="25"/>
    <w:qFormat/>
    <w:uiPriority w:val="0"/>
    <w:rPr>
      <w:sz w:val="21"/>
      <w:szCs w:val="21"/>
    </w:rPr>
  </w:style>
  <w:style w:type="paragraph" w:customStyle="1" w:styleId="28">
    <w:name w:val="标准正文"/>
    <w:basedOn w:val="11"/>
    <w:qFormat/>
    <w:uiPriority w:val="0"/>
    <w:pPr>
      <w:tabs>
        <w:tab w:val="left" w:pos="840"/>
      </w:tabs>
      <w:spacing w:before="60" w:after="60"/>
      <w:ind w:firstLine="482" w:firstLineChars="0"/>
    </w:pPr>
    <w:rPr>
      <w:rFonts w:ascii="Arial" w:hAnsi="Arial"/>
      <w:szCs w:val="20"/>
    </w:rPr>
  </w:style>
  <w:style w:type="paragraph" w:customStyle="1" w:styleId="29">
    <w:name w:val="内容正文"/>
    <w:basedOn w:val="1"/>
    <w:qFormat/>
    <w:uiPriority w:val="0"/>
    <w:pPr>
      <w:spacing w:beforeLines="50" w:afterLines="50"/>
    </w:pPr>
    <w:rPr>
      <w:rFonts w:ascii="Arial" w:hAnsi="Arial"/>
      <w:szCs w:val="21"/>
    </w:rPr>
  </w:style>
  <w:style w:type="paragraph" w:customStyle="1" w:styleId="30">
    <w:name w:val="List Paragraph1"/>
    <w:basedOn w:val="1"/>
    <w:qFormat/>
    <w:uiPriority w:val="34"/>
    <w:pPr>
      <w:widowControl/>
      <w:jc w:val="left"/>
    </w:pPr>
    <w:rPr>
      <w:rFonts w:ascii="宋体" w:hAnsi="宋体" w:cs="宋体"/>
      <w:kern w:val="0"/>
      <w:sz w:val="24"/>
      <w:szCs w:val="21"/>
    </w:rPr>
  </w:style>
  <w:style w:type="paragraph" w:customStyle="1" w:styleId="31">
    <w:name w:val="number's bullet"/>
    <w:basedOn w:val="32"/>
    <w:qFormat/>
    <w:uiPriority w:val="99"/>
    <w:pPr>
      <w:ind w:left="1000" w:hanging="280"/>
    </w:pPr>
  </w:style>
  <w:style w:type="paragraph" w:customStyle="1" w:styleId="32">
    <w:name w:val="number text"/>
    <w:basedOn w:val="33"/>
    <w:qFormat/>
    <w:uiPriority w:val="99"/>
    <w:pPr>
      <w:ind w:hanging="520"/>
    </w:pPr>
    <w:rPr>
      <w:sz w:val="24"/>
    </w:rPr>
  </w:style>
  <w:style w:type="paragraph" w:customStyle="1" w:styleId="33">
    <w:name w:val="bullet double"/>
    <w:basedOn w:val="1"/>
    <w:qFormat/>
    <w:uiPriority w:val="99"/>
    <w:pPr>
      <w:keepLines/>
      <w:widowControl/>
      <w:overflowPunct w:val="0"/>
      <w:autoSpaceDE w:val="0"/>
      <w:autoSpaceDN w:val="0"/>
      <w:adjustRightInd w:val="0"/>
      <w:spacing w:after="240" w:line="240" w:lineRule="atLeast"/>
      <w:ind w:left="720" w:hanging="280"/>
      <w:jc w:val="left"/>
      <w:textAlignment w:val="baseline"/>
    </w:pPr>
    <w:rPr>
      <w:kern w:val="0"/>
      <w:sz w:val="22"/>
      <w:szCs w:val="20"/>
    </w:rPr>
  </w:style>
  <w:style w:type="paragraph" w:customStyle="1" w:styleId="34">
    <w:name w:val="新建正文"/>
    <w:basedOn w:val="11"/>
    <w:qFormat/>
    <w:uiPriority w:val="0"/>
    <w:pPr>
      <w:numPr>
        <w:numId w:val="0"/>
      </w:numPr>
      <w:snapToGrid w:val="0"/>
      <w:ind w:firstLine="315" w:firstLineChars="150"/>
    </w:pPr>
    <w:rPr>
      <w:sz w:val="21"/>
      <w:szCs w:val="21"/>
    </w:rPr>
  </w:style>
  <w:style w:type="paragraph" w:customStyle="1" w:styleId="35">
    <w:name w:val="瑞讯达二级标题"/>
    <w:basedOn w:val="2"/>
    <w:next w:val="1"/>
    <w:qFormat/>
    <w:uiPriority w:val="0"/>
    <w:pPr>
      <w:numPr>
        <w:ilvl w:val="0"/>
        <w:numId w:val="0"/>
      </w:numPr>
      <w:spacing w:line="416" w:lineRule="auto"/>
    </w:pPr>
    <w:rPr>
      <w:rFonts w:ascii="Cambria" w:hAnsi="Cambria"/>
      <w:kern w:val="2"/>
      <w:sz w:val="28"/>
      <w:szCs w:val="28"/>
    </w:rPr>
  </w:style>
  <w:style w:type="paragraph" w:customStyle="1" w:styleId="36">
    <w:name w:val="列出段落3"/>
    <w:basedOn w:val="1"/>
    <w:qFormat/>
    <w:uiPriority w:val="0"/>
    <w:pPr>
      <w:spacing w:line="240" w:lineRule="auto"/>
    </w:pPr>
    <w:rPr>
      <w:kern w:val="0"/>
      <w:sz w:val="20"/>
      <w:szCs w:val="20"/>
    </w:rPr>
  </w:style>
  <w:style w:type="paragraph" w:customStyle="1" w:styleId="37">
    <w:name w:val="合同正文"/>
    <w:basedOn w:val="1"/>
    <w:qFormat/>
    <w:uiPriority w:val="0"/>
    <w:pPr>
      <w:spacing w:line="400" w:lineRule="exact"/>
      <w:ind w:firstLine="480"/>
    </w:pPr>
    <w:rPr>
      <w:rFonts w:ascii="宋体" w:hAnsi="宋体"/>
      <w:sz w:val="24"/>
    </w:rPr>
  </w:style>
  <w:style w:type="paragraph" w:customStyle="1" w:styleId="38">
    <w:name w:val="列出段落1"/>
    <w:basedOn w:val="1"/>
    <w:qFormat/>
    <w:uiPriority w:val="34"/>
    <w:pPr>
      <w:widowControl/>
      <w:jc w:val="left"/>
    </w:pPr>
    <w:rPr>
      <w:rFonts w:ascii="宋体" w:hAnsi="宋体" w:cs="宋体"/>
      <w:kern w:val="0"/>
      <w:sz w:val="24"/>
    </w:rPr>
  </w:style>
  <w:style w:type="paragraph" w:customStyle="1" w:styleId="39">
    <w:name w:val="列出段落11"/>
    <w:basedOn w:val="1"/>
    <w:qFormat/>
    <w:uiPriority w:val="34"/>
    <w:pPr>
      <w:widowControl/>
      <w:spacing w:after="200" w:line="276" w:lineRule="auto"/>
      <w:ind w:left="720" w:firstLine="0" w:firstLineChars="0"/>
      <w:contextualSpacing/>
      <w:jc w:val="left"/>
    </w:pPr>
    <w:rPr>
      <w:rFonts w:ascii="Calibri" w:hAnsi="Calibri"/>
      <w:kern w:val="0"/>
      <w:sz w:val="22"/>
      <w:szCs w:val="22"/>
      <w:lang w:eastAsia="en-US" w:bidi="en-US"/>
    </w:rPr>
  </w:style>
  <w:style w:type="paragraph" w:customStyle="1" w:styleId="40">
    <w:name w:val="一级正文"/>
    <w:basedOn w:val="1"/>
    <w:qFormat/>
    <w:uiPriority w:val="0"/>
    <w:pPr>
      <w:ind w:firstLine="480"/>
    </w:pPr>
    <w:rPr>
      <w:rFonts w:ascii="Calibri" w:hAnsi="Calibri"/>
      <w:kern w:val="0"/>
      <w:sz w:val="24"/>
    </w:rPr>
  </w:style>
  <w:style w:type="paragraph" w:customStyle="1" w:styleId="41">
    <w:name w:val="标书正文"/>
    <w:basedOn w:val="1"/>
    <w:qFormat/>
    <w:uiPriority w:val="0"/>
    <w:pPr>
      <w:widowControl/>
      <w:spacing w:before="120"/>
      <w:ind w:firstLine="250" w:firstLineChars="250"/>
    </w:pPr>
    <w:rPr>
      <w:rFonts w:ascii="Book Antiqua" w:hAnsi="Book Antiqua"/>
      <w:kern w:val="0"/>
    </w:rPr>
  </w:style>
  <w:style w:type="paragraph" w:customStyle="1" w:styleId="42">
    <w:name w:val="列出段落4"/>
    <w:basedOn w:val="1"/>
    <w:qFormat/>
    <w:uiPriority w:val="0"/>
  </w:style>
  <w:style w:type="paragraph" w:customStyle="1" w:styleId="43">
    <w:name w:val="Numbered list 2.2"/>
    <w:basedOn w:val="2"/>
    <w:next w:val="1"/>
    <w:qFormat/>
    <w:uiPriority w:val="99"/>
    <w:pPr>
      <w:keepLines w:val="0"/>
      <w:widowControl/>
      <w:numPr>
        <w:numId w:val="5"/>
      </w:numPr>
      <w:tabs>
        <w:tab w:val="left" w:pos="360"/>
        <w:tab w:val="left" w:pos="720"/>
        <w:tab w:val="left" w:pos="1080"/>
      </w:tabs>
      <w:spacing w:before="240" w:after="60" w:line="360" w:lineRule="auto"/>
      <w:jc w:val="left"/>
    </w:pPr>
    <w:rPr>
      <w:bCs w:val="0"/>
      <w:kern w:val="0"/>
      <w:sz w:val="24"/>
      <w:szCs w:val="20"/>
      <w:lang w:eastAsia="en-US"/>
    </w:rPr>
  </w:style>
  <w:style w:type="paragraph" w:customStyle="1" w:styleId="44">
    <w:name w:val="number's subbullet"/>
    <w:basedOn w:val="31"/>
    <w:qFormat/>
    <w:uiPriority w:val="99"/>
    <w:pPr>
      <w:ind w:left="1280"/>
    </w:pPr>
  </w:style>
  <w:style w:type="paragraph" w:customStyle="1" w:styleId="45">
    <w:name w:val="列表段落1"/>
    <w:basedOn w:val="1"/>
    <w:qFormat/>
    <w:uiPriority w:val="99"/>
  </w:style>
  <w:style w:type="paragraph" w:customStyle="1" w:styleId="46">
    <w:name w:val="瑞讯达三级标题"/>
    <w:basedOn w:val="4"/>
    <w:next w:val="1"/>
    <w:qFormat/>
    <w:uiPriority w:val="0"/>
    <w:pPr>
      <w:numPr>
        <w:ilvl w:val="0"/>
        <w:numId w:val="0"/>
      </w:numPr>
    </w:pPr>
    <w:rPr>
      <w:sz w:val="24"/>
      <w:szCs w:val="24"/>
    </w:rPr>
  </w:style>
  <w:style w:type="character" w:customStyle="1" w:styleId="47">
    <w:name w:val="font11"/>
    <w:basedOn w:val="25"/>
    <w:qFormat/>
    <w:uiPriority w:val="0"/>
    <w:rPr>
      <w:rFonts w:hint="eastAsia" w:ascii="宋体" w:hAnsi="宋体" w:eastAsia="宋体" w:cs="宋体"/>
      <w:color w:val="000000"/>
      <w:sz w:val="18"/>
      <w:szCs w:val="18"/>
      <w:u w:val="none"/>
    </w:rPr>
  </w:style>
  <w:style w:type="character" w:customStyle="1" w:styleId="48">
    <w:name w:val="fontstyle11"/>
    <w:basedOn w:val="25"/>
    <w:qFormat/>
    <w:uiPriority w:val="0"/>
    <w:rPr>
      <w:rFonts w:ascii="宋体" w:hAnsi="宋体" w:eastAsia="宋体" w:cs="宋体"/>
      <w:color w:val="000000"/>
      <w:sz w:val="22"/>
      <w:szCs w:val="22"/>
    </w:rPr>
  </w:style>
  <w:style w:type="character" w:customStyle="1" w:styleId="49">
    <w:name w:val="标题 1 Char1"/>
    <w:qFormat/>
    <w:uiPriority w:val="0"/>
    <w:rPr>
      <w:rFonts w:ascii="Times New Roman" w:hAnsi="Times New Roman"/>
    </w:rPr>
  </w:style>
  <w:style w:type="character" w:customStyle="1" w:styleId="50">
    <w:name w:val="font51"/>
    <w:basedOn w:val="25"/>
    <w:qFormat/>
    <w:uiPriority w:val="0"/>
    <w:rPr>
      <w:rFonts w:hint="eastAsia" w:ascii="宋体" w:hAnsi="宋体" w:eastAsia="宋体" w:cs="宋体"/>
      <w:color w:val="000000"/>
      <w:sz w:val="20"/>
      <w:szCs w:val="20"/>
      <w:u w:val="none"/>
    </w:rPr>
  </w:style>
  <w:style w:type="paragraph" w:customStyle="1" w:styleId="51">
    <w:name w:val="附录正文"/>
    <w:basedOn w:val="52"/>
    <w:qFormat/>
    <w:uiPriority w:val="0"/>
    <w:pPr>
      <w:numPr>
        <w:ilvl w:val="0"/>
        <w:numId w:val="0"/>
      </w:numPr>
      <w:tabs>
        <w:tab w:val="left" w:pos="357"/>
        <w:tab w:val="left" w:pos="420"/>
        <w:tab w:val="left" w:pos="525"/>
        <w:tab w:val="left" w:pos="720"/>
      </w:tabs>
      <w:ind w:firstLine="640" w:firstLineChars="200"/>
      <w:outlineLvl w:val="9"/>
    </w:pPr>
  </w:style>
  <w:style w:type="paragraph" w:customStyle="1" w:styleId="52">
    <w:name w:val="条"/>
    <w:basedOn w:val="53"/>
    <w:qFormat/>
    <w:uiPriority w:val="0"/>
    <w:pPr>
      <w:numPr>
        <w:ilvl w:val="3"/>
      </w:numPr>
      <w:tabs>
        <w:tab w:val="left" w:pos="357"/>
        <w:tab w:val="left" w:pos="420"/>
        <w:tab w:val="left" w:pos="525"/>
        <w:tab w:val="left" w:pos="720"/>
      </w:tabs>
      <w:adjustRightInd w:val="0"/>
      <w:snapToGrid w:val="0"/>
      <w:spacing w:line="560" w:lineRule="exact"/>
      <w:ind w:left="0" w:firstLine="640" w:firstLineChars="200"/>
      <w:jc w:val="both"/>
      <w:outlineLvl w:val="2"/>
    </w:pPr>
    <w:rPr>
      <w:rFonts w:ascii="仿宋_GB2312" w:eastAsia="仿宋_GB2312" w:cs="Calibri"/>
      <w:b w:val="0"/>
      <w:sz w:val="32"/>
      <w:szCs w:val="32"/>
    </w:rPr>
  </w:style>
  <w:style w:type="paragraph" w:customStyle="1" w:styleId="53">
    <w:name w:val="一级条标题"/>
    <w:basedOn w:val="54"/>
    <w:qFormat/>
    <w:uiPriority w:val="0"/>
    <w:pPr>
      <w:numPr>
        <w:ilvl w:val="2"/>
        <w:numId w:val="6"/>
      </w:numPr>
      <w:tabs>
        <w:tab w:val="left" w:pos="420"/>
        <w:tab w:val="left" w:pos="525"/>
      </w:tabs>
      <w:spacing w:beforeLines="0" w:afterLines="0"/>
      <w:jc w:val="left"/>
      <w:outlineLvl w:val="9"/>
    </w:pPr>
    <w:rPr>
      <w:rFonts w:ascii="宋体" w:hAnsi="宋体" w:eastAsia="宋体"/>
      <w:b/>
      <w:szCs w:val="24"/>
    </w:rPr>
  </w:style>
  <w:style w:type="paragraph" w:customStyle="1" w:styleId="54">
    <w:name w:val="章标题"/>
    <w:qFormat/>
    <w:uiPriority w:val="0"/>
    <w:pPr>
      <w:tabs>
        <w:tab w:val="left" w:pos="420"/>
      </w:tabs>
      <w:spacing w:beforeLines="50" w:afterLines="50" w:line="360" w:lineRule="auto"/>
      <w:jc w:val="both"/>
      <w:outlineLvl w:val="1"/>
    </w:pPr>
    <w:rPr>
      <w:rFonts w:ascii="黑体" w:hAnsi="Times New Roman" w:eastAsia="黑体" w:cs="Times New Roman"/>
      <w:sz w:val="24"/>
      <w:lang w:val="en-US" w:eastAsia="zh-CN" w:bidi="ar-SA"/>
    </w:rPr>
  </w:style>
  <w:style w:type="character" w:customStyle="1" w:styleId="55">
    <w:name w:val="批注框文本 字符"/>
    <w:basedOn w:val="25"/>
    <w:link w:val="13"/>
    <w:qFormat/>
    <w:uiPriority w:val="0"/>
    <w:rPr>
      <w:kern w:val="2"/>
      <w:sz w:val="18"/>
      <w:szCs w:val="18"/>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List Paragraph"/>
    <w:basedOn w:val="1"/>
    <w:qFormat/>
    <w:uiPriority w:val="34"/>
    <w:pPr>
      <w:widowControl/>
      <w:jc w:val="left"/>
    </w:pPr>
    <w:rPr>
      <w:rFonts w:ascii="宋体" w:hAnsi="宋体" w:cs="宋体"/>
      <w:kern w:val="0"/>
      <w:sz w:val="24"/>
    </w:rPr>
  </w:style>
  <w:style w:type="paragraph" w:customStyle="1" w:styleId="58">
    <w:name w:val="Table Paragraph"/>
    <w:basedOn w:val="1"/>
    <w:qFormat/>
    <w:uiPriority w:val="1"/>
    <w:rPr>
      <w:rFonts w:ascii="宋体" w:hAnsi="宋体" w:eastAsia="宋体" w:cs="宋体"/>
      <w:lang w:val="en-US" w:eastAsia="zh-CN" w:bidi="ar-SA"/>
    </w:rPr>
  </w:style>
  <w:style w:type="character" w:customStyle="1" w:styleId="59">
    <w:name w:val="font61"/>
    <w:basedOn w:val="25"/>
    <w:qFormat/>
    <w:uiPriority w:val="0"/>
    <w:rPr>
      <w:rFonts w:ascii="Vladimir Script" w:hAnsi="Vladimir Script" w:eastAsia="Vladimir Script" w:cs="Vladimir Script"/>
      <w:color w:val="08090C"/>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4953</Words>
  <Characters>5238</Characters>
  <Lines>42</Lines>
  <Paragraphs>11</Paragraphs>
  <TotalTime>93</TotalTime>
  <ScaleCrop>false</ScaleCrop>
  <LinksUpToDate>false</LinksUpToDate>
  <CharactersWithSpaces>5258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2024-11-26T05:10:00Z</dcterms:created>
  <dc:creator>czj</dc:creator>
  <cp:lastModifiedBy>蒋璐</cp:lastModifiedBy>
  <cp:lastPrinted>2026-04-14T01:54:00Z</cp:lastPrinted>
  <dcterms:modified xsi:type="dcterms:W3CDTF">2026-09-29T12:24:27Z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CWM33c4770b27f847189ce69f6dcab3081d">
    <vt:lpwstr>CWMPCz1kV2yZf7UYeMKJhI8fMB9jPQjg5uU1VK9D6NO2rZB887Em5gqe4JYrSAiUsRLI3IvFMdWCdoKh1p4G0T+ICIiaFRdGNzL7Mi0Yg1AZZY=</vt:lpwstr>
  </property>
  <property fmtid="{D5CDD505-2E9C-101B-9397-08002B2CF9AE}" pid="4" name="CWM89fa7cee219345bf83171569d127aa87">
    <vt:lpwstr>CWMXIirv2S0AzbIgoaGYb3hXYdEQFRknVSvLxoEkiT81l9ptf5Ia1XRWD2YqfW9QlZRG7v98XbYUxZPQTdukIb5Xg==</vt:lpwstr>
  </property>
  <property fmtid="{D5CDD505-2E9C-101B-9397-08002B2CF9AE}" pid="5" name="ICV">
    <vt:lpwstr>93F2692C5E8B42929672A12AB3911039</vt:lpwstr>
  </property>
  <property fmtid="{D5CDD505-2E9C-101B-9397-08002B2CF9AE}" pid="6" name="CWMd1eddace355643d381c49f97d7a66386">
    <vt:lpwstr>CWMwIKB+5XLjdh5N2ThO3CpVSdykjtEn3ke29+cPOn75JI7OsY7QXK5LWNoRnYyNu4Ia0deb4YvaMfhpSk5vURMGw==</vt:lpwstr>
  </property>
  <property fmtid="{D5CDD505-2E9C-101B-9397-08002B2CF9AE}" pid="7" name="CWMd3af9d1f1c994315925c3de83b68f609">
    <vt:lpwstr>CWMN3i0fYGVTFp6OM/cZk1x/L2PW/+RvCNnOhmnERPy/KxAB1Kr/w+aQP7b9SBf9OO0x5tCD0mu8d7AG0N2/QuoUA==</vt:lpwstr>
  </property>
  <property fmtid="{D5CDD505-2E9C-101B-9397-08002B2CF9AE}" pid="8" name="KSOTemplateDocerSaveRecord">
    <vt:lpwstr>eyJoZGlkIjoiOTU5M2I2ZDdjYzVkOTAwYjI3OGFhMjczMDBkYzZmZjciLCJ1c2VySWQiOiIyNzU2NTkwMzQifQ==</vt:lpwstr>
  </property>
</Properties>
</file>