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63D0D2">
      <w:pPr>
        <w:pStyle w:val="10"/>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napToGrid w:val="0"/>
          <w:color w:val="auto"/>
          <w:kern w:val="0"/>
          <w:sz w:val="21"/>
          <w:szCs w:val="21"/>
          <w:highlight w:val="none"/>
          <w:u w:val="single"/>
          <w:lang w:val="en-US" w:eastAsia="zh-CN"/>
        </w:rPr>
      </w:pPr>
      <w:bookmarkStart w:id="0" w:name="_Toc8445"/>
      <w:r>
        <w:rPr>
          <w:rFonts w:hint="eastAsia" w:asciiTheme="minorEastAsia" w:hAnsiTheme="minorEastAsia" w:eastAsiaTheme="minorEastAsia" w:cstheme="minorEastAsia"/>
          <w:b/>
          <w:bCs/>
          <w:snapToGrid w:val="0"/>
          <w:color w:val="auto"/>
          <w:kern w:val="0"/>
          <w:sz w:val="21"/>
          <w:szCs w:val="21"/>
          <w:highlight w:val="none"/>
          <w:u w:val="single"/>
          <w:lang w:val="en-US" w:eastAsia="zh-CN"/>
        </w:rPr>
        <w:t>附件A-项目信息清单</w:t>
      </w:r>
    </w:p>
    <w:p w14:paraId="136CED60">
      <w:pPr>
        <w:pStyle w:val="10"/>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1"/>
          <w:szCs w:val="21"/>
          <w:highlight w:val="none"/>
          <w:u w:val="none"/>
          <w:lang w:val="en-US" w:eastAsia="zh-CN"/>
        </w:rPr>
      </w:pPr>
      <w:r>
        <w:rPr>
          <w:rFonts w:hint="eastAsia" w:asciiTheme="minorEastAsia" w:hAnsiTheme="minorEastAsia" w:eastAsiaTheme="minorEastAsia" w:cstheme="minorEastAsia"/>
          <w:b/>
          <w:bCs/>
          <w:snapToGrid w:val="0"/>
          <w:color w:val="auto"/>
          <w:kern w:val="0"/>
          <w:sz w:val="21"/>
          <w:szCs w:val="21"/>
          <w:highlight w:val="none"/>
          <w:u w:val="none"/>
          <w:lang w:val="en-US" w:eastAsia="zh-CN"/>
        </w:rPr>
        <w:t>标的名称：深圳供电局有限公司2026年中间层项目可研勘察设计监理服务框架公开招标</w:t>
      </w:r>
    </w:p>
    <w:p w14:paraId="6C8A1869">
      <w:pPr>
        <w:jc w:val="left"/>
        <w:rPr>
          <w:rFonts w:hint="eastAsia" w:asciiTheme="minorEastAsia" w:hAnsiTheme="minorEastAsia" w:eastAsiaTheme="minorEastAsia" w:cstheme="minorEastAsia"/>
          <w:b/>
          <w:bCs/>
          <w:snapToGrid w:val="0"/>
          <w:color w:val="auto"/>
          <w:kern w:val="0"/>
          <w:sz w:val="21"/>
          <w:szCs w:val="21"/>
          <w:highlight w:val="none"/>
          <w:u w:val="none"/>
          <w:lang w:val="en-US" w:eastAsia="zh-CN"/>
        </w:rPr>
      </w:pPr>
    </w:p>
    <w:p w14:paraId="610D89A2">
      <w:pPr>
        <w:jc w:val="left"/>
        <w:rPr>
          <w:rFonts w:hint="eastAsia" w:asciiTheme="minorEastAsia" w:hAnsiTheme="minorEastAsia" w:eastAsiaTheme="minorEastAsia" w:cstheme="minorEastAsia"/>
          <w:b/>
          <w:bCs/>
          <w:snapToGrid w:val="0"/>
          <w:color w:val="auto"/>
          <w:kern w:val="0"/>
          <w:sz w:val="21"/>
          <w:szCs w:val="21"/>
          <w:highlight w:val="none"/>
          <w:u w:val="none"/>
          <w:lang w:val="en-US" w:eastAsia="zh-CN"/>
        </w:rPr>
      </w:pPr>
      <w:r>
        <w:rPr>
          <w:rFonts w:hint="eastAsia" w:asciiTheme="minorEastAsia" w:hAnsiTheme="minorEastAsia" w:eastAsiaTheme="minorEastAsia" w:cstheme="minorEastAsia"/>
          <w:b/>
          <w:bCs/>
          <w:snapToGrid w:val="0"/>
          <w:color w:val="auto"/>
          <w:kern w:val="0"/>
          <w:sz w:val="21"/>
          <w:szCs w:val="21"/>
          <w:highlight w:val="none"/>
          <w:u w:val="none"/>
          <w:lang w:val="en-US" w:eastAsia="zh-CN"/>
        </w:rPr>
        <w:t>标段名称：</w:t>
      </w:r>
    </w:p>
    <w:p w14:paraId="4ADF74CF">
      <w:pPr>
        <w:shd w:val="clear" w:color="auto" w:fill="auto"/>
        <w:jc w:val="left"/>
        <w:rPr>
          <w:rFonts w:hint="eastAsia" w:eastAsia="宋体"/>
          <w:b/>
          <w:bCs/>
          <w:highlight w:val="none"/>
          <w:lang w:val="en-US" w:eastAsia="zh-CN"/>
        </w:rPr>
      </w:pPr>
      <w:r>
        <w:rPr>
          <w:rFonts w:hint="eastAsia" w:eastAsia="宋体"/>
          <w:b/>
          <w:bCs/>
          <w:highlight w:val="none"/>
          <w:lang w:val="en-US" w:eastAsia="zh-CN"/>
        </w:rPr>
        <w:t>标的1：深圳供电局有限公司2026-2027年中间层项目可研勘察设计框架公开招标，</w:t>
      </w:r>
    </w:p>
    <w:p w14:paraId="07DD7AE9">
      <w:pPr>
        <w:shd w:val="clear" w:color="auto" w:fill="auto"/>
        <w:jc w:val="left"/>
        <w:rPr>
          <w:rFonts w:hint="eastAsia" w:eastAsia="宋体"/>
          <w:b/>
          <w:bCs/>
          <w:highlight w:val="none"/>
          <w:lang w:val="en-US" w:eastAsia="zh-CN"/>
        </w:rPr>
      </w:pPr>
      <w:r>
        <w:rPr>
          <w:rFonts w:hint="eastAsia" w:eastAsia="宋体"/>
          <w:b/>
          <w:bCs/>
          <w:highlight w:val="none"/>
          <w:lang w:val="en-US" w:eastAsia="zh-CN"/>
        </w:rPr>
        <w:t>标的2：深圳供电局有限公司2026-2027年中间层项目监理服务框架公开招标，</w:t>
      </w:r>
    </w:p>
    <w:p w14:paraId="112BFA9D">
      <w:pPr>
        <w:pStyle w:val="10"/>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lang w:val="en-US" w:eastAsia="zh-CN"/>
        </w:rPr>
      </w:pPr>
      <w:r>
        <w:rPr>
          <w:rFonts w:hint="eastAsia" w:hAnsi="宋体" w:cs="宋体"/>
          <w:b/>
          <w:bCs/>
          <w:snapToGrid w:val="0"/>
          <w:color w:val="auto"/>
          <w:kern w:val="0"/>
          <w:sz w:val="21"/>
          <w:szCs w:val="21"/>
          <w:highlight w:val="none"/>
          <w:u w:val="none"/>
          <w:lang w:val="en-US" w:eastAsia="zh-CN"/>
        </w:rPr>
        <w:t>项目信息表</w:t>
      </w:r>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8"/>
        <w:gridCol w:w="2226"/>
        <w:gridCol w:w="5455"/>
      </w:tblGrid>
      <w:tr w14:paraId="759C0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Pr>
          <w:p w14:paraId="31E834BE">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306" w:type="pct"/>
            <w:vAlign w:val="center"/>
          </w:tcPr>
          <w:p w14:paraId="5CABF7F8">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条款名称</w:t>
            </w:r>
          </w:p>
        </w:tc>
        <w:tc>
          <w:tcPr>
            <w:tcW w:w="3201" w:type="pct"/>
            <w:vAlign w:val="center"/>
          </w:tcPr>
          <w:p w14:paraId="6B0E1AEE">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14:paraId="042CF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92" w:type="pct"/>
          </w:tcPr>
          <w:p w14:paraId="4B116228">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hAnsi="宋体" w:cs="宋体"/>
                <w:b w:val="0"/>
                <w:bCs w:val="0"/>
                <w:i w:val="0"/>
                <w:iCs w:val="0"/>
                <w:snapToGrid w:val="0"/>
                <w:color w:val="auto"/>
                <w:kern w:val="0"/>
                <w:sz w:val="21"/>
                <w:szCs w:val="21"/>
                <w:highlight w:val="none"/>
                <w:u w:val="none"/>
                <w:vertAlign w:val="baseline"/>
                <w:lang w:val="en-US" w:eastAsia="zh-CN"/>
              </w:rPr>
            </w:pPr>
            <w:r>
              <w:rPr>
                <w:rFonts w:hint="eastAsia" w:hAnsi="宋体" w:cs="宋体"/>
                <w:b w:val="0"/>
                <w:bCs w:val="0"/>
                <w:i w:val="0"/>
                <w:iCs w:val="0"/>
                <w:snapToGrid w:val="0"/>
                <w:color w:val="auto"/>
                <w:kern w:val="0"/>
                <w:sz w:val="21"/>
                <w:szCs w:val="21"/>
                <w:highlight w:val="none"/>
                <w:u w:val="none"/>
                <w:vertAlign w:val="baseline"/>
                <w:lang w:val="en-US" w:eastAsia="zh-CN"/>
              </w:rPr>
              <w:t>1</w:t>
            </w:r>
          </w:p>
        </w:tc>
        <w:tc>
          <w:tcPr>
            <w:tcW w:w="1306" w:type="pct"/>
          </w:tcPr>
          <w:p w14:paraId="7F7A0516">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pPr>
            <w:r>
              <w:rPr>
                <w:rFonts w:hint="eastAsia" w:ascii="宋体" w:hAnsi="宋体" w:eastAsia="宋体" w:cs="宋体"/>
                <w:b w:val="0"/>
                <w:bCs w:val="0"/>
                <w:i w:val="0"/>
                <w:iCs w:val="0"/>
                <w:color w:val="auto"/>
                <w:sz w:val="21"/>
                <w:szCs w:val="21"/>
                <w:highlight w:val="none"/>
                <w:u w:val="none"/>
                <w:vertAlign w:val="baseline"/>
                <w:lang w:val="en-US" w:eastAsia="zh-CN"/>
              </w:rPr>
              <w:t>可研批复文号</w:t>
            </w:r>
          </w:p>
        </w:tc>
        <w:tc>
          <w:tcPr>
            <w:tcW w:w="3201" w:type="pct"/>
            <w:vAlign w:val="center"/>
          </w:tcPr>
          <w:p w14:paraId="1C920EA6">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outlineLvl w:val="9"/>
              <w:rPr>
                <w:rFonts w:hint="eastAsia" w:ascii="宋体" w:hAnsi="宋体" w:eastAsia="宋体" w:cs="宋体"/>
                <w:b/>
                <w:bCs/>
                <w:i w:val="0"/>
                <w:iCs w:val="0"/>
                <w:snapToGrid w:val="0"/>
                <w:color w:val="auto"/>
                <w:kern w:val="0"/>
                <w:sz w:val="21"/>
                <w:szCs w:val="21"/>
                <w:highlight w:val="none"/>
                <w:u w:val="none"/>
                <w:vertAlign w:val="baseline"/>
                <w:lang w:val="en-US" w:eastAsia="zh-CN"/>
              </w:rPr>
            </w:pPr>
            <w:r>
              <w:rPr>
                <w:rFonts w:hint="eastAsia" w:ascii="宋体" w:hAnsi="宋体" w:cs="宋体"/>
                <w:b w:val="0"/>
                <w:bCs w:val="0"/>
                <w:i w:val="0"/>
                <w:iCs w:val="0"/>
                <w:color w:val="auto"/>
                <w:kern w:val="0"/>
                <w:sz w:val="21"/>
                <w:szCs w:val="21"/>
                <w:highlight w:val="none"/>
                <w:lang w:eastAsia="zh-CN"/>
              </w:rPr>
              <w:t>\</w:t>
            </w:r>
          </w:p>
        </w:tc>
      </w:tr>
      <w:tr w14:paraId="3DC1C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Pr>
          <w:p w14:paraId="147B1552">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pPr>
            <w:r>
              <w:rPr>
                <w:rFonts w:hint="eastAsia" w:hAnsi="宋体" w:cs="宋体"/>
                <w:b w:val="0"/>
                <w:bCs w:val="0"/>
                <w:i w:val="0"/>
                <w:iCs w:val="0"/>
                <w:snapToGrid w:val="0"/>
                <w:color w:val="auto"/>
                <w:kern w:val="0"/>
                <w:sz w:val="21"/>
                <w:szCs w:val="21"/>
                <w:highlight w:val="none"/>
                <w:u w:val="none"/>
                <w:vertAlign w:val="baseline"/>
                <w:lang w:val="en-US" w:eastAsia="zh-CN"/>
              </w:rPr>
              <w:t>2</w:t>
            </w:r>
          </w:p>
        </w:tc>
        <w:tc>
          <w:tcPr>
            <w:tcW w:w="1306" w:type="pct"/>
          </w:tcPr>
          <w:p w14:paraId="35874B62">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pPr>
            <w:r>
              <w:rPr>
                <w:rFonts w:hint="eastAsia" w:ascii="宋体" w:hAnsi="宋体" w:eastAsia="宋体" w:cs="宋体"/>
                <w:b w:val="0"/>
                <w:bCs w:val="0"/>
                <w:i w:val="0"/>
                <w:iCs w:val="0"/>
                <w:color w:val="auto"/>
                <w:sz w:val="21"/>
                <w:szCs w:val="21"/>
                <w:highlight w:val="none"/>
                <w:u w:val="none"/>
                <w:vertAlign w:val="baseline"/>
                <w:lang w:val="en-US" w:eastAsia="zh-CN"/>
              </w:rPr>
              <w:t>项目备案文号</w:t>
            </w:r>
          </w:p>
        </w:tc>
        <w:tc>
          <w:tcPr>
            <w:tcW w:w="3201" w:type="pct"/>
            <w:vAlign w:val="center"/>
          </w:tcPr>
          <w:p w14:paraId="73A99058">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outlineLvl w:val="9"/>
              <w:rPr>
                <w:rFonts w:hint="eastAsia" w:ascii="宋体" w:hAnsi="宋体" w:eastAsia="宋体" w:cs="宋体"/>
                <w:b/>
                <w:bCs/>
                <w:i w:val="0"/>
                <w:iCs w:val="0"/>
                <w:snapToGrid w:val="0"/>
                <w:color w:val="auto"/>
                <w:kern w:val="0"/>
                <w:sz w:val="21"/>
                <w:szCs w:val="21"/>
                <w:highlight w:val="none"/>
                <w:u w:val="none"/>
                <w:vertAlign w:val="baseline"/>
                <w:lang w:val="en-US" w:eastAsia="zh-CN"/>
              </w:rPr>
            </w:pPr>
            <w:r>
              <w:rPr>
                <w:rFonts w:hint="eastAsia" w:ascii="宋体" w:hAnsi="宋体" w:cs="宋体"/>
                <w:b w:val="0"/>
                <w:bCs w:val="0"/>
                <w:i w:val="0"/>
                <w:iCs w:val="0"/>
                <w:color w:val="auto"/>
                <w:kern w:val="0"/>
                <w:sz w:val="21"/>
                <w:szCs w:val="21"/>
                <w:highlight w:val="none"/>
                <w:lang w:eastAsia="zh-CN"/>
              </w:rPr>
              <w:t>\</w:t>
            </w:r>
          </w:p>
        </w:tc>
      </w:tr>
      <w:tr w14:paraId="75632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Pr>
          <w:p w14:paraId="56B8062A">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pPr>
            <w:r>
              <w:rPr>
                <w:rFonts w:hint="eastAsia" w:hAnsi="宋体" w:cs="宋体"/>
                <w:b w:val="0"/>
                <w:bCs w:val="0"/>
                <w:i w:val="0"/>
                <w:iCs w:val="0"/>
                <w:snapToGrid w:val="0"/>
                <w:color w:val="auto"/>
                <w:kern w:val="0"/>
                <w:sz w:val="21"/>
                <w:szCs w:val="21"/>
                <w:highlight w:val="none"/>
                <w:u w:val="none"/>
                <w:vertAlign w:val="baseline"/>
                <w:lang w:val="en-US" w:eastAsia="zh-CN"/>
              </w:rPr>
              <w:t>3</w:t>
            </w:r>
          </w:p>
        </w:tc>
        <w:tc>
          <w:tcPr>
            <w:tcW w:w="1306" w:type="pct"/>
          </w:tcPr>
          <w:p w14:paraId="58601736">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snapToGrid w:val="0"/>
                <w:color w:val="auto"/>
                <w:kern w:val="0"/>
                <w:sz w:val="21"/>
                <w:szCs w:val="21"/>
                <w:highlight w:val="none"/>
                <w:u w:val="none"/>
                <w:vertAlign w:val="baseline"/>
                <w:lang w:val="en-US" w:eastAsia="zh-CN"/>
              </w:rPr>
            </w:pPr>
            <w:r>
              <w:rPr>
                <w:rFonts w:hint="eastAsia" w:ascii="宋体" w:hAnsi="宋体" w:eastAsia="宋体" w:cs="宋体"/>
                <w:b w:val="0"/>
                <w:bCs w:val="0"/>
                <w:i w:val="0"/>
                <w:iCs w:val="0"/>
                <w:color w:val="auto"/>
                <w:sz w:val="21"/>
                <w:szCs w:val="21"/>
                <w:highlight w:val="none"/>
                <w:u w:val="none"/>
                <w:vertAlign w:val="baseline"/>
                <w:lang w:val="en-US" w:eastAsia="zh-CN"/>
              </w:rPr>
              <w:t>初设批复文号</w:t>
            </w:r>
          </w:p>
        </w:tc>
        <w:tc>
          <w:tcPr>
            <w:tcW w:w="3201" w:type="pct"/>
            <w:vAlign w:val="center"/>
          </w:tcPr>
          <w:p w14:paraId="530F2AD3">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outlineLvl w:val="9"/>
              <w:rPr>
                <w:rFonts w:hint="eastAsia" w:ascii="宋体" w:hAnsi="宋体" w:eastAsia="宋体" w:cs="宋体"/>
                <w:b/>
                <w:bCs/>
                <w:i w:val="0"/>
                <w:iCs w:val="0"/>
                <w:snapToGrid w:val="0"/>
                <w:color w:val="auto"/>
                <w:kern w:val="0"/>
                <w:sz w:val="21"/>
                <w:szCs w:val="21"/>
                <w:highlight w:val="none"/>
                <w:u w:val="none"/>
                <w:vertAlign w:val="baseline"/>
                <w:lang w:val="en-US" w:eastAsia="zh-CN"/>
              </w:rPr>
            </w:pPr>
            <w:r>
              <w:rPr>
                <w:rFonts w:hint="eastAsia" w:ascii="宋体" w:hAnsi="宋体" w:cs="宋体"/>
                <w:b w:val="0"/>
                <w:bCs w:val="0"/>
                <w:i w:val="0"/>
                <w:iCs w:val="0"/>
                <w:color w:val="auto"/>
                <w:kern w:val="0"/>
                <w:sz w:val="21"/>
                <w:szCs w:val="21"/>
                <w:highlight w:val="none"/>
                <w:lang w:eastAsia="zh-CN"/>
              </w:rPr>
              <w:t>\</w:t>
            </w:r>
          </w:p>
        </w:tc>
      </w:tr>
      <w:tr w14:paraId="47CC2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Pr>
          <w:p w14:paraId="38740AA9">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hAnsi="宋体" w:cs="宋体"/>
                <w:b w:val="0"/>
                <w:bCs w:val="0"/>
                <w:i w:val="0"/>
                <w:iCs w:val="0"/>
                <w:snapToGrid w:val="0"/>
                <w:color w:val="auto"/>
                <w:kern w:val="0"/>
                <w:sz w:val="21"/>
                <w:szCs w:val="21"/>
                <w:highlight w:val="none"/>
                <w:u w:val="none"/>
                <w:vertAlign w:val="baseline"/>
                <w:lang w:val="en-US" w:eastAsia="zh-CN"/>
              </w:rPr>
            </w:pPr>
            <w:r>
              <w:rPr>
                <w:rFonts w:hint="eastAsia" w:hAnsi="宋体" w:cs="宋体"/>
                <w:b w:val="0"/>
                <w:bCs w:val="0"/>
                <w:i w:val="0"/>
                <w:iCs w:val="0"/>
                <w:snapToGrid w:val="0"/>
                <w:color w:val="auto"/>
                <w:kern w:val="0"/>
                <w:sz w:val="21"/>
                <w:szCs w:val="21"/>
                <w:highlight w:val="none"/>
                <w:u w:val="none"/>
                <w:vertAlign w:val="baseline"/>
                <w:lang w:val="en-US" w:eastAsia="zh-CN"/>
              </w:rPr>
              <w:t>4</w:t>
            </w:r>
          </w:p>
        </w:tc>
        <w:tc>
          <w:tcPr>
            <w:tcW w:w="1306" w:type="pct"/>
          </w:tcPr>
          <w:p w14:paraId="0B7B45A7">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color w:val="auto"/>
                <w:sz w:val="21"/>
                <w:szCs w:val="21"/>
                <w:highlight w:val="none"/>
                <w:u w:val="none"/>
                <w:vertAlign w:val="baseline"/>
                <w:lang w:val="en-US" w:eastAsia="zh-CN"/>
              </w:rPr>
            </w:pPr>
            <w:r>
              <w:rPr>
                <w:rFonts w:hint="eastAsia" w:ascii="宋体" w:hAnsi="宋体" w:eastAsia="宋体" w:cs="宋体"/>
                <w:b w:val="0"/>
                <w:bCs w:val="0"/>
                <w:i w:val="0"/>
                <w:iCs w:val="0"/>
                <w:color w:val="auto"/>
                <w:sz w:val="21"/>
                <w:szCs w:val="21"/>
                <w:highlight w:val="none"/>
                <w:u w:val="none"/>
                <w:vertAlign w:val="baseline"/>
                <w:lang w:val="en-US" w:eastAsia="zh-CN"/>
              </w:rPr>
              <w:t>资金落实情况</w:t>
            </w:r>
          </w:p>
        </w:tc>
        <w:tc>
          <w:tcPr>
            <w:tcW w:w="3201" w:type="pct"/>
            <w:vAlign w:val="center"/>
          </w:tcPr>
          <w:p w14:paraId="4950439D">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outlineLvl w:val="9"/>
              <w:rPr>
                <w:rFonts w:hint="eastAsia" w:ascii="宋体" w:hAnsi="宋体" w:eastAsia="宋体" w:cs="宋体"/>
                <w:i w:val="0"/>
                <w:iCs w:val="0"/>
                <w:color w:val="auto"/>
                <w:sz w:val="21"/>
                <w:szCs w:val="21"/>
                <w:highlight w:val="none"/>
                <w:u w:val="none"/>
                <w:vertAlign w:val="baseline"/>
                <w:lang w:val="en-US" w:eastAsia="zh-CN"/>
              </w:rPr>
            </w:pPr>
            <w:r>
              <w:rPr>
                <w:rFonts w:hint="eastAsia" w:ascii="宋体" w:hAnsi="宋体" w:cs="宋体"/>
                <w:b w:val="0"/>
                <w:bCs w:val="0"/>
                <w:i w:val="0"/>
                <w:iCs w:val="0"/>
                <w:color w:val="auto"/>
                <w:kern w:val="0"/>
                <w:sz w:val="21"/>
                <w:szCs w:val="21"/>
                <w:highlight w:val="none"/>
                <w:lang w:eastAsia="zh-CN"/>
              </w:rPr>
              <w:t>已落实，从公司202</w:t>
            </w:r>
            <w:r>
              <w:rPr>
                <w:rFonts w:hint="eastAsia" w:ascii="宋体" w:hAnsi="宋体" w:cs="宋体"/>
                <w:b w:val="0"/>
                <w:bCs w:val="0"/>
                <w:i w:val="0"/>
                <w:iCs w:val="0"/>
                <w:color w:val="auto"/>
                <w:kern w:val="0"/>
                <w:sz w:val="21"/>
                <w:szCs w:val="21"/>
                <w:highlight w:val="none"/>
                <w:lang w:val="en-US" w:eastAsia="zh-CN"/>
              </w:rPr>
              <w:t>6-2027</w:t>
            </w:r>
            <w:r>
              <w:rPr>
                <w:rFonts w:hint="eastAsia" w:ascii="宋体" w:hAnsi="宋体" w:cs="宋体"/>
                <w:b w:val="0"/>
                <w:bCs w:val="0"/>
                <w:i w:val="0"/>
                <w:iCs w:val="0"/>
                <w:color w:val="auto"/>
                <w:kern w:val="0"/>
                <w:sz w:val="21"/>
                <w:szCs w:val="21"/>
                <w:highlight w:val="none"/>
                <w:lang w:eastAsia="zh-CN"/>
              </w:rPr>
              <w:t>下达投资计划的中间层项目资金中列支。</w:t>
            </w:r>
          </w:p>
        </w:tc>
      </w:tr>
      <w:tr w14:paraId="6C055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Pr>
          <w:p w14:paraId="5F38DBA9">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hAnsi="宋体" w:cs="宋体"/>
                <w:b w:val="0"/>
                <w:bCs w:val="0"/>
                <w:i w:val="0"/>
                <w:iCs w:val="0"/>
                <w:snapToGrid w:val="0"/>
                <w:color w:val="auto"/>
                <w:kern w:val="0"/>
                <w:sz w:val="21"/>
                <w:szCs w:val="21"/>
                <w:highlight w:val="none"/>
                <w:u w:val="none"/>
                <w:vertAlign w:val="baseline"/>
                <w:lang w:val="en-US" w:eastAsia="zh-CN"/>
              </w:rPr>
            </w:pPr>
            <w:r>
              <w:rPr>
                <w:rFonts w:hint="eastAsia" w:hAnsi="宋体" w:cs="宋体"/>
                <w:b w:val="0"/>
                <w:bCs w:val="0"/>
                <w:i w:val="0"/>
                <w:iCs w:val="0"/>
                <w:snapToGrid w:val="0"/>
                <w:color w:val="auto"/>
                <w:kern w:val="0"/>
                <w:sz w:val="21"/>
                <w:szCs w:val="21"/>
                <w:highlight w:val="none"/>
                <w:u w:val="none"/>
                <w:vertAlign w:val="baseline"/>
                <w:lang w:val="en-US" w:eastAsia="zh-CN"/>
              </w:rPr>
              <w:t>5</w:t>
            </w:r>
          </w:p>
        </w:tc>
        <w:tc>
          <w:tcPr>
            <w:tcW w:w="1306" w:type="pct"/>
          </w:tcPr>
          <w:p w14:paraId="57374BD3">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color w:val="auto"/>
                <w:sz w:val="21"/>
                <w:szCs w:val="21"/>
                <w:highlight w:val="none"/>
                <w:u w:val="none"/>
                <w:vertAlign w:val="baseline"/>
                <w:lang w:val="en-US" w:eastAsia="zh-CN"/>
              </w:rPr>
            </w:pPr>
            <w:r>
              <w:rPr>
                <w:rFonts w:hint="eastAsia" w:ascii="宋体" w:hAnsi="宋体" w:eastAsia="宋体" w:cs="宋体"/>
                <w:b w:val="0"/>
                <w:bCs w:val="0"/>
                <w:i w:val="0"/>
                <w:iCs w:val="0"/>
                <w:color w:val="auto"/>
                <w:sz w:val="21"/>
                <w:szCs w:val="21"/>
                <w:highlight w:val="none"/>
                <w:u w:val="none"/>
                <w:vertAlign w:val="baseline"/>
                <w:lang w:val="en-US" w:eastAsia="zh-CN"/>
              </w:rPr>
              <w:t>施工图预算批复文号</w:t>
            </w:r>
          </w:p>
        </w:tc>
        <w:tc>
          <w:tcPr>
            <w:tcW w:w="3201" w:type="pct"/>
            <w:vAlign w:val="center"/>
          </w:tcPr>
          <w:p w14:paraId="7CC9B355">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outlineLvl w:val="9"/>
              <w:rPr>
                <w:rFonts w:hint="default" w:ascii="宋体" w:hAnsi="宋体" w:eastAsia="宋体" w:cs="宋体"/>
                <w:i w:val="0"/>
                <w:iCs w:val="0"/>
                <w:color w:val="auto"/>
                <w:sz w:val="21"/>
                <w:szCs w:val="21"/>
                <w:highlight w:val="none"/>
                <w:u w:val="none"/>
                <w:vertAlign w:val="baseline"/>
                <w:lang w:val="en-US" w:eastAsia="zh-CN"/>
              </w:rPr>
            </w:pPr>
            <w:r>
              <w:rPr>
                <w:rFonts w:hint="eastAsia" w:ascii="宋体" w:hAnsi="宋体" w:cs="宋体"/>
                <w:b w:val="0"/>
                <w:bCs w:val="0"/>
                <w:i w:val="0"/>
                <w:iCs w:val="0"/>
                <w:color w:val="auto"/>
                <w:kern w:val="0"/>
                <w:sz w:val="21"/>
                <w:szCs w:val="21"/>
                <w:highlight w:val="none"/>
                <w:lang w:eastAsia="zh-CN"/>
              </w:rPr>
              <w:t>\</w:t>
            </w:r>
          </w:p>
        </w:tc>
      </w:tr>
      <w:tr w14:paraId="0B626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Pr>
          <w:p w14:paraId="4C8E855A">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hAnsi="宋体" w:cs="宋体"/>
                <w:b w:val="0"/>
                <w:bCs w:val="0"/>
                <w:i w:val="0"/>
                <w:iCs w:val="0"/>
                <w:snapToGrid w:val="0"/>
                <w:color w:val="auto"/>
                <w:kern w:val="0"/>
                <w:sz w:val="21"/>
                <w:szCs w:val="21"/>
                <w:highlight w:val="none"/>
                <w:u w:val="none"/>
                <w:vertAlign w:val="baseline"/>
                <w:lang w:val="en-US" w:eastAsia="zh-CN"/>
              </w:rPr>
            </w:pPr>
            <w:r>
              <w:rPr>
                <w:rFonts w:hint="eastAsia" w:hAnsi="宋体" w:cs="宋体"/>
                <w:b w:val="0"/>
                <w:bCs w:val="0"/>
                <w:i w:val="0"/>
                <w:iCs w:val="0"/>
                <w:snapToGrid w:val="0"/>
                <w:color w:val="auto"/>
                <w:kern w:val="0"/>
                <w:sz w:val="21"/>
                <w:szCs w:val="21"/>
                <w:highlight w:val="none"/>
                <w:u w:val="none"/>
                <w:vertAlign w:val="baseline"/>
                <w:lang w:val="en-US" w:eastAsia="zh-CN"/>
              </w:rPr>
              <w:t>6</w:t>
            </w:r>
          </w:p>
        </w:tc>
        <w:tc>
          <w:tcPr>
            <w:tcW w:w="1306" w:type="pct"/>
          </w:tcPr>
          <w:p w14:paraId="02F52A32">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color w:val="auto"/>
                <w:sz w:val="21"/>
                <w:szCs w:val="21"/>
                <w:highlight w:val="none"/>
                <w:u w:val="none"/>
                <w:vertAlign w:val="baseline"/>
                <w:lang w:val="en-US" w:eastAsia="zh-CN"/>
              </w:rPr>
            </w:pPr>
            <w:r>
              <w:rPr>
                <w:rFonts w:hint="eastAsia" w:hAnsi="宋体" w:cs="宋体"/>
                <w:b w:val="0"/>
                <w:bCs w:val="0"/>
                <w:i w:val="0"/>
                <w:iCs w:val="0"/>
                <w:color w:val="auto"/>
                <w:sz w:val="21"/>
                <w:szCs w:val="21"/>
                <w:highlight w:val="none"/>
                <w:u w:val="none"/>
                <w:vertAlign w:val="baseline"/>
                <w:lang w:val="en-US" w:eastAsia="zh-CN"/>
              </w:rPr>
              <w:t>项目建设单位</w:t>
            </w:r>
          </w:p>
        </w:tc>
        <w:tc>
          <w:tcPr>
            <w:tcW w:w="3201" w:type="pct"/>
            <w:vAlign w:val="center"/>
          </w:tcPr>
          <w:p w14:paraId="20C21733">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outlineLvl w:val="9"/>
              <w:rPr>
                <w:rFonts w:hint="default" w:hAnsi="宋体" w:cs="宋体"/>
                <w:i w:val="0"/>
                <w:iCs w:val="0"/>
                <w:color w:val="auto"/>
                <w:sz w:val="21"/>
                <w:szCs w:val="21"/>
                <w:highlight w:val="none"/>
                <w:u w:val="none"/>
                <w:vertAlign w:val="baseline"/>
                <w:lang w:val="en-US" w:eastAsia="zh-CN"/>
              </w:rPr>
            </w:pPr>
            <w:r>
              <w:rPr>
                <w:rFonts w:hint="eastAsia" w:hAnsi="宋体" w:cs="宋体"/>
                <w:i w:val="0"/>
                <w:iCs w:val="0"/>
                <w:color w:val="auto"/>
                <w:sz w:val="21"/>
                <w:szCs w:val="21"/>
                <w:highlight w:val="none"/>
                <w:u w:val="none"/>
                <w:vertAlign w:val="baseline"/>
                <w:lang w:val="en-US" w:eastAsia="zh-CN"/>
              </w:rPr>
              <w:t>深圳供电局有限公司直属各供电局</w:t>
            </w:r>
          </w:p>
        </w:tc>
      </w:tr>
      <w:tr w14:paraId="45C8F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pct"/>
          </w:tcPr>
          <w:p w14:paraId="49CCD079">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hAnsi="宋体" w:cs="宋体"/>
                <w:b w:val="0"/>
                <w:bCs w:val="0"/>
                <w:i w:val="0"/>
                <w:iCs w:val="0"/>
                <w:snapToGrid w:val="0"/>
                <w:color w:val="auto"/>
                <w:kern w:val="0"/>
                <w:sz w:val="21"/>
                <w:szCs w:val="21"/>
                <w:highlight w:val="none"/>
                <w:u w:val="none"/>
                <w:vertAlign w:val="baseline"/>
                <w:lang w:val="en-US" w:eastAsia="zh-CN"/>
              </w:rPr>
            </w:pPr>
            <w:r>
              <w:rPr>
                <w:rFonts w:hint="eastAsia" w:hAnsi="宋体" w:cs="宋体"/>
                <w:b w:val="0"/>
                <w:bCs w:val="0"/>
                <w:i w:val="0"/>
                <w:iCs w:val="0"/>
                <w:snapToGrid w:val="0"/>
                <w:color w:val="auto"/>
                <w:kern w:val="0"/>
                <w:sz w:val="21"/>
                <w:szCs w:val="21"/>
                <w:highlight w:val="none"/>
                <w:u w:val="none"/>
                <w:vertAlign w:val="baseline"/>
                <w:lang w:val="en-US" w:eastAsia="zh-CN"/>
              </w:rPr>
              <w:t>7</w:t>
            </w:r>
          </w:p>
        </w:tc>
        <w:tc>
          <w:tcPr>
            <w:tcW w:w="1306" w:type="pct"/>
          </w:tcPr>
          <w:p w14:paraId="2CEE69B4">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i w:val="0"/>
                <w:iCs w:val="0"/>
                <w:color w:val="auto"/>
                <w:sz w:val="21"/>
                <w:szCs w:val="21"/>
                <w:highlight w:val="none"/>
                <w:u w:val="none"/>
                <w:vertAlign w:val="baseline"/>
                <w:lang w:val="en-US" w:eastAsia="zh-CN"/>
              </w:rPr>
            </w:pPr>
            <w:r>
              <w:rPr>
                <w:rFonts w:hint="eastAsia" w:hAnsi="宋体" w:cs="宋体"/>
                <w:b w:val="0"/>
                <w:bCs w:val="0"/>
                <w:i w:val="0"/>
                <w:iCs w:val="0"/>
                <w:color w:val="auto"/>
                <w:sz w:val="21"/>
                <w:szCs w:val="21"/>
                <w:highlight w:val="none"/>
                <w:u w:val="none"/>
                <w:vertAlign w:val="baseline"/>
                <w:lang w:val="en-US" w:eastAsia="zh-CN"/>
              </w:rPr>
              <w:t>项目建设地点</w:t>
            </w:r>
          </w:p>
        </w:tc>
        <w:tc>
          <w:tcPr>
            <w:tcW w:w="3201" w:type="pct"/>
            <w:vAlign w:val="center"/>
          </w:tcPr>
          <w:p w14:paraId="666B3F3D">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outlineLvl w:val="9"/>
              <w:rPr>
                <w:rFonts w:hint="eastAsia" w:hAnsi="宋体" w:cs="宋体"/>
                <w:i w:val="0"/>
                <w:iCs w:val="0"/>
                <w:color w:val="auto"/>
                <w:sz w:val="21"/>
                <w:szCs w:val="21"/>
                <w:highlight w:val="none"/>
                <w:u w:val="none"/>
                <w:vertAlign w:val="baseline"/>
                <w:lang w:val="en-US" w:eastAsia="zh-CN"/>
              </w:rPr>
            </w:pPr>
            <w:r>
              <w:rPr>
                <w:rFonts w:hint="eastAsia" w:ascii="宋体" w:hAnsi="宋体" w:cs="宋体"/>
                <w:b w:val="0"/>
                <w:bCs w:val="0"/>
                <w:i w:val="0"/>
                <w:iCs w:val="0"/>
                <w:color w:val="auto"/>
                <w:kern w:val="0"/>
                <w:sz w:val="21"/>
                <w:szCs w:val="21"/>
                <w:highlight w:val="none"/>
                <w:lang w:val="en-US" w:eastAsia="zh-CN"/>
              </w:rPr>
              <w:t>深圳市</w:t>
            </w:r>
          </w:p>
        </w:tc>
      </w:tr>
    </w:tbl>
    <w:p w14:paraId="35A3DCB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cs="宋体"/>
          <w:b w:val="0"/>
          <w:bCs w:val="0"/>
          <w:i/>
          <w:iCs/>
          <w:color w:val="auto"/>
          <w:sz w:val="21"/>
          <w:szCs w:val="21"/>
          <w:highlight w:val="none"/>
          <w:lang w:val="en-US" w:eastAsia="zh-CN"/>
        </w:rPr>
      </w:pPr>
    </w:p>
    <w:p w14:paraId="15FABE4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b w:val="0"/>
          <w:bCs w:val="0"/>
          <w:i/>
          <w:iCs/>
          <w:color w:val="auto"/>
          <w:sz w:val="21"/>
          <w:szCs w:val="21"/>
          <w:highlight w:val="none"/>
          <w:u w:val="single"/>
          <w:lang w:val="en-US" w:eastAsia="zh-CN"/>
        </w:rPr>
      </w:pPr>
      <w:r>
        <w:rPr>
          <w:rFonts w:hint="eastAsia" w:ascii="宋体" w:hAnsi="宋体" w:cs="宋体"/>
          <w:b w:val="0"/>
          <w:bCs w:val="0"/>
          <w:i/>
          <w:iCs/>
          <w:color w:val="auto"/>
          <w:sz w:val="21"/>
          <w:szCs w:val="21"/>
          <w:highlight w:val="none"/>
          <w:lang w:val="en-US" w:eastAsia="zh-CN"/>
        </w:rPr>
        <w:t>填写要求：根据可研勘察设计、监理、施工或总承包等不同采购类型选择填写批复文件，应提供的批复但还未提供的填“无”，无需提供的填“\”。</w:t>
      </w:r>
    </w:p>
    <w:p w14:paraId="584153AF">
      <w:pPr>
        <w:pStyle w:val="1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sz w:val="21"/>
          <w:szCs w:val="21"/>
          <w:highlight w:val="none"/>
          <w:lang w:val="en-US" w:eastAsia="zh-CN"/>
        </w:rPr>
      </w:pPr>
    </w:p>
    <w:p w14:paraId="7F4C1904">
      <w:pPr>
        <w:pStyle w:val="1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（一）项目概况</w:t>
      </w:r>
      <w:r>
        <w:rPr>
          <w:rFonts w:hint="eastAsia" w:asciiTheme="minorEastAsia" w:hAnsiTheme="minorEastAsia" w:eastAsiaTheme="minorEastAsia" w:cstheme="minorEastAsia"/>
          <w:color w:val="auto"/>
          <w:sz w:val="21"/>
          <w:szCs w:val="21"/>
          <w:highlight w:val="none"/>
          <w:lang w:val="en-US" w:eastAsia="zh-CN"/>
        </w:rPr>
        <w:t>：</w:t>
      </w:r>
      <w:bookmarkEnd w:id="0"/>
      <w:bookmarkStart w:id="1" w:name="_Toc13498"/>
      <w:bookmarkStart w:id="2" w:name="_Toc4755"/>
      <w:bookmarkStart w:id="3" w:name="_Toc28718"/>
    </w:p>
    <w:bookmarkEnd w:id="1"/>
    <w:bookmarkEnd w:id="2"/>
    <w:bookmarkEnd w:id="3"/>
    <w:p w14:paraId="5BA34F6B">
      <w:pPr>
        <w:pStyle w:val="10"/>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hAnsi="宋体" w:cs="宋体"/>
          <w:bCs/>
          <w:color w:val="auto"/>
          <w:sz w:val="21"/>
          <w:szCs w:val="21"/>
          <w:u w:val="single"/>
          <w:lang w:val="en-US" w:eastAsia="zh-CN"/>
        </w:rPr>
        <w:t>包含深圳供电局有限公司2026-2027下达投资计划的中间层项目</w:t>
      </w:r>
      <w:r>
        <w:rPr>
          <w:rFonts w:hint="eastAsia" w:ascii="Times New Roman" w:hAnsi="Times New Roman"/>
          <w:i w:val="0"/>
          <w:iCs w:val="0"/>
          <w:color w:val="auto"/>
          <w:sz w:val="21"/>
          <w:szCs w:val="21"/>
          <w:highlight w:val="none"/>
          <w:u w:val="single"/>
          <w:lang w:val="zh-CN" w:eastAsia="zh-CN"/>
        </w:rPr>
        <w:t>（包含全委托半委托项目）</w:t>
      </w:r>
      <w:r>
        <w:rPr>
          <w:rFonts w:hint="eastAsia" w:ascii="宋体" w:hAnsi="宋体" w:eastAsia="宋体" w:cs="宋体"/>
          <w:i w:val="0"/>
          <w:iCs w:val="0"/>
          <w:color w:val="auto"/>
          <w:sz w:val="21"/>
          <w:szCs w:val="22"/>
          <w:highlight w:val="none"/>
          <w:u w:val="single"/>
          <w:lang w:val="zh-CN" w:eastAsia="zh-CN"/>
        </w:rPr>
        <w:t>。</w:t>
      </w:r>
    </w:p>
    <w:p w14:paraId="4FF3382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（二）采购范围：</w:t>
      </w:r>
    </w:p>
    <w:p w14:paraId="6501FE21">
      <w:pPr>
        <w:spacing w:line="360" w:lineRule="auto"/>
        <w:ind w:firstLine="482" w:firstLineChars="200"/>
        <w:outlineLvl w:val="9"/>
        <w:rPr>
          <w:rFonts w:hint="eastAsia" w:ascii="Times New Roman" w:hAnsi="Times New Roman"/>
          <w:b/>
          <w:bCs/>
          <w:i w:val="0"/>
          <w:iCs w:val="0"/>
          <w:color w:val="000000"/>
          <w:sz w:val="24"/>
          <w:szCs w:val="28"/>
          <w:highlight w:val="none"/>
          <w:u w:val="single"/>
        </w:rPr>
      </w:pPr>
      <w:r>
        <w:rPr>
          <w:rFonts w:hint="eastAsia" w:ascii="Times New Roman" w:hAnsi="Times New Roman"/>
          <w:b/>
          <w:bCs/>
          <w:i w:val="0"/>
          <w:iCs w:val="0"/>
          <w:color w:val="000000"/>
          <w:sz w:val="24"/>
          <w:szCs w:val="28"/>
          <w:highlight w:val="none"/>
          <w:u w:val="single"/>
          <w:lang w:val="en-US" w:eastAsia="zh-CN"/>
        </w:rPr>
        <w:t>1.</w:t>
      </w:r>
      <w:r>
        <w:rPr>
          <w:rFonts w:hint="eastAsia" w:ascii="Times New Roman" w:hAnsi="Times New Roman"/>
          <w:b/>
          <w:bCs/>
          <w:i w:val="0"/>
          <w:iCs w:val="0"/>
          <w:color w:val="000000"/>
          <w:sz w:val="24"/>
          <w:szCs w:val="28"/>
          <w:highlight w:val="none"/>
          <w:u w:val="single"/>
        </w:rPr>
        <w:t>标的</w:t>
      </w:r>
      <w:r>
        <w:rPr>
          <w:rFonts w:hint="eastAsia" w:ascii="Times New Roman" w:hAnsi="Times New Roman"/>
          <w:b/>
          <w:bCs/>
          <w:i w:val="0"/>
          <w:iCs w:val="0"/>
          <w:color w:val="000000"/>
          <w:sz w:val="24"/>
          <w:szCs w:val="28"/>
          <w:highlight w:val="none"/>
          <w:u w:val="single"/>
          <w:lang w:val="en-US" w:eastAsia="zh-CN"/>
        </w:rPr>
        <w:t>1</w:t>
      </w:r>
      <w:r>
        <w:rPr>
          <w:rFonts w:hint="eastAsia" w:ascii="Times New Roman" w:hAnsi="Times New Roman"/>
          <w:b/>
          <w:bCs/>
          <w:i w:val="0"/>
          <w:iCs w:val="0"/>
          <w:color w:val="000000"/>
          <w:sz w:val="24"/>
          <w:szCs w:val="28"/>
          <w:highlight w:val="none"/>
          <w:u w:val="single"/>
        </w:rPr>
        <w:t>：深圳供电局有限公司2026-2027年中间层项目可研勘察设计框架公开招标，</w:t>
      </w:r>
    </w:p>
    <w:p w14:paraId="4208E35D">
      <w:pPr>
        <w:spacing w:line="360" w:lineRule="auto"/>
        <w:ind w:firstLine="480" w:firstLineChars="200"/>
        <w:rPr>
          <w:rFonts w:ascii="Times New Roman" w:hAnsi="Times New Roman"/>
          <w:color w:val="auto"/>
          <w:sz w:val="24"/>
          <w:highlight w:val="none"/>
          <w:u w:val="single"/>
        </w:rPr>
      </w:pPr>
      <w:r>
        <w:rPr>
          <w:rFonts w:hint="eastAsia" w:ascii="宋体" w:hAnsi="宋体" w:eastAsia="宋体" w:cs="宋体"/>
          <w:bCs/>
          <w:color w:val="auto"/>
          <w:kern w:val="0"/>
          <w:sz w:val="24"/>
          <w:highlight w:val="none"/>
          <w:u w:val="single"/>
        </w:rPr>
        <w:t>招标范围：</w:t>
      </w:r>
      <w:r>
        <w:rPr>
          <w:rFonts w:hint="eastAsia" w:ascii="Times New Roman" w:hAnsi="Times New Roman"/>
          <w:color w:val="auto"/>
          <w:sz w:val="24"/>
          <w:highlight w:val="none"/>
          <w:u w:val="single"/>
        </w:rPr>
        <w:t>涉及项目包含</w:t>
      </w:r>
      <w:r>
        <w:rPr>
          <w:rFonts w:hint="eastAsia" w:ascii="Times New Roman" w:hAnsi="Times New Roman"/>
          <w:bCs/>
          <w:color w:val="auto"/>
          <w:sz w:val="24"/>
          <w:szCs w:val="28"/>
          <w:highlight w:val="none"/>
          <w:u w:val="single"/>
        </w:rPr>
        <w:t>深圳供电局有限公司2026-2027年中间层项目</w:t>
      </w:r>
      <w:r>
        <w:rPr>
          <w:rFonts w:hint="eastAsia" w:ascii="Times New Roman" w:hAnsi="Times New Roman"/>
          <w:color w:val="auto"/>
          <w:sz w:val="22"/>
          <w:szCs w:val="22"/>
          <w:highlight w:val="none"/>
          <w:u w:val="single"/>
          <w:lang w:val="zh-CN"/>
        </w:rPr>
        <w:t>（包含全委托半委托项目）</w:t>
      </w:r>
      <w:r>
        <w:rPr>
          <w:rFonts w:hint="eastAsia" w:ascii="Times New Roman" w:hAnsi="Times New Roman"/>
          <w:color w:val="auto"/>
          <w:sz w:val="24"/>
          <w:highlight w:val="none"/>
          <w:u w:val="single"/>
        </w:rPr>
        <w:t>，服务内容包括编制可行性研究报告，并根据深圳供电局有限公司正式下达的可研批复意见及固定资产投资计划，开展工程勘察、管线勘测、定点划线、施工图设计（含施工图预算编制）、设计变更、竣工图文件编制、营配一体化信息资料测录等相关工作，以及现场技术服务和其它有关设计工作。</w:t>
      </w:r>
    </w:p>
    <w:p w14:paraId="0DF1E1EA">
      <w:pPr>
        <w:spacing w:line="360" w:lineRule="auto"/>
        <w:ind w:firstLine="482" w:firstLineChars="200"/>
        <w:rPr>
          <w:rFonts w:ascii="Times New Roman" w:hAnsi="Times New Roman"/>
          <w:b/>
          <w:bCs/>
          <w:color w:val="auto"/>
          <w:sz w:val="24"/>
          <w:szCs w:val="28"/>
          <w:highlight w:val="none"/>
          <w:u w:val="single"/>
        </w:rPr>
      </w:pPr>
      <w:r>
        <w:rPr>
          <w:rFonts w:hint="eastAsia" w:ascii="Times New Roman" w:hAnsi="Times New Roman"/>
          <w:b/>
          <w:bCs/>
          <w:color w:val="auto"/>
          <w:sz w:val="24"/>
          <w:szCs w:val="28"/>
          <w:highlight w:val="none"/>
          <w:u w:val="single"/>
        </w:rPr>
        <w:t>标的</w:t>
      </w:r>
      <w:r>
        <w:rPr>
          <w:rFonts w:ascii="Times New Roman" w:hAnsi="Times New Roman"/>
          <w:b/>
          <w:bCs/>
          <w:color w:val="auto"/>
          <w:sz w:val="24"/>
          <w:szCs w:val="28"/>
          <w:highlight w:val="none"/>
          <w:u w:val="single"/>
        </w:rPr>
        <w:t>1</w:t>
      </w:r>
      <w:r>
        <w:rPr>
          <w:rFonts w:hint="eastAsia" w:ascii="Times New Roman" w:hAnsi="Times New Roman"/>
          <w:b/>
          <w:bCs/>
          <w:color w:val="auto"/>
          <w:sz w:val="24"/>
          <w:szCs w:val="28"/>
          <w:highlight w:val="none"/>
          <w:u w:val="single"/>
        </w:rPr>
        <w:t>招标文件备注条款：</w:t>
      </w:r>
    </w:p>
    <w:p w14:paraId="03B9C234">
      <w:pPr>
        <w:pStyle w:val="17"/>
        <w:widowControl/>
        <w:spacing w:line="360" w:lineRule="auto"/>
        <w:ind w:firstLine="440" w:firstLineChars="200"/>
        <w:jc w:val="left"/>
        <w:rPr>
          <w:rFonts w:ascii="Times New Roman" w:hAnsi="Times New Roman" w:eastAsiaTheme="minorEastAsia" w:cstheme="minorBidi"/>
          <w:color w:val="auto"/>
          <w:sz w:val="22"/>
          <w:highlight w:val="none"/>
          <w:u w:val="single"/>
          <w:lang w:val="en-US" w:bidi="ar-SA"/>
        </w:rPr>
      </w:pPr>
      <w:r>
        <w:rPr>
          <w:rFonts w:hint="eastAsia" w:ascii="Times New Roman" w:hAnsi="Times New Roman" w:eastAsiaTheme="minorEastAsia" w:cstheme="minorBidi"/>
          <w:color w:val="auto"/>
          <w:sz w:val="22"/>
          <w:highlight w:val="none"/>
          <w:u w:val="single"/>
          <w:lang w:val="en-US" w:bidi="ar-SA"/>
        </w:rPr>
        <w:t>1.本项目为框架招标，预计采购金额是采购需求预测数据，仅作为招标预估规模供投标人参考。预计采购金额用于招标完毕后签订框架合同，仅作为招标时相关费用收取及预付款（若有）支付依据。</w:t>
      </w:r>
    </w:p>
    <w:p w14:paraId="0E8C2A96">
      <w:pPr>
        <w:pStyle w:val="17"/>
        <w:widowControl/>
        <w:spacing w:line="360" w:lineRule="auto"/>
        <w:ind w:firstLine="440" w:firstLineChars="200"/>
        <w:jc w:val="left"/>
        <w:rPr>
          <w:rFonts w:ascii="Times New Roman" w:hAnsi="Times New Roman" w:eastAsiaTheme="minorEastAsia" w:cstheme="minorBidi"/>
          <w:color w:val="auto"/>
          <w:sz w:val="22"/>
          <w:highlight w:val="none"/>
          <w:u w:val="single"/>
          <w:lang w:val="en-US" w:bidi="ar-SA"/>
        </w:rPr>
      </w:pPr>
      <w:r>
        <w:rPr>
          <w:rFonts w:hint="eastAsia" w:ascii="Times New Roman" w:hAnsi="Times New Roman" w:eastAsiaTheme="minorEastAsia" w:cstheme="minorBidi"/>
          <w:color w:val="auto"/>
          <w:sz w:val="22"/>
          <w:highlight w:val="none"/>
          <w:u w:val="single"/>
          <w:lang w:val="en-US" w:bidi="ar-SA"/>
        </w:rPr>
        <w:t>2.按照公司要求使用电网管理平台，若违反使用要求，按照南网基建承包商处罚条款进行扣分。</w:t>
      </w:r>
    </w:p>
    <w:p w14:paraId="0BA15831">
      <w:pPr>
        <w:pStyle w:val="17"/>
        <w:widowControl/>
        <w:spacing w:line="360" w:lineRule="auto"/>
        <w:ind w:firstLine="440" w:firstLineChars="200"/>
        <w:jc w:val="left"/>
        <w:rPr>
          <w:rFonts w:ascii="Times New Roman" w:hAnsi="Times New Roman" w:eastAsiaTheme="minorEastAsia" w:cstheme="minorBidi"/>
          <w:color w:val="auto"/>
          <w:sz w:val="22"/>
          <w:highlight w:val="none"/>
          <w:u w:val="single"/>
          <w:lang w:val="en-US" w:bidi="ar-SA"/>
        </w:rPr>
      </w:pPr>
      <w:r>
        <w:rPr>
          <w:rFonts w:hint="eastAsia" w:ascii="Times New Roman" w:hAnsi="Times New Roman" w:eastAsiaTheme="minorEastAsia" w:cstheme="minorBidi"/>
          <w:color w:val="auto"/>
          <w:sz w:val="22"/>
          <w:highlight w:val="none"/>
          <w:u w:val="single"/>
          <w:lang w:val="en-US" w:bidi="ar-SA"/>
        </w:rPr>
        <w:t>3.若由于外部原因、规模变化过大或路径变化等原因导致项目终止，可终止涉及的单项工程可研及勘察设计合同。</w:t>
      </w:r>
    </w:p>
    <w:p w14:paraId="4A57C547">
      <w:pPr>
        <w:pStyle w:val="17"/>
        <w:widowControl/>
        <w:spacing w:line="360" w:lineRule="auto"/>
        <w:ind w:firstLine="440" w:firstLineChars="200"/>
        <w:jc w:val="left"/>
        <w:rPr>
          <w:rFonts w:ascii="Times New Roman" w:hAnsi="Times New Roman" w:eastAsiaTheme="minorEastAsia" w:cstheme="minorBidi"/>
          <w:color w:val="auto"/>
          <w:sz w:val="22"/>
          <w:highlight w:val="none"/>
          <w:u w:val="single"/>
          <w:lang w:val="en-US" w:bidi="ar-SA"/>
        </w:rPr>
      </w:pPr>
      <w:r>
        <w:rPr>
          <w:rFonts w:hint="eastAsia" w:ascii="Times New Roman" w:hAnsi="Times New Roman" w:eastAsiaTheme="minorEastAsia" w:cstheme="minorBidi"/>
          <w:color w:val="auto"/>
          <w:sz w:val="22"/>
          <w:highlight w:val="none"/>
          <w:u w:val="single"/>
          <w:lang w:val="en-US" w:bidi="ar-SA"/>
        </w:rPr>
        <w:t>4.中标单位需认真执行南方电网、深圳供电局印发的标准设计及典型造价文件要求，支撑配网基建安全、可靠、绿色、高效、智能的现代化电网。</w:t>
      </w:r>
    </w:p>
    <w:p w14:paraId="02117D34">
      <w:pPr>
        <w:pStyle w:val="17"/>
        <w:widowControl/>
        <w:spacing w:line="360" w:lineRule="auto"/>
        <w:ind w:firstLine="440" w:firstLineChars="200"/>
        <w:jc w:val="left"/>
        <w:rPr>
          <w:rFonts w:ascii="Times New Roman" w:hAnsi="Times New Roman" w:eastAsiaTheme="minorEastAsia" w:cstheme="minorBidi"/>
          <w:color w:val="auto"/>
          <w:sz w:val="22"/>
          <w:highlight w:val="none"/>
          <w:u w:val="single"/>
          <w:lang w:val="en-US" w:bidi="ar-SA"/>
        </w:rPr>
      </w:pPr>
      <w:r>
        <w:rPr>
          <w:rFonts w:ascii="Times New Roman" w:hAnsi="Times New Roman" w:eastAsiaTheme="minorEastAsia" w:cstheme="minorBidi"/>
          <w:color w:val="auto"/>
          <w:sz w:val="22"/>
          <w:highlight w:val="none"/>
          <w:u w:val="single"/>
          <w:lang w:val="en-US" w:bidi="ar-SA"/>
        </w:rPr>
        <w:t>5</w:t>
      </w:r>
      <w:r>
        <w:rPr>
          <w:rFonts w:hint="eastAsia" w:ascii="Times New Roman" w:hAnsi="Times New Roman" w:eastAsiaTheme="minorEastAsia" w:cstheme="minorBidi"/>
          <w:color w:val="auto"/>
          <w:sz w:val="22"/>
          <w:highlight w:val="none"/>
          <w:u w:val="single"/>
          <w:lang w:val="en-US" w:bidi="ar-SA"/>
        </w:rPr>
        <w:t>如承包人有违反相关管理要求、工作不配合或自身失误导致履约进度及质量不符合发包人要求等行为，发包人有权向承包人提出经济索赔，详见合同文本专用部分。</w:t>
      </w:r>
    </w:p>
    <w:p w14:paraId="2F4604C1">
      <w:pPr>
        <w:pStyle w:val="17"/>
        <w:widowControl/>
        <w:spacing w:line="360" w:lineRule="auto"/>
        <w:ind w:firstLine="440" w:firstLineChars="200"/>
        <w:jc w:val="left"/>
        <w:rPr>
          <w:rFonts w:ascii="Times New Roman" w:hAnsi="Times New Roman" w:eastAsiaTheme="minorEastAsia" w:cstheme="minorBidi"/>
          <w:color w:val="auto"/>
          <w:sz w:val="22"/>
          <w:highlight w:val="none"/>
          <w:u w:val="single"/>
          <w:lang w:val="en-US" w:bidi="ar-SA"/>
        </w:rPr>
      </w:pPr>
      <w:r>
        <w:rPr>
          <w:rFonts w:ascii="Times New Roman" w:hAnsi="Times New Roman" w:eastAsiaTheme="minorEastAsia" w:cstheme="minorBidi"/>
          <w:color w:val="auto"/>
          <w:sz w:val="22"/>
          <w:highlight w:val="none"/>
          <w:u w:val="single"/>
          <w:lang w:val="en-US" w:bidi="ar-SA"/>
        </w:rPr>
        <w:t>6</w:t>
      </w:r>
      <w:r>
        <w:rPr>
          <w:rFonts w:hint="eastAsia" w:ascii="Times New Roman" w:hAnsi="Times New Roman" w:eastAsiaTheme="minorEastAsia" w:cstheme="minorBidi"/>
          <w:color w:val="auto"/>
          <w:sz w:val="22"/>
          <w:highlight w:val="none"/>
          <w:u w:val="single"/>
          <w:lang w:val="en-US" w:bidi="ar-SA"/>
        </w:rPr>
        <w:t>.公司增值税专用发票开票信息：名称：深圳供电局有限公司，纳税人识别号：91440300589179428T，开户银行及账号：建行罗湖支行44201528600059166666，地址：深圳市罗湖区深南东路4020号电力调度通信大楼，电话：0755-88933333。</w:t>
      </w:r>
    </w:p>
    <w:p w14:paraId="5825F5EA">
      <w:pPr>
        <w:pStyle w:val="17"/>
        <w:widowControl/>
        <w:spacing w:line="360" w:lineRule="auto"/>
        <w:ind w:firstLine="440" w:firstLineChars="200"/>
        <w:jc w:val="left"/>
        <w:rPr>
          <w:rFonts w:ascii="Times New Roman" w:hAnsi="Times New Roman" w:eastAsiaTheme="minorEastAsia" w:cstheme="minorBidi"/>
          <w:color w:val="auto"/>
          <w:sz w:val="22"/>
          <w:highlight w:val="none"/>
          <w:u w:val="single"/>
          <w:lang w:val="en-US" w:bidi="ar-SA"/>
        </w:rPr>
      </w:pPr>
      <w:r>
        <w:rPr>
          <w:rFonts w:ascii="Times New Roman" w:hAnsi="Times New Roman" w:eastAsiaTheme="minorEastAsia" w:cstheme="minorBidi"/>
          <w:color w:val="auto"/>
          <w:sz w:val="22"/>
          <w:highlight w:val="none"/>
          <w:u w:val="single"/>
          <w:lang w:val="en-US" w:bidi="ar-SA"/>
        </w:rPr>
        <w:t>7</w:t>
      </w:r>
      <w:r>
        <w:rPr>
          <w:rFonts w:hint="eastAsia" w:ascii="Times New Roman" w:hAnsi="Times New Roman" w:eastAsiaTheme="minorEastAsia" w:cstheme="minorBidi"/>
          <w:color w:val="auto"/>
          <w:sz w:val="22"/>
          <w:highlight w:val="none"/>
          <w:u w:val="single"/>
          <w:lang w:val="en-US" w:bidi="ar-SA"/>
        </w:rPr>
        <w:t>.税金费用执行《关于全面推开营业税改征增值税试点的通知》（财税 [2016]36 号）及国家最新税收政策，采用一般纳税人计税方法计列增值税。投标单位中标后须按规定提供采用一般纳税人计税方法计税的建筑业增值税税率的增值税专用发票，若中标单位采用简易计税方法计税，则在结算过程中调整相应结算金额。</w:t>
      </w:r>
    </w:p>
    <w:p w14:paraId="4D302DE2">
      <w:pPr>
        <w:pStyle w:val="17"/>
        <w:widowControl/>
        <w:spacing w:line="360" w:lineRule="auto"/>
        <w:ind w:firstLine="440" w:firstLineChars="200"/>
        <w:jc w:val="left"/>
        <w:rPr>
          <w:rFonts w:ascii="Times New Roman" w:hAnsi="Times New Roman" w:eastAsiaTheme="minorEastAsia" w:cstheme="minorBidi"/>
          <w:color w:val="auto"/>
          <w:sz w:val="22"/>
          <w:highlight w:val="none"/>
          <w:u w:val="single"/>
          <w:lang w:val="en-US" w:bidi="ar-SA"/>
        </w:rPr>
      </w:pPr>
      <w:r>
        <w:rPr>
          <w:rFonts w:ascii="Times New Roman" w:hAnsi="Times New Roman" w:eastAsiaTheme="minorEastAsia" w:cstheme="minorBidi"/>
          <w:color w:val="auto"/>
          <w:sz w:val="22"/>
          <w:highlight w:val="none"/>
          <w:u w:val="single"/>
          <w:lang w:val="en-US" w:bidi="ar-SA"/>
        </w:rPr>
        <w:t>8</w:t>
      </w:r>
      <w:r>
        <w:rPr>
          <w:rFonts w:hint="eastAsia" w:ascii="Times New Roman" w:hAnsi="Times New Roman" w:eastAsiaTheme="minorEastAsia" w:cstheme="minorBidi"/>
          <w:color w:val="auto"/>
          <w:sz w:val="22"/>
          <w:highlight w:val="none"/>
          <w:u w:val="single"/>
          <w:lang w:val="en-US" w:bidi="ar-SA"/>
        </w:rPr>
        <w:t>.招标代理费由中标单位自行承担，中标单位在投标时自行考虑，结算时不另计取。</w:t>
      </w:r>
    </w:p>
    <w:p w14:paraId="18BE29C7">
      <w:pPr>
        <w:pStyle w:val="17"/>
        <w:widowControl/>
        <w:spacing w:line="360" w:lineRule="auto"/>
        <w:ind w:firstLine="440" w:firstLineChars="200"/>
        <w:jc w:val="left"/>
        <w:rPr>
          <w:rFonts w:ascii="Times New Roman" w:hAnsi="Times New Roman" w:eastAsiaTheme="minorEastAsia" w:cstheme="minorBidi"/>
          <w:color w:val="auto"/>
          <w:sz w:val="22"/>
          <w:highlight w:val="none"/>
          <w:u w:val="single"/>
          <w:lang w:val="en-US" w:bidi="ar-SA"/>
        </w:rPr>
      </w:pPr>
      <w:r>
        <w:rPr>
          <w:rFonts w:ascii="Times New Roman" w:hAnsi="Times New Roman" w:eastAsiaTheme="minorEastAsia" w:cstheme="minorBidi"/>
          <w:color w:val="auto"/>
          <w:sz w:val="22"/>
          <w:highlight w:val="none"/>
          <w:u w:val="single"/>
          <w:lang w:val="en-US" w:bidi="ar-SA"/>
        </w:rPr>
        <w:t>9</w:t>
      </w:r>
      <w:r>
        <w:rPr>
          <w:rFonts w:hint="eastAsia" w:ascii="Times New Roman" w:hAnsi="Times New Roman" w:eastAsiaTheme="minorEastAsia" w:cstheme="minorBidi"/>
          <w:color w:val="auto"/>
          <w:sz w:val="22"/>
          <w:highlight w:val="none"/>
          <w:u w:val="single"/>
          <w:lang w:val="en-US" w:bidi="ar-SA"/>
        </w:rPr>
        <w:t>.上述要求若有最新规定，则按照国家、地方及公司最新要求执行。对于以上提及未尽事项，将通过补充协议予以明确。</w:t>
      </w:r>
    </w:p>
    <w:p w14:paraId="76E9B2CF">
      <w:pPr>
        <w:spacing w:line="360" w:lineRule="auto"/>
        <w:ind w:firstLine="482" w:firstLineChars="200"/>
        <w:outlineLvl w:val="9"/>
        <w:rPr>
          <w:rFonts w:hint="eastAsia" w:ascii="Times New Roman" w:hAnsi="Times New Roman"/>
          <w:b/>
          <w:bCs/>
          <w:i w:val="0"/>
          <w:iCs w:val="0"/>
          <w:color w:val="000000"/>
          <w:sz w:val="24"/>
          <w:szCs w:val="28"/>
          <w:highlight w:val="none"/>
          <w:u w:val="single"/>
        </w:rPr>
      </w:pPr>
      <w:r>
        <w:rPr>
          <w:rFonts w:hint="eastAsia" w:ascii="Times New Roman" w:hAnsi="Times New Roman"/>
          <w:b/>
          <w:bCs/>
          <w:i w:val="0"/>
          <w:iCs w:val="0"/>
          <w:color w:val="000000"/>
          <w:sz w:val="24"/>
          <w:szCs w:val="28"/>
          <w:highlight w:val="none"/>
          <w:u w:val="single"/>
          <w:lang w:val="en-US" w:eastAsia="zh-CN"/>
        </w:rPr>
        <w:t>2.</w:t>
      </w:r>
      <w:r>
        <w:rPr>
          <w:rFonts w:hint="eastAsia" w:ascii="Times New Roman" w:hAnsi="Times New Roman"/>
          <w:b/>
          <w:bCs/>
          <w:i w:val="0"/>
          <w:iCs w:val="0"/>
          <w:color w:val="000000"/>
          <w:sz w:val="24"/>
          <w:szCs w:val="28"/>
          <w:highlight w:val="none"/>
          <w:u w:val="single"/>
        </w:rPr>
        <w:t>标的</w:t>
      </w:r>
      <w:r>
        <w:rPr>
          <w:rFonts w:hint="eastAsia" w:ascii="Times New Roman" w:hAnsi="Times New Roman"/>
          <w:b/>
          <w:bCs/>
          <w:i w:val="0"/>
          <w:iCs w:val="0"/>
          <w:color w:val="000000"/>
          <w:sz w:val="24"/>
          <w:szCs w:val="28"/>
          <w:highlight w:val="none"/>
          <w:u w:val="single"/>
          <w:lang w:val="en-US" w:eastAsia="zh-CN"/>
        </w:rPr>
        <w:t>2</w:t>
      </w:r>
      <w:r>
        <w:rPr>
          <w:rFonts w:hint="eastAsia" w:ascii="Times New Roman" w:hAnsi="Times New Roman"/>
          <w:b/>
          <w:bCs/>
          <w:i w:val="0"/>
          <w:iCs w:val="0"/>
          <w:color w:val="000000"/>
          <w:sz w:val="24"/>
          <w:szCs w:val="28"/>
          <w:highlight w:val="none"/>
          <w:u w:val="single"/>
        </w:rPr>
        <w:t>：深圳供电局有限公司2026-2027年中间层项目监理服务框架公开招标</w:t>
      </w:r>
    </w:p>
    <w:p w14:paraId="20E756A9">
      <w:pPr>
        <w:spacing w:line="360" w:lineRule="auto"/>
        <w:ind w:firstLine="482" w:firstLineChars="200"/>
        <w:rPr>
          <w:rFonts w:ascii="宋体" w:hAnsi="宋体" w:eastAsia="宋体" w:cs="宋体"/>
          <w:color w:val="auto"/>
          <w:sz w:val="24"/>
          <w:szCs w:val="28"/>
          <w:highlight w:val="none"/>
          <w:u w:val="single"/>
        </w:rPr>
      </w:pPr>
      <w:r>
        <w:rPr>
          <w:rFonts w:hint="eastAsia" w:ascii="宋体" w:hAnsi="宋体" w:eastAsia="宋体" w:cs="宋体"/>
          <w:b/>
          <w:bCs/>
          <w:color w:val="auto"/>
          <w:sz w:val="24"/>
          <w:szCs w:val="28"/>
          <w:highlight w:val="none"/>
          <w:u w:val="single"/>
        </w:rPr>
        <w:t>招标范围：</w:t>
      </w:r>
      <w:r>
        <w:rPr>
          <w:rFonts w:hint="eastAsia" w:ascii="宋体" w:hAnsi="宋体" w:eastAsia="宋体" w:cs="宋体"/>
          <w:color w:val="auto"/>
          <w:sz w:val="24"/>
          <w:szCs w:val="28"/>
          <w:highlight w:val="none"/>
          <w:u w:val="single"/>
        </w:rPr>
        <w:t>涉及项目包含深圳供电局有限公司2026-2027年中间层项目</w:t>
      </w:r>
      <w:r>
        <w:rPr>
          <w:rFonts w:hint="eastAsia" w:ascii="宋体" w:hAnsi="宋体" w:eastAsia="宋体" w:cs="宋体"/>
          <w:color w:val="auto"/>
          <w:sz w:val="24"/>
          <w:szCs w:val="28"/>
          <w:highlight w:val="none"/>
          <w:u w:val="single"/>
          <w:lang w:val="zh-CN"/>
        </w:rPr>
        <w:t>（包含全委托半委托项目）</w:t>
      </w:r>
      <w:r>
        <w:rPr>
          <w:rFonts w:hint="eastAsia" w:ascii="宋体" w:hAnsi="宋体" w:eastAsia="宋体" w:cs="宋体"/>
          <w:color w:val="auto"/>
          <w:sz w:val="24"/>
          <w:szCs w:val="28"/>
          <w:highlight w:val="none"/>
          <w:u w:val="single"/>
        </w:rPr>
        <w:t>，包括勘察设计（若有）、施工准备（含三通一平）、施工、保修阶段、竣工结算、缺陷责任期、电子化移交的全过程监理服务，并需按照建设单位要求使用工程信息管理系统。</w:t>
      </w:r>
    </w:p>
    <w:p w14:paraId="75DD1FF4">
      <w:pPr>
        <w:spacing w:line="360" w:lineRule="auto"/>
        <w:ind w:firstLine="482" w:firstLineChars="200"/>
        <w:rPr>
          <w:rFonts w:ascii="Times New Roman" w:hAnsi="Times New Roman"/>
          <w:b/>
          <w:bCs/>
          <w:color w:val="auto"/>
          <w:sz w:val="24"/>
          <w:szCs w:val="28"/>
          <w:highlight w:val="none"/>
          <w:u w:val="single"/>
        </w:rPr>
      </w:pPr>
      <w:r>
        <w:rPr>
          <w:rFonts w:hint="eastAsia" w:ascii="Times New Roman" w:hAnsi="Times New Roman"/>
          <w:b/>
          <w:bCs/>
          <w:color w:val="auto"/>
          <w:sz w:val="24"/>
          <w:szCs w:val="28"/>
          <w:highlight w:val="none"/>
          <w:u w:val="single"/>
        </w:rPr>
        <w:t>标的2招标文件备注条款：</w:t>
      </w:r>
    </w:p>
    <w:p w14:paraId="0F6381BC">
      <w:pPr>
        <w:spacing w:line="360" w:lineRule="auto"/>
        <w:ind w:firstLine="480" w:firstLineChars="200"/>
        <w:rPr>
          <w:rFonts w:ascii="Times New Roman" w:hAnsi="Times New Roman"/>
          <w:color w:val="auto"/>
          <w:sz w:val="24"/>
          <w:szCs w:val="28"/>
          <w:highlight w:val="none"/>
          <w:u w:val="single"/>
        </w:rPr>
      </w:pPr>
      <w:r>
        <w:rPr>
          <w:rFonts w:hint="eastAsia" w:ascii="Times New Roman" w:hAnsi="Times New Roman"/>
          <w:color w:val="auto"/>
          <w:sz w:val="24"/>
          <w:szCs w:val="28"/>
          <w:highlight w:val="none"/>
          <w:u w:val="single"/>
        </w:rPr>
        <w:t>1、执行《关于铁路、公路、水运、水利、能源、机场工程建设项目参加工伤保险工作的通知》（人社部发〔2018〕3号），工伤保险，其保险费率、保险金额的约定：按照国家及公司相关规定执行。</w:t>
      </w:r>
    </w:p>
    <w:p w14:paraId="03544F49">
      <w:pPr>
        <w:spacing w:line="360" w:lineRule="auto"/>
        <w:ind w:firstLine="480" w:firstLineChars="200"/>
        <w:rPr>
          <w:rFonts w:ascii="Times New Roman" w:hAnsi="Times New Roman"/>
          <w:color w:val="auto"/>
          <w:sz w:val="24"/>
          <w:szCs w:val="28"/>
          <w:highlight w:val="none"/>
          <w:u w:val="single"/>
        </w:rPr>
      </w:pPr>
      <w:r>
        <w:rPr>
          <w:rFonts w:hint="eastAsia" w:ascii="Times New Roman" w:hAnsi="Times New Roman"/>
          <w:color w:val="auto"/>
          <w:sz w:val="24"/>
          <w:szCs w:val="28"/>
          <w:highlight w:val="none"/>
          <w:u w:val="single"/>
        </w:rPr>
        <w:t>2、执行《关于加强基建工程勘察设计阶段监理工作要求的通知》，结算的监理费须与中标单位在本项目中参与的项目实施阶段对应，结算时由各区供电局进行复核确认。</w:t>
      </w:r>
    </w:p>
    <w:p w14:paraId="77ECF933">
      <w:pPr>
        <w:spacing w:line="360" w:lineRule="auto"/>
        <w:ind w:firstLine="480" w:firstLineChars="200"/>
        <w:rPr>
          <w:rFonts w:ascii="Times New Roman" w:hAnsi="Times New Roman"/>
          <w:color w:val="auto"/>
          <w:sz w:val="24"/>
          <w:szCs w:val="28"/>
          <w:highlight w:val="none"/>
          <w:u w:val="single"/>
        </w:rPr>
      </w:pPr>
      <w:r>
        <w:rPr>
          <w:rFonts w:hint="eastAsia" w:ascii="Times New Roman" w:hAnsi="Times New Roman"/>
          <w:color w:val="auto"/>
          <w:sz w:val="24"/>
          <w:szCs w:val="28"/>
          <w:highlight w:val="none"/>
          <w:u w:val="single"/>
        </w:rPr>
        <w:t>3、税金费用执行国家及工程所在地政府的最新增值税相关规定，执行《住房和城乡建设部办公厅关于重新调整建设工程计价依据增值税税率的通知》（建办函[2019]193 号）要求， 一般纳税人必须开 6%的增值税票(若国家有最新要求则执行最新要求)。</w:t>
      </w:r>
    </w:p>
    <w:p w14:paraId="19C0B170">
      <w:pPr>
        <w:spacing w:line="360" w:lineRule="auto"/>
        <w:ind w:firstLine="480" w:firstLineChars="200"/>
        <w:rPr>
          <w:rFonts w:ascii="Times New Roman" w:hAnsi="Times New Roman"/>
          <w:color w:val="auto"/>
          <w:sz w:val="24"/>
          <w:szCs w:val="28"/>
          <w:highlight w:val="none"/>
          <w:u w:val="single"/>
        </w:rPr>
      </w:pPr>
      <w:r>
        <w:rPr>
          <w:rFonts w:hint="eastAsia" w:ascii="Times New Roman" w:hAnsi="Times New Roman"/>
          <w:color w:val="auto"/>
          <w:sz w:val="24"/>
          <w:szCs w:val="28"/>
          <w:highlight w:val="none"/>
          <w:u w:val="single"/>
        </w:rPr>
        <w:t>4、公司增值税专用发票开票信息名称：深圳供电局有限公司，纳税人识别号：91440300589179428T，开户银行及账号：建行罗湖支行44201528600059166666，地址:深圳市罗湖区深 南东路4020 号电力调度通信大楼，电话:0755-88933333。</w:t>
      </w:r>
    </w:p>
    <w:p w14:paraId="0C263A24">
      <w:pPr>
        <w:spacing w:line="360" w:lineRule="auto"/>
        <w:ind w:firstLine="480" w:firstLineChars="200"/>
        <w:rPr>
          <w:rFonts w:ascii="Times New Roman" w:hAnsi="Times New Roman"/>
          <w:color w:val="auto"/>
          <w:sz w:val="24"/>
          <w:szCs w:val="28"/>
          <w:highlight w:val="none"/>
          <w:u w:val="single"/>
        </w:rPr>
      </w:pPr>
      <w:r>
        <w:rPr>
          <w:rFonts w:hint="eastAsia" w:ascii="Times New Roman" w:hAnsi="Times New Roman"/>
          <w:color w:val="auto"/>
          <w:sz w:val="24"/>
          <w:szCs w:val="28"/>
          <w:highlight w:val="none"/>
          <w:u w:val="single"/>
        </w:rPr>
        <w:t>5、总监理工程师严格按照《建设工程监理规范》规定执行相关要求。</w:t>
      </w:r>
    </w:p>
    <w:p w14:paraId="3946F23C">
      <w:pPr>
        <w:spacing w:line="360" w:lineRule="auto"/>
        <w:ind w:firstLine="480" w:firstLineChars="200"/>
        <w:rPr>
          <w:rFonts w:ascii="Times New Roman" w:hAnsi="Times New Roman"/>
          <w:color w:val="auto"/>
          <w:sz w:val="24"/>
          <w:szCs w:val="28"/>
          <w:highlight w:val="none"/>
          <w:u w:val="single"/>
        </w:rPr>
      </w:pPr>
      <w:r>
        <w:rPr>
          <w:rFonts w:hint="eastAsia" w:ascii="Times New Roman" w:hAnsi="Times New Roman"/>
          <w:color w:val="auto"/>
          <w:sz w:val="24"/>
          <w:szCs w:val="28"/>
          <w:highlight w:val="none"/>
          <w:u w:val="single"/>
        </w:rPr>
        <w:t>6、执行《关于印发工程领域违法转分包专项治理措施的通知》南方电网基建〔2019〕18号</w:t>
      </w:r>
    </w:p>
    <w:p w14:paraId="5AE039EA">
      <w:pPr>
        <w:spacing w:line="360" w:lineRule="auto"/>
        <w:ind w:firstLine="480" w:firstLineChars="200"/>
        <w:rPr>
          <w:rFonts w:ascii="Times New Roman" w:hAnsi="Times New Roman"/>
          <w:color w:val="auto"/>
          <w:sz w:val="24"/>
          <w:szCs w:val="28"/>
          <w:highlight w:val="none"/>
          <w:u w:val="single"/>
        </w:rPr>
      </w:pPr>
      <w:r>
        <w:rPr>
          <w:rFonts w:hint="eastAsia" w:ascii="Times New Roman" w:hAnsi="Times New Roman"/>
          <w:color w:val="auto"/>
          <w:sz w:val="24"/>
          <w:szCs w:val="28"/>
          <w:highlight w:val="none"/>
          <w:u w:val="single"/>
        </w:rPr>
        <w:t>7、执行深圳供电局有限公司承包商单位安全管理业务指导书要求。</w:t>
      </w:r>
    </w:p>
    <w:p w14:paraId="2BB4DDCA">
      <w:pPr>
        <w:spacing w:line="360" w:lineRule="auto"/>
        <w:ind w:firstLine="480" w:firstLineChars="200"/>
        <w:rPr>
          <w:rFonts w:ascii="Times New Roman" w:hAnsi="Times New Roman"/>
          <w:color w:val="auto"/>
          <w:sz w:val="24"/>
          <w:szCs w:val="28"/>
          <w:highlight w:val="none"/>
          <w:u w:val="single"/>
        </w:rPr>
      </w:pPr>
      <w:r>
        <w:rPr>
          <w:rFonts w:hint="eastAsia" w:ascii="Times New Roman" w:hAnsi="Times New Roman"/>
          <w:color w:val="auto"/>
          <w:sz w:val="24"/>
          <w:szCs w:val="28"/>
          <w:highlight w:val="none"/>
          <w:u w:val="single"/>
        </w:rPr>
        <w:t>8、执行深圳供电局有限公司基建优质工程评选管理实施细则</w:t>
      </w:r>
    </w:p>
    <w:p w14:paraId="65B55434">
      <w:pPr>
        <w:spacing w:line="360" w:lineRule="auto"/>
        <w:ind w:firstLine="480" w:firstLineChars="200"/>
        <w:rPr>
          <w:rFonts w:ascii="Times New Roman" w:hAnsi="Times New Roman"/>
          <w:color w:val="auto"/>
          <w:sz w:val="24"/>
          <w:szCs w:val="28"/>
          <w:highlight w:val="none"/>
          <w:u w:val="single"/>
        </w:rPr>
      </w:pPr>
      <w:r>
        <w:rPr>
          <w:rFonts w:hint="eastAsia" w:ascii="Times New Roman" w:hAnsi="Times New Roman"/>
          <w:color w:val="auto"/>
          <w:sz w:val="24"/>
          <w:szCs w:val="28"/>
          <w:highlight w:val="none"/>
          <w:u w:val="single"/>
        </w:rPr>
        <w:t>9、履约担保以公司最新文件要求为准。</w:t>
      </w:r>
    </w:p>
    <w:p w14:paraId="462D61D4">
      <w:pPr>
        <w:spacing w:line="360" w:lineRule="auto"/>
        <w:ind w:firstLine="480" w:firstLineChars="200"/>
        <w:rPr>
          <w:rFonts w:ascii="Times New Roman" w:hAnsi="Times New Roman"/>
          <w:color w:val="auto"/>
          <w:sz w:val="24"/>
          <w:szCs w:val="28"/>
          <w:highlight w:val="none"/>
          <w:u w:val="single"/>
        </w:rPr>
      </w:pPr>
      <w:r>
        <w:rPr>
          <w:rFonts w:hint="eastAsia" w:ascii="Times New Roman" w:hAnsi="Times New Roman"/>
          <w:color w:val="auto"/>
          <w:sz w:val="24"/>
          <w:szCs w:val="28"/>
          <w:highlight w:val="none"/>
          <w:u w:val="single"/>
        </w:rPr>
        <w:t>10、严格执行《保障农民工工资支付条例（国令第 724 号）》《深圳市住房和建设局关于严格落实工程款支付担保制度及保障农民工工资足额支付工作的通知》《工程建设领域农民工工资保证金规定》《关于再次明确公司基建项目保障农民工工资支付管理工作要求的通知》（办工程〔2024〕37号）《关于保障配网基建领域农民工工资支付工作会议纪要》（工程纪要〔2024〕50号）等相关要求，开设农民工工资支付专用账户、农民工工资保证金账户，签订《保障农民工工资协议》，确保及时足额支付农民工工资。中标单位应结合项目实施进度，及时向建设单位发起各项工程款支付申请，若有违反，无条件接受公司相关处罚。建设单位向中标单位支付每一笔工程款时，应将其中10%比例的资金直接支付至农民工工资支付专用账户，具体以公司发布的相关管理要求为准。</w:t>
      </w:r>
    </w:p>
    <w:p w14:paraId="5E110D63">
      <w:pPr>
        <w:spacing w:line="360" w:lineRule="auto"/>
        <w:ind w:firstLine="480" w:firstLineChars="200"/>
        <w:rPr>
          <w:rFonts w:ascii="Times New Roman" w:hAnsi="Times New Roman"/>
          <w:color w:val="auto"/>
          <w:sz w:val="24"/>
          <w:szCs w:val="28"/>
          <w:highlight w:val="none"/>
          <w:u w:val="single"/>
        </w:rPr>
      </w:pPr>
      <w:r>
        <w:rPr>
          <w:rFonts w:hint="eastAsia" w:ascii="Times New Roman" w:hAnsi="Times New Roman"/>
          <w:color w:val="auto"/>
          <w:sz w:val="24"/>
          <w:szCs w:val="28"/>
          <w:highlight w:val="none"/>
          <w:u w:val="single"/>
        </w:rPr>
        <w:t>11、监理单位需对施工单位道路开挖量进行审核，对中标的养护企业修复道路的工程量进行确认，作为后续道路修复协议结算的依据。</w:t>
      </w:r>
    </w:p>
    <w:p w14:paraId="461DED62">
      <w:pPr>
        <w:spacing w:line="360" w:lineRule="auto"/>
        <w:ind w:firstLine="480" w:firstLineChars="200"/>
        <w:rPr>
          <w:rFonts w:ascii="Times New Roman" w:hAnsi="Times New Roman"/>
          <w:color w:val="auto"/>
          <w:sz w:val="24"/>
          <w:szCs w:val="28"/>
          <w:highlight w:val="none"/>
          <w:u w:val="single"/>
        </w:rPr>
      </w:pPr>
      <w:r>
        <w:rPr>
          <w:rFonts w:hint="eastAsia" w:ascii="Times New Roman" w:hAnsi="Times New Roman"/>
          <w:color w:val="auto"/>
          <w:sz w:val="24"/>
          <w:szCs w:val="28"/>
          <w:highlight w:val="none"/>
          <w:u w:val="single"/>
        </w:rPr>
        <w:t>12、工程监理单位未对施工组织设计中的安全技术措施或者专项施工方案进行审查的；发现安全事故隐患未及时要求施工单位整改或者暂时停止施工的；施工单位拒不整改或者不停止施工，未及时向有关主管部门报告的；未依照法律、法规和工程建设强制性标准以及不按照委托监理合同的约定履行监理义务，对应当监督检查的项目不检查或者不按照规定检查实施监理的，责令监理单位限期改正，逾期未改正的，按照中国南方电网有限责任公司及深圳供电局有限公司承包商扣分处罚条款对监理单位进行处罚。</w:t>
      </w:r>
    </w:p>
    <w:p w14:paraId="3989414E">
      <w:pPr>
        <w:spacing w:line="360" w:lineRule="auto"/>
        <w:ind w:firstLine="480" w:firstLineChars="200"/>
        <w:rPr>
          <w:rFonts w:ascii="Times New Roman" w:hAnsi="Times New Roman"/>
          <w:color w:val="auto"/>
          <w:sz w:val="24"/>
          <w:szCs w:val="28"/>
          <w:highlight w:val="none"/>
          <w:u w:val="single"/>
        </w:rPr>
      </w:pPr>
      <w:r>
        <w:rPr>
          <w:rFonts w:hint="eastAsia" w:ascii="Times New Roman" w:hAnsi="Times New Roman"/>
          <w:color w:val="auto"/>
          <w:sz w:val="24"/>
          <w:szCs w:val="28"/>
          <w:highlight w:val="none"/>
          <w:u w:val="single"/>
        </w:rPr>
        <w:t>13、工程监理单位与建设单位或者施工单位串通，弄虚作假、降低工程质量或者将不合格的建设工程、建筑材料、建筑构配件和设备按照合格签字，造成质量事故的，按照中国南方电网有限责任公司及深圳供电局有限公司承包商扣分处罚条款对监理单位进行处罚。</w:t>
      </w:r>
    </w:p>
    <w:p w14:paraId="4F8BB8DB">
      <w:pPr>
        <w:spacing w:line="360" w:lineRule="auto"/>
        <w:ind w:firstLine="480" w:firstLineChars="200"/>
        <w:rPr>
          <w:color w:val="auto"/>
          <w:highlight w:val="none"/>
          <w:u w:val="single"/>
        </w:rPr>
      </w:pPr>
      <w:r>
        <w:rPr>
          <w:rFonts w:hint="eastAsia" w:ascii="Times New Roman" w:hAnsi="Times New Roman"/>
          <w:color w:val="auto"/>
          <w:sz w:val="24"/>
          <w:szCs w:val="28"/>
          <w:highlight w:val="none"/>
          <w:u w:val="single"/>
        </w:rPr>
        <w:t>14、若中标单位存在多次重复申报工程进度款或结算款，若情节恶劣者，公司可根据情况处以虚报总额的1-3倍处罚。</w:t>
      </w:r>
    </w:p>
    <w:p w14:paraId="4D60DA31">
      <w:pPr>
        <w:pStyle w:val="3"/>
        <w:keepNext w:val="0"/>
        <w:keepLines w:val="0"/>
        <w:pageBreakBefore w:val="0"/>
        <w:numPr>
          <w:ilvl w:val="0"/>
          <w:numId w:val="1"/>
        </w:numPr>
        <w:kinsoku/>
        <w:wordWrap/>
        <w:overflowPunct/>
        <w:topLinePunct w:val="0"/>
        <w:bidi w:val="0"/>
        <w:spacing w:line="360" w:lineRule="auto"/>
        <w:rPr>
          <w:rFonts w:hint="eastAsia" w:asciiTheme="minorEastAsia" w:hAnsiTheme="minorEastAsia" w:eastAsiaTheme="minorEastAsia" w:cstheme="minorEastAsia"/>
          <w:b/>
          <w:bCs/>
          <w:i w:val="0"/>
          <w:color w:val="auto"/>
          <w:kern w:val="2"/>
          <w:sz w:val="21"/>
          <w:szCs w:val="21"/>
          <w:highlight w:val="none"/>
          <w:lang w:val="en-US" w:eastAsia="zh-CN" w:bidi="ar-SA"/>
        </w:rPr>
      </w:pPr>
      <w:r>
        <w:rPr>
          <w:rFonts w:hint="eastAsia" w:asciiTheme="minorEastAsia" w:hAnsiTheme="minorEastAsia" w:eastAsiaTheme="minorEastAsia" w:cstheme="minorEastAsia"/>
          <w:b/>
          <w:bCs/>
          <w:i w:val="0"/>
          <w:color w:val="auto"/>
          <w:kern w:val="2"/>
          <w:sz w:val="21"/>
          <w:szCs w:val="21"/>
          <w:highlight w:val="none"/>
          <w:lang w:val="en-US" w:eastAsia="zh-CN" w:bidi="ar-SA"/>
        </w:rPr>
        <w:t>承包方式：</w:t>
      </w:r>
    </w:p>
    <w:p w14:paraId="26DFA9FD">
      <w:pPr>
        <w:shd w:val="clear" w:color="auto" w:fill="auto"/>
        <w:spacing w:line="360" w:lineRule="auto"/>
        <w:ind w:firstLine="480" w:firstLineChars="200"/>
        <w:rPr>
          <w:rFonts w:hint="eastAsia" w:ascii="Times New Roman" w:hAnsi="Times New Roman"/>
          <w:color w:val="auto"/>
          <w:sz w:val="24"/>
          <w:szCs w:val="28"/>
          <w:highlight w:val="none"/>
          <w:u w:val="single"/>
        </w:rPr>
      </w:pPr>
      <w:r>
        <w:rPr>
          <w:rFonts w:hint="eastAsia" w:ascii="Times New Roman" w:hAnsi="Times New Roman"/>
          <w:color w:val="auto"/>
          <w:sz w:val="24"/>
          <w:szCs w:val="28"/>
          <w:highlight w:val="none"/>
          <w:u w:val="single"/>
        </w:rPr>
        <w:t>【包工、部分包料、包工期、包安全、包质量、包验收消缺、包竣工验收合格。建设单位提供的设备、材料以下达的施工图要求及合同附件（或协议书）为准。】</w:t>
      </w:r>
    </w:p>
    <w:p w14:paraId="0488E46B">
      <w:pPr>
        <w:keepNext w:val="0"/>
        <w:keepLines w:val="0"/>
        <w:pageBreakBefore w:val="0"/>
        <w:widowControl/>
        <w:suppressLineNumbers w:val="0"/>
        <w:kinsoku/>
        <w:wordWrap/>
        <w:overflowPunct/>
        <w:topLinePunct w:val="0"/>
        <w:autoSpaceDE/>
        <w:autoSpaceDN/>
        <w:bidi w:val="0"/>
        <w:adjustRightInd/>
        <w:snapToGrid/>
        <w:spacing w:line="560" w:lineRule="exact"/>
        <w:ind w:firstLine="422" w:firstLineChars="200"/>
        <w:jc w:val="left"/>
        <w:textAlignment w:val="auto"/>
        <w:rPr>
          <w:rFonts w:hint="eastAsia" w:asciiTheme="minorEastAsia" w:hAnsiTheme="minorEastAsia" w:eastAsiaTheme="minorEastAsia" w:cstheme="minorEastAsia"/>
          <w:b/>
          <w:bCs/>
          <w:i w:val="0"/>
          <w:color w:val="auto"/>
          <w:kern w:val="2"/>
          <w:sz w:val="21"/>
          <w:szCs w:val="21"/>
          <w:highlight w:val="none"/>
          <w:lang w:val="en-US" w:eastAsia="zh-CN" w:bidi="ar-SA"/>
        </w:rPr>
      </w:pPr>
      <w:r>
        <w:rPr>
          <w:rFonts w:hint="eastAsia" w:asciiTheme="minorEastAsia" w:hAnsiTheme="minorEastAsia" w:eastAsiaTheme="minorEastAsia" w:cstheme="minorEastAsia"/>
          <w:b/>
          <w:bCs/>
          <w:i w:val="0"/>
          <w:color w:val="auto"/>
          <w:kern w:val="2"/>
          <w:sz w:val="21"/>
          <w:szCs w:val="21"/>
          <w:highlight w:val="none"/>
          <w:lang w:val="en-US" w:eastAsia="zh-CN" w:bidi="ar-SA"/>
        </w:rPr>
        <w:t>（四）报价表</w:t>
      </w:r>
    </w:p>
    <w:p w14:paraId="35751B3B">
      <w:pPr>
        <w:keepNext w:val="0"/>
        <w:keepLines w:val="0"/>
        <w:widowControl/>
        <w:suppressLineNumbers w:val="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1.投标报价汇总表 </w:t>
      </w:r>
    </w:p>
    <w:p w14:paraId="21535617">
      <w:pPr>
        <w:jc w:val="center"/>
        <w:rPr>
          <w:rFonts w:hint="eastAsia" w:ascii="宋体" w:hAnsi="宋体" w:cs="宋体"/>
          <w:b w:val="0"/>
          <w:bCs/>
          <w:i w:val="0"/>
          <w:iCs/>
          <w:color w:val="auto"/>
          <w:kern w:val="0"/>
          <w:sz w:val="21"/>
          <w:szCs w:val="21"/>
          <w:lang w:val="en-US" w:eastAsia="zh-CN" w:bidi="ar"/>
        </w:rPr>
      </w:pPr>
    </w:p>
    <w:tbl>
      <w:tblPr>
        <w:tblStyle w:val="13"/>
        <w:tblpPr w:leftFromText="180" w:rightFromText="180" w:vertAnchor="text" w:horzAnchor="page" w:tblpX="1265" w:tblpY="936"/>
        <w:tblOverlap w:val="never"/>
        <w:tblW w:w="94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803"/>
        <w:gridCol w:w="2674"/>
        <w:gridCol w:w="3225"/>
        <w:gridCol w:w="1761"/>
        <w:gridCol w:w="994"/>
      </w:tblGrid>
      <w:tr w14:paraId="50590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18" w:hRule="atLeast"/>
          <w:jc w:val="center"/>
        </w:trPr>
        <w:tc>
          <w:tcPr>
            <w:tcW w:w="803" w:type="dxa"/>
            <w:tcBorders>
              <w:top w:val="single" w:color="000000" w:sz="4" w:space="0"/>
              <w:left w:val="single" w:color="000000" w:sz="4" w:space="0"/>
              <w:bottom w:val="single" w:color="000000" w:sz="4" w:space="0"/>
              <w:right w:val="single" w:color="000000" w:sz="4" w:space="0"/>
            </w:tcBorders>
            <w:vAlign w:val="center"/>
          </w:tcPr>
          <w:p w14:paraId="5446B52E">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序号</w:t>
            </w:r>
          </w:p>
        </w:tc>
        <w:tc>
          <w:tcPr>
            <w:tcW w:w="2674" w:type="dxa"/>
            <w:tcBorders>
              <w:top w:val="single" w:color="000000" w:sz="4" w:space="0"/>
              <w:left w:val="single" w:color="000000" w:sz="4" w:space="0"/>
              <w:right w:val="single" w:color="000000" w:sz="4" w:space="0"/>
            </w:tcBorders>
            <w:vAlign w:val="center"/>
          </w:tcPr>
          <w:p w14:paraId="33C52178">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标的</w:t>
            </w:r>
            <w:r>
              <w:rPr>
                <w:rFonts w:hint="eastAsia" w:ascii="宋体" w:hAnsi="宋体" w:eastAsia="宋体" w:cs="宋体"/>
                <w:b/>
                <w:bCs/>
                <w:snapToGrid w:val="0"/>
                <w:color w:val="auto"/>
                <w:kern w:val="0"/>
                <w:sz w:val="21"/>
                <w:szCs w:val="21"/>
                <w:highlight w:val="none"/>
                <w:u w:val="none"/>
                <w:vertAlign w:val="baseline"/>
                <w:lang w:val="en-US" w:eastAsia="zh-CN"/>
              </w:rPr>
              <w:t>名称</w:t>
            </w:r>
          </w:p>
        </w:tc>
        <w:tc>
          <w:tcPr>
            <w:tcW w:w="3225" w:type="dxa"/>
            <w:tcBorders>
              <w:top w:val="single" w:color="000000" w:sz="4" w:space="0"/>
              <w:left w:val="single" w:color="000000" w:sz="4" w:space="0"/>
              <w:bottom w:val="single" w:color="000000" w:sz="4" w:space="0"/>
              <w:right w:val="single" w:color="000000" w:sz="4" w:space="0"/>
            </w:tcBorders>
            <w:vAlign w:val="center"/>
          </w:tcPr>
          <w:p w14:paraId="72BE4627">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标包名称</w:t>
            </w:r>
          </w:p>
        </w:tc>
        <w:tc>
          <w:tcPr>
            <w:tcW w:w="1761" w:type="dxa"/>
            <w:tcBorders>
              <w:top w:val="single" w:color="000000" w:sz="4" w:space="0"/>
              <w:left w:val="single" w:color="000000" w:sz="4" w:space="0"/>
              <w:bottom w:val="single" w:color="000000" w:sz="4" w:space="0"/>
              <w:right w:val="single" w:color="000000" w:sz="4" w:space="0"/>
            </w:tcBorders>
            <w:vAlign w:val="center"/>
          </w:tcPr>
          <w:p w14:paraId="5F00CF81">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投标费率</w:t>
            </w:r>
          </w:p>
        </w:tc>
        <w:tc>
          <w:tcPr>
            <w:tcW w:w="994" w:type="dxa"/>
            <w:tcBorders>
              <w:top w:val="single" w:color="000000" w:sz="4" w:space="0"/>
              <w:left w:val="single" w:color="000000" w:sz="4" w:space="0"/>
              <w:bottom w:val="single" w:color="000000" w:sz="4" w:space="0"/>
              <w:right w:val="single" w:color="000000" w:sz="4" w:space="0"/>
            </w:tcBorders>
            <w:vAlign w:val="center"/>
          </w:tcPr>
          <w:p w14:paraId="673215C0">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备注</w:t>
            </w:r>
          </w:p>
        </w:tc>
      </w:tr>
      <w:tr w14:paraId="235BB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32" w:hRule="atLeast"/>
          <w:jc w:val="center"/>
        </w:trPr>
        <w:tc>
          <w:tcPr>
            <w:tcW w:w="803" w:type="dxa"/>
            <w:tcBorders>
              <w:top w:val="single" w:color="000000" w:sz="4" w:space="0"/>
              <w:left w:val="single" w:color="000000" w:sz="4" w:space="0"/>
              <w:bottom w:val="single" w:color="000000" w:sz="4" w:space="0"/>
              <w:right w:val="single" w:color="000000" w:sz="4" w:space="0"/>
            </w:tcBorders>
            <w:vAlign w:val="center"/>
          </w:tcPr>
          <w:p w14:paraId="24F97E1C">
            <w:pPr>
              <w:keepNext w:val="0"/>
              <w:keepLines w:val="0"/>
              <w:pageBreakBefore w:val="0"/>
              <w:widowControl/>
              <w:suppressLineNumbers w:val="0"/>
              <w:shd w:val="clear" w:color="auto" w:fill="auto"/>
              <w:kinsoku/>
              <w:wordWrap/>
              <w:overflowPunct/>
              <w:topLinePunct w:val="0"/>
              <w:bidi w:val="0"/>
              <w:spacing w:line="360" w:lineRule="auto"/>
              <w:jc w:val="center"/>
              <w:textAlignment w:val="center"/>
              <w:rPr>
                <w:rFonts w:hint="eastAsia" w:asciiTheme="minorEastAsia" w:hAnsiTheme="minorEastAsia" w:eastAsiaTheme="minorEastAsia" w:cstheme="minorEastAsia"/>
                <w:i w:val="0"/>
                <w:color w:val="auto"/>
                <w:sz w:val="21"/>
                <w:szCs w:val="21"/>
                <w:highlight w:val="none"/>
                <w:u w:val="none"/>
                <w:lang w:val="en-US" w:eastAsia="zh-CN"/>
              </w:rPr>
            </w:pPr>
            <w:r>
              <w:rPr>
                <w:rFonts w:hint="eastAsia" w:asciiTheme="minorEastAsia" w:hAnsiTheme="minorEastAsia" w:eastAsiaTheme="minorEastAsia" w:cstheme="minorEastAsia"/>
                <w:i w:val="0"/>
                <w:color w:val="auto"/>
                <w:sz w:val="21"/>
                <w:szCs w:val="21"/>
                <w:highlight w:val="none"/>
                <w:u w:val="none"/>
                <w:lang w:val="en-US" w:eastAsia="zh-CN"/>
              </w:rPr>
              <w:t>1</w:t>
            </w:r>
          </w:p>
        </w:tc>
        <w:tc>
          <w:tcPr>
            <w:tcW w:w="2674" w:type="dxa"/>
            <w:tcBorders>
              <w:top w:val="single" w:color="000000" w:sz="4" w:space="0"/>
              <w:left w:val="single" w:color="000000" w:sz="4" w:space="0"/>
              <w:bottom w:val="single" w:color="000000" w:sz="4" w:space="0"/>
              <w:right w:val="single" w:color="000000" w:sz="4" w:space="0"/>
            </w:tcBorders>
            <w:vAlign w:val="center"/>
          </w:tcPr>
          <w:p w14:paraId="542EDE10">
            <w:pPr>
              <w:keepNext w:val="0"/>
              <w:keepLines w:val="0"/>
              <w:pageBreakBefore w:val="0"/>
              <w:widowControl/>
              <w:suppressLineNumbers w:val="0"/>
              <w:shd w:val="clear" w:color="auto" w:fill="auto"/>
              <w:kinsoku/>
              <w:wordWrap/>
              <w:overflowPunct/>
              <w:topLinePunct w:val="0"/>
              <w:bidi w:val="0"/>
              <w:spacing w:line="360" w:lineRule="auto"/>
              <w:jc w:val="center"/>
              <w:textAlignment w:val="center"/>
              <w:rPr>
                <w:rFonts w:hint="default" w:asciiTheme="minorEastAsia" w:hAnsiTheme="minorEastAsia" w:eastAsiaTheme="minorEastAsia" w:cstheme="minorEastAsia"/>
                <w:i w:val="0"/>
                <w:color w:val="auto"/>
                <w:sz w:val="21"/>
                <w:szCs w:val="21"/>
                <w:highlight w:val="none"/>
                <w:u w:val="none"/>
                <w:lang w:val="en-US" w:eastAsia="zh-CN"/>
              </w:rPr>
            </w:pPr>
            <w:r>
              <w:rPr>
                <w:rFonts w:hint="eastAsia" w:ascii="宋体" w:hAnsi="宋体" w:eastAsia="宋体" w:cs="宋体"/>
                <w:b w:val="0"/>
                <w:bCs w:val="0"/>
                <w:i w:val="0"/>
                <w:iCs w:val="0"/>
                <w:color w:val="auto"/>
                <w:kern w:val="0"/>
                <w:sz w:val="22"/>
                <w:szCs w:val="22"/>
                <w:u w:val="none"/>
                <w:lang w:val="en-US" w:eastAsia="zh-CN" w:bidi="ar"/>
              </w:rPr>
              <w:t>标的1：深圳供电局有限公司2026-2027年中间层项目可研勘察设计框架公开招标</w:t>
            </w:r>
          </w:p>
        </w:tc>
        <w:tc>
          <w:tcPr>
            <w:tcW w:w="3225" w:type="dxa"/>
            <w:tcBorders>
              <w:top w:val="single" w:color="000000" w:sz="4" w:space="0"/>
              <w:left w:val="single" w:color="000000" w:sz="4" w:space="0"/>
              <w:bottom w:val="single" w:color="000000" w:sz="4" w:space="0"/>
              <w:right w:val="single" w:color="000000" w:sz="4" w:space="0"/>
            </w:tcBorders>
            <w:vAlign w:val="center"/>
          </w:tcPr>
          <w:p w14:paraId="1C347CE6">
            <w:pPr>
              <w:keepNext w:val="0"/>
              <w:keepLines w:val="0"/>
              <w:pageBreakBefore w:val="0"/>
              <w:kinsoku/>
              <w:wordWrap/>
              <w:overflowPunct/>
              <w:topLinePunct w:val="0"/>
              <w:bidi w:val="0"/>
              <w:spacing w:line="360" w:lineRule="auto"/>
              <w:jc w:val="center"/>
              <w:rPr>
                <w:rFonts w:hint="default" w:asciiTheme="minorEastAsia" w:hAnsiTheme="minorEastAsia" w:eastAsiaTheme="minorEastAsia" w:cstheme="minorEastAsia"/>
                <w:i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第1标包：包含龙岗、光明、龙华、罗湖、盐田</w:t>
            </w:r>
          </w:p>
        </w:tc>
        <w:tc>
          <w:tcPr>
            <w:tcW w:w="1761" w:type="dxa"/>
            <w:tcBorders>
              <w:top w:val="single" w:color="000000" w:sz="4" w:space="0"/>
              <w:left w:val="single" w:color="000000" w:sz="4" w:space="0"/>
              <w:bottom w:val="single" w:color="000000" w:sz="4" w:space="0"/>
              <w:right w:val="single" w:color="000000" w:sz="4" w:space="0"/>
            </w:tcBorders>
            <w:vAlign w:val="center"/>
          </w:tcPr>
          <w:p w14:paraId="267A2089">
            <w:pPr>
              <w:keepNext w:val="0"/>
              <w:keepLines w:val="0"/>
              <w:pageBreakBefore w:val="0"/>
              <w:kinsoku/>
              <w:wordWrap/>
              <w:overflowPunct/>
              <w:topLinePunct w:val="0"/>
              <w:bidi w:val="0"/>
              <w:spacing w:line="360" w:lineRule="auto"/>
              <w:jc w:val="center"/>
              <w:rPr>
                <w:rFonts w:hint="default" w:asciiTheme="minorEastAsia" w:hAnsiTheme="minorEastAsia" w:eastAsiaTheme="minorEastAsia" w:cstheme="minorEastAsia"/>
                <w:i w:val="0"/>
                <w:color w:val="auto"/>
                <w:sz w:val="21"/>
                <w:szCs w:val="21"/>
                <w:highlight w:val="none"/>
                <w:u w:val="none"/>
                <w:lang w:val="en-US" w:eastAsia="zh-CN"/>
              </w:rPr>
            </w:pPr>
            <w:r>
              <w:rPr>
                <w:rFonts w:hint="eastAsia" w:asciiTheme="minorEastAsia" w:hAnsiTheme="minorEastAsia" w:eastAsiaTheme="minorEastAsia" w:cstheme="minorEastAsia"/>
                <w:i w:val="0"/>
                <w:color w:val="auto"/>
                <w:sz w:val="21"/>
                <w:szCs w:val="21"/>
                <w:highlight w:val="none"/>
                <w:u w:val="none"/>
                <w:lang w:val="en-US" w:eastAsia="zh-CN"/>
              </w:rPr>
              <w:t>__________%</w:t>
            </w:r>
          </w:p>
        </w:tc>
        <w:tc>
          <w:tcPr>
            <w:tcW w:w="994" w:type="dxa"/>
            <w:tcBorders>
              <w:top w:val="single" w:color="000000" w:sz="4" w:space="0"/>
              <w:left w:val="single" w:color="000000" w:sz="4" w:space="0"/>
              <w:bottom w:val="single" w:color="000000" w:sz="4" w:space="0"/>
              <w:right w:val="single" w:color="000000" w:sz="4" w:space="0"/>
            </w:tcBorders>
            <w:vAlign w:val="center"/>
          </w:tcPr>
          <w:p w14:paraId="0F16DC89">
            <w:pPr>
              <w:keepNext w:val="0"/>
              <w:keepLines w:val="0"/>
              <w:pageBreakBefore w:val="0"/>
              <w:kinsoku/>
              <w:wordWrap/>
              <w:overflowPunct/>
              <w:topLinePunct w:val="0"/>
              <w:bidi w:val="0"/>
              <w:spacing w:line="360" w:lineRule="auto"/>
              <w:jc w:val="center"/>
              <w:rPr>
                <w:rFonts w:hint="eastAsia" w:asciiTheme="minorEastAsia" w:hAnsiTheme="minorEastAsia" w:eastAsiaTheme="minorEastAsia" w:cstheme="minorEastAsia"/>
                <w:i w:val="0"/>
                <w:color w:val="auto"/>
                <w:sz w:val="21"/>
                <w:szCs w:val="21"/>
                <w:highlight w:val="none"/>
                <w:u w:val="none"/>
              </w:rPr>
            </w:pPr>
          </w:p>
        </w:tc>
      </w:tr>
      <w:tr w14:paraId="513F2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94" w:hRule="atLeast"/>
          <w:jc w:val="center"/>
        </w:trPr>
        <w:tc>
          <w:tcPr>
            <w:tcW w:w="9457" w:type="dxa"/>
            <w:gridSpan w:val="5"/>
            <w:tcBorders>
              <w:top w:val="single" w:color="000000" w:sz="4" w:space="0"/>
              <w:left w:val="single" w:color="000000" w:sz="4" w:space="0"/>
              <w:bottom w:val="single" w:color="000000" w:sz="4" w:space="0"/>
              <w:right w:val="single" w:color="000000" w:sz="4" w:space="0"/>
            </w:tcBorders>
            <w:vAlign w:val="center"/>
          </w:tcPr>
          <w:p w14:paraId="3A8533A1">
            <w:pPr>
              <w:keepNext w:val="0"/>
              <w:keepLines w:val="0"/>
              <w:pageBreakBefore w:val="0"/>
              <w:kinsoku/>
              <w:wordWrap/>
              <w:overflowPunct/>
              <w:topLinePunct w:val="0"/>
              <w:bidi w:val="0"/>
              <w:spacing w:line="360" w:lineRule="auto"/>
              <w:jc w:val="center"/>
              <w:rPr>
                <w:rFonts w:hint="eastAsia" w:asciiTheme="minorEastAsia" w:hAnsiTheme="minorEastAsia" w:eastAsiaTheme="minorEastAsia" w:cstheme="minorEastAsia"/>
                <w:i w:val="0"/>
                <w:color w:val="auto"/>
                <w:sz w:val="21"/>
                <w:szCs w:val="21"/>
                <w:highlight w:val="none"/>
                <w:u w:val="none"/>
              </w:rPr>
            </w:pPr>
            <w:r>
              <w:rPr>
                <w:rFonts w:hint="eastAsia" w:ascii="宋体" w:hAnsi="宋体" w:eastAsia="宋体" w:cs="宋体"/>
                <w:b/>
                <w:bCs/>
                <w:color w:val="auto"/>
                <w:kern w:val="0"/>
                <w:sz w:val="21"/>
                <w:szCs w:val="21"/>
                <w:lang w:val="en-US" w:eastAsia="zh-CN" w:bidi="ar"/>
              </w:rPr>
              <w:t>投标费率（大写）</w:t>
            </w:r>
            <w:r>
              <w:rPr>
                <w:rFonts w:hint="eastAsia" w:ascii="宋体" w:hAnsi="宋体" w:cs="宋体"/>
                <w:b/>
                <w:bCs/>
                <w:color w:val="auto"/>
                <w:kern w:val="0"/>
                <w:sz w:val="21"/>
                <w:szCs w:val="21"/>
                <w:lang w:val="en-US" w:eastAsia="zh-CN" w:bidi="ar"/>
              </w:rPr>
              <w:t>：</w:t>
            </w:r>
          </w:p>
        </w:tc>
      </w:tr>
    </w:tbl>
    <w:p w14:paraId="3298F130">
      <w:pPr>
        <w:jc w:val="center"/>
        <w:rPr>
          <w:rFonts w:hint="eastAsia" w:ascii="宋体" w:hAnsi="宋体" w:cs="宋体"/>
          <w:b w:val="0"/>
          <w:bCs/>
          <w:i w:val="0"/>
          <w:iCs/>
          <w:color w:val="auto"/>
          <w:kern w:val="0"/>
          <w:sz w:val="21"/>
          <w:szCs w:val="21"/>
          <w:lang w:val="en-US" w:eastAsia="zh-CN" w:bidi="ar"/>
        </w:rPr>
      </w:pPr>
      <w:r>
        <w:rPr>
          <w:rFonts w:hint="eastAsia" w:ascii="宋体" w:hAnsi="宋体" w:cs="宋体"/>
          <w:b w:val="0"/>
          <w:bCs/>
          <w:i w:val="0"/>
          <w:iCs/>
          <w:color w:val="auto"/>
          <w:kern w:val="0"/>
          <w:sz w:val="21"/>
          <w:szCs w:val="21"/>
          <w:lang w:val="en-US" w:eastAsia="zh-CN" w:bidi="ar"/>
        </w:rPr>
        <w:t>深圳供电局有限公司2026年中间层项目可研勘察设计监理服务框架公开招标</w:t>
      </w:r>
    </w:p>
    <w:p w14:paraId="24B75BBC">
      <w:pPr>
        <w:jc w:val="center"/>
        <w:rPr>
          <w:rFonts w:hint="eastAsia" w:ascii="宋体" w:hAnsi="宋体" w:cs="宋体"/>
          <w:b w:val="0"/>
          <w:bCs/>
          <w:i w:val="0"/>
          <w:iCs/>
          <w:color w:val="auto"/>
          <w:kern w:val="0"/>
          <w:sz w:val="21"/>
          <w:szCs w:val="21"/>
          <w:lang w:val="en-US" w:eastAsia="zh-CN" w:bidi="ar"/>
        </w:rPr>
      </w:pPr>
    </w:p>
    <w:p w14:paraId="0C03DF5C">
      <w:pPr>
        <w:jc w:val="center"/>
      </w:pPr>
      <w:r>
        <w:rPr>
          <w:rFonts w:hint="eastAsia" w:ascii="宋体" w:hAnsi="宋体" w:cs="宋体"/>
          <w:b w:val="0"/>
          <w:bCs/>
          <w:i w:val="0"/>
          <w:iCs/>
          <w:color w:val="auto"/>
          <w:kern w:val="0"/>
          <w:sz w:val="21"/>
          <w:szCs w:val="21"/>
          <w:lang w:val="en-US" w:eastAsia="zh-CN" w:bidi="ar"/>
        </w:rPr>
        <w:t>深圳供电局有限公司2026年中间层项目可研勘察设计监理服务框架公开招标分项报价表</w:t>
      </w:r>
    </w:p>
    <w:p w14:paraId="784F9248">
      <w:pPr>
        <w:keepNext w:val="0"/>
        <w:keepLines w:val="0"/>
        <w:widowControl/>
        <w:suppressLineNumbers w:val="0"/>
        <w:jc w:val="center"/>
        <w:rPr>
          <w:color w:val="auto"/>
        </w:rPr>
      </w:pPr>
      <w:bookmarkStart w:id="4" w:name="_GoBack"/>
      <w:bookmarkEnd w:id="4"/>
    </w:p>
    <w:p w14:paraId="58F3A4F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报价要求：</w:t>
      </w:r>
    </w:p>
    <w:p w14:paraId="6D4C63E6">
      <w:pPr>
        <w:keepNext w:val="0"/>
        <w:keepLines w:val="0"/>
        <w:pageBreakBefore w:val="0"/>
        <w:widowControl/>
        <w:numPr>
          <w:ilvl w:val="0"/>
          <w:numId w:val="0"/>
        </w:numPr>
        <w:suppressLineNumbers w:val="0"/>
        <w:shd w:val="clear" w:color="auto" w:fill="auto"/>
        <w:kinsoku/>
        <w:wordWrap/>
        <w:overflowPunct/>
        <w:topLinePunct w:val="0"/>
        <w:bidi w:val="0"/>
        <w:snapToGrid/>
        <w:spacing w:line="360" w:lineRule="auto"/>
        <w:ind w:firstLine="420" w:firstLineChars="200"/>
        <w:jc w:val="left"/>
        <w:textAlignment w:val="auto"/>
        <w:rPr>
          <w:rFonts w:hint="eastAsia" w:ascii="宋体" w:hAnsi="宋体" w:eastAsia="宋体" w:cs="宋体"/>
          <w:b w:val="0"/>
          <w:bCs w:val="0"/>
          <w:i w:val="0"/>
          <w:iCs w:val="0"/>
          <w:color w:val="auto"/>
          <w:sz w:val="21"/>
          <w:szCs w:val="21"/>
          <w:highlight w:val="none"/>
          <w:u w:val="single"/>
          <w:lang w:val="en-US" w:eastAsia="zh-CN"/>
        </w:rPr>
      </w:pPr>
      <w:r>
        <w:rPr>
          <w:rFonts w:hint="eastAsia" w:ascii="宋体" w:hAnsi="宋体" w:eastAsia="宋体" w:cs="宋体"/>
          <w:b w:val="0"/>
          <w:bCs w:val="0"/>
          <w:i w:val="0"/>
          <w:iCs w:val="0"/>
          <w:color w:val="auto"/>
          <w:sz w:val="21"/>
          <w:szCs w:val="21"/>
          <w:highlight w:val="none"/>
          <w:u w:val="single"/>
          <w:lang w:val="en-US" w:eastAsia="zh-CN"/>
        </w:rPr>
        <w:t>投标费率不高于100%。投标费率低于80%的，需提供成本分析报告（通过数据表格及文字分析说明，阐明本项目成本构成内容，提供成本控制具体方案，以及各项成本的节约措施，并证明成本节约的实际成效）。分项报价表修正原则参照招标文件要求执行。分项报价表中各分项报价合计金额应与开标一览表中投标总报价保持一致，若不一致，视为两个报价，作否决处理。</w:t>
      </w:r>
    </w:p>
    <w:p w14:paraId="6E443BC1">
      <w:pPr>
        <w:jc w:val="center"/>
        <w:rPr>
          <w:rFonts w:hint="eastAsia" w:ascii="宋体" w:hAnsi="宋体" w:cs="宋体"/>
          <w:b w:val="0"/>
          <w:bCs/>
          <w:i w:val="0"/>
          <w:iCs/>
          <w:color w:val="auto"/>
          <w:kern w:val="0"/>
          <w:sz w:val="21"/>
          <w:szCs w:val="21"/>
          <w:lang w:val="en-US" w:eastAsia="zh-CN" w:bidi="ar"/>
        </w:rPr>
      </w:pPr>
    </w:p>
    <w:p w14:paraId="2625E8C9">
      <w:pPr>
        <w:jc w:val="center"/>
      </w:pPr>
      <w:r>
        <w:rPr>
          <w:rFonts w:hint="eastAsia" w:ascii="宋体" w:hAnsi="宋体" w:cs="宋体"/>
          <w:b w:val="0"/>
          <w:bCs/>
          <w:i w:val="0"/>
          <w:iCs/>
          <w:color w:val="auto"/>
          <w:kern w:val="0"/>
          <w:sz w:val="21"/>
          <w:szCs w:val="21"/>
          <w:lang w:val="en-US" w:eastAsia="zh-CN" w:bidi="ar"/>
        </w:rPr>
        <w:t>深圳供电局有限公司2026年中间层项目可研勘察设计监理服务框架公开招标分项报价表</w:t>
      </w:r>
    </w:p>
    <w:tbl>
      <w:tblPr>
        <w:tblStyle w:val="13"/>
        <w:tblpPr w:leftFromText="180" w:rightFromText="180" w:vertAnchor="text" w:horzAnchor="page" w:tblpX="1206" w:tblpY="245"/>
        <w:tblOverlap w:val="never"/>
        <w:tblW w:w="94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803"/>
        <w:gridCol w:w="2674"/>
        <w:gridCol w:w="3061"/>
        <w:gridCol w:w="1925"/>
        <w:gridCol w:w="994"/>
      </w:tblGrid>
      <w:tr w14:paraId="7C014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18" w:hRule="atLeast"/>
          <w:jc w:val="center"/>
        </w:trPr>
        <w:tc>
          <w:tcPr>
            <w:tcW w:w="803" w:type="dxa"/>
            <w:tcBorders>
              <w:top w:val="single" w:color="000000" w:sz="4" w:space="0"/>
              <w:left w:val="single" w:color="000000" w:sz="4" w:space="0"/>
              <w:bottom w:val="single" w:color="000000" w:sz="4" w:space="0"/>
              <w:right w:val="single" w:color="000000" w:sz="4" w:space="0"/>
            </w:tcBorders>
            <w:vAlign w:val="center"/>
          </w:tcPr>
          <w:p w14:paraId="70FA28E0">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序号</w:t>
            </w:r>
          </w:p>
        </w:tc>
        <w:tc>
          <w:tcPr>
            <w:tcW w:w="2674" w:type="dxa"/>
            <w:tcBorders>
              <w:top w:val="single" w:color="000000" w:sz="4" w:space="0"/>
              <w:left w:val="single" w:color="000000" w:sz="4" w:space="0"/>
              <w:right w:val="single" w:color="000000" w:sz="4" w:space="0"/>
            </w:tcBorders>
            <w:vAlign w:val="center"/>
          </w:tcPr>
          <w:p w14:paraId="0F7F08FE">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标的</w:t>
            </w:r>
            <w:r>
              <w:rPr>
                <w:rFonts w:hint="eastAsia" w:ascii="宋体" w:hAnsi="宋体" w:eastAsia="宋体" w:cs="宋体"/>
                <w:b/>
                <w:bCs/>
                <w:snapToGrid w:val="0"/>
                <w:color w:val="auto"/>
                <w:kern w:val="0"/>
                <w:sz w:val="21"/>
                <w:szCs w:val="21"/>
                <w:highlight w:val="none"/>
                <w:u w:val="none"/>
                <w:vertAlign w:val="baseline"/>
                <w:lang w:val="en-US" w:eastAsia="zh-CN"/>
              </w:rPr>
              <w:t>名称</w:t>
            </w:r>
          </w:p>
        </w:tc>
        <w:tc>
          <w:tcPr>
            <w:tcW w:w="3061" w:type="dxa"/>
            <w:tcBorders>
              <w:top w:val="single" w:color="000000" w:sz="4" w:space="0"/>
              <w:left w:val="single" w:color="000000" w:sz="4" w:space="0"/>
              <w:bottom w:val="single" w:color="000000" w:sz="4" w:space="0"/>
              <w:right w:val="single" w:color="000000" w:sz="4" w:space="0"/>
            </w:tcBorders>
            <w:vAlign w:val="center"/>
          </w:tcPr>
          <w:p w14:paraId="246A86B6">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标包名称</w:t>
            </w:r>
          </w:p>
        </w:tc>
        <w:tc>
          <w:tcPr>
            <w:tcW w:w="1925" w:type="dxa"/>
            <w:tcBorders>
              <w:top w:val="single" w:color="000000" w:sz="4" w:space="0"/>
              <w:left w:val="single" w:color="000000" w:sz="4" w:space="0"/>
              <w:bottom w:val="single" w:color="000000" w:sz="4" w:space="0"/>
              <w:right w:val="single" w:color="000000" w:sz="4" w:space="0"/>
            </w:tcBorders>
            <w:vAlign w:val="center"/>
          </w:tcPr>
          <w:p w14:paraId="7FDB6EA8">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投标费率</w:t>
            </w:r>
          </w:p>
        </w:tc>
        <w:tc>
          <w:tcPr>
            <w:tcW w:w="994" w:type="dxa"/>
            <w:tcBorders>
              <w:top w:val="single" w:color="000000" w:sz="4" w:space="0"/>
              <w:left w:val="single" w:color="000000" w:sz="4" w:space="0"/>
              <w:bottom w:val="single" w:color="000000" w:sz="4" w:space="0"/>
              <w:right w:val="single" w:color="000000" w:sz="4" w:space="0"/>
            </w:tcBorders>
            <w:vAlign w:val="center"/>
          </w:tcPr>
          <w:p w14:paraId="72459A5A">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备注</w:t>
            </w:r>
          </w:p>
        </w:tc>
      </w:tr>
      <w:tr w14:paraId="073C1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32" w:hRule="atLeast"/>
          <w:jc w:val="center"/>
        </w:trPr>
        <w:tc>
          <w:tcPr>
            <w:tcW w:w="803" w:type="dxa"/>
            <w:tcBorders>
              <w:top w:val="single" w:color="000000" w:sz="4" w:space="0"/>
              <w:left w:val="single" w:color="000000" w:sz="4" w:space="0"/>
              <w:bottom w:val="single" w:color="000000" w:sz="4" w:space="0"/>
              <w:right w:val="single" w:color="000000" w:sz="4" w:space="0"/>
            </w:tcBorders>
            <w:vAlign w:val="center"/>
          </w:tcPr>
          <w:p w14:paraId="4BD9A07D">
            <w:pPr>
              <w:keepNext w:val="0"/>
              <w:keepLines w:val="0"/>
              <w:pageBreakBefore w:val="0"/>
              <w:widowControl/>
              <w:suppressLineNumbers w:val="0"/>
              <w:shd w:val="clear" w:color="auto" w:fill="auto"/>
              <w:kinsoku/>
              <w:wordWrap/>
              <w:overflowPunct/>
              <w:topLinePunct w:val="0"/>
              <w:bidi w:val="0"/>
              <w:spacing w:line="360" w:lineRule="auto"/>
              <w:jc w:val="center"/>
              <w:textAlignment w:val="center"/>
              <w:rPr>
                <w:rFonts w:hint="eastAsia" w:asciiTheme="minorEastAsia" w:hAnsiTheme="minorEastAsia" w:eastAsiaTheme="minorEastAsia" w:cstheme="minorEastAsia"/>
                <w:i w:val="0"/>
                <w:color w:val="auto"/>
                <w:sz w:val="21"/>
                <w:szCs w:val="21"/>
                <w:highlight w:val="none"/>
                <w:u w:val="none"/>
                <w:lang w:val="en-US" w:eastAsia="zh-CN"/>
              </w:rPr>
            </w:pPr>
            <w:r>
              <w:rPr>
                <w:rFonts w:hint="eastAsia" w:asciiTheme="minorEastAsia" w:hAnsiTheme="minorEastAsia" w:eastAsiaTheme="minorEastAsia" w:cstheme="minorEastAsia"/>
                <w:i w:val="0"/>
                <w:color w:val="auto"/>
                <w:sz w:val="21"/>
                <w:szCs w:val="21"/>
                <w:highlight w:val="none"/>
                <w:u w:val="none"/>
                <w:lang w:val="en-US" w:eastAsia="zh-CN"/>
              </w:rPr>
              <w:t>1</w:t>
            </w:r>
          </w:p>
        </w:tc>
        <w:tc>
          <w:tcPr>
            <w:tcW w:w="2674" w:type="dxa"/>
            <w:tcBorders>
              <w:top w:val="single" w:color="000000" w:sz="4" w:space="0"/>
              <w:left w:val="single" w:color="000000" w:sz="4" w:space="0"/>
              <w:bottom w:val="single" w:color="000000" w:sz="4" w:space="0"/>
              <w:right w:val="single" w:color="000000" w:sz="4" w:space="0"/>
            </w:tcBorders>
            <w:vAlign w:val="center"/>
          </w:tcPr>
          <w:p w14:paraId="39CD8158">
            <w:pPr>
              <w:keepNext w:val="0"/>
              <w:keepLines w:val="0"/>
              <w:pageBreakBefore w:val="0"/>
              <w:widowControl/>
              <w:suppressLineNumbers w:val="0"/>
              <w:shd w:val="clear" w:color="auto" w:fill="auto"/>
              <w:kinsoku/>
              <w:wordWrap/>
              <w:overflowPunct/>
              <w:topLinePunct w:val="0"/>
              <w:bidi w:val="0"/>
              <w:spacing w:line="360" w:lineRule="auto"/>
              <w:jc w:val="center"/>
              <w:textAlignment w:val="center"/>
              <w:rPr>
                <w:rFonts w:hint="default" w:asciiTheme="minorEastAsia" w:hAnsiTheme="minorEastAsia" w:eastAsiaTheme="minorEastAsia" w:cstheme="minorEastAsia"/>
                <w:i w:val="0"/>
                <w:color w:val="auto"/>
                <w:sz w:val="21"/>
                <w:szCs w:val="21"/>
                <w:highlight w:val="none"/>
                <w:u w:val="none"/>
                <w:lang w:val="en-US" w:eastAsia="zh-CN"/>
              </w:rPr>
            </w:pPr>
            <w:r>
              <w:rPr>
                <w:rFonts w:hint="eastAsia" w:ascii="宋体" w:hAnsi="宋体" w:eastAsia="宋体" w:cs="宋体"/>
                <w:b w:val="0"/>
                <w:bCs w:val="0"/>
                <w:i w:val="0"/>
                <w:iCs w:val="0"/>
                <w:color w:val="auto"/>
                <w:kern w:val="0"/>
                <w:sz w:val="22"/>
                <w:szCs w:val="22"/>
                <w:u w:val="none"/>
                <w:lang w:val="en-US" w:eastAsia="zh-CN" w:bidi="ar"/>
              </w:rPr>
              <w:t>标的1：深圳供电局有限公司2026-2027年中间层项目可研勘察设计框架公开招标</w:t>
            </w:r>
          </w:p>
        </w:tc>
        <w:tc>
          <w:tcPr>
            <w:tcW w:w="3061" w:type="dxa"/>
            <w:tcBorders>
              <w:top w:val="single" w:color="000000" w:sz="4" w:space="0"/>
              <w:left w:val="single" w:color="000000" w:sz="4" w:space="0"/>
              <w:bottom w:val="single" w:color="000000" w:sz="4" w:space="0"/>
              <w:right w:val="single" w:color="000000" w:sz="4" w:space="0"/>
            </w:tcBorders>
            <w:vAlign w:val="center"/>
          </w:tcPr>
          <w:p w14:paraId="7FFAF67D">
            <w:pPr>
              <w:keepNext w:val="0"/>
              <w:keepLines w:val="0"/>
              <w:pageBreakBefore w:val="0"/>
              <w:kinsoku/>
              <w:wordWrap/>
              <w:overflowPunct/>
              <w:topLinePunct w:val="0"/>
              <w:bidi w:val="0"/>
              <w:spacing w:line="360" w:lineRule="auto"/>
              <w:jc w:val="center"/>
              <w:rPr>
                <w:rFonts w:hint="default" w:asciiTheme="minorEastAsia" w:hAnsiTheme="minorEastAsia" w:eastAsiaTheme="minorEastAsia" w:cstheme="minorEastAsia"/>
                <w:i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第2标包：包含宝安、南山、福田、深汕、坪山、大鹏。</w:t>
            </w:r>
          </w:p>
        </w:tc>
        <w:tc>
          <w:tcPr>
            <w:tcW w:w="1925" w:type="dxa"/>
            <w:tcBorders>
              <w:top w:val="single" w:color="000000" w:sz="4" w:space="0"/>
              <w:left w:val="single" w:color="000000" w:sz="4" w:space="0"/>
              <w:bottom w:val="single" w:color="000000" w:sz="4" w:space="0"/>
              <w:right w:val="single" w:color="000000" w:sz="4" w:space="0"/>
            </w:tcBorders>
            <w:vAlign w:val="center"/>
          </w:tcPr>
          <w:p w14:paraId="6015BC9E">
            <w:pPr>
              <w:keepNext w:val="0"/>
              <w:keepLines w:val="0"/>
              <w:pageBreakBefore w:val="0"/>
              <w:kinsoku/>
              <w:wordWrap/>
              <w:overflowPunct/>
              <w:topLinePunct w:val="0"/>
              <w:bidi w:val="0"/>
              <w:spacing w:line="360" w:lineRule="auto"/>
              <w:jc w:val="center"/>
              <w:rPr>
                <w:rFonts w:hint="default" w:asciiTheme="minorEastAsia" w:hAnsiTheme="minorEastAsia" w:eastAsiaTheme="minorEastAsia" w:cstheme="minorEastAsia"/>
                <w:i w:val="0"/>
                <w:color w:val="auto"/>
                <w:sz w:val="21"/>
                <w:szCs w:val="21"/>
                <w:highlight w:val="none"/>
                <w:u w:val="none"/>
                <w:lang w:val="en-US" w:eastAsia="zh-CN"/>
              </w:rPr>
            </w:pPr>
            <w:r>
              <w:rPr>
                <w:rFonts w:hint="eastAsia" w:asciiTheme="minorEastAsia" w:hAnsiTheme="minorEastAsia" w:eastAsiaTheme="minorEastAsia" w:cstheme="minorEastAsia"/>
                <w:i w:val="0"/>
                <w:color w:val="auto"/>
                <w:sz w:val="21"/>
                <w:szCs w:val="21"/>
                <w:highlight w:val="none"/>
                <w:u w:val="none"/>
                <w:lang w:val="en-US" w:eastAsia="zh-CN"/>
              </w:rPr>
              <w:t>__________%</w:t>
            </w:r>
          </w:p>
        </w:tc>
        <w:tc>
          <w:tcPr>
            <w:tcW w:w="994" w:type="dxa"/>
            <w:tcBorders>
              <w:top w:val="single" w:color="000000" w:sz="4" w:space="0"/>
              <w:left w:val="single" w:color="000000" w:sz="4" w:space="0"/>
              <w:bottom w:val="single" w:color="000000" w:sz="4" w:space="0"/>
              <w:right w:val="single" w:color="000000" w:sz="4" w:space="0"/>
            </w:tcBorders>
            <w:vAlign w:val="center"/>
          </w:tcPr>
          <w:p w14:paraId="3837D801">
            <w:pPr>
              <w:keepNext w:val="0"/>
              <w:keepLines w:val="0"/>
              <w:pageBreakBefore w:val="0"/>
              <w:kinsoku/>
              <w:wordWrap/>
              <w:overflowPunct/>
              <w:topLinePunct w:val="0"/>
              <w:bidi w:val="0"/>
              <w:spacing w:line="360" w:lineRule="auto"/>
              <w:jc w:val="center"/>
              <w:rPr>
                <w:rFonts w:hint="eastAsia" w:asciiTheme="minorEastAsia" w:hAnsiTheme="minorEastAsia" w:eastAsiaTheme="minorEastAsia" w:cstheme="minorEastAsia"/>
                <w:i w:val="0"/>
                <w:color w:val="auto"/>
                <w:sz w:val="21"/>
                <w:szCs w:val="21"/>
                <w:highlight w:val="none"/>
                <w:u w:val="none"/>
              </w:rPr>
            </w:pPr>
          </w:p>
        </w:tc>
      </w:tr>
      <w:tr w14:paraId="08D5B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94" w:hRule="atLeast"/>
          <w:jc w:val="center"/>
        </w:trPr>
        <w:tc>
          <w:tcPr>
            <w:tcW w:w="9457" w:type="dxa"/>
            <w:gridSpan w:val="5"/>
            <w:tcBorders>
              <w:top w:val="single" w:color="000000" w:sz="4" w:space="0"/>
              <w:left w:val="single" w:color="000000" w:sz="4" w:space="0"/>
              <w:bottom w:val="single" w:color="000000" w:sz="4" w:space="0"/>
              <w:right w:val="single" w:color="000000" w:sz="4" w:space="0"/>
            </w:tcBorders>
            <w:vAlign w:val="center"/>
          </w:tcPr>
          <w:p w14:paraId="7D3A8EC5">
            <w:pPr>
              <w:keepNext w:val="0"/>
              <w:keepLines w:val="0"/>
              <w:pageBreakBefore w:val="0"/>
              <w:kinsoku/>
              <w:wordWrap/>
              <w:overflowPunct/>
              <w:topLinePunct w:val="0"/>
              <w:bidi w:val="0"/>
              <w:spacing w:line="360" w:lineRule="auto"/>
              <w:jc w:val="center"/>
              <w:rPr>
                <w:rFonts w:hint="eastAsia" w:asciiTheme="minorEastAsia" w:hAnsiTheme="minorEastAsia" w:eastAsiaTheme="minorEastAsia" w:cstheme="minorEastAsia"/>
                <w:i w:val="0"/>
                <w:color w:val="auto"/>
                <w:sz w:val="21"/>
                <w:szCs w:val="21"/>
                <w:highlight w:val="none"/>
                <w:u w:val="none"/>
              </w:rPr>
            </w:pPr>
            <w:r>
              <w:rPr>
                <w:rFonts w:hint="eastAsia" w:ascii="宋体" w:hAnsi="宋体" w:eastAsia="宋体" w:cs="宋体"/>
                <w:b/>
                <w:bCs/>
                <w:color w:val="auto"/>
                <w:kern w:val="0"/>
                <w:sz w:val="21"/>
                <w:szCs w:val="21"/>
                <w:lang w:val="en-US" w:eastAsia="zh-CN" w:bidi="ar"/>
              </w:rPr>
              <w:t>投标费率（大写）</w:t>
            </w:r>
            <w:r>
              <w:rPr>
                <w:rFonts w:hint="eastAsia" w:ascii="宋体" w:hAnsi="宋体" w:cs="宋体"/>
                <w:b/>
                <w:bCs/>
                <w:color w:val="auto"/>
                <w:kern w:val="0"/>
                <w:sz w:val="21"/>
                <w:szCs w:val="21"/>
                <w:lang w:val="en-US" w:eastAsia="zh-CN" w:bidi="ar"/>
              </w:rPr>
              <w:t>：</w:t>
            </w:r>
          </w:p>
        </w:tc>
      </w:tr>
    </w:tbl>
    <w:p w14:paraId="525D558E">
      <w:pPr>
        <w:pStyle w:val="2"/>
        <w:rPr>
          <w:rFonts w:hint="eastAsia" w:ascii="宋体" w:hAnsi="宋体" w:eastAsia="宋体" w:cs="宋体"/>
          <w:b w:val="0"/>
          <w:bCs w:val="0"/>
          <w:i w:val="0"/>
          <w:iCs w:val="0"/>
          <w:color w:val="auto"/>
          <w:sz w:val="21"/>
          <w:szCs w:val="21"/>
          <w:highlight w:val="none"/>
          <w:u w:val="single"/>
          <w:lang w:val="en-US" w:eastAsia="zh-CN"/>
        </w:rPr>
      </w:pPr>
    </w:p>
    <w:p w14:paraId="586CE35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报价要求：</w:t>
      </w:r>
    </w:p>
    <w:p w14:paraId="266B3ADF">
      <w:pPr>
        <w:keepNext w:val="0"/>
        <w:keepLines w:val="0"/>
        <w:pageBreakBefore w:val="0"/>
        <w:widowControl/>
        <w:numPr>
          <w:ilvl w:val="0"/>
          <w:numId w:val="0"/>
        </w:numPr>
        <w:suppressLineNumbers w:val="0"/>
        <w:shd w:val="clear" w:color="auto" w:fill="auto"/>
        <w:kinsoku/>
        <w:wordWrap/>
        <w:overflowPunct/>
        <w:topLinePunct w:val="0"/>
        <w:bidi w:val="0"/>
        <w:snapToGrid/>
        <w:spacing w:line="360" w:lineRule="auto"/>
        <w:ind w:firstLine="420" w:firstLineChars="200"/>
        <w:jc w:val="left"/>
        <w:textAlignment w:val="auto"/>
        <w:rPr>
          <w:rFonts w:hint="eastAsia" w:ascii="宋体" w:hAnsi="宋体" w:eastAsia="宋体" w:cs="宋体"/>
          <w:b w:val="0"/>
          <w:bCs w:val="0"/>
          <w:i w:val="0"/>
          <w:iCs w:val="0"/>
          <w:color w:val="auto"/>
          <w:sz w:val="21"/>
          <w:szCs w:val="21"/>
          <w:highlight w:val="none"/>
          <w:u w:val="single"/>
          <w:lang w:val="en-US" w:eastAsia="zh-CN"/>
        </w:rPr>
      </w:pPr>
      <w:r>
        <w:rPr>
          <w:rFonts w:hint="eastAsia" w:ascii="宋体" w:hAnsi="宋体" w:eastAsia="宋体" w:cs="宋体"/>
          <w:b w:val="0"/>
          <w:bCs w:val="0"/>
          <w:i w:val="0"/>
          <w:iCs w:val="0"/>
          <w:color w:val="auto"/>
          <w:sz w:val="21"/>
          <w:szCs w:val="21"/>
          <w:highlight w:val="none"/>
          <w:u w:val="single"/>
          <w:lang w:val="en-US" w:eastAsia="zh-CN"/>
        </w:rPr>
        <w:t>投标费率不高于100%。投标费率低于80%的，需提供成本分析报告（通过数据表格及文字分析说明，阐明本项目成本构成内容，提供成本控制具体方案，以及各项成本的节约措施，并证明成本节约的实际成效）。分项报价表修正原则参照招标文件要求执行。分项报价表中各分项报价合计金额应与开标一览表中投标总报价保持一致，若不一致，视为两个报价，作否决处理。</w:t>
      </w:r>
    </w:p>
    <w:p w14:paraId="43D247D1">
      <w:pPr>
        <w:jc w:val="center"/>
        <w:rPr>
          <w:rFonts w:hint="eastAsia" w:ascii="宋体" w:hAnsi="宋体" w:cs="宋体"/>
          <w:b w:val="0"/>
          <w:bCs/>
          <w:i w:val="0"/>
          <w:iCs/>
          <w:color w:val="auto"/>
          <w:kern w:val="0"/>
          <w:sz w:val="21"/>
          <w:szCs w:val="21"/>
          <w:lang w:val="en-US" w:eastAsia="zh-CN" w:bidi="ar"/>
        </w:rPr>
      </w:pPr>
      <w:r>
        <w:rPr>
          <w:rFonts w:hint="eastAsia" w:ascii="宋体" w:hAnsi="宋体" w:cs="宋体"/>
          <w:b w:val="0"/>
          <w:bCs/>
          <w:i w:val="0"/>
          <w:iCs/>
          <w:color w:val="auto"/>
          <w:kern w:val="0"/>
          <w:sz w:val="21"/>
          <w:szCs w:val="21"/>
          <w:lang w:val="en-US" w:eastAsia="zh-CN" w:bidi="ar"/>
        </w:rPr>
        <w:t>深圳供电局有限公司2026年中间层项目可研勘察设计监理服务框架公开招标分项报价表</w:t>
      </w:r>
    </w:p>
    <w:tbl>
      <w:tblPr>
        <w:tblStyle w:val="13"/>
        <w:tblpPr w:leftFromText="180" w:rightFromText="180" w:vertAnchor="text" w:horzAnchor="page" w:tblpX="1420" w:tblpY="111"/>
        <w:tblOverlap w:val="never"/>
        <w:tblW w:w="94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803"/>
        <w:gridCol w:w="2674"/>
        <w:gridCol w:w="3061"/>
        <w:gridCol w:w="1925"/>
        <w:gridCol w:w="994"/>
      </w:tblGrid>
      <w:tr w14:paraId="63754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18" w:hRule="atLeast"/>
          <w:jc w:val="center"/>
        </w:trPr>
        <w:tc>
          <w:tcPr>
            <w:tcW w:w="803" w:type="dxa"/>
            <w:tcBorders>
              <w:top w:val="single" w:color="000000" w:sz="4" w:space="0"/>
              <w:left w:val="single" w:color="000000" w:sz="4" w:space="0"/>
              <w:bottom w:val="single" w:color="000000" w:sz="4" w:space="0"/>
              <w:right w:val="single" w:color="000000" w:sz="4" w:space="0"/>
            </w:tcBorders>
            <w:vAlign w:val="center"/>
          </w:tcPr>
          <w:p w14:paraId="31635F86">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序号</w:t>
            </w:r>
          </w:p>
        </w:tc>
        <w:tc>
          <w:tcPr>
            <w:tcW w:w="2674" w:type="dxa"/>
            <w:tcBorders>
              <w:top w:val="single" w:color="000000" w:sz="4" w:space="0"/>
              <w:left w:val="single" w:color="000000" w:sz="4" w:space="0"/>
              <w:right w:val="single" w:color="000000" w:sz="4" w:space="0"/>
            </w:tcBorders>
            <w:vAlign w:val="center"/>
          </w:tcPr>
          <w:p w14:paraId="180E288B">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标的</w:t>
            </w:r>
            <w:r>
              <w:rPr>
                <w:rFonts w:hint="eastAsia" w:ascii="宋体" w:hAnsi="宋体" w:eastAsia="宋体" w:cs="宋体"/>
                <w:b/>
                <w:bCs/>
                <w:snapToGrid w:val="0"/>
                <w:color w:val="auto"/>
                <w:kern w:val="0"/>
                <w:sz w:val="21"/>
                <w:szCs w:val="21"/>
                <w:highlight w:val="none"/>
                <w:u w:val="none"/>
                <w:vertAlign w:val="baseline"/>
                <w:lang w:val="en-US" w:eastAsia="zh-CN"/>
              </w:rPr>
              <w:t>名称</w:t>
            </w:r>
          </w:p>
        </w:tc>
        <w:tc>
          <w:tcPr>
            <w:tcW w:w="3061" w:type="dxa"/>
            <w:tcBorders>
              <w:top w:val="single" w:color="000000" w:sz="4" w:space="0"/>
              <w:left w:val="single" w:color="000000" w:sz="4" w:space="0"/>
              <w:bottom w:val="single" w:color="000000" w:sz="4" w:space="0"/>
              <w:right w:val="single" w:color="000000" w:sz="4" w:space="0"/>
            </w:tcBorders>
            <w:vAlign w:val="center"/>
          </w:tcPr>
          <w:p w14:paraId="419D79C1">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标包名称</w:t>
            </w:r>
          </w:p>
        </w:tc>
        <w:tc>
          <w:tcPr>
            <w:tcW w:w="1925" w:type="dxa"/>
            <w:tcBorders>
              <w:top w:val="single" w:color="000000" w:sz="4" w:space="0"/>
              <w:left w:val="single" w:color="000000" w:sz="4" w:space="0"/>
              <w:bottom w:val="single" w:color="000000" w:sz="4" w:space="0"/>
              <w:right w:val="single" w:color="000000" w:sz="4" w:space="0"/>
            </w:tcBorders>
            <w:vAlign w:val="center"/>
          </w:tcPr>
          <w:p w14:paraId="5CB2CD5C">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投标费率</w:t>
            </w:r>
          </w:p>
        </w:tc>
        <w:tc>
          <w:tcPr>
            <w:tcW w:w="994" w:type="dxa"/>
            <w:tcBorders>
              <w:top w:val="single" w:color="000000" w:sz="4" w:space="0"/>
              <w:left w:val="single" w:color="000000" w:sz="4" w:space="0"/>
              <w:bottom w:val="single" w:color="000000" w:sz="4" w:space="0"/>
              <w:right w:val="single" w:color="000000" w:sz="4" w:space="0"/>
            </w:tcBorders>
            <w:vAlign w:val="center"/>
          </w:tcPr>
          <w:p w14:paraId="1F5DED22">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备注</w:t>
            </w:r>
          </w:p>
        </w:tc>
      </w:tr>
      <w:tr w14:paraId="4FF97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47" w:hRule="atLeast"/>
          <w:jc w:val="center"/>
        </w:trPr>
        <w:tc>
          <w:tcPr>
            <w:tcW w:w="803" w:type="dxa"/>
            <w:tcBorders>
              <w:top w:val="single" w:color="000000" w:sz="4" w:space="0"/>
              <w:left w:val="single" w:color="000000" w:sz="4" w:space="0"/>
              <w:bottom w:val="single" w:color="000000" w:sz="4" w:space="0"/>
              <w:right w:val="single" w:color="000000" w:sz="4" w:space="0"/>
            </w:tcBorders>
            <w:vAlign w:val="center"/>
          </w:tcPr>
          <w:p w14:paraId="0CFBE301">
            <w:pPr>
              <w:keepNext w:val="0"/>
              <w:keepLines w:val="0"/>
              <w:pageBreakBefore w:val="0"/>
              <w:widowControl/>
              <w:suppressLineNumbers w:val="0"/>
              <w:shd w:val="clear" w:color="auto" w:fill="auto"/>
              <w:kinsoku/>
              <w:wordWrap/>
              <w:overflowPunct/>
              <w:topLinePunct w:val="0"/>
              <w:bidi w:val="0"/>
              <w:spacing w:line="360" w:lineRule="auto"/>
              <w:jc w:val="center"/>
              <w:textAlignment w:val="center"/>
              <w:rPr>
                <w:rFonts w:hint="default" w:asciiTheme="minorEastAsia" w:hAnsiTheme="minorEastAsia" w:eastAsiaTheme="minorEastAsia" w:cstheme="minorEastAsia"/>
                <w:i w:val="0"/>
                <w:color w:val="auto"/>
                <w:sz w:val="21"/>
                <w:szCs w:val="21"/>
                <w:highlight w:val="none"/>
                <w:u w:val="none"/>
                <w:lang w:val="en-US" w:eastAsia="zh-CN"/>
              </w:rPr>
            </w:pPr>
            <w:r>
              <w:rPr>
                <w:rFonts w:hint="eastAsia" w:asciiTheme="minorEastAsia" w:hAnsiTheme="minorEastAsia" w:eastAsiaTheme="minorEastAsia" w:cstheme="minorEastAsia"/>
                <w:i w:val="0"/>
                <w:color w:val="auto"/>
                <w:sz w:val="21"/>
                <w:szCs w:val="21"/>
                <w:highlight w:val="none"/>
                <w:u w:val="none"/>
                <w:lang w:val="en-US" w:eastAsia="zh-CN"/>
              </w:rPr>
              <w:t>1</w:t>
            </w:r>
          </w:p>
        </w:tc>
        <w:tc>
          <w:tcPr>
            <w:tcW w:w="2674" w:type="dxa"/>
            <w:tcBorders>
              <w:top w:val="single" w:color="000000" w:sz="4" w:space="0"/>
              <w:left w:val="single" w:color="000000" w:sz="4" w:space="0"/>
              <w:bottom w:val="single" w:color="000000" w:sz="4" w:space="0"/>
              <w:right w:val="single" w:color="000000" w:sz="4" w:space="0"/>
            </w:tcBorders>
            <w:vAlign w:val="center"/>
          </w:tcPr>
          <w:p w14:paraId="6784C5E6">
            <w:pPr>
              <w:keepNext w:val="0"/>
              <w:keepLines w:val="0"/>
              <w:pageBreakBefore w:val="0"/>
              <w:widowControl/>
              <w:suppressLineNumbers w:val="0"/>
              <w:shd w:val="clear" w:color="auto" w:fill="auto"/>
              <w:kinsoku/>
              <w:wordWrap/>
              <w:overflowPunct/>
              <w:topLinePunct w:val="0"/>
              <w:bidi w:val="0"/>
              <w:spacing w:line="360" w:lineRule="auto"/>
              <w:jc w:val="center"/>
              <w:textAlignment w:val="center"/>
              <w:rPr>
                <w:rFonts w:hint="eastAsia" w:ascii="宋体" w:hAnsi="宋体" w:eastAsia="宋体" w:cs="宋体"/>
                <w:b w:val="0"/>
                <w:bCs w:val="0"/>
                <w:i w:val="0"/>
                <w:iCs w:val="0"/>
                <w:color w:val="auto"/>
                <w:kern w:val="0"/>
                <w:sz w:val="22"/>
                <w:szCs w:val="22"/>
                <w:u w:val="none"/>
                <w:lang w:val="en-US" w:eastAsia="zh-CN" w:bidi="ar"/>
              </w:rPr>
            </w:pPr>
            <w:r>
              <w:rPr>
                <w:rFonts w:hint="eastAsia" w:ascii="宋体" w:hAnsi="宋体" w:eastAsia="宋体" w:cs="宋体"/>
                <w:b w:val="0"/>
                <w:bCs w:val="0"/>
                <w:i w:val="0"/>
                <w:iCs w:val="0"/>
                <w:color w:val="auto"/>
                <w:kern w:val="0"/>
                <w:sz w:val="22"/>
                <w:szCs w:val="22"/>
                <w:u w:val="none"/>
                <w:lang w:val="en-US" w:eastAsia="zh-CN" w:bidi="ar"/>
              </w:rPr>
              <w:t>标的2：深圳供电局有限公司2026-2027年中间层项目监理服务框架公开招标</w:t>
            </w:r>
          </w:p>
        </w:tc>
        <w:tc>
          <w:tcPr>
            <w:tcW w:w="3061" w:type="dxa"/>
            <w:tcBorders>
              <w:top w:val="single" w:color="000000" w:sz="4" w:space="0"/>
              <w:left w:val="single" w:color="000000" w:sz="4" w:space="0"/>
              <w:bottom w:val="single" w:color="000000" w:sz="4" w:space="0"/>
              <w:right w:val="single" w:color="000000" w:sz="4" w:space="0"/>
            </w:tcBorders>
            <w:vAlign w:val="center"/>
          </w:tcPr>
          <w:p w14:paraId="5969F4A1">
            <w:pPr>
              <w:keepNext w:val="0"/>
              <w:keepLines w:val="0"/>
              <w:pageBreakBefore w:val="0"/>
              <w:kinsoku/>
              <w:wordWrap/>
              <w:overflowPunct/>
              <w:topLinePunct w:val="0"/>
              <w:bidi w:val="0"/>
              <w:spacing w:line="360" w:lineRule="auto"/>
              <w:jc w:val="center"/>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第1标包：包含罗湖、福田、南山、 盐田、宝安、龙岗、坪山、大鹏、深汕、光明、龙华。</w:t>
            </w:r>
          </w:p>
        </w:tc>
        <w:tc>
          <w:tcPr>
            <w:tcW w:w="1925" w:type="dxa"/>
            <w:tcBorders>
              <w:top w:val="single" w:color="000000" w:sz="4" w:space="0"/>
              <w:left w:val="single" w:color="000000" w:sz="4" w:space="0"/>
              <w:bottom w:val="single" w:color="000000" w:sz="4" w:space="0"/>
              <w:right w:val="single" w:color="000000" w:sz="4" w:space="0"/>
            </w:tcBorders>
            <w:vAlign w:val="center"/>
          </w:tcPr>
          <w:p w14:paraId="5360FD6B">
            <w:pPr>
              <w:keepNext w:val="0"/>
              <w:keepLines w:val="0"/>
              <w:pageBreakBefore w:val="0"/>
              <w:kinsoku/>
              <w:wordWrap/>
              <w:overflowPunct/>
              <w:topLinePunct w:val="0"/>
              <w:bidi w:val="0"/>
              <w:spacing w:line="360" w:lineRule="auto"/>
              <w:jc w:val="center"/>
              <w:rPr>
                <w:rFonts w:hint="eastAsia" w:asciiTheme="minorEastAsia" w:hAnsiTheme="minorEastAsia" w:eastAsiaTheme="minorEastAsia" w:cstheme="minorEastAsia"/>
                <w:i w:val="0"/>
                <w:color w:val="auto"/>
                <w:sz w:val="21"/>
                <w:szCs w:val="21"/>
                <w:highlight w:val="none"/>
                <w:u w:val="none"/>
                <w:lang w:val="en-US" w:eastAsia="zh-CN"/>
              </w:rPr>
            </w:pPr>
            <w:r>
              <w:rPr>
                <w:rFonts w:hint="eastAsia" w:asciiTheme="minorEastAsia" w:hAnsiTheme="minorEastAsia" w:eastAsiaTheme="minorEastAsia" w:cstheme="minorEastAsia"/>
                <w:i w:val="0"/>
                <w:color w:val="auto"/>
                <w:sz w:val="21"/>
                <w:szCs w:val="21"/>
                <w:highlight w:val="none"/>
                <w:u w:val="none"/>
                <w:lang w:val="en-US" w:eastAsia="zh-CN"/>
              </w:rPr>
              <w:t>__________%</w:t>
            </w:r>
          </w:p>
        </w:tc>
        <w:tc>
          <w:tcPr>
            <w:tcW w:w="994" w:type="dxa"/>
            <w:tcBorders>
              <w:top w:val="single" w:color="000000" w:sz="4" w:space="0"/>
              <w:left w:val="single" w:color="000000" w:sz="4" w:space="0"/>
              <w:bottom w:val="single" w:color="000000" w:sz="4" w:space="0"/>
              <w:right w:val="single" w:color="000000" w:sz="4" w:space="0"/>
            </w:tcBorders>
            <w:vAlign w:val="center"/>
          </w:tcPr>
          <w:p w14:paraId="1B4FEED7">
            <w:pPr>
              <w:keepNext w:val="0"/>
              <w:keepLines w:val="0"/>
              <w:pageBreakBefore w:val="0"/>
              <w:kinsoku/>
              <w:wordWrap/>
              <w:overflowPunct/>
              <w:topLinePunct w:val="0"/>
              <w:bidi w:val="0"/>
              <w:spacing w:line="360" w:lineRule="auto"/>
              <w:jc w:val="center"/>
              <w:rPr>
                <w:rFonts w:hint="eastAsia" w:asciiTheme="minorEastAsia" w:hAnsiTheme="minorEastAsia" w:eastAsiaTheme="minorEastAsia" w:cstheme="minorEastAsia"/>
                <w:i w:val="0"/>
                <w:color w:val="auto"/>
                <w:sz w:val="21"/>
                <w:szCs w:val="21"/>
                <w:highlight w:val="none"/>
                <w:u w:val="none"/>
              </w:rPr>
            </w:pPr>
          </w:p>
        </w:tc>
      </w:tr>
      <w:tr w14:paraId="05451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90" w:hRule="atLeast"/>
          <w:jc w:val="center"/>
        </w:trPr>
        <w:tc>
          <w:tcPr>
            <w:tcW w:w="9457" w:type="dxa"/>
            <w:gridSpan w:val="5"/>
            <w:tcBorders>
              <w:top w:val="single" w:color="000000" w:sz="4" w:space="0"/>
              <w:left w:val="single" w:color="000000" w:sz="4" w:space="0"/>
              <w:bottom w:val="single" w:color="000000" w:sz="4" w:space="0"/>
              <w:right w:val="single" w:color="000000" w:sz="4" w:space="0"/>
            </w:tcBorders>
            <w:vAlign w:val="center"/>
          </w:tcPr>
          <w:p w14:paraId="1CC8187E">
            <w:pPr>
              <w:keepNext w:val="0"/>
              <w:keepLines w:val="0"/>
              <w:pageBreakBefore w:val="0"/>
              <w:kinsoku/>
              <w:wordWrap/>
              <w:overflowPunct/>
              <w:topLinePunct w:val="0"/>
              <w:bidi w:val="0"/>
              <w:spacing w:line="360" w:lineRule="auto"/>
              <w:jc w:val="center"/>
              <w:rPr>
                <w:rFonts w:hint="eastAsia" w:asciiTheme="minorEastAsia" w:hAnsiTheme="minorEastAsia" w:eastAsiaTheme="minorEastAsia" w:cstheme="minorEastAsia"/>
                <w:i w:val="0"/>
                <w:color w:val="auto"/>
                <w:sz w:val="21"/>
                <w:szCs w:val="21"/>
                <w:highlight w:val="none"/>
                <w:u w:val="none"/>
              </w:rPr>
            </w:pPr>
            <w:r>
              <w:rPr>
                <w:rFonts w:hint="eastAsia" w:ascii="宋体" w:hAnsi="宋体" w:eastAsia="宋体" w:cs="宋体"/>
                <w:b/>
                <w:bCs/>
                <w:color w:val="auto"/>
                <w:kern w:val="0"/>
                <w:sz w:val="21"/>
                <w:szCs w:val="21"/>
                <w:lang w:val="en-US" w:eastAsia="zh-CN" w:bidi="ar"/>
              </w:rPr>
              <w:t>投标费率（大写）</w:t>
            </w:r>
            <w:r>
              <w:rPr>
                <w:rFonts w:hint="eastAsia" w:ascii="宋体" w:hAnsi="宋体" w:cs="宋体"/>
                <w:b/>
                <w:bCs/>
                <w:color w:val="auto"/>
                <w:kern w:val="0"/>
                <w:sz w:val="21"/>
                <w:szCs w:val="21"/>
                <w:lang w:val="en-US" w:eastAsia="zh-CN" w:bidi="ar"/>
              </w:rPr>
              <w:t>：</w:t>
            </w:r>
          </w:p>
        </w:tc>
      </w:tr>
    </w:tbl>
    <w:p w14:paraId="76A6F833">
      <w:pPr>
        <w:pStyle w:val="2"/>
        <w:rPr>
          <w:rFonts w:hint="eastAsia" w:ascii="宋体" w:hAnsi="宋体" w:cs="宋体"/>
          <w:b w:val="0"/>
          <w:bCs/>
          <w:i w:val="0"/>
          <w:iCs/>
          <w:color w:val="auto"/>
          <w:kern w:val="0"/>
          <w:sz w:val="21"/>
          <w:szCs w:val="21"/>
          <w:lang w:val="en-US" w:eastAsia="zh-CN" w:bidi="ar"/>
        </w:rPr>
      </w:pPr>
    </w:p>
    <w:p w14:paraId="755F1041">
      <w:pPr>
        <w:pStyle w:val="2"/>
        <w:keepNext w:val="0"/>
        <w:keepLines w:val="0"/>
        <w:pageBreakBefore w:val="0"/>
        <w:widowControl w:val="0"/>
        <w:kinsoku/>
        <w:wordWrap/>
        <w:overflowPunct/>
        <w:topLinePunct w:val="0"/>
        <w:autoSpaceDE w:val="0"/>
        <w:autoSpaceDN w:val="0"/>
        <w:bidi w:val="0"/>
        <w:adjustRightInd w:val="0"/>
        <w:snapToGrid/>
        <w:spacing w:beforeLines="0" w:afterLines="0" w:line="360" w:lineRule="auto"/>
        <w:ind w:firstLine="420" w:firstLineChars="200"/>
        <w:textAlignment w:val="auto"/>
        <w:rPr>
          <w:rFonts w:hint="eastAsia" w:ascii="宋体" w:hAnsi="宋体" w:eastAsia="宋体" w:cs="宋体"/>
          <w:b w:val="0"/>
          <w:bCs w:val="0"/>
          <w:i w:val="0"/>
          <w:iCs w:val="0"/>
          <w:color w:val="auto"/>
          <w:kern w:val="2"/>
          <w:sz w:val="21"/>
          <w:szCs w:val="21"/>
          <w:highlight w:val="none"/>
          <w:u w:val="single"/>
          <w:lang w:val="en-US" w:eastAsia="zh-CN" w:bidi="ar-SA"/>
        </w:rPr>
      </w:pPr>
      <w:r>
        <w:rPr>
          <w:rFonts w:hint="eastAsia" w:ascii="宋体" w:hAnsi="宋体" w:eastAsia="宋体" w:cs="宋体"/>
          <w:b w:val="0"/>
          <w:bCs w:val="0"/>
          <w:i w:val="0"/>
          <w:iCs w:val="0"/>
          <w:color w:val="auto"/>
          <w:kern w:val="2"/>
          <w:sz w:val="21"/>
          <w:szCs w:val="21"/>
          <w:highlight w:val="none"/>
          <w:u w:val="single"/>
          <w:lang w:val="en-US" w:eastAsia="zh-CN" w:bidi="ar-SA"/>
        </w:rPr>
        <w:t>投标费率不高于100%。投标费率低于90%的，需提供成本分析报告（通过数据表格及文字分析说明，阐明本项目成本构成内容，提供成本控制具体方案，以及各项成本的节约措施，并证明成本节约的实际成效）。分项报价表修正原则参照招标文件要求执行。分项报价表中各分项报价合计金额应与开标一览表中投标总报价保持一致，若不一致，视为两个报价，作否决处理。</w:t>
      </w:r>
    </w:p>
    <w:p w14:paraId="7956F90D">
      <w:pPr>
        <w:rPr>
          <w:lang w:val="en-US" w:eastAsia="zh-CN"/>
        </w:rPr>
      </w:pPr>
    </w:p>
    <w:p w14:paraId="0DCE122C">
      <w:pPr>
        <w:pStyle w:val="2"/>
        <w:rPr>
          <w:lang w:val="en-US" w:eastAsia="zh-CN"/>
        </w:rPr>
      </w:pPr>
    </w:p>
    <w:p w14:paraId="1C14D127">
      <w:pPr>
        <w:keepNext w:val="0"/>
        <w:keepLines w:val="0"/>
        <w:pageBreakBefore w:val="0"/>
        <w:widowControl/>
        <w:suppressLineNumbers w:val="0"/>
        <w:kinsoku/>
        <w:wordWrap/>
        <w:overflowPunct/>
        <w:topLinePunct w:val="0"/>
        <w:bidi w:val="0"/>
        <w:snapToGrid/>
        <w:spacing w:line="360" w:lineRule="auto"/>
        <w:jc w:val="right"/>
        <w:textAlignment w:val="auto"/>
        <w:rPr>
          <w:rFonts w:ascii="宋体" w:hAnsi="宋体" w:eastAsia="宋体" w:cs="宋体"/>
          <w:b/>
          <w:bCs/>
          <w:color w:val="000000"/>
          <w:kern w:val="0"/>
          <w:sz w:val="21"/>
          <w:szCs w:val="21"/>
          <w:lang w:val="en-US" w:eastAsia="zh-CN" w:bidi="ar"/>
        </w:rPr>
      </w:pPr>
      <w:r>
        <w:rPr>
          <w:rFonts w:ascii="宋体" w:hAnsi="宋体" w:eastAsia="宋体" w:cs="宋体"/>
          <w:b/>
          <w:bCs/>
          <w:color w:val="000000"/>
          <w:kern w:val="0"/>
          <w:sz w:val="21"/>
          <w:szCs w:val="21"/>
          <w:lang w:val="en-US" w:eastAsia="zh-CN" w:bidi="ar"/>
        </w:rPr>
        <w:t>投 标 人：（</w:t>
      </w:r>
      <w:r>
        <w:rPr>
          <w:rFonts w:hint="eastAsia" w:ascii="宋体" w:hAnsi="宋体" w:cs="宋体"/>
          <w:b/>
          <w:bCs/>
          <w:color w:val="000000"/>
          <w:kern w:val="0"/>
          <w:sz w:val="21"/>
          <w:szCs w:val="21"/>
          <w:lang w:val="en-US" w:eastAsia="zh-CN" w:bidi="ar"/>
        </w:rPr>
        <w:t>盖章</w:t>
      </w:r>
      <w:r>
        <w:rPr>
          <w:rFonts w:ascii="宋体" w:hAnsi="宋体" w:eastAsia="宋体" w:cs="宋体"/>
          <w:b/>
          <w:bCs/>
          <w:color w:val="000000"/>
          <w:kern w:val="0"/>
          <w:sz w:val="21"/>
          <w:szCs w:val="21"/>
          <w:lang w:val="en-US" w:eastAsia="zh-CN" w:bidi="ar"/>
        </w:rPr>
        <w:t xml:space="preserve">） </w:t>
      </w:r>
    </w:p>
    <w:p w14:paraId="56357C2E">
      <w:pPr>
        <w:keepNext w:val="0"/>
        <w:keepLines w:val="0"/>
        <w:pageBreakBefore w:val="0"/>
        <w:widowControl/>
        <w:suppressLineNumbers w:val="0"/>
        <w:kinsoku/>
        <w:wordWrap/>
        <w:overflowPunct/>
        <w:topLinePunct w:val="0"/>
        <w:bidi w:val="0"/>
        <w:snapToGrid/>
        <w:spacing w:line="360" w:lineRule="auto"/>
        <w:jc w:val="right"/>
        <w:textAlignment w:val="auto"/>
        <w:rPr>
          <w:rFonts w:ascii="宋体" w:hAnsi="宋体" w:eastAsia="宋体" w:cs="宋体"/>
          <w:b/>
          <w:bCs/>
          <w:color w:val="000000"/>
          <w:kern w:val="0"/>
          <w:sz w:val="21"/>
          <w:szCs w:val="21"/>
          <w:lang w:val="en-US" w:eastAsia="zh-CN" w:bidi="ar"/>
        </w:rPr>
      </w:pPr>
      <w:r>
        <w:rPr>
          <w:rFonts w:ascii="宋体" w:hAnsi="宋体" w:eastAsia="宋体" w:cs="宋体"/>
          <w:b/>
          <w:bCs/>
          <w:color w:val="000000"/>
          <w:kern w:val="0"/>
          <w:sz w:val="21"/>
          <w:szCs w:val="21"/>
          <w:lang w:val="en-US" w:eastAsia="zh-CN" w:bidi="ar"/>
        </w:rPr>
        <w:t>年</w:t>
      </w:r>
      <w:r>
        <w:rPr>
          <w:rFonts w:hint="eastAsia" w:ascii="宋体" w:hAnsi="宋体" w:eastAsia="宋体" w:cs="宋体"/>
          <w:b/>
          <w:bCs/>
          <w:color w:val="000000"/>
          <w:kern w:val="0"/>
          <w:sz w:val="21"/>
          <w:szCs w:val="21"/>
          <w:lang w:val="en-US" w:eastAsia="zh-CN" w:bidi="ar"/>
        </w:rPr>
        <w:t xml:space="preserve">   </w:t>
      </w:r>
      <w:r>
        <w:rPr>
          <w:rFonts w:ascii="宋体" w:hAnsi="宋体" w:eastAsia="宋体" w:cs="宋体"/>
          <w:b/>
          <w:bCs/>
          <w:color w:val="000000"/>
          <w:kern w:val="0"/>
          <w:sz w:val="21"/>
          <w:szCs w:val="21"/>
          <w:lang w:val="en-US" w:eastAsia="zh-CN" w:bidi="ar"/>
        </w:rPr>
        <w:t>月</w:t>
      </w:r>
      <w:r>
        <w:rPr>
          <w:rFonts w:hint="eastAsia" w:ascii="宋体" w:hAnsi="宋体" w:eastAsia="宋体" w:cs="宋体"/>
          <w:b/>
          <w:bCs/>
          <w:color w:val="000000"/>
          <w:kern w:val="0"/>
          <w:sz w:val="21"/>
          <w:szCs w:val="21"/>
          <w:lang w:val="en-US" w:eastAsia="zh-CN" w:bidi="ar"/>
        </w:rPr>
        <w:t xml:space="preserve">   </w:t>
      </w:r>
      <w:r>
        <w:rPr>
          <w:rFonts w:ascii="宋体" w:hAnsi="宋体" w:eastAsia="宋体" w:cs="宋体"/>
          <w:b/>
          <w:bCs/>
          <w:color w:val="000000"/>
          <w:kern w:val="0"/>
          <w:sz w:val="21"/>
          <w:szCs w:val="21"/>
          <w:lang w:val="en-US" w:eastAsia="zh-CN" w:bidi="ar"/>
        </w:rPr>
        <w:t xml:space="preserve">日 </w:t>
      </w:r>
    </w:p>
    <w:p w14:paraId="17C696AE">
      <w:pPr>
        <w:pStyle w:val="2"/>
      </w:pPr>
    </w:p>
    <w:p w14:paraId="16845812">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14:paraId="01E3017D">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14:paraId="082F1022">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 xml:space="preserve">2.成本分析报告（如有） </w:t>
      </w:r>
    </w:p>
    <w:p w14:paraId="12A19DF2">
      <w:pPr>
        <w:pStyle w:val="2"/>
        <w:rPr>
          <w:b/>
          <w:bCs/>
        </w:rPr>
      </w:pPr>
    </w:p>
    <w:p w14:paraId="4EC05619">
      <w:pPr>
        <w:rPr>
          <w:b/>
          <w:bCs/>
        </w:rPr>
      </w:pPr>
    </w:p>
    <w:p w14:paraId="7A7F221B">
      <w:pPr>
        <w:pStyle w:val="2"/>
      </w:pPr>
    </w:p>
    <w:p w14:paraId="43BEC704">
      <w:pPr>
        <w:keepNext w:val="0"/>
        <w:keepLines w:val="0"/>
        <w:widowControl/>
        <w:suppressLineNumbers w:val="0"/>
        <w:jc w:val="left"/>
        <w:rPr>
          <w:b/>
          <w:bCs/>
        </w:rPr>
      </w:pPr>
      <w:r>
        <w:rPr>
          <w:rFonts w:hint="eastAsia" w:ascii="宋体" w:hAnsi="宋体" w:eastAsia="宋体" w:cs="宋体"/>
          <w:b/>
          <w:bCs/>
          <w:color w:val="000000"/>
          <w:kern w:val="0"/>
          <w:sz w:val="21"/>
          <w:szCs w:val="21"/>
          <w:lang w:val="en-US" w:eastAsia="zh-CN" w:bidi="ar"/>
        </w:rPr>
        <w:t>3.其他资料（如有）</w:t>
      </w:r>
    </w:p>
    <w:p w14:paraId="25A18289">
      <w:pPr>
        <w:pStyle w:val="2"/>
        <w:numPr>
          <w:ilvl w:val="0"/>
          <w:numId w:val="0"/>
        </w:numPr>
        <w:outlineLvl w:val="0"/>
      </w:pPr>
    </w:p>
    <w:p w14:paraId="6ED76E7C">
      <w:pPr>
        <w:pStyle w:val="10"/>
        <w:keepNext w:val="0"/>
        <w:keepLines w:val="0"/>
        <w:pageBreakBefore w:val="0"/>
        <w:widowControl w:val="0"/>
        <w:kinsoku/>
        <w:wordWrap/>
        <w:overflowPunct/>
        <w:topLinePunct w:val="0"/>
        <w:autoSpaceDE/>
        <w:autoSpaceDN/>
        <w:bidi w:val="0"/>
        <w:adjustRightInd/>
        <w:snapToGrid/>
        <w:spacing w:line="480" w:lineRule="atLeast"/>
        <w:ind w:firstLine="400" w:firstLineChars="200"/>
        <w:textAlignment w:val="auto"/>
        <w:rPr>
          <w:rFonts w:hint="eastAsia" w:asciiTheme="minorEastAsia" w:hAnsiTheme="minorEastAsia" w:eastAsiaTheme="minorEastAsia" w:cstheme="minorEastAsia"/>
          <w:color w:val="auto"/>
          <w:highlight w:val="none"/>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D2BF8">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224A1E">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3224A1E">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AF13F2"/>
    <w:multiLevelType w:val="singleLevel"/>
    <w:tmpl w:val="E5AF13F2"/>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jMjk1OTRjMTQyYTcyYzNiZjZkMjdlOGI1ZGFlNjgifQ=="/>
  </w:docVars>
  <w:rsids>
    <w:rsidRoot w:val="24F737D8"/>
    <w:rsid w:val="03855AC0"/>
    <w:rsid w:val="04A24F71"/>
    <w:rsid w:val="0939114F"/>
    <w:rsid w:val="0B326221"/>
    <w:rsid w:val="0BC07002"/>
    <w:rsid w:val="0F72716D"/>
    <w:rsid w:val="116419AD"/>
    <w:rsid w:val="11DF6CFE"/>
    <w:rsid w:val="122B025D"/>
    <w:rsid w:val="13217EB9"/>
    <w:rsid w:val="14440D4B"/>
    <w:rsid w:val="147D6BCA"/>
    <w:rsid w:val="14D66D42"/>
    <w:rsid w:val="15056A61"/>
    <w:rsid w:val="155D3BB0"/>
    <w:rsid w:val="1676119E"/>
    <w:rsid w:val="18E57496"/>
    <w:rsid w:val="196633D1"/>
    <w:rsid w:val="1AD37E23"/>
    <w:rsid w:val="1B663F82"/>
    <w:rsid w:val="1DF47C52"/>
    <w:rsid w:val="1E6979F2"/>
    <w:rsid w:val="1EA1083B"/>
    <w:rsid w:val="1FDA172D"/>
    <w:rsid w:val="1FF37588"/>
    <w:rsid w:val="2038320A"/>
    <w:rsid w:val="216F4D5B"/>
    <w:rsid w:val="21805301"/>
    <w:rsid w:val="23FF7B63"/>
    <w:rsid w:val="24F737D8"/>
    <w:rsid w:val="28D25F89"/>
    <w:rsid w:val="2A8F157D"/>
    <w:rsid w:val="2BD07B70"/>
    <w:rsid w:val="2F8A01E6"/>
    <w:rsid w:val="2FF65FF8"/>
    <w:rsid w:val="300D195C"/>
    <w:rsid w:val="30BF37B5"/>
    <w:rsid w:val="341F0F27"/>
    <w:rsid w:val="361736AD"/>
    <w:rsid w:val="36D200CF"/>
    <w:rsid w:val="38382DC3"/>
    <w:rsid w:val="38DE045C"/>
    <w:rsid w:val="3A360A17"/>
    <w:rsid w:val="3C4A35F1"/>
    <w:rsid w:val="3C797D1E"/>
    <w:rsid w:val="3CAF4092"/>
    <w:rsid w:val="3D4FD256"/>
    <w:rsid w:val="3F966D63"/>
    <w:rsid w:val="42736A2B"/>
    <w:rsid w:val="43E96BC5"/>
    <w:rsid w:val="44D414C9"/>
    <w:rsid w:val="44FF15D6"/>
    <w:rsid w:val="46472D5E"/>
    <w:rsid w:val="480405A4"/>
    <w:rsid w:val="4AB412D9"/>
    <w:rsid w:val="4B3A1BDA"/>
    <w:rsid w:val="4D724042"/>
    <w:rsid w:val="4E607614"/>
    <w:rsid w:val="4E686959"/>
    <w:rsid w:val="507B3005"/>
    <w:rsid w:val="5231580C"/>
    <w:rsid w:val="52E734B9"/>
    <w:rsid w:val="55C3156A"/>
    <w:rsid w:val="571C752F"/>
    <w:rsid w:val="58103FA4"/>
    <w:rsid w:val="590F2F79"/>
    <w:rsid w:val="60011A1B"/>
    <w:rsid w:val="608606DE"/>
    <w:rsid w:val="620A6937"/>
    <w:rsid w:val="62DC7711"/>
    <w:rsid w:val="65E031F3"/>
    <w:rsid w:val="66C35559"/>
    <w:rsid w:val="699A143B"/>
    <w:rsid w:val="6A287B5E"/>
    <w:rsid w:val="6B303A1A"/>
    <w:rsid w:val="6B556D7E"/>
    <w:rsid w:val="6C105AEF"/>
    <w:rsid w:val="6DA472FB"/>
    <w:rsid w:val="6DAA2FDF"/>
    <w:rsid w:val="6E121228"/>
    <w:rsid w:val="70417745"/>
    <w:rsid w:val="706B516A"/>
    <w:rsid w:val="70D1495F"/>
    <w:rsid w:val="71FF82BE"/>
    <w:rsid w:val="73982E36"/>
    <w:rsid w:val="75AA53CB"/>
    <w:rsid w:val="7B9744EF"/>
    <w:rsid w:val="7BE40725"/>
    <w:rsid w:val="7CD26E79"/>
    <w:rsid w:val="7E3420E0"/>
    <w:rsid w:val="FFBF32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2">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3">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paragraph" w:styleId="4">
    <w:name w:val="heading 3"/>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26"/>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rPr>
      <w:rFonts w:ascii="Times New Roman" w:hAnsi="Times New Roman" w:cs="Times New Roman"/>
      <w:kern w:val="0"/>
      <w:sz w:val="20"/>
      <w:szCs w:val="20"/>
    </w:rPr>
  </w:style>
  <w:style w:type="paragraph" w:styleId="6">
    <w:name w:val="annotation text"/>
    <w:basedOn w:val="1"/>
    <w:unhideWhenUsed/>
    <w:qFormat/>
    <w:uiPriority w:val="0"/>
    <w:pPr>
      <w:jc w:val="left"/>
    </w:pPr>
  </w:style>
  <w:style w:type="paragraph" w:styleId="7">
    <w:name w:val="Body Text"/>
    <w:basedOn w:val="8"/>
    <w:next w:val="8"/>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8">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9">
    <w:name w:val="Body Text Indent"/>
    <w:basedOn w:val="1"/>
    <w:qFormat/>
    <w:uiPriority w:val="0"/>
    <w:pPr>
      <w:spacing w:after="120"/>
      <w:ind w:left="420" w:leftChars="200"/>
    </w:pPr>
  </w:style>
  <w:style w:type="paragraph" w:styleId="10">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目录 21"/>
    <w:basedOn w:val="1"/>
    <w:next w:val="1"/>
    <w:qFormat/>
    <w:uiPriority w:val="0"/>
    <w:pPr>
      <w:spacing w:before="100" w:beforeAutospacing="1" w:after="100" w:afterAutospacing="1"/>
      <w:ind w:left="420" w:leftChars="200"/>
    </w:pPr>
  </w:style>
  <w:style w:type="paragraph" w:customStyle="1" w:styleId="17">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2021-02-25T15:45:00Z</dcterms:created>
  <dc:creator>maja</dc:creator>
  <cp:lastModifiedBy>XC~yangzicong</cp:lastModifiedBy>
  <dcterms:modified xsi:type="dcterms:W3CDTF">2026-09-21T17:00:39Z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22BC1BAF15EBC0F2C7E2B06AC260A68E_43</vt:lpwstr>
  </property>
</Properties>
</file>