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0E5C0">
      <w:pPr>
        <w:jc w:val="center"/>
        <w:rPr>
          <w:rFonts w:hint="eastAsia"/>
          <w:sz w:val="44"/>
          <w:szCs w:val="52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云南电网有限责任公司2026年第2批电力物资类整合框架采购</w:t>
      </w:r>
      <w:r>
        <w:rPr>
          <w:rFonts w:hint="eastAsia"/>
          <w:sz w:val="28"/>
          <w:szCs w:val="28"/>
          <w:lang w:val="en-US" w:eastAsia="zh-CN"/>
        </w:rPr>
        <w:br w:type="textWrapping"/>
      </w:r>
      <w:r>
        <w:rPr>
          <w:rFonts w:hint="eastAsia"/>
          <w:sz w:val="28"/>
          <w:szCs w:val="28"/>
          <w:lang w:val="en-US" w:eastAsia="zh-CN"/>
        </w:rPr>
        <w:t>(公开招标)招标公告（17标）</w:t>
      </w:r>
    </w:p>
    <w:p w14:paraId="7D97ED18">
      <w:pPr>
        <w:jc w:val="center"/>
        <w:rPr>
          <w:rFonts w:hint="eastAsia"/>
          <w:lang w:val="en-US" w:eastAsia="zh-CN"/>
        </w:rPr>
      </w:pPr>
      <w:r>
        <w:rPr>
          <w:rFonts w:hint="eastAsia"/>
          <w:sz w:val="44"/>
          <w:szCs w:val="52"/>
          <w:lang w:val="en-US" w:eastAsia="zh-CN"/>
        </w:rPr>
        <w:t>疑问函</w:t>
      </w:r>
    </w:p>
    <w:p w14:paraId="305305FE"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</w:t>
      </w: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（通用部分）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第</w:t>
      </w:r>
      <w:bookmarkStart w:id="0" w:name="_Toc26107"/>
      <w:r>
        <w:rPr>
          <w:rFonts w:hint="eastAsia" w:ascii="Times New Roman" w:hAnsi="Times New Roman" w:eastAsia="黑体" w:cs="Times New Roman"/>
          <w:kern w:val="0"/>
          <w:szCs w:val="20"/>
        </w:rPr>
        <w:t>5.1.3　</w:t>
      </w:r>
      <w:r>
        <w:rPr>
          <w:rFonts w:ascii="Times New Roman" w:hAnsi="Times New Roman" w:eastAsia="黑体" w:cs="Times New Roman"/>
          <w:kern w:val="0"/>
          <w:szCs w:val="20"/>
        </w:rPr>
        <w:t>导体屏蔽</w:t>
      </w:r>
      <w:bookmarkEnd w:id="0"/>
      <w:r>
        <w:rPr>
          <w:rFonts w:hint="eastAsia" w:ascii="Times New Roman" w:hAnsi="Times New Roman" w:eastAsia="黑体" w:cs="Times New Roman"/>
          <w:kern w:val="0"/>
          <w:szCs w:val="20"/>
          <w:lang w:val="en-US" w:eastAsia="zh-CN"/>
        </w:rPr>
        <w:t xml:space="preserve">  </w:t>
      </w:r>
      <w:r>
        <w:rPr>
          <w:rFonts w:ascii="Times New Roman" w:hAnsi="Times New Roman" w:eastAsia="宋体" w:cs="Times New Roman"/>
          <w:kern w:val="0"/>
          <w:szCs w:val="21"/>
        </w:rPr>
        <w:t>导体屏蔽标称厚度为0.8mm，平均厚度应不小于标称厚度，最小厚度应不小于0.7mm。</w:t>
      </w:r>
    </w:p>
    <w:p w14:paraId="42ACFB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问：根据GB/T 12706.3标准中并未规定导体屏蔽标称厚度以及最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小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厚度，建议取消该条款按照国家标准执行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755CBE90">
      <w:pPr>
        <w:spacing w:line="360" w:lineRule="auto"/>
        <w:outlineLvl w:val="2"/>
        <w:rPr>
          <w:rFonts w:hint="eastAsia" w:asciiTheme="minorEastAsia" w:hAnsiTheme="minorEastAsia" w:cstheme="minorEastAsia"/>
          <w:kern w:val="0"/>
          <w:szCs w:val="20"/>
          <w:lang w:val="en-US" w:eastAsia="zh-CN"/>
        </w:rPr>
      </w:pPr>
    </w:p>
    <w:p w14:paraId="45C49842">
      <w:pPr>
        <w:spacing w:line="360" w:lineRule="auto"/>
        <w:outlineLvl w:val="2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</w:t>
      </w: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（通用部分</w:t>
      </w:r>
      <w:bookmarkStart w:id="7" w:name="_GoBack"/>
      <w:bookmarkEnd w:id="7"/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）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第</w:t>
      </w:r>
      <w:r>
        <w:rPr>
          <w:rFonts w:hint="eastAsia" w:ascii="Times New Roman" w:hAnsi="Times New Roman" w:eastAsia="黑体" w:cs="Times New Roman"/>
          <w:kern w:val="0"/>
          <w:szCs w:val="20"/>
        </w:rPr>
        <w:t>5.1.4　</w:t>
      </w:r>
      <w:r>
        <w:rPr>
          <w:rFonts w:ascii="Times New Roman" w:hAnsi="Times New Roman" w:eastAsia="黑体" w:cs="Times New Roman"/>
          <w:kern w:val="0"/>
          <w:szCs w:val="20"/>
        </w:rPr>
        <w:t>绝缘</w:t>
      </w:r>
      <w:r>
        <w:rPr>
          <w:rFonts w:hint="eastAsia" w:ascii="Times New Roman" w:hAnsi="Times New Roman" w:eastAsia="黑体" w:cs="Times New Roman"/>
          <w:kern w:val="0"/>
          <w:szCs w:val="20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kern w:val="0"/>
          <w:szCs w:val="21"/>
        </w:rPr>
        <w:t>绝缘标称厚度为10.5mm，绝缘厚度平均值应不小于标称值，任一点最小测量厚度应不小于标称值的95%。任一断面的偏心率[(最大测量厚度－最小测量厚度)/最大测量厚度]应不大于8%。</w:t>
      </w:r>
    </w:p>
    <w:p w14:paraId="487050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问：根据GB/T 12706.3标准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规定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，最小测量值不应低于规定标称值的90%再减0.1mm，偏心度不大于15%，且标准中并未规定绝缘平均厚度不应低于标称厚度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请确认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是否按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国家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标准执行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59244862"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</w:p>
    <w:p w14:paraId="0E50F9DF">
      <w:pPr>
        <w:spacing w:line="360" w:lineRule="auto"/>
        <w:outlineLvl w:val="2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</w:t>
      </w: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（通用部分）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第</w:t>
      </w:r>
      <w:bookmarkStart w:id="1" w:name="_Toc30826"/>
      <w:r>
        <w:rPr>
          <w:rFonts w:hint="eastAsia" w:ascii="Times New Roman" w:hAnsi="Times New Roman" w:eastAsia="黑体" w:cs="Times New Roman"/>
          <w:kern w:val="0"/>
          <w:szCs w:val="20"/>
        </w:rPr>
        <w:t>5.1.6　</w:t>
      </w:r>
      <w:r>
        <w:rPr>
          <w:rFonts w:ascii="Times New Roman" w:hAnsi="Times New Roman" w:eastAsia="黑体" w:cs="Times New Roman"/>
          <w:kern w:val="0"/>
          <w:szCs w:val="20"/>
        </w:rPr>
        <w:t>金属屏蔽</w:t>
      </w:r>
      <w:bookmarkEnd w:id="1"/>
      <w:r>
        <w:rPr>
          <w:rFonts w:hint="eastAsia" w:ascii="Times New Roman" w:hAnsi="Times New Roman" w:eastAsia="黑体" w:cs="Times New Roman"/>
          <w:kern w:val="0"/>
          <w:szCs w:val="20"/>
          <w:lang w:val="en-US" w:eastAsia="zh-CN"/>
        </w:rPr>
        <w:t xml:space="preserve">  </w:t>
      </w:r>
      <w:r>
        <w:rPr>
          <w:rFonts w:ascii="Times New Roman" w:hAnsi="Times New Roman" w:eastAsia="宋体" w:cs="Times New Roman"/>
          <w:kern w:val="0"/>
          <w:szCs w:val="21"/>
        </w:rPr>
        <w:t>铜带间绕包平均搭盖率不小于20％（标称值）。</w:t>
      </w:r>
    </w:p>
    <w:p w14:paraId="6775BB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问：根据GB/T 12706.3标准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规定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重叠绕包铜带间标称搭盖率为铜带宽度的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-2"/>
          <w:sz w:val="24"/>
          <w:szCs w:val="24"/>
          <w:lang w:val="en-US" w:eastAsia="zh-CN" w:bidi="ar"/>
        </w:rPr>
        <w:t>１５％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，最小搭盖率不应小于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-2"/>
          <w:sz w:val="24"/>
          <w:szCs w:val="24"/>
          <w:lang w:val="en-US" w:eastAsia="zh-CN" w:bidi="ar"/>
        </w:rPr>
        <w:t>５％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请确认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是否按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国家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标准执行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51767C39"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</w:p>
    <w:p w14:paraId="5470ADD4">
      <w:pPr>
        <w:adjustRightInd w:val="0"/>
        <w:snapToGrid w:val="0"/>
        <w:spacing w:line="360" w:lineRule="auto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4、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</w:t>
      </w: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（通用部分）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第</w:t>
      </w:r>
      <w:bookmarkStart w:id="2" w:name="_Toc6122"/>
      <w:r>
        <w:rPr>
          <w:rFonts w:hint="eastAsia" w:ascii="Times New Roman" w:hAnsi="Times New Roman" w:eastAsia="黑体" w:cs="Times New Roman"/>
          <w:kern w:val="0"/>
          <w:szCs w:val="20"/>
        </w:rPr>
        <w:t>5.1.7　</w:t>
      </w:r>
      <w:r>
        <w:rPr>
          <w:rFonts w:ascii="Times New Roman" w:hAnsi="Times New Roman" w:eastAsia="黑体" w:cs="Times New Roman"/>
          <w:kern w:val="0"/>
          <w:szCs w:val="20"/>
        </w:rPr>
        <w:t>内衬层及填充</w:t>
      </w:r>
      <w:bookmarkEnd w:id="2"/>
      <w:r>
        <w:rPr>
          <w:rFonts w:hint="eastAsia" w:ascii="Times New Roman" w:hAnsi="Times New Roman" w:eastAsia="黑体" w:cs="Times New Roman"/>
          <w:kern w:val="0"/>
          <w:szCs w:val="20"/>
          <w:lang w:val="en-US" w:eastAsia="zh-CN"/>
        </w:rPr>
        <w:t xml:space="preserve">  </w:t>
      </w:r>
      <w:r>
        <w:rPr>
          <w:rFonts w:ascii="Times New Roman" w:hAnsi="Times New Roman" w:eastAsia="宋体" w:cs="Times New Roman"/>
          <w:kern w:val="0"/>
          <w:szCs w:val="21"/>
        </w:rPr>
        <w:t>隔离套采用挤包型</w:t>
      </w:r>
      <w:r>
        <w:rPr>
          <w:rFonts w:hint="eastAsia" w:ascii="Times New Roman" w:hAnsi="Times New Roman" w:eastAsia="宋体" w:cs="Times New Roman"/>
          <w:kern w:val="0"/>
          <w:szCs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  <w:t>其标称厚度应满足GB/T 12706.3要求，平均厚度</w:t>
      </w:r>
      <w:r>
        <w:rPr>
          <w:rFonts w:ascii="Times New Roman" w:hAnsi="Times New Roman" w:eastAsia="宋体" w:cs="Times New Roman"/>
          <w:kern w:val="0"/>
          <w:szCs w:val="21"/>
        </w:rPr>
        <w:t>应不小于标称值，任一点最小厚度应不小于标称值的85%。</w:t>
      </w:r>
    </w:p>
    <w:p w14:paraId="140A31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问：根据GB/T 12706.3标准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规定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非金属护套厚度最小测量值不应小于规定标称值的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-1"/>
          <w:sz w:val="24"/>
          <w:szCs w:val="24"/>
          <w:lang w:val="en-US" w:eastAsia="zh-CN" w:bidi="ar"/>
        </w:rPr>
        <w:t>８０％再减</w:t>
      </w:r>
      <w:r>
        <w:rPr>
          <w:rFonts w:hint="eastAsia" w:asciiTheme="minorEastAsia" w:hAnsiTheme="minorEastAsia" w:cstheme="minorEastAsia"/>
          <w:b/>
          <w:bCs/>
          <w:color w:val="000000"/>
          <w:spacing w:val="0"/>
          <w:kern w:val="0"/>
          <w:position w:val="-1"/>
          <w:sz w:val="24"/>
          <w:szCs w:val="24"/>
          <w:lang w:val="en-US" w:eastAsia="zh-CN" w:bidi="ar"/>
        </w:rPr>
        <w:t>0.2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-2"/>
          <w:sz w:val="24"/>
          <w:szCs w:val="24"/>
          <w:lang w:val="en-US" w:eastAsia="zh-CN" w:bidi="ar"/>
        </w:rPr>
        <w:t>ｍｍ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，且无平均厚度要求</w:t>
      </w:r>
      <w:r>
        <w:rPr>
          <w:rFonts w:hint="eastAsia" w:asciiTheme="minorEastAsia" w:hAnsi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，请确认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是否按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国家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标准执行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3D41E7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</w:p>
    <w:p w14:paraId="35383993">
      <w:pPr>
        <w:spacing w:line="360" w:lineRule="auto"/>
        <w:outlineLvl w:val="2"/>
        <w:rPr>
          <w:rFonts w:ascii="Times New Roman" w:hAnsi="Times New Roman" w:eastAsia="黑体" w:cs="Times New Roman"/>
          <w:kern w:val="0"/>
          <w:szCs w:val="20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5、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</w:t>
      </w: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（通用部分）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第</w:t>
      </w:r>
      <w:bookmarkStart w:id="3" w:name="_Toc14062"/>
      <w:r>
        <w:rPr>
          <w:rFonts w:hint="eastAsia" w:ascii="Times New Roman" w:hAnsi="Times New Roman" w:eastAsia="黑体" w:cs="Times New Roman"/>
          <w:kern w:val="0"/>
          <w:szCs w:val="20"/>
        </w:rPr>
        <w:t>5.1.9　</w:t>
      </w:r>
      <w:r>
        <w:rPr>
          <w:rFonts w:ascii="Times New Roman" w:hAnsi="Times New Roman" w:eastAsia="黑体" w:cs="Times New Roman"/>
          <w:kern w:val="0"/>
          <w:szCs w:val="20"/>
        </w:rPr>
        <w:t>外护套</w:t>
      </w:r>
      <w:bookmarkEnd w:id="3"/>
    </w:p>
    <w:p w14:paraId="757AD919">
      <w:pPr>
        <w:adjustRightInd w:val="0"/>
        <w:snapToGrid w:val="0"/>
        <w:spacing w:line="360" w:lineRule="auto"/>
        <w:rPr>
          <w:rFonts w:hint="eastAsia" w:ascii="Times New Roman" w:hAnsi="Times New Roman" w:eastAsia="黑体" w:cs="Times New Roman"/>
          <w:kern w:val="0"/>
          <w:szCs w:val="20"/>
          <w:lang w:val="en-US" w:eastAsia="zh-CN"/>
        </w:rPr>
      </w:pPr>
      <w:r>
        <w:drawing>
          <wp:inline distT="0" distB="0" distL="114300" distR="114300">
            <wp:extent cx="6115685" cy="1206500"/>
            <wp:effectExtent l="0" t="0" r="18415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EFF99">
      <w:pPr>
        <w:adjustRightInd w:val="0"/>
        <w:snapToGrid w:val="0"/>
        <w:spacing w:line="360" w:lineRule="auto"/>
        <w:ind w:firstLine="420" w:firstLineChars="200"/>
        <w:rPr>
          <w:rFonts w:hint="eastAsia" w:ascii="Times New Roman" w:hAnsi="Times New Roman" w:eastAsia="黑体" w:cs="Times New Roman"/>
          <w:kern w:val="0"/>
          <w:szCs w:val="20"/>
          <w:lang w:val="en-US" w:eastAsia="zh-CN"/>
        </w:rPr>
      </w:pPr>
      <w:r>
        <w:rPr>
          <w:rFonts w:ascii="Times New Roman" w:hAnsi="Times New Roman" w:eastAsia="宋体" w:cs="Times New Roman"/>
          <w:kern w:val="0"/>
          <w:szCs w:val="21"/>
        </w:rPr>
        <w:t>外护套厚度平均值应不小于标称值，任一点最小厚度应不小于标称值的90%。</w:t>
      </w:r>
    </w:p>
    <w:p w14:paraId="57F44D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（1）此护套厚度与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GB/T 12706.3标准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假定直径计算的厚度不符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，是否按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国家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标准执行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7046E5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（2）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根据GB/T 12706.3标准，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非金属护套厚度最小测量值不应小于规定标称值的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-1"/>
          <w:sz w:val="24"/>
          <w:szCs w:val="24"/>
          <w:lang w:val="en-US" w:eastAsia="zh-CN" w:bidi="ar"/>
        </w:rPr>
        <w:t>８０％再减</w:t>
      </w:r>
      <w:r>
        <w:rPr>
          <w:rFonts w:hint="eastAsia" w:asciiTheme="minorEastAsia" w:hAnsiTheme="minorEastAsia" w:cstheme="minorEastAsia"/>
          <w:b/>
          <w:bCs/>
          <w:color w:val="000000"/>
          <w:spacing w:val="0"/>
          <w:kern w:val="0"/>
          <w:position w:val="-1"/>
          <w:sz w:val="24"/>
          <w:szCs w:val="24"/>
          <w:lang w:val="en-US" w:eastAsia="zh-CN" w:bidi="ar"/>
        </w:rPr>
        <w:t>0.2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-2"/>
          <w:sz w:val="24"/>
          <w:szCs w:val="24"/>
          <w:lang w:val="en-US" w:eastAsia="zh-CN" w:bidi="ar"/>
        </w:rPr>
        <w:t>ｍｍ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，且无平均厚度要求</w:t>
      </w:r>
      <w:r>
        <w:rPr>
          <w:rFonts w:hint="eastAsia" w:asciiTheme="minorEastAsia" w:hAnsi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，请确认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是否按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国家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标准执行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2C21EC46">
      <w:pPr>
        <w:spacing w:line="360" w:lineRule="auto"/>
        <w:outlineLvl w:val="2"/>
        <w:rPr>
          <w:rFonts w:hint="eastAsia" w:ascii="Times New Roman" w:hAnsi="Times New Roman" w:eastAsia="黑体" w:cs="Times New Roman"/>
          <w:kern w:val="0"/>
          <w:szCs w:val="20"/>
          <w:lang w:val="en-US" w:eastAsia="zh-CN"/>
        </w:rPr>
      </w:pPr>
    </w:p>
    <w:p w14:paraId="6F320C12">
      <w:pPr>
        <w:spacing w:line="360" w:lineRule="auto"/>
        <w:outlineLvl w:val="2"/>
        <w:rPr>
          <w:rFonts w:ascii="Times New Roman" w:hAnsi="Times New Roman" w:eastAsia="黑体" w:cs="Times New Roman"/>
          <w:kern w:val="0"/>
          <w:szCs w:val="20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6、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技术规范书第</w:t>
      </w:r>
      <w:r>
        <w:rPr>
          <w:rFonts w:hint="eastAsia" w:ascii="Times New Roman" w:hAnsi="Times New Roman" w:eastAsia="黑体" w:cs="Times New Roman"/>
          <w:kern w:val="0"/>
          <w:szCs w:val="20"/>
        </w:rPr>
        <w:t>5.1.9　</w:t>
      </w:r>
      <w:r>
        <w:rPr>
          <w:rFonts w:ascii="Times New Roman" w:hAnsi="Times New Roman" w:eastAsia="黑体" w:cs="Times New Roman"/>
          <w:kern w:val="0"/>
          <w:szCs w:val="20"/>
        </w:rPr>
        <w:t>外护套</w:t>
      </w:r>
    </w:p>
    <w:p w14:paraId="2440B26F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外护套需增加防蚁护层时，采用双层护套结构，双层护套结构应不可分离，其中内层护套应采用高密度聚乙烯（HDPE）护套料，外层护套采用防蚁护套料。此时要求：</w:t>
      </w:r>
    </w:p>
    <w:p w14:paraId="3C17F02D">
      <w:pPr>
        <w:numPr>
          <w:ilvl w:val="0"/>
          <w:numId w:val="1"/>
        </w:numPr>
        <w:adjustRightInd w:val="0"/>
        <w:snapToGrid w:val="0"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内层高密度聚乙烯宜选用红色添加剂，以示和外层防蚁护套区别。</w:t>
      </w:r>
    </w:p>
    <w:p w14:paraId="1BC52D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物资清单中有防蚁电缆，我司外护套采用防蚁聚乙烯护套料为一层护套，如需要双层护套，请贵方明确双层的具体厚度，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11DF4286">
      <w:pPr>
        <w:spacing w:line="360" w:lineRule="auto"/>
        <w:outlineLvl w:val="2"/>
        <w:rPr>
          <w:rFonts w:hint="eastAsia" w:asciiTheme="minorEastAsia" w:hAnsiTheme="minorEastAsia" w:cstheme="minorEastAsia"/>
          <w:kern w:val="0"/>
          <w:szCs w:val="20"/>
          <w:lang w:val="en-US" w:eastAsia="zh-CN"/>
        </w:rPr>
      </w:pPr>
    </w:p>
    <w:p w14:paraId="5665C651">
      <w:pPr>
        <w:spacing w:line="360" w:lineRule="auto"/>
        <w:outlineLvl w:val="2"/>
        <w:rPr>
          <w:rFonts w:ascii="Times New Roman" w:hAnsi="Times New Roman" w:eastAsia="黑体" w:cs="Times New Roman"/>
          <w:kern w:val="0"/>
          <w:szCs w:val="20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7、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技术规范书第</w:t>
      </w:r>
      <w:r>
        <w:rPr>
          <w:rFonts w:hint="eastAsia" w:ascii="Times New Roman" w:hAnsi="Times New Roman" w:eastAsia="黑体" w:cs="Times New Roman"/>
          <w:kern w:val="0"/>
          <w:szCs w:val="20"/>
        </w:rPr>
        <w:t>5.1.10　</w:t>
      </w:r>
      <w:r>
        <w:rPr>
          <w:rFonts w:ascii="Times New Roman" w:hAnsi="Times New Roman" w:eastAsia="黑体" w:cs="Times New Roman"/>
          <w:kern w:val="0"/>
          <w:szCs w:val="20"/>
        </w:rPr>
        <w:t>电缆不圆度</w:t>
      </w:r>
    </w:p>
    <w:p w14:paraId="2FDD0E33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电缆不圆度应不大于10%。</w:t>
      </w:r>
    </w:p>
    <w:p w14:paraId="1BE937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依据GB/T12706.3-2020标准规定，不考核不圆度要求，请确认是否不考虑技术文件要求，按国标执行？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25246AD5">
      <w:pPr>
        <w:spacing w:line="360" w:lineRule="auto"/>
        <w:outlineLvl w:val="2"/>
        <w:rPr>
          <w:rFonts w:hint="eastAsia" w:ascii="Times New Roman" w:hAnsi="Times New Roman" w:eastAsia="黑体" w:cs="Times New Roman"/>
          <w:kern w:val="0"/>
          <w:szCs w:val="20"/>
          <w:lang w:val="en-US" w:eastAsia="zh-CN"/>
        </w:rPr>
      </w:pPr>
    </w:p>
    <w:p w14:paraId="72CDFCAA">
      <w:pPr>
        <w:spacing w:line="360" w:lineRule="auto"/>
        <w:outlineLvl w:val="2"/>
        <w:rPr>
          <w:rFonts w:ascii="Times New Roman" w:hAnsi="Times New Roman" w:eastAsia="黑体" w:cs="Times New Roman"/>
          <w:kern w:val="0"/>
          <w:szCs w:val="20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8、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技术规范书第</w:t>
      </w:r>
      <w:bookmarkStart w:id="4" w:name="_Toc3032"/>
      <w:r>
        <w:rPr>
          <w:rFonts w:hint="eastAsia" w:ascii="Times New Roman" w:hAnsi="Times New Roman" w:eastAsia="黑体" w:cs="Times New Roman"/>
          <w:kern w:val="0"/>
          <w:szCs w:val="20"/>
        </w:rPr>
        <w:t>5.</w:t>
      </w:r>
      <w:r>
        <w:rPr>
          <w:rFonts w:ascii="Times New Roman" w:hAnsi="Times New Roman" w:eastAsia="黑体" w:cs="Times New Roman"/>
          <w:kern w:val="0"/>
          <w:szCs w:val="20"/>
        </w:rPr>
        <w:t>5</w:t>
      </w:r>
      <w:r>
        <w:rPr>
          <w:rFonts w:hint="eastAsia" w:ascii="Times New Roman" w:hAnsi="Times New Roman" w:eastAsia="黑体" w:cs="Times New Roman"/>
          <w:kern w:val="0"/>
          <w:szCs w:val="20"/>
        </w:rPr>
        <w:t>.2 标志要求</w:t>
      </w:r>
      <w:bookmarkEnd w:id="4"/>
    </w:p>
    <w:p w14:paraId="3635A039">
      <w:pPr>
        <w:adjustRightInd w:val="0"/>
        <w:snapToGrid w:val="0"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  <w:highlight w:val="none"/>
        </w:rPr>
      </w:pPr>
      <w:r>
        <w:rPr>
          <w:rFonts w:ascii="Times New Roman" w:hAnsi="Times New Roman" w:eastAsia="宋体" w:cs="Times New Roman"/>
          <w:kern w:val="0"/>
          <w:szCs w:val="21"/>
          <w:highlight w:val="none"/>
        </w:rPr>
        <w:t>长度标志的距离为1米1个，整盘电缆的长度合计不允许有负偏差。</w:t>
      </w:r>
    </w:p>
    <w:p w14:paraId="3AD685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依据GB/T12706.3-2020标准规定，根据双方协议长度交货，长度计量误差不应超过士0.5%。，</w:t>
      </w:r>
      <w:r>
        <w:rPr>
          <w:rFonts w:hint="eastAsia" w:asciiTheme="minorEastAsia" w:hAnsi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请确认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是否按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国家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标准执行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13C3BF38">
      <w:pPr>
        <w:numPr>
          <w:ilvl w:val="0"/>
          <w:numId w:val="0"/>
        </w:numPr>
        <w:rPr>
          <w:rFonts w:hint="default"/>
          <w:b/>
          <w:bCs/>
          <w:sz w:val="28"/>
          <w:szCs w:val="36"/>
          <w:lang w:val="en-US" w:eastAsia="zh-CN"/>
        </w:rPr>
      </w:pPr>
    </w:p>
    <w:p w14:paraId="70115578">
      <w:pPr>
        <w:keepNext/>
        <w:keepLines/>
        <w:tabs>
          <w:tab w:val="left" w:pos="1276"/>
        </w:tabs>
        <w:topLinePunct/>
        <w:adjustRightInd w:val="0"/>
        <w:snapToGrid w:val="0"/>
        <w:spacing w:line="360" w:lineRule="auto"/>
        <w:outlineLvl w:val="1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9、</w:t>
      </w:r>
      <w:r>
        <w:rPr>
          <w:rFonts w:hint="eastAsia" w:asciiTheme="minorEastAsia" w:hAnsiTheme="minorEastAsia" w:eastAsiaTheme="minorEastAsia" w:cstheme="minorEastAsia"/>
          <w:kern w:val="0"/>
          <w:szCs w:val="20"/>
          <w:lang w:val="en-US" w:eastAsia="zh-CN"/>
        </w:rPr>
        <w:t>技术规范书第</w:t>
      </w:r>
      <w:bookmarkStart w:id="5" w:name="_Toc21153"/>
      <w:bookmarkStart w:id="6" w:name="_Toc494546991"/>
      <w:r>
        <w:rPr>
          <w:rFonts w:hint="eastAsia" w:ascii="Times New Roman" w:hAnsi="Times New Roman" w:eastAsia="黑体" w:cs="Times New Roman"/>
          <w:bCs/>
          <w:szCs w:val="21"/>
        </w:rPr>
        <w:t>10.2 包装</w:t>
      </w:r>
      <w:bookmarkEnd w:id="5"/>
      <w:bookmarkEnd w:id="6"/>
    </w:p>
    <w:p w14:paraId="6D78E029">
      <w:pPr>
        <w:numPr>
          <w:ilvl w:val="0"/>
          <w:numId w:val="0"/>
        </w:numPr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Times New Roman" w:eastAsia="宋体" w:cs="Times New Roman"/>
        </w:rPr>
        <w:t>三芯电缆应用铁木结构电缆盘。单芯电缆</w:t>
      </w:r>
      <w:r>
        <w:rPr>
          <w:rFonts w:ascii="Times New Roman" w:hAnsi="Times New Roman" w:eastAsia="宋体" w:cs="Times New Roman"/>
          <w:szCs w:val="21"/>
        </w:rPr>
        <w:t>电缆盘应为型钢焊接结构，外护板用薄钢板制作并易于拆除。电缆盘应平稳放置及固定在托盘上，外护板与电缆盘的固定不得采用焊接。</w:t>
      </w:r>
    </w:p>
    <w:p w14:paraId="1C5065F5">
      <w:pPr>
        <w:adjustRightInd w:val="0"/>
        <w:snapToGrid w:val="0"/>
        <w:spacing w:line="360" w:lineRule="auto"/>
        <w:ind w:firstLine="420" w:firstLineChars="200"/>
        <w:rPr>
          <w:rFonts w:hint="default" w:ascii="Times New Roman" w:hAnsi="Times New Roman" w:eastAsia="宋体" w:cs="Times New Roman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lang w:val="en-US" w:eastAsia="zh-CN"/>
        </w:rPr>
        <w:t>电缆盘采用共享交货盘时其技术性能应满足T/GSEE 16相关要求。</w:t>
      </w:r>
    </w:p>
    <w:p w14:paraId="01563F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（1）我司电缆交货盘为铁木结构电缆盘，单芯电缆是否也按铁木结构电缆盘执行？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5722E2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（2）我司电缆盘符合JB/T8137.4标准要求，</w:t>
      </w:r>
      <w:r>
        <w:rPr>
          <w:rFonts w:hint="eastAsia" w:asciiTheme="minorEastAsia" w:hAnsiTheme="minorEastAsia" w:cstheme="minorEastAsia"/>
          <w:b/>
          <w:bCs/>
          <w:color w:val="000000"/>
          <w:spacing w:val="0"/>
          <w:kern w:val="0"/>
          <w:position w:val="0"/>
          <w:sz w:val="24"/>
          <w:szCs w:val="24"/>
          <w:lang w:val="en-US" w:eastAsia="zh-CN" w:bidi="ar"/>
        </w:rPr>
        <w:t>请确认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是否按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国家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标准执行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请贵方澄清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。</w:t>
      </w:r>
    </w:p>
    <w:p w14:paraId="374BCEA1">
      <w:pPr>
        <w:numPr>
          <w:ilvl w:val="0"/>
          <w:numId w:val="0"/>
        </w:numPr>
        <w:rPr>
          <w:rFonts w:hint="default"/>
          <w:b/>
          <w:bCs/>
          <w:sz w:val="28"/>
          <w:szCs w:val="36"/>
          <w:lang w:val="en-US" w:eastAsia="zh-CN"/>
        </w:rPr>
      </w:pPr>
    </w:p>
    <w:p w14:paraId="4DB66C2A">
      <w:pPr>
        <w:keepNext/>
        <w:keepLines/>
        <w:tabs>
          <w:tab w:val="left" w:pos="1276"/>
        </w:tabs>
        <w:topLinePunct/>
        <w:adjustRightInd w:val="0"/>
        <w:snapToGrid w:val="0"/>
        <w:spacing w:line="360" w:lineRule="auto"/>
        <w:outlineLvl w:val="1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kern w:val="0"/>
          <w:szCs w:val="20"/>
          <w:lang w:val="en-US" w:eastAsia="zh-CN"/>
        </w:rPr>
        <w:t>10、物资清单中型号为FY-YJY23-26/35 3×185，FY-YJY23-26/35 3×300，FY-YJY63-26/35 1×500</w:t>
      </w:r>
    </w:p>
    <w:p w14:paraId="218917CF">
      <w:pPr>
        <w:numPr>
          <w:ilvl w:val="0"/>
          <w:numId w:val="0"/>
        </w:numPr>
        <w:ind w:firstLine="241" w:firstLineChars="100"/>
        <w:rPr>
          <w:rFonts w:hint="eastAsia" w:asciiTheme="minorEastAsia" w:hAnsiTheme="minorEastAsia" w:cstheme="minorEastAsia"/>
          <w:b/>
          <w:bCs/>
          <w:kern w:val="0"/>
          <w:szCs w:val="2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根据技术规范书中防蚁要求达到1级，根据GB/T34016-2017标准，建议型号改为FY1</w:t>
      </w:r>
      <w:r>
        <w:rPr>
          <w:rFonts w:hint="eastAsia" w:asciiTheme="minorEastAsia" w:hAnsiTheme="minorEastAsia" w:cstheme="minorEastAsia"/>
          <w:b/>
          <w:bCs/>
          <w:kern w:val="0"/>
          <w:szCs w:val="20"/>
          <w:lang w:val="en-US" w:eastAsia="zh-CN"/>
        </w:rPr>
        <w:t>-YJY23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、FY1</w:t>
      </w:r>
      <w:r>
        <w:rPr>
          <w:rFonts w:hint="eastAsia" w:asciiTheme="minorEastAsia" w:hAnsiTheme="minorEastAsia" w:cstheme="minorEastAsia"/>
          <w:b/>
          <w:bCs/>
          <w:kern w:val="0"/>
          <w:szCs w:val="20"/>
          <w:lang w:val="en-US" w:eastAsia="zh-CN"/>
        </w:rPr>
        <w:t>-YJY63。</w:t>
      </w:r>
    </w:p>
    <w:p w14:paraId="2636A38B">
      <w:pPr>
        <w:numPr>
          <w:ilvl w:val="0"/>
          <w:numId w:val="0"/>
        </w:numPr>
        <w:ind w:firstLine="210" w:firstLineChars="100"/>
        <w:rPr>
          <w:rFonts w:hint="default" w:asciiTheme="minorEastAsia" w:hAnsiTheme="minorEastAsia" w:cstheme="minorEastAsia"/>
          <w:b/>
          <w:bCs/>
          <w:kern w:val="0"/>
          <w:szCs w:val="20"/>
          <w:lang w:val="en-US" w:eastAsia="zh-CN"/>
        </w:rPr>
      </w:pPr>
      <w:r>
        <w:drawing>
          <wp:inline distT="0" distB="0" distL="114300" distR="114300">
            <wp:extent cx="6112510" cy="105981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2510" cy="105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EBD396"/>
    <w:multiLevelType w:val="singleLevel"/>
    <w:tmpl w:val="D2EBD396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50FD1"/>
    <w:rsid w:val="017114A0"/>
    <w:rsid w:val="023B0CDD"/>
    <w:rsid w:val="034322ED"/>
    <w:rsid w:val="07D378E7"/>
    <w:rsid w:val="0A496A4E"/>
    <w:rsid w:val="0C867DD5"/>
    <w:rsid w:val="0DCB675F"/>
    <w:rsid w:val="0DDD1CD0"/>
    <w:rsid w:val="0E2F7FFD"/>
    <w:rsid w:val="0F89671A"/>
    <w:rsid w:val="18893454"/>
    <w:rsid w:val="189539C4"/>
    <w:rsid w:val="1AA43102"/>
    <w:rsid w:val="1ACE7CE3"/>
    <w:rsid w:val="1EB84CF1"/>
    <w:rsid w:val="278F6292"/>
    <w:rsid w:val="2A761E07"/>
    <w:rsid w:val="2AB85A0E"/>
    <w:rsid w:val="2C413CCA"/>
    <w:rsid w:val="2CC31B0E"/>
    <w:rsid w:val="2D566A1A"/>
    <w:rsid w:val="3359404B"/>
    <w:rsid w:val="33605A6E"/>
    <w:rsid w:val="34DE633E"/>
    <w:rsid w:val="34FD7B87"/>
    <w:rsid w:val="36EA3C18"/>
    <w:rsid w:val="377E29CE"/>
    <w:rsid w:val="3B0E0BCA"/>
    <w:rsid w:val="3B6C15C2"/>
    <w:rsid w:val="3BE50568"/>
    <w:rsid w:val="3C1B20F5"/>
    <w:rsid w:val="3D473EB5"/>
    <w:rsid w:val="3ED1437C"/>
    <w:rsid w:val="3F4E7401"/>
    <w:rsid w:val="3F8B5A92"/>
    <w:rsid w:val="41727207"/>
    <w:rsid w:val="42070160"/>
    <w:rsid w:val="42FE2EC5"/>
    <w:rsid w:val="445D419E"/>
    <w:rsid w:val="447D0929"/>
    <w:rsid w:val="49DB4CCD"/>
    <w:rsid w:val="4A5E657A"/>
    <w:rsid w:val="4D440D81"/>
    <w:rsid w:val="50487487"/>
    <w:rsid w:val="508A65B5"/>
    <w:rsid w:val="51890216"/>
    <w:rsid w:val="53FB0D68"/>
    <w:rsid w:val="54E63D3C"/>
    <w:rsid w:val="569E51D6"/>
    <w:rsid w:val="5802399D"/>
    <w:rsid w:val="5B3B29E9"/>
    <w:rsid w:val="5BF0789D"/>
    <w:rsid w:val="5C9C6B66"/>
    <w:rsid w:val="5DFD3825"/>
    <w:rsid w:val="5E05795B"/>
    <w:rsid w:val="61354AC6"/>
    <w:rsid w:val="675477D5"/>
    <w:rsid w:val="6AE34B4E"/>
    <w:rsid w:val="6B6157AA"/>
    <w:rsid w:val="6B9604EC"/>
    <w:rsid w:val="6C5F26E1"/>
    <w:rsid w:val="6D800432"/>
    <w:rsid w:val="713D79BF"/>
    <w:rsid w:val="71BE24F3"/>
    <w:rsid w:val="73133CCA"/>
    <w:rsid w:val="73C23748"/>
    <w:rsid w:val="749F66E0"/>
    <w:rsid w:val="78A51CB2"/>
    <w:rsid w:val="7BD04C7A"/>
    <w:rsid w:val="7E5C394B"/>
    <w:rsid w:val="7F1E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240" w:lineRule="auto"/>
      <w:outlineLvl w:val="1"/>
    </w:pPr>
    <w:rPr>
      <w:rFonts w:ascii="Cambria" w:hAnsi="Cambria" w:eastAsia="宋体"/>
      <w:b/>
      <w:sz w:val="24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0"/>
    <w:pPr>
      <w:spacing w:before="154"/>
      <w:ind w:left="146"/>
    </w:pPr>
    <w:rPr>
      <w:rFonts w:ascii="Calibri" w:hAnsi="Calibri" w:eastAsia="宋体" w:cs="Times New Roman"/>
      <w:szCs w:val="20"/>
    </w:rPr>
  </w:style>
  <w:style w:type="character" w:styleId="7">
    <w:name w:val="annotation reference"/>
    <w:qFormat/>
    <w:uiPriority w:val="0"/>
    <w:rPr>
      <w:rFonts w:ascii="Calibri" w:hAnsi="Calibri" w:eastAsia="宋体" w:cs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1328</Words>
  <Characters>1594</Characters>
  <Lines>0</Lines>
  <Paragraphs>0</Paragraphs>
  <TotalTime>7</TotalTime>
  <ScaleCrop>false</ScaleCrop>
  <LinksUpToDate>false</LinksUpToDate>
  <CharactersWithSpaces>1621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2026-08-24T00:30:00Z</dcterms:created>
  <dc:creator>Administrator</dc:creator>
  <cp:lastModifiedBy>Administrator</cp:lastModifiedBy>
  <dcterms:modified xsi:type="dcterms:W3CDTF">2026-09-15T08:42:59Z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eyJoZGlkIjoiZTk1NTBiMjNjNWU1ZGE5YzAzZjhlZjIyNDc0YTdkNTAiLCJ1c2VySWQiOiI0MjAyMTUzNDQifQ==</vt:lpwstr>
  </property>
  <property fmtid="{D5CDD505-2E9C-101B-9397-08002B2CF9AE}" pid="4" name="ICV">
    <vt:lpwstr>AB2AB99EF4B64B8A8A2BE0A8CDBBFB26_13</vt:lpwstr>
  </property>
</Properties>
</file>